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word/header30.xml" ContentType="application/vnd.openxmlformats-officedocument.wordprocessingml.header+xml"/>
  <Override PartName="/word/footer31.xml" ContentType="application/vnd.openxmlformats-officedocument.wordprocessingml.footer+xml"/>
  <Override PartName="/word/header31.xml" ContentType="application/vnd.openxmlformats-officedocument.wordprocessingml.header+xml"/>
  <Override PartName="/word/footer32.xml" ContentType="application/vnd.openxmlformats-officedocument.wordprocessingml.footer+xml"/>
  <Override PartName="/word/header32.xml" ContentType="application/vnd.openxmlformats-officedocument.wordprocessingml.header+xml"/>
  <Override PartName="/word/footer33.xml" ContentType="application/vnd.openxmlformats-officedocument.wordprocessingml.footer+xml"/>
  <Override PartName="/word/header33.xml" ContentType="application/vnd.openxmlformats-officedocument.wordprocessingml.header+xml"/>
  <Override PartName="/word/footer34.xml" ContentType="application/vnd.openxmlformats-officedocument.wordprocessingml.footer+xml"/>
  <Override PartName="/word/header34.xml" ContentType="application/vnd.openxmlformats-officedocument.wordprocessingml.header+xml"/>
  <Override PartName="/word/footer35.xml" ContentType="application/vnd.openxmlformats-officedocument.wordprocessingml.footer+xml"/>
  <Override PartName="/word/header35.xml" ContentType="application/vnd.openxmlformats-officedocument.wordprocessingml.header+xml"/>
  <Override PartName="/word/footer36.xml" ContentType="application/vnd.openxmlformats-officedocument.wordprocessingml.footer+xml"/>
  <Override PartName="/word/header36.xml" ContentType="application/vnd.openxmlformats-officedocument.wordprocessingml.header+xml"/>
  <Override PartName="/word/footer37.xml" ContentType="application/vnd.openxmlformats-officedocument.wordprocessingml.footer+xml"/>
  <Override PartName="/word/header37.xml" ContentType="application/vnd.openxmlformats-officedocument.wordprocessingml.header+xml"/>
  <Override PartName="/word/footer38.xml" ContentType="application/vnd.openxmlformats-officedocument.wordprocessingml.footer+xml"/>
  <Override PartName="/word/header38.xml" ContentType="application/vnd.openxmlformats-officedocument.wordprocessingml.head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25DE9" w14:textId="464602CA" w:rsidR="00F912AA" w:rsidRPr="00F912AA" w:rsidRDefault="00F912AA" w:rsidP="00F912AA">
      <w:pPr>
        <w:spacing w:after="0" w:line="240" w:lineRule="auto"/>
        <w:jc w:val="right"/>
        <w:rPr>
          <w:rFonts w:ascii="Cambria" w:hAnsi="Cambria"/>
          <w:bCs/>
          <w:sz w:val="20"/>
        </w:rPr>
      </w:pPr>
      <w:r>
        <w:rPr>
          <w:rFonts w:ascii="Cambria" w:hAnsi="Cambria"/>
          <w:b/>
          <w:sz w:val="20"/>
        </w:rPr>
        <w:t xml:space="preserve">Original: </w:t>
      </w:r>
      <w:r>
        <w:rPr>
          <w:rFonts w:ascii="Cambria" w:hAnsi="Cambria"/>
          <w:bCs/>
          <w:sz w:val="20"/>
        </w:rPr>
        <w:t>inglés</w:t>
      </w:r>
    </w:p>
    <w:p w14:paraId="7BEA915F" w14:textId="77777777" w:rsidR="00F912AA" w:rsidRDefault="00F912AA" w:rsidP="00CA21B5">
      <w:pPr>
        <w:spacing w:after="0" w:line="240" w:lineRule="auto"/>
        <w:jc w:val="center"/>
        <w:rPr>
          <w:rFonts w:ascii="Cambria" w:hAnsi="Cambria"/>
          <w:b/>
          <w:sz w:val="20"/>
        </w:rPr>
      </w:pPr>
    </w:p>
    <w:p w14:paraId="2D372389" w14:textId="0CE9AEFB" w:rsidR="00CA21B5" w:rsidRPr="00450805" w:rsidRDefault="00CA21B5" w:rsidP="00CA21B5">
      <w:pPr>
        <w:spacing w:after="0" w:line="240" w:lineRule="auto"/>
        <w:jc w:val="center"/>
        <w:rPr>
          <w:rFonts w:ascii="Cambria" w:eastAsia="Yu Gothic" w:hAnsi="Cambria" w:cs="Times New Roman"/>
          <w:b/>
          <w:kern w:val="2"/>
          <w:sz w:val="20"/>
          <w14:ligatures w14:val="standardContextual"/>
        </w:rPr>
      </w:pPr>
      <w:r w:rsidRPr="00450805">
        <w:rPr>
          <w:rFonts w:ascii="Cambria" w:hAnsi="Cambria"/>
          <w:b/>
          <w:sz w:val="20"/>
        </w:rPr>
        <w:t>Informe de la reunión intersesiones de la Subcomisión 2</w:t>
      </w:r>
    </w:p>
    <w:p w14:paraId="375B049B" w14:textId="4A42779A" w:rsidR="00CA21B5" w:rsidRPr="00450805" w:rsidRDefault="00CA21B5" w:rsidP="00CA21B5">
      <w:pPr>
        <w:spacing w:line="259" w:lineRule="auto"/>
        <w:jc w:val="center"/>
        <w:rPr>
          <w:rFonts w:ascii="Cambria" w:eastAsia="Yu Gothic" w:hAnsi="Cambria" w:cs="Times New Roman"/>
          <w:kern w:val="2"/>
          <w:sz w:val="20"/>
          <w:szCs w:val="20"/>
          <w14:ligatures w14:val="standardContextual"/>
        </w:rPr>
      </w:pPr>
      <w:r w:rsidRPr="00450805">
        <w:rPr>
          <w:rFonts w:ascii="Cambria" w:hAnsi="Cambria"/>
          <w:i/>
          <w:iCs/>
          <w:sz w:val="20"/>
        </w:rPr>
        <w:t>(Formato híbrido, Madrid (España), 3-5 de marzo de 2026)</w:t>
      </w:r>
    </w:p>
    <w:p w14:paraId="10598A9D" w14:textId="77777777" w:rsidR="00CA21B5" w:rsidRPr="00450805" w:rsidRDefault="00CA21B5" w:rsidP="00CA21B5">
      <w:pPr>
        <w:spacing w:after="0" w:line="240" w:lineRule="auto"/>
        <w:jc w:val="center"/>
        <w:rPr>
          <w:rFonts w:ascii="Cambria" w:eastAsia="Yu Gothic" w:hAnsi="Cambria" w:cs="Times New Roman"/>
          <w:b/>
          <w:bCs/>
          <w:kern w:val="2"/>
          <w:sz w:val="20"/>
          <w:szCs w:val="20"/>
          <w14:ligatures w14:val="standardContextual"/>
        </w:rPr>
      </w:pPr>
    </w:p>
    <w:p w14:paraId="56276547" w14:textId="77777777" w:rsidR="00CA21B5" w:rsidRPr="00450805" w:rsidRDefault="00CA21B5" w:rsidP="00CE0EC8">
      <w:pPr>
        <w:numPr>
          <w:ilvl w:val="0"/>
          <w:numId w:val="24"/>
        </w:numPr>
        <w:spacing w:after="0" w:line="240" w:lineRule="auto"/>
        <w:ind w:left="426" w:hanging="426"/>
        <w:jc w:val="both"/>
        <w:rPr>
          <w:rFonts w:ascii="Cambria" w:eastAsia="Yu Gothic" w:hAnsi="Cambria" w:cs="Times New Roman"/>
          <w:b/>
          <w:bCs/>
          <w:kern w:val="2"/>
          <w:sz w:val="20"/>
          <w:szCs w:val="20"/>
          <w14:ligatures w14:val="standardContextual"/>
        </w:rPr>
      </w:pPr>
      <w:r w:rsidRPr="00450805">
        <w:rPr>
          <w:rFonts w:ascii="Cambria" w:hAnsi="Cambria"/>
          <w:b/>
          <w:sz w:val="20"/>
        </w:rPr>
        <w:t>Apertura y disposiciones para la reunión</w:t>
      </w:r>
    </w:p>
    <w:p w14:paraId="40653021" w14:textId="77777777" w:rsidR="00CA21B5" w:rsidRPr="00450805" w:rsidRDefault="00CA21B5" w:rsidP="007C5C0D">
      <w:pPr>
        <w:spacing w:after="0" w:line="240" w:lineRule="auto"/>
        <w:ind w:left="426"/>
        <w:jc w:val="both"/>
        <w:rPr>
          <w:rFonts w:ascii="Cambria" w:eastAsia="Yu Gothic" w:hAnsi="Cambria" w:cs="Times New Roman"/>
          <w:b/>
          <w:bCs/>
          <w:kern w:val="2"/>
          <w:sz w:val="20"/>
          <w:szCs w:val="20"/>
          <w14:ligatures w14:val="standardContextual"/>
        </w:rPr>
      </w:pPr>
    </w:p>
    <w:p w14:paraId="04F44BF1" w14:textId="088F6DCA" w:rsidR="00CA21B5" w:rsidRPr="00450805" w:rsidRDefault="00CA21B5" w:rsidP="007C5C0D">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La reunión fue inaugurada por el presidente de la Subcomisión 2, el Sr. Shingo Ota (Japón).</w:t>
      </w:r>
    </w:p>
    <w:p w14:paraId="2B1209E2" w14:textId="77777777" w:rsidR="00CA21B5" w:rsidRPr="00450805" w:rsidRDefault="00CA21B5" w:rsidP="007C5C0D">
      <w:pPr>
        <w:spacing w:after="0" w:line="240" w:lineRule="auto"/>
        <w:jc w:val="both"/>
        <w:rPr>
          <w:rFonts w:ascii="Cambria" w:eastAsia="Yu Gothic" w:hAnsi="Cambria" w:cs="Times New Roman"/>
          <w:kern w:val="2"/>
          <w:sz w:val="20"/>
          <w:szCs w:val="20"/>
          <w14:ligatures w14:val="standardContextual"/>
        </w:rPr>
      </w:pPr>
    </w:p>
    <w:p w14:paraId="6E11F8D1" w14:textId="0D30826E" w:rsidR="00CA21B5" w:rsidRPr="00450805" w:rsidRDefault="00CA21B5" w:rsidP="007C5C0D">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El secretario ejecutivo dio la bienvenida a los participantes y explicó los aspectos organizativos de la reunión.</w:t>
      </w:r>
    </w:p>
    <w:p w14:paraId="4560532F" w14:textId="4E50BC62" w:rsidR="00CA21B5" w:rsidRPr="00450805" w:rsidRDefault="00CA21B5" w:rsidP="007C5C0D">
      <w:pPr>
        <w:spacing w:after="0" w:line="240" w:lineRule="auto"/>
        <w:jc w:val="both"/>
        <w:rPr>
          <w:rFonts w:ascii="Cambria" w:eastAsia="Yu Gothic" w:hAnsi="Cambria" w:cs="Times New Roman"/>
          <w:kern w:val="2"/>
          <w:sz w:val="20"/>
          <w:szCs w:val="20"/>
          <w14:ligatures w14:val="standardContextual"/>
        </w:rPr>
      </w:pPr>
    </w:p>
    <w:p w14:paraId="0A57DC90" w14:textId="77777777" w:rsidR="001176E7" w:rsidRPr="00450805" w:rsidRDefault="001176E7" w:rsidP="007C5C0D">
      <w:pPr>
        <w:spacing w:after="0" w:line="240" w:lineRule="auto"/>
        <w:jc w:val="both"/>
        <w:rPr>
          <w:rFonts w:ascii="Cambria" w:eastAsia="Yu Gothic" w:hAnsi="Cambria" w:cs="Times New Roman"/>
          <w:kern w:val="2"/>
          <w:sz w:val="20"/>
          <w:szCs w:val="20"/>
          <w14:ligatures w14:val="standardContextual"/>
        </w:rPr>
      </w:pPr>
    </w:p>
    <w:p w14:paraId="1B641907" w14:textId="77777777" w:rsidR="00CA21B5" w:rsidRPr="00450805" w:rsidRDefault="00CA21B5" w:rsidP="00CE0EC8">
      <w:pPr>
        <w:numPr>
          <w:ilvl w:val="0"/>
          <w:numId w:val="24"/>
        </w:numPr>
        <w:spacing w:after="0" w:line="240" w:lineRule="auto"/>
        <w:ind w:left="426" w:hanging="426"/>
        <w:jc w:val="both"/>
        <w:rPr>
          <w:rFonts w:ascii="Cambria" w:eastAsia="Yu Gothic" w:hAnsi="Cambria" w:cs="Times New Roman"/>
          <w:b/>
          <w:bCs/>
          <w:kern w:val="2"/>
          <w:sz w:val="20"/>
          <w:szCs w:val="20"/>
          <w14:ligatures w14:val="standardContextual"/>
        </w:rPr>
      </w:pPr>
      <w:r w:rsidRPr="00450805">
        <w:rPr>
          <w:rFonts w:ascii="Cambria" w:hAnsi="Cambria"/>
          <w:b/>
          <w:sz w:val="20"/>
        </w:rPr>
        <w:t xml:space="preserve">Designación del relator </w:t>
      </w:r>
    </w:p>
    <w:p w14:paraId="6A20EB0C" w14:textId="77777777" w:rsidR="00CA21B5" w:rsidRPr="00450805" w:rsidRDefault="00CA21B5" w:rsidP="005B018B">
      <w:pPr>
        <w:spacing w:after="0" w:line="240" w:lineRule="auto"/>
        <w:jc w:val="center"/>
        <w:rPr>
          <w:rFonts w:ascii="Cambria" w:eastAsia="Yu Gothic" w:hAnsi="Cambria" w:cs="Times New Roman"/>
          <w:kern w:val="2"/>
          <w:sz w:val="20"/>
          <w:szCs w:val="20"/>
          <w14:ligatures w14:val="standardContextual"/>
        </w:rPr>
      </w:pPr>
    </w:p>
    <w:p w14:paraId="0BE60C78" w14:textId="1ABB604A" w:rsidR="00CA21B5" w:rsidRPr="00450805" w:rsidRDefault="001176E7" w:rsidP="007C5C0D">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Se nombró relator al Sr. Alexander Meyer (Japón).</w:t>
      </w:r>
    </w:p>
    <w:p w14:paraId="13791AA8" w14:textId="77777777" w:rsidR="00CA21B5" w:rsidRPr="00450805" w:rsidRDefault="00CA21B5" w:rsidP="007C5C0D">
      <w:pPr>
        <w:spacing w:after="0" w:line="240" w:lineRule="auto"/>
        <w:jc w:val="both"/>
        <w:rPr>
          <w:rFonts w:ascii="Cambria" w:eastAsia="Yu Gothic" w:hAnsi="Cambria" w:cs="Times New Roman"/>
          <w:kern w:val="2"/>
          <w:sz w:val="20"/>
          <w:szCs w:val="20"/>
          <w14:ligatures w14:val="standardContextual"/>
        </w:rPr>
      </w:pPr>
    </w:p>
    <w:p w14:paraId="28006850" w14:textId="77777777" w:rsidR="00CA21B5" w:rsidRPr="00450805" w:rsidRDefault="00CA21B5" w:rsidP="007C5C0D">
      <w:pPr>
        <w:spacing w:after="0" w:line="240" w:lineRule="auto"/>
        <w:jc w:val="both"/>
        <w:rPr>
          <w:rFonts w:ascii="Cambria" w:eastAsia="Yu Gothic" w:hAnsi="Cambria" w:cs="Times New Roman"/>
          <w:kern w:val="2"/>
          <w:sz w:val="20"/>
          <w:szCs w:val="20"/>
          <w14:ligatures w14:val="standardContextual"/>
        </w:rPr>
      </w:pPr>
    </w:p>
    <w:p w14:paraId="32AE9144" w14:textId="77777777" w:rsidR="00CA21B5" w:rsidRPr="00450805" w:rsidRDefault="00CA21B5" w:rsidP="00CE0EC8">
      <w:pPr>
        <w:numPr>
          <w:ilvl w:val="0"/>
          <w:numId w:val="24"/>
        </w:numPr>
        <w:spacing w:after="0" w:line="240" w:lineRule="auto"/>
        <w:ind w:left="426" w:hanging="426"/>
        <w:jc w:val="both"/>
        <w:rPr>
          <w:rFonts w:ascii="Cambria" w:eastAsia="Yu Gothic" w:hAnsi="Cambria" w:cs="Times New Roman"/>
          <w:b/>
          <w:bCs/>
          <w:kern w:val="2"/>
          <w:sz w:val="20"/>
          <w:szCs w:val="20"/>
          <w14:ligatures w14:val="standardContextual"/>
        </w:rPr>
      </w:pPr>
      <w:r w:rsidRPr="00450805">
        <w:rPr>
          <w:rFonts w:ascii="Cambria" w:hAnsi="Cambria"/>
          <w:b/>
          <w:sz w:val="20"/>
        </w:rPr>
        <w:t xml:space="preserve">Adopción del orden del día </w:t>
      </w:r>
    </w:p>
    <w:p w14:paraId="6E07AD20" w14:textId="77777777" w:rsidR="00CA21B5" w:rsidRPr="00450805" w:rsidRDefault="00CA21B5" w:rsidP="007C5C0D">
      <w:pPr>
        <w:spacing w:after="0" w:line="240" w:lineRule="auto"/>
        <w:jc w:val="both"/>
        <w:rPr>
          <w:rFonts w:ascii="Cambria" w:eastAsia="Yu Gothic" w:hAnsi="Cambria" w:cs="Times New Roman"/>
          <w:kern w:val="2"/>
          <w:sz w:val="20"/>
          <w:szCs w:val="20"/>
          <w14:ligatures w14:val="standardContextual"/>
        </w:rPr>
      </w:pPr>
    </w:p>
    <w:p w14:paraId="37899325" w14:textId="7F45F76B" w:rsidR="00CA21B5" w:rsidRPr="00450805" w:rsidRDefault="00625400" w:rsidP="007C5C0D">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 xml:space="preserve">Tras pequeños cambios se adoptó el orden del día que se adjunta como </w:t>
      </w:r>
      <w:r w:rsidR="00DF58D5" w:rsidRPr="00450805">
        <w:rPr>
          <w:rFonts w:ascii="Cambria" w:hAnsi="Cambria"/>
          <w:b/>
          <w:sz w:val="20"/>
        </w:rPr>
        <w:t>a</w:t>
      </w:r>
      <w:r w:rsidRPr="00450805">
        <w:rPr>
          <w:rFonts w:ascii="Cambria" w:hAnsi="Cambria"/>
          <w:b/>
          <w:sz w:val="20"/>
        </w:rPr>
        <w:t>péndice 1</w:t>
      </w:r>
      <w:r w:rsidR="00EF3ED1" w:rsidRPr="00450805">
        <w:rPr>
          <w:rFonts w:ascii="Cambria" w:eastAsia="Yu Gothic" w:hAnsi="Cambria" w:cs="Times New Roman"/>
          <w:kern w:val="2"/>
          <w:sz w:val="20"/>
          <w14:ligatures w14:val="standardContextual"/>
        </w:rPr>
        <w:t>.</w:t>
      </w:r>
    </w:p>
    <w:p w14:paraId="33DEC949" w14:textId="77777777" w:rsidR="00CA21B5" w:rsidRPr="00450805" w:rsidRDefault="00CA21B5" w:rsidP="007C5C0D">
      <w:pPr>
        <w:spacing w:after="0" w:line="240" w:lineRule="auto"/>
        <w:jc w:val="both"/>
        <w:rPr>
          <w:rFonts w:ascii="Cambria" w:eastAsia="Yu Gothic" w:hAnsi="Cambria" w:cs="Times New Roman"/>
          <w:kern w:val="2"/>
          <w:sz w:val="20"/>
          <w14:ligatures w14:val="standardContextual"/>
        </w:rPr>
      </w:pPr>
    </w:p>
    <w:p w14:paraId="04DCBD01" w14:textId="0CB529D5" w:rsidR="00CA21B5" w:rsidRPr="00450805" w:rsidRDefault="00CA21B5" w:rsidP="007C5C0D">
      <w:pPr>
        <w:spacing w:after="0" w:line="240" w:lineRule="auto"/>
        <w:jc w:val="both"/>
        <w:rPr>
          <w:rFonts w:ascii="Cambria" w:eastAsia="Yu Mincho" w:hAnsi="Cambria" w:cs="Times New Roman"/>
          <w:kern w:val="2"/>
          <w:sz w:val="20"/>
          <w:szCs w:val="20"/>
          <w14:ligatures w14:val="standardContextual"/>
        </w:rPr>
      </w:pPr>
      <w:r w:rsidRPr="00450805">
        <w:rPr>
          <w:rFonts w:ascii="Cambria" w:hAnsi="Cambria"/>
          <w:sz w:val="20"/>
        </w:rPr>
        <w:t xml:space="preserve">En el </w:t>
      </w:r>
      <w:r w:rsidR="00DF58D5" w:rsidRPr="00450805">
        <w:rPr>
          <w:rFonts w:ascii="Cambria" w:hAnsi="Cambria"/>
          <w:b/>
          <w:bCs/>
          <w:sz w:val="20"/>
        </w:rPr>
        <w:t>a</w:t>
      </w:r>
      <w:r w:rsidRPr="00450805">
        <w:rPr>
          <w:rFonts w:ascii="Cambria" w:hAnsi="Cambria"/>
          <w:b/>
          <w:bCs/>
          <w:sz w:val="20"/>
        </w:rPr>
        <w:t xml:space="preserve">péndice 2 </w:t>
      </w:r>
      <w:r w:rsidRPr="00450805">
        <w:rPr>
          <w:rFonts w:ascii="Cambria" w:hAnsi="Cambria"/>
          <w:sz w:val="20"/>
        </w:rPr>
        <w:t>se incluye una lista de delegados de cada CPC participante, así como de los observadores.</w:t>
      </w:r>
    </w:p>
    <w:p w14:paraId="234B8DC8" w14:textId="77777777" w:rsidR="00CA21B5" w:rsidRPr="00450805" w:rsidRDefault="00CA21B5" w:rsidP="007C5C0D">
      <w:pPr>
        <w:spacing w:after="0" w:line="240" w:lineRule="auto"/>
        <w:jc w:val="both"/>
        <w:rPr>
          <w:rFonts w:ascii="Cambria" w:eastAsia="Yu Gothic" w:hAnsi="Cambria" w:cs="Times New Roman"/>
          <w:kern w:val="2"/>
          <w:sz w:val="20"/>
          <w:szCs w:val="20"/>
          <w14:ligatures w14:val="standardContextual"/>
        </w:rPr>
      </w:pPr>
    </w:p>
    <w:p w14:paraId="248AF0E6" w14:textId="77777777" w:rsidR="00CA21B5" w:rsidRPr="00450805" w:rsidRDefault="00CA21B5" w:rsidP="007C5C0D">
      <w:pPr>
        <w:spacing w:after="0" w:line="240" w:lineRule="auto"/>
        <w:jc w:val="both"/>
        <w:rPr>
          <w:rFonts w:ascii="Cambria" w:eastAsia="Yu Gothic" w:hAnsi="Cambria" w:cs="Times New Roman"/>
          <w:kern w:val="2"/>
          <w:sz w:val="20"/>
          <w:szCs w:val="20"/>
          <w14:ligatures w14:val="standardContextual"/>
        </w:rPr>
      </w:pPr>
    </w:p>
    <w:p w14:paraId="014866B9" w14:textId="36118DF0" w:rsidR="00CA21B5" w:rsidRPr="00450805" w:rsidRDefault="006F6E2D" w:rsidP="00CE0EC8">
      <w:pPr>
        <w:numPr>
          <w:ilvl w:val="0"/>
          <w:numId w:val="24"/>
        </w:numPr>
        <w:spacing w:after="0" w:line="240" w:lineRule="auto"/>
        <w:ind w:left="426" w:hanging="426"/>
        <w:contextualSpacing/>
        <w:jc w:val="both"/>
        <w:rPr>
          <w:rFonts w:ascii="Cambria" w:eastAsia="Yu Gothic" w:hAnsi="Cambria" w:cs="Times New Roman"/>
          <w:b/>
          <w:bCs/>
          <w:kern w:val="2"/>
          <w:sz w:val="20"/>
          <w:szCs w:val="20"/>
          <w14:ligatures w14:val="standardContextual"/>
        </w:rPr>
      </w:pPr>
      <w:r w:rsidRPr="00450805">
        <w:rPr>
          <w:rFonts w:ascii="Cambria" w:hAnsi="Cambria"/>
          <w:b/>
          <w:sz w:val="20"/>
        </w:rPr>
        <w:t>Consideración de los planes de pesca anuales</w:t>
      </w:r>
    </w:p>
    <w:p w14:paraId="48A8854A" w14:textId="77777777" w:rsidR="006F6E2D" w:rsidRPr="00450805" w:rsidRDefault="006F6E2D" w:rsidP="006F6E2D">
      <w:pPr>
        <w:spacing w:after="0" w:line="240" w:lineRule="auto"/>
        <w:jc w:val="both"/>
        <w:rPr>
          <w:rFonts w:ascii="Cambria" w:eastAsia="Yu Gothic" w:hAnsi="Cambria" w:cs="Times New Roman"/>
          <w:b/>
          <w:iCs/>
          <w:kern w:val="2"/>
          <w:sz w:val="20"/>
          <w14:ligatures w14:val="standardContextual"/>
        </w:rPr>
      </w:pPr>
    </w:p>
    <w:p w14:paraId="244B12D4" w14:textId="281F0250" w:rsidR="006F6E2D" w:rsidRPr="00450805" w:rsidRDefault="006F6E2D" w:rsidP="006F6E2D">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4.1 Planes de pesca, cría, inspección y ordenación de la capacidad, así como planes anuales de acuicultura, para el Atlántico este y Mediterráneo presentados por las CPC para 2026</w:t>
      </w:r>
    </w:p>
    <w:p w14:paraId="51997F67" w14:textId="4E10A297" w:rsidR="00CA21B5" w:rsidRPr="00450805" w:rsidRDefault="00CA21B5" w:rsidP="006F6E2D">
      <w:pPr>
        <w:spacing w:after="0" w:line="240" w:lineRule="auto"/>
        <w:contextualSpacing/>
        <w:jc w:val="both"/>
        <w:rPr>
          <w:rFonts w:ascii="Cambria" w:eastAsia="Yu Gothic" w:hAnsi="Cambria" w:cs="Times New Roman"/>
          <w:b/>
          <w:bCs/>
          <w:kern w:val="2"/>
          <w:sz w:val="20"/>
          <w:szCs w:val="20"/>
          <w14:ligatures w14:val="standardContextual"/>
        </w:rPr>
      </w:pPr>
    </w:p>
    <w:p w14:paraId="2AFB4BE8" w14:textId="77777777" w:rsidR="0025099A" w:rsidRPr="00450805" w:rsidRDefault="0025099A"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 xml:space="preserve">El presidente pidió a las CPC que presentaran sus planes de pesca de 2026 para el Atlántico este y Mediterráneo, </w:t>
      </w:r>
      <w:proofErr w:type="gramStart"/>
      <w:r w:rsidRPr="00450805">
        <w:rPr>
          <w:rFonts w:ascii="Cambria" w:hAnsi="Cambria"/>
          <w:sz w:val="20"/>
        </w:rPr>
        <w:t>centrándose principalmente en</w:t>
      </w:r>
      <w:proofErr w:type="gramEnd"/>
      <w:r w:rsidRPr="00450805">
        <w:rPr>
          <w:rFonts w:ascii="Cambria" w:hAnsi="Cambria"/>
          <w:sz w:val="20"/>
        </w:rPr>
        <w:t xml:space="preserve"> las diferencias con respecto a 2025.</w:t>
      </w:r>
    </w:p>
    <w:p w14:paraId="059BDABA" w14:textId="77777777" w:rsidR="0025099A" w:rsidRPr="00450805" w:rsidRDefault="0025099A" w:rsidP="0025099A">
      <w:pPr>
        <w:spacing w:after="0" w:line="240" w:lineRule="auto"/>
        <w:jc w:val="both"/>
        <w:rPr>
          <w:rFonts w:ascii="Cambria" w:eastAsia="Yu Gothic" w:hAnsi="Cambria" w:cs="Times New Roman"/>
          <w:kern w:val="2"/>
          <w:sz w:val="20"/>
          <w14:ligatures w14:val="standardContextual"/>
        </w:rPr>
      </w:pPr>
    </w:p>
    <w:p w14:paraId="4722C412" w14:textId="6B8CCC64"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Los planes aprobados se incluyen en el</w:t>
      </w:r>
      <w:r w:rsidRPr="00450805">
        <w:rPr>
          <w:rFonts w:ascii="Cambria" w:hAnsi="Cambria"/>
          <w:b/>
          <w:sz w:val="20"/>
        </w:rPr>
        <w:t xml:space="preserve"> </w:t>
      </w:r>
      <w:r w:rsidR="00DF58D5" w:rsidRPr="00450805">
        <w:rPr>
          <w:rFonts w:ascii="Cambria" w:hAnsi="Cambria"/>
          <w:b/>
          <w:sz w:val="20"/>
        </w:rPr>
        <w:t>a</w:t>
      </w:r>
      <w:r w:rsidRPr="00450805">
        <w:rPr>
          <w:rFonts w:ascii="Cambria" w:hAnsi="Cambria"/>
          <w:b/>
          <w:sz w:val="20"/>
        </w:rPr>
        <w:t>péndice 3</w:t>
      </w:r>
      <w:r w:rsidRPr="00450805">
        <w:rPr>
          <w:rFonts w:ascii="Cambria" w:hAnsi="Cambria"/>
          <w:sz w:val="20"/>
        </w:rPr>
        <w:t xml:space="preserve">. </w:t>
      </w:r>
    </w:p>
    <w:p w14:paraId="1BC8D0B7" w14:textId="77777777" w:rsidR="0025099A" w:rsidRPr="00450805" w:rsidRDefault="0025099A" w:rsidP="0025099A">
      <w:pPr>
        <w:spacing w:after="0" w:line="240" w:lineRule="auto"/>
        <w:jc w:val="both"/>
        <w:rPr>
          <w:rFonts w:ascii="Cambria" w:eastAsia="Yu Gothic" w:hAnsi="Cambria" w:cs="Times New Roman"/>
          <w:b/>
          <w:bCs/>
          <w:kern w:val="2"/>
          <w:sz w:val="20"/>
          <w:szCs w:val="20"/>
          <w:lang w:eastAsia="ja-JP"/>
          <w14:ligatures w14:val="standardContextual"/>
        </w:rPr>
      </w:pPr>
    </w:p>
    <w:p w14:paraId="767FB5AD" w14:textId="75B8F54A" w:rsidR="001D3282" w:rsidRPr="00450805" w:rsidRDefault="00F056F3" w:rsidP="0025099A">
      <w:pPr>
        <w:spacing w:after="0" w:line="240" w:lineRule="auto"/>
        <w:jc w:val="both"/>
        <w:rPr>
          <w:rFonts w:ascii="Cambria" w:eastAsia="Yu Gothic" w:hAnsi="Cambria" w:cs="Times New Roman"/>
          <w:b/>
          <w:bCs/>
          <w:kern w:val="2"/>
          <w:sz w:val="20"/>
          <w:szCs w:val="20"/>
          <w14:ligatures w14:val="standardContextual"/>
        </w:rPr>
      </w:pPr>
      <w:r w:rsidRPr="00450805">
        <w:rPr>
          <w:rFonts w:ascii="Cambria" w:hAnsi="Cambria"/>
          <w:b/>
          <w:sz w:val="20"/>
        </w:rPr>
        <w:t>A continuación se ofrece un breve resumen del debate sobre el plan de pesca de cada CPC:</w:t>
      </w:r>
    </w:p>
    <w:p w14:paraId="00C28424" w14:textId="77777777" w:rsidR="00A44586" w:rsidRPr="00450805" w:rsidRDefault="00A44586" w:rsidP="0025099A">
      <w:pPr>
        <w:spacing w:after="0" w:line="240" w:lineRule="auto"/>
        <w:jc w:val="both"/>
        <w:rPr>
          <w:rFonts w:ascii="Cambria" w:eastAsia="Yu Gothic" w:hAnsi="Cambria" w:cs="Times New Roman"/>
          <w:b/>
          <w:bCs/>
          <w:kern w:val="2"/>
          <w:sz w:val="20"/>
          <w:szCs w:val="20"/>
          <w:lang w:eastAsia="ja-JP"/>
          <w14:ligatures w14:val="standardContextual"/>
        </w:rPr>
      </w:pPr>
    </w:p>
    <w:p w14:paraId="01FBBEB9" w14:textId="77777777" w:rsidR="0025099A" w:rsidRPr="00450805" w:rsidRDefault="0025099A" w:rsidP="0025099A">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Albania</w:t>
      </w:r>
      <w:bookmarkStart w:id="0" w:name="_Hlk160604340"/>
    </w:p>
    <w:p w14:paraId="31D06233"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10F2BCB6" w14:textId="28883430" w:rsidR="0025099A" w:rsidRPr="00450805" w:rsidRDefault="00F529B3" w:rsidP="00F529B3">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La cuota para 2026 es de 457,37 t, distribuida de la siguiente manera: Dos cerqueros (456,3</w:t>
      </w:r>
      <w:r w:rsidR="007E2C56" w:rsidRPr="00450805">
        <w:rPr>
          <w:rFonts w:ascii="Cambria" w:hAnsi="Cambria"/>
          <w:sz w:val="20"/>
        </w:rPr>
        <w:t>7</w:t>
      </w:r>
      <w:r w:rsidR="0029490F" w:rsidRPr="00450805">
        <w:rPr>
          <w:rFonts w:ascii="Cambria" w:hAnsi="Cambria"/>
          <w:sz w:val="20"/>
        </w:rPr>
        <w:t> </w:t>
      </w:r>
      <w:r w:rsidRPr="00450805">
        <w:rPr>
          <w:rFonts w:ascii="Cambria" w:hAnsi="Cambria"/>
          <w:sz w:val="20"/>
        </w:rPr>
        <w:t>t) y captura fortuita incidental (1 t). No se solicita ningún traspaso para 2026.</w:t>
      </w:r>
    </w:p>
    <w:p w14:paraId="4B3E3FD3" w14:textId="785FCEAE" w:rsidR="0025099A" w:rsidRPr="00450805" w:rsidRDefault="0025099A" w:rsidP="0025099A">
      <w:pPr>
        <w:spacing w:after="0" w:line="240" w:lineRule="auto"/>
        <w:jc w:val="both"/>
        <w:rPr>
          <w:rFonts w:ascii="Cambria" w:eastAsia="Yu Gothic" w:hAnsi="Cambria" w:cs="Times New Roman"/>
          <w:kern w:val="2"/>
          <w:sz w:val="20"/>
          <w14:ligatures w14:val="standardContextual"/>
        </w:rPr>
      </w:pPr>
    </w:p>
    <w:p w14:paraId="0E88DA35" w14:textId="278A0615" w:rsidR="00C10E3A" w:rsidRPr="00450805" w:rsidRDefault="00C10E3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En respuesta a las observaciones escritas recibidas de la</w:t>
      </w:r>
      <w:r w:rsidR="007E2C56" w:rsidRPr="00450805">
        <w:rPr>
          <w:rFonts w:ascii="Cambria" w:hAnsi="Cambria"/>
          <w:sz w:val="20"/>
        </w:rPr>
        <w:t xml:space="preserve"> Unión Europea (</w:t>
      </w:r>
      <w:r w:rsidRPr="00450805">
        <w:rPr>
          <w:rFonts w:ascii="Cambria" w:hAnsi="Cambria"/>
          <w:sz w:val="20"/>
        </w:rPr>
        <w:t>UE</w:t>
      </w:r>
      <w:r w:rsidR="007E2C56" w:rsidRPr="00450805">
        <w:rPr>
          <w:rFonts w:ascii="Cambria" w:hAnsi="Cambria"/>
          <w:sz w:val="20"/>
        </w:rPr>
        <w:t xml:space="preserve">) </w:t>
      </w:r>
      <w:r w:rsidRPr="00450805">
        <w:rPr>
          <w:rFonts w:ascii="Cambria" w:hAnsi="Cambria"/>
          <w:sz w:val="20"/>
        </w:rPr>
        <w:t xml:space="preserve">sobre su plan pesquero, </w:t>
      </w:r>
      <w:r w:rsidRPr="00450805">
        <w:rPr>
          <w:rFonts w:ascii="Cambria" w:hAnsi="Cambria"/>
          <w:sz w:val="20"/>
          <w:szCs w:val="20"/>
        </w:rPr>
        <w:t>Albania explicó que no prevé recibir importaciones de atún rojo vivo</w:t>
      </w:r>
      <w:r w:rsidR="007E2C56" w:rsidRPr="00450805">
        <w:rPr>
          <w:rFonts w:ascii="Cambria" w:hAnsi="Cambria"/>
          <w:sz w:val="20"/>
          <w:szCs w:val="20"/>
        </w:rPr>
        <w:t xml:space="preserve"> (BFT)</w:t>
      </w:r>
      <w:r w:rsidRPr="00450805">
        <w:rPr>
          <w:rFonts w:ascii="Cambria" w:hAnsi="Cambria"/>
          <w:sz w:val="20"/>
          <w:szCs w:val="20"/>
        </w:rPr>
        <w:t xml:space="preserve"> procedentes de otras CPC, y que el objetivo principal de la granja es el engorde del atún rojo. En cuanto al despliegue de observadores, Albania también explicó que velará por la aplicación del Programa Regional de Observadores (ROP) de ICCAT para garantizar una cobertura de observadores del 100 %, incluso durante la liberación de atún rojo desde las granjas.</w:t>
      </w:r>
    </w:p>
    <w:p w14:paraId="5AA9C641" w14:textId="3E27859A" w:rsidR="00C10E3A" w:rsidRPr="00450805" w:rsidRDefault="00C10E3A" w:rsidP="0025099A">
      <w:pPr>
        <w:spacing w:after="0" w:line="240" w:lineRule="auto"/>
        <w:jc w:val="both"/>
        <w:rPr>
          <w:rFonts w:ascii="Cambria" w:eastAsia="Yu Gothic" w:hAnsi="Cambria" w:cs="Times New Roman"/>
          <w:kern w:val="2"/>
          <w:sz w:val="20"/>
          <w:szCs w:val="20"/>
          <w14:ligatures w14:val="standardContextual"/>
        </w:rPr>
      </w:pPr>
    </w:p>
    <w:p w14:paraId="0D3D448F" w14:textId="0AAEB3F0" w:rsidR="00C10E3A" w:rsidRPr="00450805" w:rsidRDefault="00C10E3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solicitó a Albania que especificara la cuota asignada a cada uno de los buques de más de 24 metros, tal y como se requiere en la </w:t>
      </w:r>
      <w:hyperlink r:id="rId11">
        <w:r w:rsidRPr="00450805">
          <w:rPr>
            <w:rFonts w:ascii="Cambria" w:hAnsi="Cambria"/>
            <w:i/>
            <w:iCs/>
            <w:color w:val="0000FF"/>
            <w:sz w:val="20"/>
            <w:szCs w:val="20"/>
          </w:rPr>
          <w:t>Recomendación de ICCAT que reemplaza la Recomendación 24-05 que establece un plan de ordenación plurianual para el atún rojo en el Atlántico este y el Mediterráne</w:t>
        </w:r>
        <w:r w:rsidRPr="00450805">
          <w:rPr>
            <w:rFonts w:ascii="Cambria" w:hAnsi="Cambria"/>
            <w:color w:val="0000FF"/>
            <w:sz w:val="20"/>
            <w:szCs w:val="20"/>
          </w:rPr>
          <w:t xml:space="preserve">o (Rec. 25-04) </w:t>
        </w:r>
      </w:hyperlink>
      <w:r w:rsidRPr="00450805">
        <w:rPr>
          <w:rFonts w:ascii="Cambria" w:hAnsi="Cambria"/>
          <w:sz w:val="20"/>
          <w:szCs w:val="20"/>
        </w:rPr>
        <w:t>.</w:t>
      </w:r>
    </w:p>
    <w:p w14:paraId="19E71B4C" w14:textId="1F476E76" w:rsidR="00C10E3A" w:rsidRPr="00450805" w:rsidRDefault="00C10E3A" w:rsidP="0025099A">
      <w:pPr>
        <w:spacing w:after="0" w:line="240" w:lineRule="auto"/>
        <w:jc w:val="both"/>
        <w:rPr>
          <w:rFonts w:ascii="Cambria" w:eastAsia="Yu Gothic" w:hAnsi="Cambria" w:cs="Times New Roman"/>
          <w:kern w:val="2"/>
          <w:sz w:val="20"/>
          <w:szCs w:val="20"/>
          <w14:ligatures w14:val="standardContextual"/>
        </w:rPr>
      </w:pPr>
    </w:p>
    <w:p w14:paraId="12655799" w14:textId="5F5ABB36" w:rsidR="00081C3C" w:rsidRPr="00450805" w:rsidRDefault="00081C3C"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Una CPC señaló que la capacidad declarada de Albania en materia de entrada para cría superaba su cuota y solicitó una aclaración. Albania explicó que esa cifra se obtuvo sumando su cuota para 2026 al atún rojo vivo que se había traspasada a las granjas desde 2025. Se pidió a Albania que incluyera dicha aclaración en su plan de pesca.</w:t>
      </w:r>
    </w:p>
    <w:p w14:paraId="6C87BF0F" w14:textId="77777777" w:rsidR="00081C3C" w:rsidRPr="00450805" w:rsidRDefault="00081C3C" w:rsidP="0025099A">
      <w:pPr>
        <w:spacing w:after="0" w:line="240" w:lineRule="auto"/>
        <w:jc w:val="both"/>
        <w:rPr>
          <w:rFonts w:ascii="Cambria" w:eastAsia="Yu Gothic" w:hAnsi="Cambria" w:cs="Times New Roman"/>
          <w:kern w:val="2"/>
          <w:sz w:val="20"/>
          <w:szCs w:val="20"/>
          <w14:ligatures w14:val="standardContextual"/>
        </w:rPr>
      </w:pPr>
    </w:p>
    <w:p w14:paraId="2E2353DA" w14:textId="3A31C12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plan de pesca revisado de Albania</w:t>
      </w:r>
      <w:r w:rsidR="002F6E80" w:rsidRPr="00450805">
        <w:rPr>
          <w:rFonts w:ascii="Cambria" w:eastAsia="Yu Gothic" w:hAnsi="Cambria" w:cs="Times New Roman"/>
          <w:kern w:val="2"/>
          <w:sz w:val="20"/>
          <w14:ligatures w14:val="standardContextual"/>
        </w:rPr>
        <w:t xml:space="preserve"> </w:t>
      </w:r>
      <w:r w:rsidRPr="00450805">
        <w:rPr>
          <w:rFonts w:ascii="Cambria" w:hAnsi="Cambria"/>
          <w:sz w:val="20"/>
          <w:szCs w:val="20"/>
        </w:rPr>
        <w:t>fue aprobado por la Subcomisión 2.</w:t>
      </w:r>
    </w:p>
    <w:bookmarkEnd w:id="0"/>
    <w:p w14:paraId="3966C16A" w14:textId="77777777" w:rsidR="00F912AA" w:rsidRDefault="00F912AA" w:rsidP="0025099A">
      <w:pPr>
        <w:spacing w:after="0" w:line="240" w:lineRule="auto"/>
        <w:jc w:val="both"/>
        <w:rPr>
          <w:rFonts w:ascii="Cambria" w:hAnsi="Cambria"/>
          <w:b/>
          <w:i/>
          <w:sz w:val="20"/>
        </w:rPr>
      </w:pPr>
    </w:p>
    <w:p w14:paraId="731737F4" w14:textId="06E5CFEF" w:rsidR="0025099A" w:rsidRPr="00450805" w:rsidRDefault="0025099A" w:rsidP="0025099A">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 xml:space="preserve">Argelia </w:t>
      </w:r>
    </w:p>
    <w:p w14:paraId="5CCA8061"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603347F0" w14:textId="25CF321E" w:rsidR="0025099A" w:rsidRPr="00450805" w:rsidRDefault="0025099A"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 xml:space="preserve">Argelia solicitó un traspaso de 4,64 t (0,23 %) de su cuota no utilizada de 2025 a 2026, para una cuota total ajustada de 2.465,28 t. Esta cuota se asigna principalmente a un grupo de 41 buques de cerco de entre 22 y 42 m de eslora. También se han asignado 40 t a los pequeños barcos costeros y 6 t a las capturas fortuitas. </w:t>
      </w:r>
    </w:p>
    <w:p w14:paraId="2A5B9B94" w14:textId="436537CC" w:rsidR="0025099A" w:rsidRPr="00450805" w:rsidRDefault="0025099A" w:rsidP="0025099A">
      <w:pPr>
        <w:spacing w:after="0" w:line="240" w:lineRule="auto"/>
        <w:jc w:val="both"/>
        <w:rPr>
          <w:rFonts w:ascii="Cambria" w:eastAsia="Yu Gothic" w:hAnsi="Cambria" w:cs="Times New Roman"/>
          <w:kern w:val="2"/>
          <w:sz w:val="20"/>
          <w14:ligatures w14:val="standardContextual"/>
        </w:rPr>
      </w:pPr>
    </w:p>
    <w:p w14:paraId="1D1A6B85" w14:textId="22A67FBF" w:rsidR="003C059E" w:rsidRPr="00450805" w:rsidRDefault="003C059E"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En respuesta a las observaciones escritas recibidas de la UE sobre su plan pesquero, Argelia confirmó la existencia de autoridades competentes encargadas del seguimiento, el control y la vigilancia de todas las operaciones de introducción en jaulas, tal y como se requiere en virtud de la </w:t>
      </w:r>
      <w:hyperlink r:id="rId12" w:history="1">
        <w:r w:rsidRPr="00450805">
          <w:rPr>
            <w:rStyle w:val="Hyperlink"/>
            <w:rFonts w:ascii="Cambria" w:hAnsi="Cambria"/>
            <w:sz w:val="20"/>
            <w:szCs w:val="20"/>
            <w:u w:val="none"/>
          </w:rPr>
          <w:t>Rec. 25-04</w:t>
        </w:r>
      </w:hyperlink>
      <w:r w:rsidRPr="00450805">
        <w:rPr>
          <w:rFonts w:ascii="Cambria" w:hAnsi="Cambria"/>
          <w:sz w:val="20"/>
          <w:szCs w:val="20"/>
        </w:rPr>
        <w:t xml:space="preserve">. Asimismo, facilitó información adicional sobre el aumento del número de puertos designados y de pequeñas embarcaciones, y explicó que Argelia ha designado recientemente una serie de puertos que ya existían y que cuentan con instalaciones y medios para el seguimiento y el control de las actividades pesqueras, incluidas las de las pequeñas embarcaciones. </w:t>
      </w:r>
    </w:p>
    <w:p w14:paraId="60ED9903" w14:textId="1613F3EA" w:rsidR="00101F1B" w:rsidRPr="00450805" w:rsidRDefault="00101F1B" w:rsidP="0025099A">
      <w:pPr>
        <w:spacing w:after="0" w:line="240" w:lineRule="auto"/>
        <w:jc w:val="both"/>
        <w:rPr>
          <w:rFonts w:ascii="Cambria" w:eastAsia="Yu Gothic" w:hAnsi="Cambria" w:cs="Times New Roman"/>
          <w:kern w:val="2"/>
          <w:sz w:val="20"/>
          <w14:ligatures w14:val="standardContextual"/>
        </w:rPr>
      </w:pPr>
    </w:p>
    <w:p w14:paraId="16811A19" w14:textId="09B42436" w:rsidR="00101F1B" w:rsidRPr="00450805" w:rsidRDefault="00101F1B"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En respuesta a una solicitud de aclaración, Argelia explicó que el plan actual incluye inicialmente 90 barcos costeros de pequeña escala, pero que este número podría reducirse antes del inicio de la temporada de pesca.</w:t>
      </w:r>
    </w:p>
    <w:p w14:paraId="02A50400" w14:textId="57E05517" w:rsidR="003C059E" w:rsidRPr="00450805" w:rsidRDefault="003C059E" w:rsidP="0025099A">
      <w:pPr>
        <w:spacing w:after="0" w:line="240" w:lineRule="auto"/>
        <w:jc w:val="both"/>
        <w:rPr>
          <w:rFonts w:ascii="Cambria" w:eastAsia="Yu Gothic" w:hAnsi="Cambria" w:cs="Times New Roman"/>
          <w:kern w:val="2"/>
          <w:sz w:val="20"/>
          <w14:ligatures w14:val="standardContextual"/>
        </w:rPr>
      </w:pPr>
    </w:p>
    <w:p w14:paraId="542D3822" w14:textId="4FCCB884" w:rsidR="0089651C" w:rsidRPr="00450805" w:rsidRDefault="0089651C"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También se pidió a Argelia que corrigiera algunas cifras de su plan.</w:t>
      </w:r>
    </w:p>
    <w:p w14:paraId="5E21572B" w14:textId="77777777" w:rsidR="0089651C" w:rsidRPr="00450805" w:rsidRDefault="0089651C" w:rsidP="0025099A">
      <w:pPr>
        <w:spacing w:after="0" w:line="240" w:lineRule="auto"/>
        <w:jc w:val="both"/>
        <w:rPr>
          <w:rFonts w:ascii="Cambria" w:eastAsia="Yu Gothic" w:hAnsi="Cambria" w:cs="Times New Roman"/>
          <w:kern w:val="2"/>
          <w:sz w:val="20"/>
          <w14:ligatures w14:val="standardContextual"/>
        </w:rPr>
      </w:pPr>
    </w:p>
    <w:p w14:paraId="176C4AFE" w14:textId="21CBC39F"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El plan de pesca revisado de Argelia fue aprobado por la Subcomisión 2.</w:t>
      </w:r>
    </w:p>
    <w:p w14:paraId="3085BE07" w14:textId="77777777" w:rsidR="0025099A" w:rsidRPr="00450805" w:rsidRDefault="0025099A" w:rsidP="0025099A">
      <w:pPr>
        <w:spacing w:after="0" w:line="240" w:lineRule="auto"/>
        <w:jc w:val="both"/>
        <w:rPr>
          <w:rFonts w:ascii="Cambria" w:eastAsia="Yu Gothic" w:hAnsi="Cambria" w:cs="Times New Roman"/>
          <w:b/>
          <w:bCs/>
          <w:kern w:val="2"/>
          <w:sz w:val="20"/>
          <w:szCs w:val="20"/>
          <w14:ligatures w14:val="standardContextual"/>
        </w:rPr>
      </w:pPr>
    </w:p>
    <w:p w14:paraId="15807534" w14:textId="77777777" w:rsidR="0025099A" w:rsidRPr="00450805" w:rsidRDefault="0025099A" w:rsidP="0025099A">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China (R. P.)</w:t>
      </w:r>
    </w:p>
    <w:p w14:paraId="7C1CFA0B"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7EB17400" w14:textId="59D928BB"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China solicitó traspasar 22,4 t del año 2025 al 2026, lo que supone una cuota total ajustada de 308,55 t, que se distribuirá entre tres palangreros. Los buques faenarán desde septiembre hasta finales de año o hasta que se agote la cuota. Se asignan 0,5 t para capturas fortuitas.</w:t>
      </w:r>
    </w:p>
    <w:p w14:paraId="78BC1583"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2289DFBF" w14:textId="3D443A33" w:rsidR="008A6A64" w:rsidRPr="00450805" w:rsidRDefault="008A6A64" w:rsidP="008A6A64">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Se solicitó a China que revisara y aclarara la descripción de sus periodos de apertura de la pesquerías.</w:t>
      </w:r>
    </w:p>
    <w:p w14:paraId="1E595F02" w14:textId="77777777" w:rsidR="008A6A64" w:rsidRPr="00450805" w:rsidRDefault="008A6A64" w:rsidP="008A6A64">
      <w:pPr>
        <w:spacing w:after="0" w:line="240" w:lineRule="auto"/>
        <w:jc w:val="both"/>
        <w:rPr>
          <w:rFonts w:ascii="Cambria" w:eastAsia="Yu Gothic" w:hAnsi="Cambria" w:cs="Times New Roman"/>
          <w:kern w:val="2"/>
          <w:sz w:val="20"/>
          <w:szCs w:val="20"/>
          <w14:ligatures w14:val="standardContextual"/>
        </w:rPr>
      </w:pPr>
    </w:p>
    <w:p w14:paraId="629249FC" w14:textId="211C650F"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El plan de pesca revisado de China fue aprobado por la Subcomisión 2.</w:t>
      </w:r>
    </w:p>
    <w:p w14:paraId="5CDA72A2" w14:textId="77777777" w:rsidR="0025099A" w:rsidRPr="00450805" w:rsidRDefault="0025099A" w:rsidP="0025099A">
      <w:pPr>
        <w:spacing w:after="0" w:line="240" w:lineRule="auto"/>
        <w:jc w:val="both"/>
        <w:rPr>
          <w:rFonts w:ascii="Cambria" w:eastAsia="Yu Gothic" w:hAnsi="Cambria" w:cs="Times New Roman"/>
          <w:b/>
          <w:bCs/>
          <w:kern w:val="2"/>
          <w:sz w:val="20"/>
          <w:szCs w:val="20"/>
          <w14:ligatures w14:val="standardContextual"/>
        </w:rPr>
      </w:pPr>
    </w:p>
    <w:p w14:paraId="436C9EEC" w14:textId="77777777" w:rsidR="0025099A" w:rsidRPr="00450805" w:rsidRDefault="0025099A" w:rsidP="0025099A">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Egipto </w:t>
      </w:r>
    </w:p>
    <w:p w14:paraId="3919970E" w14:textId="77777777" w:rsidR="0025099A" w:rsidRPr="00450805" w:rsidRDefault="0025099A" w:rsidP="0025099A">
      <w:pPr>
        <w:spacing w:after="0" w:line="240" w:lineRule="auto"/>
        <w:jc w:val="both"/>
        <w:rPr>
          <w:rFonts w:ascii="Cambria" w:eastAsia="Yu Gothic" w:hAnsi="Cambria" w:cs="Times New Roman"/>
          <w:i/>
          <w:iCs/>
          <w:kern w:val="2"/>
          <w:sz w:val="20"/>
          <w:szCs w:val="20"/>
          <w14:ligatures w14:val="standardContextual"/>
        </w:rPr>
      </w:pPr>
    </w:p>
    <w:p w14:paraId="43CF7469" w14:textId="4AA679CF" w:rsidR="00F437EA" w:rsidRPr="00450805" w:rsidRDefault="00D40FCF"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 xml:space="preserve">En 2026, la cuota inicial de Egipto es de 549 t. Una vez descontadas las capturas fortuitas, la cuota disponible es de 543,51 t, que se distribuirá entre dos buques de cerco. Cada uno recibirá la mitad de la cuota disponible. Todas las capturas se destinarán a jaulas de las granjas de engorde. No se han solicitado traspasos. </w:t>
      </w:r>
    </w:p>
    <w:p w14:paraId="23C8DAC6" w14:textId="77777777" w:rsidR="00F437EA" w:rsidRPr="00450805" w:rsidRDefault="00F437EA" w:rsidP="0025099A">
      <w:pPr>
        <w:spacing w:after="0" w:line="240" w:lineRule="auto"/>
        <w:jc w:val="both"/>
        <w:rPr>
          <w:rFonts w:ascii="Cambria" w:eastAsia="Yu Gothic" w:hAnsi="Cambria" w:cs="Times New Roman"/>
          <w:kern w:val="2"/>
          <w:sz w:val="20"/>
          <w14:ligatures w14:val="standardContextual"/>
        </w:rPr>
      </w:pPr>
    </w:p>
    <w:p w14:paraId="25C4CD54" w14:textId="69BEF14B" w:rsidR="0025099A" w:rsidRPr="00450805" w:rsidRDefault="00D40FCF"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Egipto cuenta con una granja acuícola dedicada al atún rojo que tenía previsto comenzar a funcionar en octubre de 2025 y cuya infraestructura ya está totalmente terminada. Para ello, se utilizarán reproductores importados y tecnología de incubación artificial. Sin embargo, se han producido algunos retrasos en el país desde el que se debe importar los reproductores. Ahora se prevé que se inaugure a finales de 2026, siempre y cuando se puedan resolver las causas del retraso.</w:t>
      </w:r>
    </w:p>
    <w:p w14:paraId="2198D536" w14:textId="7F38341B" w:rsidR="00D40FCF" w:rsidRPr="00450805" w:rsidRDefault="00D40FCF" w:rsidP="0025099A">
      <w:pPr>
        <w:spacing w:after="0" w:line="240" w:lineRule="auto"/>
        <w:jc w:val="both"/>
        <w:rPr>
          <w:rFonts w:ascii="Cambria" w:eastAsia="Yu Gothic" w:hAnsi="Cambria" w:cs="Times New Roman"/>
          <w:kern w:val="2"/>
          <w:sz w:val="20"/>
          <w14:ligatures w14:val="standardContextual"/>
        </w:rPr>
      </w:pPr>
    </w:p>
    <w:p w14:paraId="2A33F88E" w14:textId="0C952291" w:rsidR="00D40FCF" w:rsidRPr="00450805" w:rsidRDefault="00D40FCF"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En respuesta a una solicitud de aclaración, Egipto explicó que cuenta con una granja autorizada para la cría de atún rojo, pero que en 2026 no se llevarán a cabo actividades de cría.</w:t>
      </w:r>
    </w:p>
    <w:p w14:paraId="0A05CFCF" w14:textId="77777777" w:rsidR="0025099A" w:rsidRPr="00450805" w:rsidRDefault="0025099A" w:rsidP="0025099A">
      <w:pPr>
        <w:spacing w:after="0" w:line="240" w:lineRule="auto"/>
        <w:jc w:val="both"/>
        <w:rPr>
          <w:rFonts w:ascii="Cambria" w:eastAsia="Yu Gothic" w:hAnsi="Cambria" w:cs="Times New Roman"/>
          <w:kern w:val="2"/>
          <w:sz w:val="20"/>
          <w14:ligatures w14:val="standardContextual"/>
        </w:rPr>
      </w:pPr>
    </w:p>
    <w:p w14:paraId="1C01E5D5" w14:textId="7A3837D1"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El plan de pesca revisado de Egipto</w:t>
      </w:r>
      <w:r w:rsidR="0050508E" w:rsidRPr="00450805">
        <w:rPr>
          <w:rFonts w:ascii="Cambria" w:hAnsi="Cambria"/>
          <w:sz w:val="20"/>
        </w:rPr>
        <w:t xml:space="preserve"> </w:t>
      </w:r>
      <w:r w:rsidRPr="00450805">
        <w:rPr>
          <w:rFonts w:ascii="Cambria" w:hAnsi="Cambria"/>
          <w:sz w:val="20"/>
        </w:rPr>
        <w:t>fue aprobado por la Subcomisión 2.</w:t>
      </w:r>
    </w:p>
    <w:p w14:paraId="5BF40D3C"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3CAC8E2A" w14:textId="77777777" w:rsidR="0025099A" w:rsidRPr="00450805" w:rsidRDefault="0025099A" w:rsidP="0025099A">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Unión Europea </w:t>
      </w:r>
    </w:p>
    <w:p w14:paraId="42D6B328"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41A3CD76" w14:textId="19FCC2BE"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La flota pesquera y la capacidad han aumentado con respecto a 2025, lo que refleja el incremento de las cuotas de la UE. La cuota inicial para 2026 es de 25.164,62 t. En 2025, el remanente de capturas de la UE fue de 1.344,34 t, lo que supera el 5 % </w:t>
      </w:r>
      <w:r w:rsidR="00BA47BD" w:rsidRPr="00450805">
        <w:rPr>
          <w:rFonts w:ascii="Cambria" w:hAnsi="Cambria"/>
          <w:sz w:val="20"/>
          <w:szCs w:val="20"/>
        </w:rPr>
        <w:t xml:space="preserve">de traspaso </w:t>
      </w:r>
      <w:r w:rsidRPr="00450805">
        <w:rPr>
          <w:rFonts w:ascii="Cambria" w:hAnsi="Cambria"/>
          <w:sz w:val="20"/>
          <w:szCs w:val="20"/>
        </w:rPr>
        <w:t xml:space="preserve">máximo permitido (1.075,15 t) previsto en la </w:t>
      </w:r>
      <w:hyperlink r:id="rId13" w:history="1">
        <w:r w:rsidRPr="00450805">
          <w:rPr>
            <w:rStyle w:val="Hyperlink"/>
            <w:rFonts w:ascii="Cambria" w:hAnsi="Cambria"/>
            <w:i/>
            <w:sz w:val="20"/>
            <w:szCs w:val="20"/>
            <w:u w:val="none"/>
          </w:rPr>
          <w:t xml:space="preserve">Recomendación de ICCAT que enmienda la Recomendación 22-08 de ICCAT sobre el establecimiento de un plan de ordenación </w:t>
        </w:r>
        <w:r w:rsidRPr="00450805">
          <w:rPr>
            <w:rStyle w:val="Hyperlink"/>
            <w:rFonts w:ascii="Cambria" w:hAnsi="Cambria"/>
            <w:i/>
            <w:sz w:val="20"/>
            <w:szCs w:val="20"/>
            <w:u w:val="none"/>
          </w:rPr>
          <w:lastRenderedPageBreak/>
          <w:t>plurianual para el atún rojo en el Atlántico este y Mediterráneo</w:t>
        </w:r>
        <w:r w:rsidRPr="00450805">
          <w:rPr>
            <w:rStyle w:val="Hyperlink"/>
            <w:rFonts w:ascii="Cambria" w:hAnsi="Cambria"/>
            <w:sz w:val="20"/>
            <w:szCs w:val="20"/>
            <w:u w:val="none"/>
          </w:rPr>
          <w:t xml:space="preserve"> (Rec. 24-05)</w:t>
        </w:r>
      </w:hyperlink>
      <w:r w:rsidRPr="00450805">
        <w:rPr>
          <w:rFonts w:ascii="Cambria" w:hAnsi="Cambria"/>
          <w:sz w:val="20"/>
          <w:szCs w:val="20"/>
        </w:rPr>
        <w:t xml:space="preserve">. La </w:t>
      </w:r>
      <w:hyperlink r:id="rId14" w:history="1">
        <w:r w:rsidRPr="00450805">
          <w:rPr>
            <w:rStyle w:val="Hyperlink"/>
            <w:rFonts w:ascii="Cambria" w:hAnsi="Cambria"/>
            <w:sz w:val="20"/>
            <w:szCs w:val="20"/>
            <w:u w:val="none"/>
          </w:rPr>
          <w:t>Rec. 24-05</w:t>
        </w:r>
      </w:hyperlink>
      <w:r w:rsidRPr="00450805">
        <w:rPr>
          <w:rFonts w:ascii="Cambria" w:hAnsi="Cambria"/>
          <w:sz w:val="20"/>
          <w:szCs w:val="20"/>
        </w:rPr>
        <w:t xml:space="preserve"> ha sido sustituida por la </w:t>
      </w:r>
      <w:hyperlink r:id="rId15" w:history="1">
        <w:r w:rsidRPr="00450805">
          <w:rPr>
            <w:rStyle w:val="Hyperlink"/>
            <w:rFonts w:ascii="Cambria" w:hAnsi="Cambria"/>
            <w:sz w:val="20"/>
            <w:szCs w:val="20"/>
            <w:u w:val="none"/>
          </w:rPr>
          <w:t xml:space="preserve"> Rec. 25-04</w:t>
        </w:r>
      </w:hyperlink>
      <w:r w:rsidRPr="00450805">
        <w:rPr>
          <w:rFonts w:ascii="Cambria" w:hAnsi="Cambria"/>
          <w:sz w:val="20"/>
          <w:szCs w:val="20"/>
        </w:rPr>
        <w:t>, que permite un traspaso máximo del 20 %, pero la nueva recomendación aún no se ha incorporado a la legislación de la UE. Por lo tanto, la UE ha solicitado actualmente un traspaso de 1.075,15</w:t>
      </w:r>
      <w:r w:rsidR="00D04FB6" w:rsidRPr="00450805">
        <w:rPr>
          <w:rFonts w:ascii="Cambria" w:hAnsi="Cambria"/>
          <w:sz w:val="20"/>
          <w:szCs w:val="20"/>
        </w:rPr>
        <w:t> </w:t>
      </w:r>
      <w:r w:rsidRPr="00450805">
        <w:rPr>
          <w:rFonts w:ascii="Cambria" w:hAnsi="Cambria"/>
          <w:sz w:val="20"/>
          <w:szCs w:val="20"/>
        </w:rPr>
        <w:t xml:space="preserve">t (5 %) del año 2025 al 2026, lo que da lugar a una cuota ajustada de 26.239,77 t. Una vez que la </w:t>
      </w:r>
      <w:hyperlink r:id="rId16" w:history="1">
        <w:r w:rsidRPr="00450805">
          <w:rPr>
            <w:rStyle w:val="Hyperlink"/>
            <w:rFonts w:ascii="Cambria" w:hAnsi="Cambria"/>
            <w:sz w:val="20"/>
            <w:szCs w:val="20"/>
            <w:u w:val="none"/>
          </w:rPr>
          <w:t>Rec. 25-04</w:t>
        </w:r>
      </w:hyperlink>
      <w:r w:rsidRPr="00450805">
        <w:rPr>
          <w:rFonts w:ascii="Cambria" w:hAnsi="Cambria"/>
          <w:sz w:val="20"/>
          <w:szCs w:val="20"/>
        </w:rPr>
        <w:t xml:space="preserve"> se haya incorporado al Derecho de la UE, la UE presentará un plan de pesca revisado con una solicitud de traspaso mayor basada en el nuevo límite.</w:t>
      </w:r>
    </w:p>
    <w:p w14:paraId="440E1018" w14:textId="77777777" w:rsidR="0025099A" w:rsidRPr="00450805" w:rsidRDefault="0025099A" w:rsidP="0025099A">
      <w:pPr>
        <w:spacing w:after="0" w:line="240" w:lineRule="auto"/>
        <w:jc w:val="both"/>
        <w:rPr>
          <w:rFonts w:ascii="Cambria" w:eastAsia="Yu Gothic" w:hAnsi="Cambria" w:cs="Times New Roman"/>
          <w:kern w:val="2"/>
          <w:sz w:val="20"/>
          <w14:ligatures w14:val="standardContextual"/>
        </w:rPr>
      </w:pPr>
    </w:p>
    <w:p w14:paraId="6A8C3598" w14:textId="701B3DFC"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En 2026 estarán operativas 27 granjas, lo que supone un aumento con respecto a 2025 debido a la diversificación de las empresas, con una capacidad total de entrada de 28.106,90 t.</w:t>
      </w:r>
    </w:p>
    <w:p w14:paraId="1FF0EFFF"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7933D310" w14:textId="4B212043"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En 2026, la UE realizará un mínimo de 551 días de actividades de control e inspección en el mar, y 35 vuelos globales de vigilancia aérea.</w:t>
      </w:r>
    </w:p>
    <w:p w14:paraId="54350D50" w14:textId="2F414D92"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7749B466" w14:textId="67C63372" w:rsidR="00AC6207" w:rsidRPr="00450805" w:rsidRDefault="00D86662"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Se señaló que el plan pesquero de la UE no incluía información sobre el proyecto piloto propuesto por la UE para la cría de atún rojo y rabil en aguas de las Islas Canarias. La UE explicó que había comenzado a elaborar planes, pero que luego se dio cuenta de que el proyecto no es viable en este momento. La UE explicó que podría plantearse poner en marcha el proyecto piloto el año que viene y que, de ser así, presentaría la información pertinente a la Subcomisión 2.</w:t>
      </w:r>
    </w:p>
    <w:p w14:paraId="064BCAD9" w14:textId="77777777" w:rsidR="00AC6207" w:rsidRPr="00450805" w:rsidRDefault="00AC6207" w:rsidP="0025099A">
      <w:pPr>
        <w:spacing w:after="0" w:line="240" w:lineRule="auto"/>
        <w:jc w:val="both"/>
        <w:rPr>
          <w:rFonts w:ascii="Cambria" w:eastAsia="Yu Gothic" w:hAnsi="Cambria" w:cs="Times New Roman"/>
          <w:kern w:val="2"/>
          <w:sz w:val="20"/>
          <w:szCs w:val="20"/>
          <w14:ligatures w14:val="standardContextual"/>
        </w:rPr>
      </w:pPr>
    </w:p>
    <w:p w14:paraId="6B51B96C" w14:textId="02C5611C" w:rsidR="00471AC2" w:rsidRPr="00450805" w:rsidRDefault="00471AC2"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Se solicitó a la UE que añadiera una descripción más detallada de sus planes para presentar un plan de pesca revisado con una solicitud de traspaso mayor una vez que la </w:t>
      </w:r>
      <w:hyperlink r:id="rId17" w:history="1">
        <w:r w:rsidRPr="00450805">
          <w:rPr>
            <w:rStyle w:val="Hyperlink"/>
            <w:rFonts w:ascii="Cambria" w:hAnsi="Cambria"/>
            <w:sz w:val="20"/>
            <w:szCs w:val="20"/>
            <w:u w:val="none"/>
          </w:rPr>
          <w:t>Rec. 25-04</w:t>
        </w:r>
      </w:hyperlink>
      <w:r w:rsidRPr="00450805">
        <w:rPr>
          <w:rFonts w:ascii="Cambria" w:hAnsi="Cambria"/>
          <w:sz w:val="20"/>
          <w:szCs w:val="20"/>
        </w:rPr>
        <w:t xml:space="preserve"> se haya incorporado al Derecho de la UE. También se pidió a la UE que corrigiera algunas cifras.</w:t>
      </w:r>
    </w:p>
    <w:p w14:paraId="67462778" w14:textId="77777777" w:rsidR="00471AC2" w:rsidRPr="00450805" w:rsidRDefault="00471AC2" w:rsidP="0025099A">
      <w:pPr>
        <w:spacing w:after="0" w:line="240" w:lineRule="auto"/>
        <w:jc w:val="both"/>
        <w:rPr>
          <w:rFonts w:ascii="Cambria" w:eastAsia="Yu Gothic" w:hAnsi="Cambria" w:cs="Times New Roman"/>
          <w:kern w:val="2"/>
          <w:sz w:val="20"/>
          <w14:ligatures w14:val="standardContextual"/>
        </w:rPr>
      </w:pPr>
    </w:p>
    <w:p w14:paraId="124CA3B0" w14:textId="75FDF869" w:rsidR="0025099A" w:rsidRPr="00450805" w:rsidRDefault="0025099A"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El plan de pesca revisado de la UE</w:t>
      </w:r>
      <w:r w:rsidR="00390425" w:rsidRPr="00450805">
        <w:rPr>
          <w:rFonts w:ascii="Cambria" w:hAnsi="Cambria"/>
          <w:sz w:val="20"/>
        </w:rPr>
        <w:t xml:space="preserve"> </w:t>
      </w:r>
      <w:r w:rsidRPr="00450805">
        <w:rPr>
          <w:rFonts w:ascii="Cambria" w:hAnsi="Cambria"/>
          <w:sz w:val="20"/>
        </w:rPr>
        <w:t>fue aprobado por la Subcomisión 2.</w:t>
      </w:r>
    </w:p>
    <w:p w14:paraId="21304073" w14:textId="77777777" w:rsidR="0025099A" w:rsidRPr="00450805" w:rsidRDefault="0025099A" w:rsidP="0025099A">
      <w:pPr>
        <w:spacing w:after="0" w:line="240" w:lineRule="auto"/>
        <w:jc w:val="both"/>
        <w:rPr>
          <w:rFonts w:ascii="Cambria" w:eastAsia="Yu Gothic" w:hAnsi="Cambria" w:cs="Times New Roman"/>
          <w:b/>
          <w:bCs/>
          <w:i/>
          <w:iCs/>
          <w:kern w:val="2"/>
          <w:sz w:val="20"/>
          <w:szCs w:val="20"/>
          <w14:ligatures w14:val="standardContextual"/>
        </w:rPr>
      </w:pPr>
    </w:p>
    <w:p w14:paraId="583038A4" w14:textId="77777777" w:rsidR="0025099A" w:rsidRPr="00450805" w:rsidRDefault="0025099A" w:rsidP="0025099A">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 xml:space="preserve">Islandia </w:t>
      </w:r>
    </w:p>
    <w:p w14:paraId="4CF9D4B4"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2761D12A" w14:textId="3A844D19" w:rsidR="0025099A" w:rsidRPr="00450805" w:rsidRDefault="0025099A"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Islandia solicitó traspasar 22,86 t (10,2 %) de 2025 a 2026, lo que supone una cuota total ajustada de 276</w:t>
      </w:r>
      <w:r w:rsidR="00DC0955">
        <w:rPr>
          <w:rFonts w:ascii="Cambria" w:hAnsi="Cambria"/>
          <w:sz w:val="20"/>
        </w:rPr>
        <w:t> </w:t>
      </w:r>
      <w:r w:rsidRPr="00450805">
        <w:rPr>
          <w:rFonts w:ascii="Cambria" w:hAnsi="Cambria"/>
          <w:sz w:val="20"/>
        </w:rPr>
        <w:t xml:space="preserve">t, de las cuales 271 t se destinan a capturas comerciales y 5 t se reservan para capturas fortuitas. Islandia puede autorizar hasta tres palangreros para desarrollar pesquerías dirigidas al atún rojo, asignando a cada uno de los buques una cuota individual. La cuota se ajustará en caso necesario entre las capturas fortuitas y las capturas de palangre, y todos los ajustes se comunicarán a ICCAT. La campaña de pesca se extenderá desde el 1 de agosto de 2026 hasta el 31 de diciembre de 2026. </w:t>
      </w:r>
    </w:p>
    <w:p w14:paraId="6EA1EE94"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554A980E" w14:textId="3D3877F5" w:rsidR="0025099A" w:rsidRPr="00450805" w:rsidRDefault="0025099A"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El plan de Islandia</w:t>
      </w:r>
      <w:r w:rsidR="00214312" w:rsidRPr="00450805">
        <w:rPr>
          <w:rFonts w:ascii="Cambria" w:hAnsi="Cambria"/>
          <w:sz w:val="20"/>
        </w:rPr>
        <w:t xml:space="preserve"> </w:t>
      </w:r>
      <w:r w:rsidRPr="00450805">
        <w:rPr>
          <w:rFonts w:ascii="Cambria" w:hAnsi="Cambria"/>
          <w:sz w:val="20"/>
        </w:rPr>
        <w:t>fue aprobado por la Subcomisión 2.</w:t>
      </w:r>
    </w:p>
    <w:p w14:paraId="29B82755"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09BE5F35" w14:textId="77777777" w:rsidR="0025099A" w:rsidRPr="00450805" w:rsidRDefault="0025099A" w:rsidP="0025099A">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Japón</w:t>
      </w:r>
    </w:p>
    <w:p w14:paraId="6757307F"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28FE1343" w14:textId="667501C8" w:rsidR="002171CB" w:rsidRPr="00450805" w:rsidRDefault="0025099A"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 xml:space="preserve">La cuota inicial es de 3.559,41 t, con una solicitud de traspaso de 463,75 t (14,89 %) del año 2025 al 2026, lo que supone una cuota total disponible de 4.008,16 t. Se reserva una cuota de 14 t para los descartes de peces muertos, y una cuota de capturas fortuitas de 1 t para los buques que no dispongan de cuotas individuales de atún rojo, lo que da como resultado una cuota ajustada de 4.023,16 t. La pesca del atún rojo la llevarán a cabo unos 40 palangreros. </w:t>
      </w:r>
    </w:p>
    <w:p w14:paraId="47A9A1ED" w14:textId="77777777" w:rsidR="002171CB" w:rsidRPr="00450805" w:rsidRDefault="002171CB" w:rsidP="0025099A">
      <w:pPr>
        <w:spacing w:after="0" w:line="240" w:lineRule="auto"/>
        <w:jc w:val="both"/>
        <w:rPr>
          <w:rFonts w:ascii="Cambria" w:eastAsia="Yu Gothic" w:hAnsi="Cambria" w:cs="Times New Roman"/>
          <w:kern w:val="2"/>
          <w:sz w:val="20"/>
          <w14:ligatures w14:val="standardContextual"/>
        </w:rPr>
      </w:pPr>
    </w:p>
    <w:p w14:paraId="16EC537A" w14:textId="44C8758B" w:rsidR="0025099A" w:rsidRPr="00450805" w:rsidRDefault="00F100F1"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Debido al número limitado de buques de inspección de que dispone, Japón no tiene intención de desplegar sus buques de inspección en la zona de Convenido y, en su lugar, adoptará medidas alternativas adicionales para garantizar el cumplimiento. Todos los productos se marcarán y se desembarcarán en Japón, donde se someterán a inspecciones de desembarque en un 100 %.</w:t>
      </w:r>
    </w:p>
    <w:p w14:paraId="034B32E9" w14:textId="77777777" w:rsidR="0025099A" w:rsidRPr="00450805" w:rsidRDefault="0025099A" w:rsidP="0025099A">
      <w:pPr>
        <w:spacing w:after="0" w:line="240" w:lineRule="auto"/>
        <w:jc w:val="both"/>
        <w:rPr>
          <w:rFonts w:ascii="Cambria" w:eastAsia="Yu Gothic" w:hAnsi="Cambria" w:cs="Times New Roman"/>
          <w:kern w:val="2"/>
          <w:sz w:val="20"/>
          <w14:ligatures w14:val="standardContextual"/>
        </w:rPr>
      </w:pPr>
    </w:p>
    <w:p w14:paraId="76ECC1F9" w14:textId="31212DE2"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El plan de pesca revisado de Japón</w:t>
      </w:r>
      <w:r w:rsidR="000F0ED0" w:rsidRPr="00450805">
        <w:rPr>
          <w:rFonts w:ascii="Cambria" w:hAnsi="Cambria"/>
          <w:sz w:val="20"/>
        </w:rPr>
        <w:t xml:space="preserve"> </w:t>
      </w:r>
      <w:r w:rsidRPr="00450805">
        <w:rPr>
          <w:rFonts w:ascii="Cambria" w:hAnsi="Cambria"/>
          <w:sz w:val="20"/>
        </w:rPr>
        <w:t>fue aprobado por la Subcomisión 2.</w:t>
      </w:r>
    </w:p>
    <w:p w14:paraId="1D0FBC42" w14:textId="77777777" w:rsidR="0025099A" w:rsidRPr="00450805" w:rsidRDefault="0025099A" w:rsidP="0025099A">
      <w:pPr>
        <w:spacing w:after="0" w:line="240" w:lineRule="auto"/>
        <w:jc w:val="both"/>
        <w:rPr>
          <w:rFonts w:ascii="Cambria" w:eastAsia="Yu Gothic" w:hAnsi="Cambria" w:cs="Times New Roman"/>
          <w:b/>
          <w:kern w:val="2"/>
          <w:sz w:val="20"/>
          <w14:ligatures w14:val="standardContextual"/>
        </w:rPr>
      </w:pPr>
    </w:p>
    <w:p w14:paraId="7FB603D1" w14:textId="77777777" w:rsidR="0025099A" w:rsidRPr="00450805" w:rsidRDefault="0025099A" w:rsidP="0025099A">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Corea (Rep.)</w:t>
      </w:r>
    </w:p>
    <w:p w14:paraId="04BD72F3"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72EF77DE" w14:textId="0408CC21" w:rsidR="0025099A" w:rsidRPr="00450805" w:rsidRDefault="0025099A"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La cuota ajustada en 2026 es de 440,323 t, que comprende 368,93 t de cuota inicial + una transferencia de 50 t de Taipei Chino + un traspaso solicitado de 21,393 t de la cuota de 2025.</w:t>
      </w:r>
      <w:r w:rsidR="002A3E94" w:rsidRPr="00450805">
        <w:rPr>
          <w:rFonts w:ascii="Cambria" w:hAnsi="Cambria"/>
          <w:sz w:val="20"/>
        </w:rPr>
        <w:t xml:space="preserve"> La cuota disponible en </w:t>
      </w:r>
      <w:r w:rsidR="001D13A0" w:rsidRPr="00450805">
        <w:rPr>
          <w:rFonts w:ascii="Cambria" w:hAnsi="Cambria"/>
          <w:sz w:val="20"/>
        </w:rPr>
        <w:t xml:space="preserve">2026 es de 439,823 t dado que se han </w:t>
      </w:r>
      <w:r w:rsidR="00BF5D4D" w:rsidRPr="00450805">
        <w:rPr>
          <w:rFonts w:ascii="Cambria" w:hAnsi="Cambria"/>
          <w:sz w:val="20"/>
        </w:rPr>
        <w:t>reservado</w:t>
      </w:r>
      <w:r w:rsidR="001D13A0" w:rsidRPr="00450805">
        <w:rPr>
          <w:rFonts w:ascii="Cambria" w:hAnsi="Cambria"/>
          <w:sz w:val="20"/>
        </w:rPr>
        <w:t xml:space="preserve"> 0,5 t para posibles capturas fortuitas</w:t>
      </w:r>
      <w:r w:rsidR="00713F74" w:rsidRPr="00450805">
        <w:rPr>
          <w:rFonts w:ascii="Cambria" w:hAnsi="Cambria"/>
          <w:sz w:val="20"/>
        </w:rPr>
        <w:t>.</w:t>
      </w:r>
      <w:r w:rsidRPr="00450805">
        <w:rPr>
          <w:rFonts w:ascii="Cambria" w:hAnsi="Cambria"/>
          <w:sz w:val="20"/>
        </w:rPr>
        <w:t xml:space="preserve"> La cuota se asignará a seis palangreros. La temporada de pesca abierta para el grupo de artes de palangre será del 1 de septiembre al 31 de diciembre de 2026.</w:t>
      </w:r>
    </w:p>
    <w:p w14:paraId="67D66433"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26CEEFBD" w14:textId="60E9F31E" w:rsidR="0025099A" w:rsidRPr="00450805" w:rsidRDefault="0025099A"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lastRenderedPageBreak/>
        <w:t>El plan de Corea (Rep.)</w:t>
      </w:r>
      <w:r w:rsidR="001C1ADF" w:rsidRPr="00450805">
        <w:rPr>
          <w:rFonts w:ascii="Cambria" w:eastAsia="Yu Gothic" w:hAnsi="Cambria" w:cs="Times New Roman"/>
          <w:kern w:val="2"/>
          <w:sz w:val="20"/>
          <w14:ligatures w14:val="standardContextual"/>
        </w:rPr>
        <w:t xml:space="preserve"> </w:t>
      </w:r>
      <w:r w:rsidRPr="00450805">
        <w:rPr>
          <w:rFonts w:ascii="Cambria" w:hAnsi="Cambria"/>
          <w:sz w:val="20"/>
        </w:rPr>
        <w:t>fue aprobado por la Subcomisión 2.</w:t>
      </w:r>
    </w:p>
    <w:p w14:paraId="257B43D2"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04E59700" w14:textId="17E18261" w:rsidR="0025099A" w:rsidRPr="00F912AA" w:rsidRDefault="00F912AA" w:rsidP="00F912AA">
      <w:pPr>
        <w:spacing w:line="259" w:lineRule="auto"/>
        <w:rPr>
          <w:rFonts w:ascii="Cambria" w:hAnsi="Cambria"/>
          <w:b/>
          <w:i/>
          <w:sz w:val="20"/>
        </w:rPr>
      </w:pPr>
      <w:r>
        <w:rPr>
          <w:rFonts w:ascii="Cambria" w:hAnsi="Cambria"/>
          <w:b/>
          <w:i/>
          <w:sz w:val="20"/>
        </w:rPr>
        <w:t>L</w:t>
      </w:r>
      <w:r w:rsidR="0025099A" w:rsidRPr="00450805">
        <w:rPr>
          <w:rFonts w:ascii="Cambria" w:hAnsi="Cambria"/>
          <w:b/>
          <w:i/>
          <w:sz w:val="20"/>
        </w:rPr>
        <w:t>ibia</w:t>
      </w:r>
    </w:p>
    <w:p w14:paraId="73A50BBB" w14:textId="55B69D2D" w:rsidR="00B54AC0" w:rsidRPr="00450805" w:rsidRDefault="0025099A"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 xml:space="preserve">La cuota inicial para 2026 está establecida en 2.950 t. Libia solicitó un traspaso de 18 t de 2025 a 2026, para una cuota total ajustada de 2.968 t. </w:t>
      </w:r>
    </w:p>
    <w:p w14:paraId="681F3DA7" w14:textId="77777777" w:rsidR="00B54AC0" w:rsidRPr="00450805" w:rsidRDefault="00B54AC0" w:rsidP="0025099A">
      <w:pPr>
        <w:spacing w:after="0" w:line="240" w:lineRule="auto"/>
        <w:jc w:val="both"/>
        <w:rPr>
          <w:rFonts w:ascii="Cambria" w:eastAsia="Yu Gothic" w:hAnsi="Cambria" w:cs="Times New Roman"/>
          <w:kern w:val="2"/>
          <w:sz w:val="20"/>
          <w14:ligatures w14:val="standardContextual"/>
        </w:rPr>
      </w:pPr>
    </w:p>
    <w:p w14:paraId="0F76F237" w14:textId="0A20B2B3" w:rsidR="0025099A" w:rsidRPr="00450805" w:rsidRDefault="0025099A"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El plan de pesca revisado de Libia</w:t>
      </w:r>
      <w:r w:rsidR="003412F4" w:rsidRPr="00450805">
        <w:rPr>
          <w:rFonts w:ascii="Cambria" w:eastAsia="Yu Gothic" w:hAnsi="Cambria" w:cs="Times New Roman"/>
          <w:kern w:val="2"/>
          <w:sz w:val="20"/>
          <w14:ligatures w14:val="standardContextual"/>
        </w:rPr>
        <w:t xml:space="preserve"> </w:t>
      </w:r>
      <w:r w:rsidRPr="00450805">
        <w:rPr>
          <w:rFonts w:ascii="Cambria" w:hAnsi="Cambria"/>
          <w:sz w:val="20"/>
        </w:rPr>
        <w:t>fue aprobado por la Subcomisión 2.</w:t>
      </w:r>
    </w:p>
    <w:p w14:paraId="6136EF16"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699688EF" w14:textId="7B42768A" w:rsidR="008A46FC" w:rsidRPr="00450805" w:rsidRDefault="008A46FC" w:rsidP="008A46FC">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Mauritania</w:t>
      </w:r>
    </w:p>
    <w:p w14:paraId="4F1020E6" w14:textId="77777777" w:rsidR="008A46FC" w:rsidRPr="00450805" w:rsidRDefault="008A46FC" w:rsidP="008A46FC">
      <w:pPr>
        <w:spacing w:after="0" w:line="240" w:lineRule="auto"/>
        <w:jc w:val="both"/>
        <w:rPr>
          <w:rFonts w:ascii="Cambria" w:eastAsia="Yu Gothic" w:hAnsi="Cambria" w:cs="Times New Roman"/>
          <w:kern w:val="2"/>
          <w:sz w:val="20"/>
          <w:szCs w:val="20"/>
          <w14:ligatures w14:val="standardContextual"/>
        </w:rPr>
      </w:pPr>
    </w:p>
    <w:p w14:paraId="38CAFCDC" w14:textId="52DACD23" w:rsidR="008A46FC" w:rsidRPr="00450805" w:rsidRDefault="008A46FC" w:rsidP="008A46FC">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 xml:space="preserve">Mauritania presentó su plan pesquero. La cuota inicial de Mauritania para 2026 es de 55 t, y tiene la intención de transferirla en su totalidad a </w:t>
      </w:r>
      <w:r w:rsidR="00A97056" w:rsidRPr="00450805">
        <w:rPr>
          <w:rFonts w:ascii="Cambria" w:hAnsi="Cambria"/>
          <w:sz w:val="20"/>
        </w:rPr>
        <w:t>Türkiye</w:t>
      </w:r>
      <w:r w:rsidRPr="00450805">
        <w:rPr>
          <w:rFonts w:ascii="Cambria" w:hAnsi="Cambria"/>
          <w:sz w:val="20"/>
        </w:rPr>
        <w:t>.</w:t>
      </w:r>
    </w:p>
    <w:p w14:paraId="5E534D93" w14:textId="4D8C84D6" w:rsidR="008A46FC" w:rsidRPr="00450805" w:rsidRDefault="008A46FC" w:rsidP="008A46FC">
      <w:pPr>
        <w:spacing w:after="0" w:line="240" w:lineRule="auto"/>
        <w:jc w:val="both"/>
        <w:rPr>
          <w:rFonts w:ascii="Cambria" w:eastAsia="Yu Gothic" w:hAnsi="Cambria" w:cs="Times New Roman"/>
          <w:kern w:val="2"/>
          <w:sz w:val="20"/>
          <w14:ligatures w14:val="standardContextual"/>
        </w:rPr>
      </w:pPr>
    </w:p>
    <w:p w14:paraId="36315533" w14:textId="0100CC64" w:rsidR="002C774A" w:rsidRPr="00450805" w:rsidRDefault="002C774A" w:rsidP="008A46FC">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Al ser preguntada sobre la posibilidad de capturas fortuitas, Mauritania explicó que no cuenta con buques dedicados a la pesca del atún, que sus buques artesanales han capturado en ocasiones túnidos tropicales de forma incidental y que no prevé que se produzcan capturas fortuitas de atún rojo.</w:t>
      </w:r>
    </w:p>
    <w:p w14:paraId="5FBD6AD2" w14:textId="77777777" w:rsidR="002C774A" w:rsidRPr="00450805" w:rsidRDefault="002C774A" w:rsidP="008A46FC">
      <w:pPr>
        <w:spacing w:after="0" w:line="240" w:lineRule="auto"/>
        <w:jc w:val="both"/>
        <w:rPr>
          <w:rFonts w:ascii="Cambria" w:eastAsia="Yu Gothic" w:hAnsi="Cambria" w:cs="Times New Roman"/>
          <w:kern w:val="2"/>
          <w:sz w:val="20"/>
          <w14:ligatures w14:val="standardContextual"/>
        </w:rPr>
      </w:pPr>
    </w:p>
    <w:p w14:paraId="22D0F516" w14:textId="6ACC2EEE" w:rsidR="0027749C" w:rsidRPr="00450805" w:rsidRDefault="0027749C" w:rsidP="008A46FC">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Se pidió a Mauritania que eliminara cierta información incorrecta de su plan de pesca.</w:t>
      </w:r>
    </w:p>
    <w:p w14:paraId="0574BEE6" w14:textId="77777777" w:rsidR="002C774A" w:rsidRPr="00450805" w:rsidRDefault="002C774A" w:rsidP="008A46FC">
      <w:pPr>
        <w:spacing w:after="0" w:line="240" w:lineRule="auto"/>
        <w:jc w:val="both"/>
        <w:rPr>
          <w:rFonts w:ascii="Cambria" w:eastAsia="Yu Gothic" w:hAnsi="Cambria" w:cs="Times New Roman"/>
          <w:kern w:val="2"/>
          <w:sz w:val="20"/>
          <w14:ligatures w14:val="standardContextual"/>
        </w:rPr>
      </w:pPr>
    </w:p>
    <w:p w14:paraId="3CD3EF72" w14:textId="49187872" w:rsidR="008A46FC" w:rsidRPr="00450805" w:rsidRDefault="008A46FC" w:rsidP="008A46FC">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El plan de pesca revisado de Mauritania</w:t>
      </w:r>
      <w:r w:rsidR="00F80A4E" w:rsidRPr="00450805">
        <w:rPr>
          <w:rFonts w:ascii="Cambria" w:hAnsi="Cambria"/>
          <w:sz w:val="20"/>
        </w:rPr>
        <w:t xml:space="preserve"> </w:t>
      </w:r>
      <w:r w:rsidRPr="00450805">
        <w:rPr>
          <w:rFonts w:ascii="Cambria" w:hAnsi="Cambria"/>
          <w:sz w:val="20"/>
        </w:rPr>
        <w:t xml:space="preserve">fue aprobado por la Subcomisión 2. </w:t>
      </w:r>
    </w:p>
    <w:p w14:paraId="2995C999" w14:textId="77777777" w:rsidR="008A46FC" w:rsidRPr="00450805" w:rsidRDefault="008A46FC" w:rsidP="008A46FC">
      <w:pPr>
        <w:spacing w:after="0" w:line="240" w:lineRule="auto"/>
        <w:jc w:val="both"/>
        <w:rPr>
          <w:rFonts w:ascii="Cambria" w:eastAsia="Yu Gothic" w:hAnsi="Cambria" w:cs="Times New Roman"/>
          <w:b/>
          <w:bCs/>
          <w:kern w:val="2"/>
          <w:sz w:val="20"/>
          <w:szCs w:val="20"/>
          <w14:ligatures w14:val="standardContextual"/>
        </w:rPr>
      </w:pPr>
    </w:p>
    <w:p w14:paraId="0B479C18" w14:textId="77777777" w:rsidR="0025099A" w:rsidRPr="00450805" w:rsidRDefault="0025099A" w:rsidP="0025099A">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Marruecos</w:t>
      </w:r>
    </w:p>
    <w:p w14:paraId="553C0202"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7A25F6E4" w14:textId="3CFDB47B" w:rsidR="0025099A" w:rsidRPr="00450805" w:rsidRDefault="0025099A"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 xml:space="preserve">La cuota ajustada para 2026 es de 4.633,09 t, compuesta por 4.379,47 t de cuota inicial + una transferencia de 55 t procedente de Namibia + una transferencia de 55 t procedente de Panamá + un traspaso solicitado de 2025 a 2026 de 143,62 t (3,88 %). La cuota ajustada se distribuirá entre 18 almadrabas, 7 cerqueros, 1 palangrero, pequeños barcos costeros y embarcaciones artesanales, con una reserva de 30 t para posibles descartes de peces muertos. De las seis granjas de engorde de atún rojo autorizadas en Marruecos, cuatro estarán operativas en 2026. </w:t>
      </w:r>
    </w:p>
    <w:p w14:paraId="4D5032A0" w14:textId="18B30576" w:rsidR="00CA1B88" w:rsidRPr="00450805" w:rsidRDefault="00CA1B88" w:rsidP="0025099A">
      <w:pPr>
        <w:spacing w:after="0" w:line="240" w:lineRule="auto"/>
        <w:jc w:val="both"/>
        <w:rPr>
          <w:rFonts w:ascii="Cambria" w:eastAsia="Yu Gothic" w:hAnsi="Cambria" w:cs="Times New Roman"/>
          <w:kern w:val="2"/>
          <w:sz w:val="20"/>
          <w14:ligatures w14:val="standardContextual"/>
        </w:rPr>
      </w:pPr>
    </w:p>
    <w:p w14:paraId="26E53179" w14:textId="0BF3DCE4" w:rsidR="00CA1B88" w:rsidRPr="00450805" w:rsidRDefault="00CA1B88"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Se solicitó a Marruecos que facilitara asignaciones individuales para los buques de más de 24 m de eslora o que incluyera una descripción de sus planes al respecto. También se pidió a Marruecos que indicara que no cuenta con un plan de acuicultura para 2026.</w:t>
      </w:r>
    </w:p>
    <w:p w14:paraId="1D7D85D0" w14:textId="77777777" w:rsidR="0025099A" w:rsidRPr="00450805" w:rsidRDefault="0025099A" w:rsidP="0025099A">
      <w:pPr>
        <w:spacing w:after="0" w:line="240" w:lineRule="auto"/>
        <w:jc w:val="both"/>
        <w:rPr>
          <w:rFonts w:ascii="Cambria" w:eastAsia="Yu Gothic" w:hAnsi="Cambria" w:cs="Times New Roman"/>
          <w:kern w:val="2"/>
          <w:sz w:val="20"/>
          <w14:ligatures w14:val="standardContextual"/>
        </w:rPr>
      </w:pPr>
    </w:p>
    <w:p w14:paraId="73832F23" w14:textId="4AD181B5"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 xml:space="preserve">El plan de pesca revisado de Marruecos fue aprobado por la Subcomisión 2. </w:t>
      </w:r>
    </w:p>
    <w:p w14:paraId="4075B030" w14:textId="77777777" w:rsidR="0025099A" w:rsidRPr="00450805" w:rsidRDefault="0025099A" w:rsidP="0025099A">
      <w:pPr>
        <w:spacing w:after="0" w:line="240" w:lineRule="auto"/>
        <w:jc w:val="both"/>
        <w:rPr>
          <w:rFonts w:ascii="Cambria" w:eastAsia="Yu Gothic" w:hAnsi="Cambria" w:cs="Times New Roman"/>
          <w:b/>
          <w:bCs/>
          <w:kern w:val="2"/>
          <w:sz w:val="20"/>
          <w:szCs w:val="20"/>
          <w14:ligatures w14:val="standardContextual"/>
        </w:rPr>
      </w:pPr>
    </w:p>
    <w:p w14:paraId="3F22A782" w14:textId="53B222E7" w:rsidR="0071154E" w:rsidRPr="00450805" w:rsidRDefault="0071154E" w:rsidP="0071154E">
      <w:pPr>
        <w:spacing w:after="0" w:line="240" w:lineRule="auto"/>
        <w:jc w:val="both"/>
        <w:rPr>
          <w:rFonts w:ascii="Cambria" w:eastAsia="Yu Gothic" w:hAnsi="Cambria" w:cs="Times New Roman"/>
          <w:b/>
          <w:bCs/>
          <w:i/>
          <w:iCs/>
          <w:kern w:val="2"/>
          <w:sz w:val="20"/>
          <w:szCs w:val="20"/>
          <w14:ligatures w14:val="standardContextual"/>
        </w:rPr>
      </w:pPr>
      <w:bookmarkStart w:id="1" w:name="_Hlk161906681"/>
      <w:r w:rsidRPr="00450805">
        <w:rPr>
          <w:rFonts w:ascii="Cambria" w:hAnsi="Cambria"/>
          <w:b/>
          <w:i/>
          <w:sz w:val="20"/>
        </w:rPr>
        <w:t>Namibia</w:t>
      </w:r>
    </w:p>
    <w:p w14:paraId="2F80FE32" w14:textId="77777777" w:rsidR="0071154E" w:rsidRPr="00450805" w:rsidRDefault="0071154E" w:rsidP="0071154E">
      <w:pPr>
        <w:spacing w:after="0" w:line="240" w:lineRule="auto"/>
        <w:jc w:val="both"/>
        <w:rPr>
          <w:rFonts w:ascii="Cambria" w:eastAsia="Yu Gothic" w:hAnsi="Cambria" w:cs="Times New Roman"/>
          <w:kern w:val="2"/>
          <w:sz w:val="20"/>
          <w:szCs w:val="20"/>
          <w14:ligatures w14:val="standardContextual"/>
        </w:rPr>
      </w:pPr>
    </w:p>
    <w:p w14:paraId="02A48116" w14:textId="3B1FF1D6" w:rsidR="0071154E" w:rsidRPr="00450805" w:rsidRDefault="0071154E" w:rsidP="0071154E">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 xml:space="preserve">El plan pesquero de Namibia se </w:t>
      </w:r>
      <w:r w:rsidR="000142EF" w:rsidRPr="00450805">
        <w:rPr>
          <w:rFonts w:ascii="Cambria" w:hAnsi="Cambria"/>
          <w:sz w:val="20"/>
        </w:rPr>
        <w:t>consideró tal</w:t>
      </w:r>
      <w:r w:rsidRPr="00450805">
        <w:rPr>
          <w:rFonts w:ascii="Cambria" w:hAnsi="Cambria"/>
          <w:sz w:val="20"/>
        </w:rPr>
        <w:t xml:space="preserve"> y como se presentó, ya que Namibia no asistió a la reunión. La cuota inicial de Namibia para 2026 es de 55 t, que tiene la intención de transferir en su totalidad a </w:t>
      </w:r>
      <w:r w:rsidR="00DF58D5" w:rsidRPr="00450805">
        <w:rPr>
          <w:rFonts w:ascii="Cambria" w:hAnsi="Cambria"/>
          <w:sz w:val="20"/>
        </w:rPr>
        <w:t>Marruecos.</w:t>
      </w:r>
    </w:p>
    <w:p w14:paraId="2B952FF4" w14:textId="77777777" w:rsidR="00DF58D5" w:rsidRPr="00450805" w:rsidRDefault="00DF58D5" w:rsidP="0071154E">
      <w:pPr>
        <w:spacing w:after="0" w:line="240" w:lineRule="auto"/>
        <w:jc w:val="both"/>
        <w:rPr>
          <w:rFonts w:ascii="Cambria" w:hAnsi="Cambria"/>
          <w:sz w:val="20"/>
        </w:rPr>
      </w:pPr>
    </w:p>
    <w:p w14:paraId="134EAEDE" w14:textId="6269E3DA" w:rsidR="0071154E" w:rsidRPr="00450805" w:rsidRDefault="0071154E" w:rsidP="0071154E">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El plan de Namibia</w:t>
      </w:r>
      <w:r w:rsidR="00516C0A" w:rsidRPr="00450805">
        <w:rPr>
          <w:rFonts w:ascii="Cambria" w:eastAsia="Yu Gothic" w:hAnsi="Cambria" w:cs="Times New Roman"/>
          <w:kern w:val="2"/>
          <w:sz w:val="20"/>
          <w14:ligatures w14:val="standardContextual"/>
        </w:rPr>
        <w:t xml:space="preserve"> </w:t>
      </w:r>
      <w:r w:rsidRPr="00450805">
        <w:rPr>
          <w:rFonts w:ascii="Cambria" w:hAnsi="Cambria"/>
          <w:sz w:val="20"/>
        </w:rPr>
        <w:t xml:space="preserve">fue aprobado por la Subcomisión 2. </w:t>
      </w:r>
    </w:p>
    <w:p w14:paraId="4C97425B" w14:textId="73F1DFD7" w:rsidR="0071154E" w:rsidRPr="00450805" w:rsidRDefault="0071154E" w:rsidP="0071154E">
      <w:pPr>
        <w:spacing w:after="0" w:line="240" w:lineRule="auto"/>
        <w:jc w:val="both"/>
        <w:rPr>
          <w:rFonts w:ascii="Cambria" w:eastAsia="Yu Gothic" w:hAnsi="Cambria" w:cs="Times New Roman"/>
          <w:b/>
          <w:bCs/>
          <w:kern w:val="2"/>
          <w:sz w:val="20"/>
          <w:szCs w:val="20"/>
          <w14:ligatures w14:val="standardContextual"/>
        </w:rPr>
      </w:pPr>
    </w:p>
    <w:p w14:paraId="7DF4F91A" w14:textId="77777777" w:rsidR="0025099A" w:rsidRPr="00450805" w:rsidRDefault="0025099A" w:rsidP="0025099A">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Noruega</w:t>
      </w:r>
    </w:p>
    <w:p w14:paraId="3A054837"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77B043DD" w14:textId="58021A1F" w:rsidR="0025099A" w:rsidRPr="00450805" w:rsidRDefault="0025099A"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 xml:space="preserve">La cuota inicial para 2026 es de 461,38 t. Noruega solicitó transferir el 20 % (73,6 t) de su cuota no utilizada de 2025 al año 2026, lo que supone una cuota ajustada de 534,98 t. Se asignarán 440 t a los buques de cerco y palangreros, 40 t a los barcos de pesca costera de pequeña escala, 8 t a la pesca de recreo y 2 t a la pesca de captura y liberación. Las 34,98 t se destinarán a actividades de investigación, de las cuales 30 t se reservarán para la continuación del proyecto piloto de almacenamiento de corta duración de atún rojo vivo. Las 4,98 t restantes se reservarán para el proyecto </w:t>
      </w:r>
      <w:proofErr w:type="spellStart"/>
      <w:r w:rsidRPr="00450805">
        <w:rPr>
          <w:rFonts w:ascii="Cambria" w:hAnsi="Cambria"/>
          <w:sz w:val="20"/>
        </w:rPr>
        <w:t>WelTuna</w:t>
      </w:r>
      <w:proofErr w:type="spellEnd"/>
      <w:r w:rsidRPr="00450805">
        <w:rPr>
          <w:rFonts w:ascii="Cambria" w:hAnsi="Cambria"/>
          <w:sz w:val="20"/>
        </w:rPr>
        <w:t>. Se establecen 10 t como reserva para captura fortuita.</w:t>
      </w:r>
    </w:p>
    <w:p w14:paraId="402865FA" w14:textId="77777777" w:rsidR="0025099A" w:rsidRPr="00450805" w:rsidRDefault="0025099A" w:rsidP="0025099A">
      <w:pPr>
        <w:spacing w:after="0" w:line="240" w:lineRule="auto"/>
        <w:jc w:val="both"/>
        <w:rPr>
          <w:rFonts w:ascii="Cambria" w:eastAsia="Yu Gothic" w:hAnsi="Cambria" w:cs="Times New Roman"/>
          <w:kern w:val="2"/>
          <w:sz w:val="20"/>
          <w14:ligatures w14:val="standardContextual"/>
        </w:rPr>
      </w:pPr>
    </w:p>
    <w:p w14:paraId="68DD08DA" w14:textId="1EAAD119" w:rsidR="0025099A" w:rsidRPr="00450805" w:rsidRDefault="00C124A0"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 xml:space="preserve">Noruega tiene la intención de autorizar a 10 buques de cerco, de los cuales </w:t>
      </w:r>
      <w:r w:rsidR="005212E3" w:rsidRPr="00450805">
        <w:rPr>
          <w:rFonts w:ascii="Cambria" w:hAnsi="Cambria"/>
          <w:sz w:val="20"/>
        </w:rPr>
        <w:t>cuatro</w:t>
      </w:r>
      <w:r w:rsidRPr="00450805">
        <w:rPr>
          <w:rFonts w:ascii="Cambria" w:hAnsi="Cambria"/>
          <w:sz w:val="20"/>
        </w:rPr>
        <w:t xml:space="preserve"> tienen una eslora total superior a 40 m, con cuotas máximas, y a 20 o menos buques palangreros con la misma cuota asignada individualmente a los buques de cerco. Las cuotas máximas exactas podrán modificarse durante la temporada de pesca. El aumento del número de buques se debe a la necesidad de flexibilidad para seguir </w:t>
      </w:r>
      <w:r w:rsidRPr="00450805">
        <w:rPr>
          <w:rFonts w:ascii="Cambria" w:hAnsi="Cambria"/>
          <w:sz w:val="20"/>
        </w:rPr>
        <w:lastRenderedPageBreak/>
        <w:t xml:space="preserve">desarrollando la pesquería noruega de atún rojo, dadas ciertas necesidades y condiciones específicas de las aguas noruegas, así como al incremento de la cuota de Noruega. </w:t>
      </w:r>
    </w:p>
    <w:bookmarkEnd w:id="1"/>
    <w:p w14:paraId="02A975A8" w14:textId="046C7F63" w:rsidR="0025099A" w:rsidRPr="00450805" w:rsidRDefault="0025099A" w:rsidP="0025099A">
      <w:pPr>
        <w:spacing w:after="0" w:line="240" w:lineRule="auto"/>
        <w:jc w:val="both"/>
        <w:rPr>
          <w:rFonts w:ascii="Cambria" w:eastAsia="Yu Gothic" w:hAnsi="Cambria" w:cs="Times New Roman"/>
          <w:kern w:val="2"/>
          <w:sz w:val="20"/>
          <w14:ligatures w14:val="standardContextual"/>
        </w:rPr>
      </w:pPr>
    </w:p>
    <w:p w14:paraId="515F9F41" w14:textId="1E9878CF" w:rsidR="001E3A50" w:rsidRPr="00450805" w:rsidRDefault="001E3A50"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Se pidió a Noruega que corrigiera algunas cifras de su plan.</w:t>
      </w:r>
    </w:p>
    <w:p w14:paraId="692891D6" w14:textId="77777777" w:rsidR="001E3A50" w:rsidRPr="00450805" w:rsidRDefault="001E3A50" w:rsidP="0025099A">
      <w:pPr>
        <w:spacing w:after="0" w:line="240" w:lineRule="auto"/>
        <w:jc w:val="both"/>
        <w:rPr>
          <w:rFonts w:ascii="Cambria" w:eastAsia="Yu Gothic" w:hAnsi="Cambria" w:cs="Times New Roman"/>
          <w:kern w:val="2"/>
          <w:sz w:val="20"/>
          <w14:ligatures w14:val="standardContextual"/>
        </w:rPr>
      </w:pPr>
    </w:p>
    <w:p w14:paraId="3A135512" w14:textId="13572001" w:rsidR="0025099A" w:rsidRPr="00450805" w:rsidRDefault="0025099A" w:rsidP="0025099A">
      <w:pPr>
        <w:spacing w:after="0" w:line="240" w:lineRule="auto"/>
        <w:jc w:val="both"/>
        <w:rPr>
          <w:rFonts w:ascii="Cambria" w:eastAsia="Yu Gothic" w:hAnsi="Cambria" w:cs="Times New Roman"/>
          <w:kern w:val="2"/>
          <w:sz w:val="16"/>
          <w14:ligatures w14:val="standardContextual"/>
        </w:rPr>
      </w:pPr>
      <w:r w:rsidRPr="00450805">
        <w:rPr>
          <w:rFonts w:ascii="Cambria" w:hAnsi="Cambria"/>
          <w:sz w:val="20"/>
        </w:rPr>
        <w:t>El plan de pesca revisado de Noruega fue aprobado por la Subcomisión 2.</w:t>
      </w:r>
    </w:p>
    <w:p w14:paraId="065E831A" w14:textId="77777777" w:rsidR="0025099A" w:rsidRPr="00450805" w:rsidRDefault="0025099A" w:rsidP="0025099A">
      <w:pPr>
        <w:spacing w:after="0" w:line="240" w:lineRule="auto"/>
        <w:jc w:val="both"/>
        <w:rPr>
          <w:rFonts w:ascii="Cambria" w:eastAsia="Yu Gothic" w:hAnsi="Cambria" w:cs="Times New Roman"/>
          <w:b/>
          <w:bCs/>
          <w:kern w:val="2"/>
          <w:sz w:val="20"/>
          <w:szCs w:val="20"/>
          <w14:ligatures w14:val="standardContextual"/>
        </w:rPr>
      </w:pPr>
    </w:p>
    <w:p w14:paraId="1E95778F" w14:textId="684A9059" w:rsidR="00BB3A25" w:rsidRPr="00450805" w:rsidRDefault="00BB3A25" w:rsidP="00BB3A25">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Panamá</w:t>
      </w:r>
    </w:p>
    <w:p w14:paraId="6718603F" w14:textId="77777777" w:rsidR="00BB3A25" w:rsidRPr="00450805" w:rsidRDefault="00BB3A25" w:rsidP="00BB3A25">
      <w:pPr>
        <w:spacing w:after="0" w:line="240" w:lineRule="auto"/>
        <w:jc w:val="both"/>
        <w:rPr>
          <w:rFonts w:ascii="Cambria" w:eastAsia="Yu Gothic" w:hAnsi="Cambria" w:cs="Times New Roman"/>
          <w:kern w:val="2"/>
          <w:sz w:val="20"/>
          <w:szCs w:val="20"/>
          <w14:ligatures w14:val="standardContextual"/>
        </w:rPr>
      </w:pPr>
    </w:p>
    <w:p w14:paraId="2D312CAD" w14:textId="538D69AB" w:rsidR="00BB3A25" w:rsidRPr="00450805" w:rsidRDefault="00BB3A25" w:rsidP="00BB3A25">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Panamá presentó su plan pesquero. La cuota inicial de Panamá para 2026 es de 55 t, y tiene la intención de transferirla en su totalidad a Marruecos. La cesión de la cuota por parte de Panamá no refleja una falta de interés en participar en esta pesquería. Más bien, Panamá considera que la cuota asignada es insuficiente para llevar a cabo operaciones pesqueras rentables.</w:t>
      </w:r>
    </w:p>
    <w:p w14:paraId="528BAFE1" w14:textId="2103CB54" w:rsidR="00BB3A25" w:rsidRPr="00450805" w:rsidRDefault="00BB3A25" w:rsidP="00BB3A25">
      <w:pPr>
        <w:spacing w:after="0" w:line="240" w:lineRule="auto"/>
        <w:jc w:val="both"/>
        <w:rPr>
          <w:rFonts w:ascii="Cambria" w:eastAsia="Yu Gothic" w:hAnsi="Cambria" w:cs="Times New Roman"/>
          <w:kern w:val="2"/>
          <w:sz w:val="20"/>
          <w14:ligatures w14:val="standardContextual"/>
        </w:rPr>
      </w:pPr>
    </w:p>
    <w:p w14:paraId="299C2624" w14:textId="015B9FA7" w:rsidR="003E391A" w:rsidRPr="00450805" w:rsidRDefault="003E391A" w:rsidP="00BB3A25">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 xml:space="preserve">Se solicitó a Panamá que eliminara cierta información incorrecta de la sección relativa al ROP, ya que se refiere a las actividades del ROP relacionadas con el atún rojo y, por lo tanto, </w:t>
      </w:r>
      <w:r w:rsidR="00B037F7" w:rsidRPr="00450805">
        <w:rPr>
          <w:rFonts w:ascii="Cambria" w:hAnsi="Cambria"/>
          <w:sz w:val="20"/>
        </w:rPr>
        <w:t xml:space="preserve">actualmente </w:t>
      </w:r>
      <w:r w:rsidRPr="00450805">
        <w:rPr>
          <w:rFonts w:ascii="Cambria" w:hAnsi="Cambria"/>
          <w:sz w:val="20"/>
        </w:rPr>
        <w:t>no es aplicable a Panamá</w:t>
      </w:r>
      <w:r w:rsidR="002C4CB6" w:rsidRPr="00450805">
        <w:rPr>
          <w:rFonts w:ascii="Cambria" w:hAnsi="Cambria"/>
          <w:sz w:val="20"/>
        </w:rPr>
        <w:t>, ya que su cuota ha sido transferida a otra CPC.</w:t>
      </w:r>
    </w:p>
    <w:p w14:paraId="707C09C5" w14:textId="77777777" w:rsidR="003E391A" w:rsidRPr="00450805" w:rsidRDefault="003E391A" w:rsidP="00BB3A25">
      <w:pPr>
        <w:spacing w:after="0" w:line="240" w:lineRule="auto"/>
        <w:jc w:val="both"/>
        <w:rPr>
          <w:rFonts w:ascii="Cambria" w:eastAsia="Yu Gothic" w:hAnsi="Cambria" w:cs="Times New Roman"/>
          <w:kern w:val="2"/>
          <w:sz w:val="20"/>
          <w14:ligatures w14:val="standardContextual"/>
        </w:rPr>
      </w:pPr>
    </w:p>
    <w:p w14:paraId="53E72C12" w14:textId="107378DE" w:rsidR="00BB3A25" w:rsidRPr="00450805" w:rsidRDefault="00BB3A25" w:rsidP="00BB3A25">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El plan de pesca revisado de Panamá</w:t>
      </w:r>
      <w:r w:rsidR="00A74FF1" w:rsidRPr="00450805">
        <w:rPr>
          <w:rFonts w:ascii="Cambria" w:hAnsi="Cambria"/>
          <w:sz w:val="20"/>
        </w:rPr>
        <w:t xml:space="preserve"> </w:t>
      </w:r>
      <w:r w:rsidRPr="00450805">
        <w:rPr>
          <w:rFonts w:ascii="Cambria" w:hAnsi="Cambria"/>
          <w:sz w:val="20"/>
        </w:rPr>
        <w:t xml:space="preserve">fue aprobado por la Subcomisión 2. </w:t>
      </w:r>
    </w:p>
    <w:p w14:paraId="66928681" w14:textId="77777777" w:rsidR="00BB3A25" w:rsidRPr="00450805" w:rsidRDefault="00BB3A25" w:rsidP="00BB3A25">
      <w:pPr>
        <w:spacing w:after="0" w:line="240" w:lineRule="auto"/>
        <w:jc w:val="both"/>
        <w:rPr>
          <w:rFonts w:ascii="Cambria" w:eastAsia="Yu Gothic" w:hAnsi="Cambria" w:cs="Times New Roman"/>
          <w:b/>
          <w:bCs/>
          <w:kern w:val="2"/>
          <w:sz w:val="20"/>
          <w:szCs w:val="20"/>
          <w14:ligatures w14:val="standardContextual"/>
        </w:rPr>
      </w:pPr>
    </w:p>
    <w:p w14:paraId="78E16E8D" w14:textId="7525EF72" w:rsidR="00BB3A25" w:rsidRPr="00450805" w:rsidRDefault="00BB3A25" w:rsidP="00BB3A25">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Senegal</w:t>
      </w:r>
    </w:p>
    <w:p w14:paraId="7B5AFE8C" w14:textId="77777777" w:rsidR="00BB3A25" w:rsidRPr="00450805" w:rsidRDefault="00BB3A25" w:rsidP="00BB3A25">
      <w:pPr>
        <w:spacing w:after="0" w:line="240" w:lineRule="auto"/>
        <w:jc w:val="both"/>
        <w:rPr>
          <w:rFonts w:ascii="Cambria" w:eastAsia="Yu Gothic" w:hAnsi="Cambria" w:cs="Times New Roman"/>
          <w:kern w:val="2"/>
          <w:sz w:val="20"/>
          <w:szCs w:val="20"/>
          <w14:ligatures w14:val="standardContextual"/>
        </w:rPr>
      </w:pPr>
    </w:p>
    <w:p w14:paraId="6CE42D47" w14:textId="75843641" w:rsidR="00BB3A25" w:rsidRPr="00450805" w:rsidRDefault="00BB3A25" w:rsidP="00BB3A25">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 xml:space="preserve">Senegal presentó su plan pesquero. La cuota de Senegal para 2026 es de 55 t. Senegal no cuenta con ningún buque activo en la pesquería de atún rojo para explotar su cuota en 2026 y no tiene previsto incorporar ningún buque a dicha pesquería. La cuota se utilizará para cubrir las capturas fortuitas o accidentales de atún rojo por parte de sus </w:t>
      </w:r>
      <w:r w:rsidR="00025E40" w:rsidRPr="00450805">
        <w:rPr>
          <w:rFonts w:ascii="Cambria" w:hAnsi="Cambria"/>
          <w:sz w:val="20"/>
        </w:rPr>
        <w:t>ocho</w:t>
      </w:r>
      <w:r w:rsidRPr="00450805">
        <w:rPr>
          <w:rFonts w:ascii="Cambria" w:hAnsi="Cambria"/>
          <w:sz w:val="20"/>
        </w:rPr>
        <w:t xml:space="preserve"> buques de cerco y cinco barcos de cebo vivo dedicados a la pesca de túnidos tropicales, así como las capturas fortuitas de atún rojo por parte de sus pesquerías tropicales artesanales y de recreo. </w:t>
      </w:r>
    </w:p>
    <w:p w14:paraId="08A9F6B4" w14:textId="1FBA9675" w:rsidR="00BB3A25" w:rsidRPr="00450805" w:rsidRDefault="00BB3A25" w:rsidP="00BB3A25">
      <w:pPr>
        <w:spacing w:after="0" w:line="240" w:lineRule="auto"/>
        <w:jc w:val="both"/>
        <w:rPr>
          <w:rFonts w:ascii="Cambria" w:eastAsia="Yu Gothic" w:hAnsi="Cambria" w:cs="Times New Roman"/>
          <w:kern w:val="2"/>
          <w:sz w:val="20"/>
          <w14:ligatures w14:val="standardContextual"/>
        </w:rPr>
      </w:pPr>
    </w:p>
    <w:p w14:paraId="542AD8ED" w14:textId="38BB364B" w:rsidR="004B5813" w:rsidRPr="00450805" w:rsidRDefault="004B5813" w:rsidP="00BB3A25">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También se pidió a Senegal que introdujera algunas modificaciones editoriales.</w:t>
      </w:r>
    </w:p>
    <w:p w14:paraId="078CB6CC" w14:textId="271403A1" w:rsidR="004B5813" w:rsidRPr="00450805" w:rsidRDefault="004B5813" w:rsidP="00BB3A25">
      <w:pPr>
        <w:spacing w:after="0" w:line="240" w:lineRule="auto"/>
        <w:jc w:val="both"/>
        <w:rPr>
          <w:rFonts w:ascii="Cambria" w:eastAsia="Yu Gothic" w:hAnsi="Cambria" w:cs="Times New Roman"/>
          <w:kern w:val="2"/>
          <w:sz w:val="20"/>
          <w:lang w:eastAsia="ja-JP"/>
          <w14:ligatures w14:val="standardContextual"/>
        </w:rPr>
      </w:pPr>
    </w:p>
    <w:p w14:paraId="7B6A1F3E" w14:textId="38F0A076" w:rsidR="00BB3A25" w:rsidRPr="00450805" w:rsidRDefault="00BB3A25" w:rsidP="00BB3A25">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 xml:space="preserve">El plan de pesca revisado de Senegal fue aprobado por la Subcomisión 2. </w:t>
      </w:r>
    </w:p>
    <w:p w14:paraId="313D9525" w14:textId="77777777" w:rsidR="00BB3A25" w:rsidRPr="00450805" w:rsidRDefault="00BB3A25" w:rsidP="00BB3A25">
      <w:pPr>
        <w:spacing w:after="0" w:line="240" w:lineRule="auto"/>
        <w:jc w:val="both"/>
        <w:rPr>
          <w:rFonts w:ascii="Cambria" w:eastAsia="Yu Gothic" w:hAnsi="Cambria" w:cs="Times New Roman"/>
          <w:b/>
          <w:bCs/>
          <w:kern w:val="2"/>
          <w:sz w:val="20"/>
          <w:szCs w:val="20"/>
          <w14:ligatures w14:val="standardContextual"/>
        </w:rPr>
      </w:pPr>
    </w:p>
    <w:p w14:paraId="72D829C6" w14:textId="77777777" w:rsidR="0025099A" w:rsidRPr="00450805" w:rsidRDefault="0025099A" w:rsidP="0025099A">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Siria</w:t>
      </w:r>
    </w:p>
    <w:p w14:paraId="17385ADD" w14:textId="77777777" w:rsidR="00582A5A" w:rsidRPr="00450805" w:rsidRDefault="00582A5A" w:rsidP="0025099A">
      <w:pPr>
        <w:spacing w:after="0" w:line="240" w:lineRule="auto"/>
        <w:jc w:val="both"/>
        <w:rPr>
          <w:rFonts w:ascii="Cambria" w:eastAsia="Yu Gothic" w:hAnsi="Cambria" w:cs="Times New Roman"/>
          <w:kern w:val="2"/>
          <w:sz w:val="20"/>
          <w:szCs w:val="20"/>
          <w14:ligatures w14:val="standardContextual"/>
        </w:rPr>
      </w:pPr>
    </w:p>
    <w:p w14:paraId="69C78D02" w14:textId="7E95C2F5"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La cuota inicial para 2026 es de 238 t. Se distribuirán 237 t entre los buques de cerco y se reservará 1 t para capturas fortuitas. Se desembarcará el 100 % de las capturas.</w:t>
      </w:r>
    </w:p>
    <w:p w14:paraId="27797E23" w14:textId="3858C90A"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41254B24" w14:textId="707608A7" w:rsidR="00167ED1" w:rsidRPr="00450805" w:rsidRDefault="00167ED1"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 xml:space="preserve">Se solicitó a Siria que indicara que cada barco de cerco recibirá una cuota individual, que facilitara la información que faltaba en el tabla sobre las medidas adoptadas para cumplir los requisitos de ICCAT, que revisara la tabla de capacidad para garantizar que no </w:t>
      </w:r>
      <w:r w:rsidR="006F7584" w:rsidRPr="00450805">
        <w:rPr>
          <w:rFonts w:ascii="Cambria" w:hAnsi="Cambria"/>
          <w:sz w:val="20"/>
        </w:rPr>
        <w:t>hubiera exceso</w:t>
      </w:r>
      <w:r w:rsidRPr="00450805">
        <w:rPr>
          <w:rFonts w:ascii="Cambria" w:hAnsi="Cambria"/>
          <w:sz w:val="20"/>
        </w:rPr>
        <w:t xml:space="preserve"> de </w:t>
      </w:r>
      <w:r w:rsidR="00DF58D5" w:rsidRPr="00450805">
        <w:rPr>
          <w:rFonts w:ascii="Cambria" w:hAnsi="Cambria"/>
          <w:sz w:val="20"/>
        </w:rPr>
        <w:t>capacidad,</w:t>
      </w:r>
      <w:r w:rsidRPr="00450805">
        <w:rPr>
          <w:rFonts w:ascii="Cambria" w:hAnsi="Cambria"/>
          <w:sz w:val="20"/>
        </w:rPr>
        <w:t xml:space="preserve"> y que la temporada de pesca para los barcos de cerco se extendiera del 15 de mayo al 1 de julio de 2026.</w:t>
      </w:r>
    </w:p>
    <w:p w14:paraId="6F5C3773" w14:textId="77777777" w:rsidR="00AA744A" w:rsidRPr="00450805" w:rsidRDefault="00AA744A" w:rsidP="0025099A">
      <w:pPr>
        <w:spacing w:after="0" w:line="240" w:lineRule="auto"/>
        <w:jc w:val="both"/>
        <w:rPr>
          <w:rFonts w:ascii="Cambria" w:eastAsia="Yu Gothic" w:hAnsi="Cambria" w:cs="Times New Roman"/>
          <w:kern w:val="2"/>
          <w:sz w:val="20"/>
          <w:szCs w:val="20"/>
          <w:lang w:eastAsia="ja-JP"/>
          <w14:ligatures w14:val="standardContextual"/>
        </w:rPr>
      </w:pPr>
    </w:p>
    <w:p w14:paraId="2C9C4B59" w14:textId="7B034612" w:rsidR="009D4643" w:rsidRPr="00450805" w:rsidRDefault="00AA744A" w:rsidP="009D4643">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El presidente de la Subcomisión 2 preguntó por qué solo los buques de cerco recibirían cuotas, a pesar de que Siria había solicitado más cuotas para sus pescadores artesanales costeros durante la reunión anual de 2025. Siria respondió que, en la actualidad, ningún barco pesquero costero está autorizado a pescar atún rojo, pero que seguirá evaluando la posible participación futura de la pesca costera a pequeña escala. Ese punto se incluyó en el plan de pesca revisado.</w:t>
      </w:r>
    </w:p>
    <w:p w14:paraId="3224897B" w14:textId="77777777" w:rsidR="00F056F3" w:rsidRPr="00450805" w:rsidRDefault="00F056F3" w:rsidP="009D4643">
      <w:pPr>
        <w:spacing w:after="0" w:line="240" w:lineRule="auto"/>
        <w:jc w:val="both"/>
        <w:rPr>
          <w:rFonts w:ascii="Cambria" w:eastAsia="Yu Gothic" w:hAnsi="Cambria" w:cs="Times New Roman"/>
          <w:kern w:val="2"/>
          <w:sz w:val="20"/>
          <w:lang w:eastAsia="ja-JP"/>
          <w14:ligatures w14:val="standardContextual"/>
        </w:rPr>
      </w:pPr>
    </w:p>
    <w:p w14:paraId="7AE8DA94" w14:textId="0248911C"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El plan de pesca revisado de Siria</w:t>
      </w:r>
      <w:r w:rsidR="006F7584" w:rsidRPr="00450805">
        <w:rPr>
          <w:rFonts w:ascii="Cambria" w:hAnsi="Cambria"/>
          <w:sz w:val="20"/>
        </w:rPr>
        <w:t xml:space="preserve"> </w:t>
      </w:r>
      <w:r w:rsidRPr="00450805">
        <w:rPr>
          <w:rFonts w:ascii="Cambria" w:hAnsi="Cambria"/>
          <w:sz w:val="20"/>
        </w:rPr>
        <w:t>fue aprobado por la Subcomisión 2.</w:t>
      </w:r>
    </w:p>
    <w:p w14:paraId="5216661C" w14:textId="77777777" w:rsidR="0025099A" w:rsidRPr="00450805" w:rsidRDefault="0025099A" w:rsidP="0025099A">
      <w:pPr>
        <w:spacing w:after="0" w:line="240" w:lineRule="auto"/>
        <w:jc w:val="both"/>
        <w:rPr>
          <w:rFonts w:ascii="Cambria" w:eastAsia="Yu Gothic" w:hAnsi="Cambria" w:cs="Times New Roman"/>
          <w:kern w:val="2"/>
          <w:sz w:val="20"/>
          <w14:ligatures w14:val="standardContextual"/>
        </w:rPr>
      </w:pPr>
    </w:p>
    <w:p w14:paraId="12D8C980" w14:textId="77777777" w:rsidR="0025099A" w:rsidRPr="00450805" w:rsidRDefault="0025099A" w:rsidP="0025099A">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Túnez</w:t>
      </w:r>
    </w:p>
    <w:p w14:paraId="21B6F5F7"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0306BCA2" w14:textId="1F751763" w:rsidR="0025099A" w:rsidRPr="00450805" w:rsidRDefault="0025099A"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 xml:space="preserve">Túnez solicitó un traspaso de 19,7 t de su remanente de 2025 a 2026, para una cuota total ajustada de 3.528,55 t. Se asignarán 3.493,26 t a la captura comercial por parte de los buques de cerco y se reservarán 35,28 t para capturas fortuitas. La captura se destinará principalmente a la cría en granjas de engorde en el Mediterráneo. No obstante, parte de la captura podría llevarse a 12 puertos tunecinos autorizados para su desembarque o transbordo. Seis granjas están autorizadas a realizar actividades de engorde en 2026. Tres </w:t>
      </w:r>
      <w:r w:rsidRPr="00450805">
        <w:rPr>
          <w:rFonts w:ascii="Cambria" w:hAnsi="Cambria"/>
          <w:sz w:val="20"/>
        </w:rPr>
        <w:lastRenderedPageBreak/>
        <w:t>buques de control participarán en el Programa conjunto de inspección internacional durante la temporada de pesca de atún rojo de 2026.</w:t>
      </w:r>
    </w:p>
    <w:p w14:paraId="347F334C" w14:textId="25618D5A"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2A787982" w14:textId="4D3F1E9F" w:rsidR="00A548A1" w:rsidRPr="00450805" w:rsidRDefault="00564DF1"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Se solicitó a Túnez que realizara una modificación editorial y corrigiera la descripción de su capacidad pesquera en 2026.</w:t>
      </w:r>
    </w:p>
    <w:p w14:paraId="7FB3242A" w14:textId="167F5460" w:rsidR="00564DF1" w:rsidRPr="00450805" w:rsidRDefault="00564DF1" w:rsidP="0025099A">
      <w:pPr>
        <w:spacing w:after="0" w:line="240" w:lineRule="auto"/>
        <w:jc w:val="both"/>
        <w:rPr>
          <w:rFonts w:ascii="Cambria" w:eastAsia="Yu Gothic" w:hAnsi="Cambria" w:cs="Times New Roman"/>
          <w:kern w:val="2"/>
          <w:sz w:val="20"/>
          <w:szCs w:val="20"/>
          <w14:ligatures w14:val="standardContextual"/>
        </w:rPr>
      </w:pPr>
    </w:p>
    <w:p w14:paraId="2DD496C1" w14:textId="425CC7A3" w:rsidR="00564DF1" w:rsidRPr="00450805" w:rsidRDefault="00564DF1"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En respuesta a una observación por escrito recibida de la UE, Túnez confirmó que llevará a cabo controles aleatorios en al menos el 10 % del número de jaulas de cada granja una vez finalizadas las operaciones de introducción en jaulas.</w:t>
      </w:r>
    </w:p>
    <w:p w14:paraId="4FCEC896" w14:textId="77777777" w:rsidR="00A548A1" w:rsidRPr="00450805" w:rsidRDefault="00A548A1" w:rsidP="0025099A">
      <w:pPr>
        <w:spacing w:after="0" w:line="240" w:lineRule="auto"/>
        <w:jc w:val="both"/>
        <w:rPr>
          <w:rFonts w:ascii="Cambria" w:eastAsia="Yu Gothic" w:hAnsi="Cambria" w:cs="Times New Roman"/>
          <w:kern w:val="2"/>
          <w:sz w:val="20"/>
          <w:szCs w:val="20"/>
          <w14:ligatures w14:val="standardContextual"/>
        </w:rPr>
      </w:pPr>
    </w:p>
    <w:p w14:paraId="0EDFB70B" w14:textId="34F3822A"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El plan de pesca revisado de Túnez</w:t>
      </w:r>
      <w:r w:rsidR="00E46BD5" w:rsidRPr="00450805">
        <w:rPr>
          <w:rFonts w:ascii="Cambria" w:hAnsi="Cambria"/>
          <w:sz w:val="20"/>
        </w:rPr>
        <w:t xml:space="preserve"> </w:t>
      </w:r>
      <w:r w:rsidRPr="00450805">
        <w:rPr>
          <w:rFonts w:ascii="Cambria" w:hAnsi="Cambria"/>
          <w:sz w:val="20"/>
        </w:rPr>
        <w:t>fue aprobado por la Subcomisión 2.</w:t>
      </w:r>
    </w:p>
    <w:p w14:paraId="377DCF9A" w14:textId="77777777" w:rsidR="0025099A" w:rsidRPr="00450805" w:rsidRDefault="0025099A" w:rsidP="0025099A">
      <w:pPr>
        <w:spacing w:after="0" w:line="240" w:lineRule="auto"/>
        <w:jc w:val="both"/>
        <w:rPr>
          <w:rFonts w:ascii="Cambria" w:eastAsia="Yu Gothic" w:hAnsi="Cambria" w:cs="Times New Roman"/>
          <w:b/>
          <w:bCs/>
          <w:kern w:val="2"/>
          <w:sz w:val="20"/>
          <w:szCs w:val="20"/>
          <w14:ligatures w14:val="standardContextual"/>
        </w:rPr>
      </w:pPr>
    </w:p>
    <w:p w14:paraId="30E3D1FC" w14:textId="77777777" w:rsidR="0025099A" w:rsidRPr="00450805" w:rsidRDefault="0025099A" w:rsidP="0025099A">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Türkiye</w:t>
      </w:r>
    </w:p>
    <w:p w14:paraId="2EFB8CC9"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0354C581" w14:textId="3B513726"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La cuota ajustada de Türkiye para el atún rojo en 2026 es de 3.149,45 t, compuesta por una cuota inicial de 3.094,45 t y 55 t transferidas desde Mauritania. No se solicita el traspaso de remanente de capturas. La mayor parte de la cuota se asignará a 48 cerqueros. Además, se asignarán 3,5 t a la pesca artesanal, costera, de recreo y deportiva, y 12 t a las capturas fortuitas.</w:t>
      </w:r>
    </w:p>
    <w:p w14:paraId="6629881A" w14:textId="54FB4CFF"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47C5B95D" w14:textId="7D61CB4B" w:rsidR="00BC11CF" w:rsidRPr="00450805" w:rsidRDefault="00BC11CF"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Se pidió a Türkiye que corrigiera algunas cifras de su tabla de capacidad.</w:t>
      </w:r>
    </w:p>
    <w:p w14:paraId="48B42FDB" w14:textId="77777777" w:rsidR="00BC11CF" w:rsidRPr="00450805" w:rsidRDefault="00BC11CF" w:rsidP="0025099A">
      <w:pPr>
        <w:spacing w:after="0" w:line="240" w:lineRule="auto"/>
        <w:jc w:val="both"/>
        <w:rPr>
          <w:rFonts w:ascii="Cambria" w:eastAsia="Yu Gothic" w:hAnsi="Cambria" w:cs="Times New Roman"/>
          <w:kern w:val="2"/>
          <w:sz w:val="20"/>
          <w:szCs w:val="20"/>
          <w14:ligatures w14:val="standardContextual"/>
        </w:rPr>
      </w:pPr>
    </w:p>
    <w:p w14:paraId="62574E06" w14:textId="7CD5586D"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 xml:space="preserve">El plan de pesca revisado de </w:t>
      </w:r>
      <w:r w:rsidR="00DF58D5" w:rsidRPr="00450805">
        <w:rPr>
          <w:rFonts w:ascii="Cambria" w:hAnsi="Cambria"/>
          <w:sz w:val="20"/>
        </w:rPr>
        <w:t>Türkiye</w:t>
      </w:r>
      <w:r w:rsidR="00DF58D5" w:rsidRPr="00450805">
        <w:rPr>
          <w:rFonts w:ascii="Cambria" w:eastAsia="Yu Gothic" w:hAnsi="Cambria" w:cs="Times New Roman"/>
          <w:kern w:val="2"/>
          <w:sz w:val="20"/>
          <w14:ligatures w14:val="standardContextual"/>
        </w:rPr>
        <w:t xml:space="preserve"> </w:t>
      </w:r>
      <w:r w:rsidRPr="00450805">
        <w:rPr>
          <w:rFonts w:ascii="Cambria" w:hAnsi="Cambria"/>
          <w:sz w:val="20"/>
        </w:rPr>
        <w:t>fue aprobado por la Subcomisión 2.</w:t>
      </w:r>
    </w:p>
    <w:p w14:paraId="4A592155" w14:textId="6EF41DE5" w:rsidR="0025099A" w:rsidRPr="00450805" w:rsidRDefault="0025099A" w:rsidP="0025099A">
      <w:pPr>
        <w:spacing w:after="0" w:line="240" w:lineRule="auto"/>
        <w:jc w:val="both"/>
        <w:rPr>
          <w:rFonts w:ascii="Cambria" w:eastAsia="Yu Gothic" w:hAnsi="Cambria" w:cs="Times New Roman"/>
          <w:kern w:val="2"/>
          <w:sz w:val="20"/>
          <w:szCs w:val="20"/>
          <w:lang w:eastAsia="ja-JP"/>
          <w14:ligatures w14:val="standardContextual"/>
        </w:rPr>
      </w:pPr>
    </w:p>
    <w:p w14:paraId="0D4BFD4B" w14:textId="77777777" w:rsidR="0025099A" w:rsidRPr="00450805" w:rsidRDefault="0025099A" w:rsidP="0025099A">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t>Reino Unido </w:t>
      </w:r>
    </w:p>
    <w:p w14:paraId="3740E051"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4EEA547F" w14:textId="2DB89269" w:rsidR="0025099A" w:rsidRPr="00450805" w:rsidRDefault="0025099A" w:rsidP="0025099A">
      <w:pPr>
        <w:spacing w:after="0" w:line="240" w:lineRule="auto"/>
        <w:jc w:val="both"/>
        <w:rPr>
          <w:rFonts w:ascii="Cambria" w:eastAsia="Yu Gothic" w:hAnsi="Cambria" w:cs="Times New Roman"/>
          <w:kern w:val="2"/>
          <w:sz w:val="20"/>
          <w14:ligatures w14:val="standardContextual"/>
        </w:rPr>
      </w:pPr>
      <w:r w:rsidRPr="00450805">
        <w:rPr>
          <w:rFonts w:ascii="Cambria" w:hAnsi="Cambria"/>
          <w:sz w:val="20"/>
        </w:rPr>
        <w:t>La cuota ajustada, que incluye un traspaso solicitado de 12,6 t (20 %) de 2025 a 2026 y asciende a 243,16</w:t>
      </w:r>
      <w:r w:rsidR="002A42AB" w:rsidRPr="00450805">
        <w:rPr>
          <w:rFonts w:ascii="Cambria" w:hAnsi="Cambria"/>
          <w:sz w:val="20"/>
        </w:rPr>
        <w:t> </w:t>
      </w:r>
      <w:r w:rsidRPr="00450805">
        <w:rPr>
          <w:rFonts w:ascii="Cambria" w:hAnsi="Cambria"/>
          <w:sz w:val="20"/>
        </w:rPr>
        <w:t xml:space="preserve">t. El Reino Unido asignará 5 t al programa científico de captura, liberación y marcado (CHART), 10 t a las capturas fortuitas, 20 t a las muertes accidentales en su pesquería de recreo y 120 t a su pesquería comercial en 2026. </w:t>
      </w:r>
    </w:p>
    <w:p w14:paraId="0EB87A82" w14:textId="77777777" w:rsidR="0025099A" w:rsidRPr="00450805" w:rsidRDefault="0025099A" w:rsidP="0025099A">
      <w:pPr>
        <w:spacing w:after="0" w:line="240" w:lineRule="auto"/>
        <w:jc w:val="both"/>
        <w:rPr>
          <w:rFonts w:ascii="Cambria" w:eastAsia="Yu Gothic" w:hAnsi="Cambria" w:cs="Times New Roman"/>
          <w:kern w:val="2"/>
          <w:sz w:val="20"/>
          <w14:ligatures w14:val="standardContextual"/>
        </w:rPr>
      </w:pPr>
    </w:p>
    <w:p w14:paraId="5640960E" w14:textId="54642FDC"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El Reino Unido ha explicado que ampliará sus pesquerías comerciales de atún rojo en respuesta al interés del sector. El número de licencias comerciales se duplicará, pasando de 15 a 30, para ayudar a satisfacer la demanda del sector. El Reino Unido también ampliará su pesquería de recreo y aumentará el número máximo de permisos disponibles de 185 a 230. Algunas administraciones pesqueras del Reino Unido seguirán desarrollando el programa CHART. Además, el Reino Unido ha observado un aumento de la presencia de atún rojo en sus aguas, motivo por el cual ha incrementado su cuota de capturas fortuitas para 2026.</w:t>
      </w:r>
    </w:p>
    <w:p w14:paraId="06C98635"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7C2E610A" w14:textId="6320A509"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 xml:space="preserve">El Reino Unido informó a la Subcomisión 2 de que la adhesión del Reino Unido a ICCAT se había ampliado a la Bailía de Jersey en 2025 y de que Jersey tiene la intención de ampliar su pesquería de recreo de atún rojo en 2026. Además, se prevé que el proceso de ampliación de la adhesión del Reino Unido a ICCAT para incluir la Bailía de Guernsey concluya en 2026. El Gobierno de Guernsey ha indicado que tiene intención de abrir una pesquería de recreo. Los operadores de buques en Jersey y Guernsey también podrán solicitar licencias comerciales para la pesca de atún rojo.  </w:t>
      </w:r>
    </w:p>
    <w:p w14:paraId="76683411" w14:textId="16A25C4D" w:rsidR="00050C29" w:rsidRPr="00450805" w:rsidRDefault="00050C29" w:rsidP="0025099A">
      <w:pPr>
        <w:spacing w:after="0" w:line="240" w:lineRule="auto"/>
        <w:jc w:val="both"/>
        <w:rPr>
          <w:rFonts w:ascii="Cambria" w:eastAsia="Yu Gothic" w:hAnsi="Cambria" w:cs="Times New Roman"/>
          <w:kern w:val="2"/>
          <w:sz w:val="20"/>
          <w:szCs w:val="20"/>
          <w14:ligatures w14:val="standardContextual"/>
        </w:rPr>
      </w:pPr>
    </w:p>
    <w:p w14:paraId="6DBBADA4" w14:textId="65C2E21D" w:rsidR="00050C29" w:rsidRPr="00450805" w:rsidRDefault="00050C29"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 xml:space="preserve">El Reino Unido señaló que, dada la elevada demanda, podría haber concedido más licencias y más cuotas en 2026. Sin embargo, ha optado por adoptar un enfoque gradual para el desarrollo de la pesca comercial y de recreo, aumentando solo de forma paulatina el número de licencias y permisos disponibles en cada año del ciclo del total admisible de capturas (TAC), hasta que la cuota se haya asignado por completo en 2028. Mientras tanto, las cuotas no asignadas se considerarán una reserva complementaria para los buques que alcancen su límite de 4 t por buque. </w:t>
      </w:r>
    </w:p>
    <w:p w14:paraId="1A4DA8E8" w14:textId="228CDE8B"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11424940" w14:textId="08D46789" w:rsidR="00D71908" w:rsidRPr="00450805" w:rsidRDefault="00D71908"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Se solicitó al Reino Unido que realizara una modificación editorial para distinguir entre la cría de atún rojo y la acuicultura de atún rojo.</w:t>
      </w:r>
    </w:p>
    <w:p w14:paraId="34A10A95" w14:textId="5794B2FB" w:rsidR="00D71908" w:rsidRPr="00450805" w:rsidRDefault="00D71908" w:rsidP="0025099A">
      <w:pPr>
        <w:spacing w:after="0" w:line="240" w:lineRule="auto"/>
        <w:jc w:val="both"/>
        <w:rPr>
          <w:rFonts w:ascii="Cambria" w:eastAsia="Yu Gothic" w:hAnsi="Cambria" w:cs="Times New Roman"/>
          <w:kern w:val="2"/>
          <w:sz w:val="20"/>
          <w:szCs w:val="20"/>
          <w14:ligatures w14:val="standardContextual"/>
        </w:rPr>
      </w:pPr>
    </w:p>
    <w:p w14:paraId="305591E4" w14:textId="1FAE5645"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El plan de pesca revisado del Reino Unido</w:t>
      </w:r>
      <w:r w:rsidR="00872B86" w:rsidRPr="00450805">
        <w:rPr>
          <w:rFonts w:ascii="Cambria" w:hAnsi="Cambria"/>
          <w:sz w:val="20"/>
        </w:rPr>
        <w:t xml:space="preserve"> </w:t>
      </w:r>
      <w:r w:rsidRPr="00450805">
        <w:rPr>
          <w:rFonts w:ascii="Cambria" w:hAnsi="Cambria"/>
          <w:sz w:val="20"/>
        </w:rPr>
        <w:t>fue aprobado por la Subcomisión 2.</w:t>
      </w:r>
    </w:p>
    <w:p w14:paraId="5DCAA7DA" w14:textId="77777777" w:rsidR="0025099A" w:rsidRPr="00450805" w:rsidRDefault="0025099A" w:rsidP="0025099A">
      <w:pPr>
        <w:spacing w:after="0" w:line="240" w:lineRule="auto"/>
        <w:jc w:val="both"/>
        <w:rPr>
          <w:rFonts w:ascii="Cambria" w:eastAsia="Calibri" w:hAnsi="Cambria" w:cs="Arial"/>
          <w:b/>
          <w:bCs/>
          <w:sz w:val="20"/>
          <w:szCs w:val="20"/>
        </w:rPr>
      </w:pPr>
    </w:p>
    <w:p w14:paraId="3ABBD39E" w14:textId="77777777" w:rsidR="00F912AA" w:rsidRDefault="00F912AA" w:rsidP="0025099A">
      <w:pPr>
        <w:spacing w:after="0" w:line="240" w:lineRule="auto"/>
        <w:jc w:val="both"/>
        <w:rPr>
          <w:rFonts w:ascii="Cambria" w:hAnsi="Cambria"/>
          <w:b/>
          <w:i/>
          <w:sz w:val="20"/>
        </w:rPr>
      </w:pPr>
    </w:p>
    <w:p w14:paraId="180F328F" w14:textId="77777777" w:rsidR="00F912AA" w:rsidRDefault="00F912AA" w:rsidP="0025099A">
      <w:pPr>
        <w:spacing w:after="0" w:line="240" w:lineRule="auto"/>
        <w:jc w:val="both"/>
        <w:rPr>
          <w:rFonts w:ascii="Cambria" w:hAnsi="Cambria"/>
          <w:b/>
          <w:i/>
          <w:sz w:val="20"/>
        </w:rPr>
      </w:pPr>
    </w:p>
    <w:p w14:paraId="16B21B76" w14:textId="52B22A57" w:rsidR="0025099A" w:rsidRPr="00450805" w:rsidRDefault="0025099A" w:rsidP="0025099A">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rPr>
        <w:lastRenderedPageBreak/>
        <w:t xml:space="preserve">Taipei </w:t>
      </w:r>
      <w:proofErr w:type="gramStart"/>
      <w:r w:rsidRPr="00450805">
        <w:rPr>
          <w:rFonts w:ascii="Cambria" w:hAnsi="Cambria"/>
          <w:b/>
          <w:i/>
          <w:sz w:val="20"/>
        </w:rPr>
        <w:t>Chino</w:t>
      </w:r>
      <w:proofErr w:type="gramEnd"/>
    </w:p>
    <w:p w14:paraId="49D44161" w14:textId="7777777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6EDCF2F6" w14:textId="011330B4"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La cuota inicial es de 101 t, con una transferencia de 50 t a la República de Corea y un traspaso solicitado de 20,2 t, lo que da como resultado una cuota ajustada de 71,2 t. Se reserva 1 t de la cuota ajustada para capturas fortuitas. Taipei Chino ha completado el proceso legislativo para reanudar su pesca de atún rojo y ha autorizado a un palangrero atunero de gran tamaño de su actual flota de palangreros del Atlántico a capturar y retener atún rojo durante la campaña pesquera de 2026 (del 1 de agosto de 2026 al 31 de enero de 2027).</w:t>
      </w:r>
    </w:p>
    <w:p w14:paraId="2D61C792" w14:textId="44750CF5"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597EE426" w14:textId="1A642E77" w:rsidR="007B6FB5" w:rsidRPr="00450805" w:rsidRDefault="007B6FB5"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En respuesta a una pregunta del presidente, Taipei Chino confirmó que, dado que tiene previsto operar un palangrero, que dicho palangrero tiene previsto realizar una sola marea de pesca y que habrá un observador a bordo, se espera que la cobertura de observadores sea del 100 %.</w:t>
      </w:r>
    </w:p>
    <w:p w14:paraId="4497FF27" w14:textId="77777777" w:rsidR="007B6FB5" w:rsidRPr="00450805" w:rsidRDefault="007B6FB5" w:rsidP="0025099A">
      <w:pPr>
        <w:spacing w:after="0" w:line="240" w:lineRule="auto"/>
        <w:jc w:val="both"/>
        <w:rPr>
          <w:rFonts w:ascii="Cambria" w:eastAsia="Yu Gothic" w:hAnsi="Cambria" w:cs="Times New Roman"/>
          <w:kern w:val="2"/>
          <w:sz w:val="20"/>
          <w:szCs w:val="20"/>
          <w14:ligatures w14:val="standardContextual"/>
        </w:rPr>
      </w:pPr>
    </w:p>
    <w:p w14:paraId="1B31FDCA" w14:textId="7E30548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El plan de pesca de Taipei Chino</w:t>
      </w:r>
      <w:r w:rsidR="00872B86" w:rsidRPr="00450805">
        <w:rPr>
          <w:rFonts w:ascii="Cambria" w:hAnsi="Cambria"/>
          <w:sz w:val="20"/>
        </w:rPr>
        <w:t xml:space="preserve"> </w:t>
      </w:r>
      <w:r w:rsidRPr="00450805">
        <w:rPr>
          <w:rFonts w:ascii="Cambria" w:hAnsi="Cambria"/>
          <w:sz w:val="20"/>
        </w:rPr>
        <w:t>fue aprobado por la Subcomisión 2.</w:t>
      </w:r>
    </w:p>
    <w:p w14:paraId="67E1E860" w14:textId="77777777" w:rsidR="0025099A" w:rsidRPr="00450805" w:rsidRDefault="0025099A" w:rsidP="0025099A">
      <w:pPr>
        <w:spacing w:after="0" w:line="240" w:lineRule="auto"/>
        <w:jc w:val="both"/>
        <w:rPr>
          <w:rFonts w:ascii="Cambria" w:eastAsia="Yu Gothic" w:hAnsi="Cambria" w:cs="Times New Roman"/>
          <w:b/>
          <w:bCs/>
          <w:kern w:val="2"/>
          <w:sz w:val="20"/>
          <w:szCs w:val="20"/>
          <w14:ligatures w14:val="standardContextual"/>
        </w:rPr>
      </w:pPr>
    </w:p>
    <w:p w14:paraId="609C9B57" w14:textId="77777777" w:rsidR="0025099A" w:rsidRPr="00450805" w:rsidRDefault="0025099A" w:rsidP="0025099A">
      <w:pPr>
        <w:spacing w:after="0" w:line="240" w:lineRule="auto"/>
        <w:jc w:val="both"/>
        <w:rPr>
          <w:rFonts w:ascii="Cambria" w:eastAsia="Yu Gothic" w:hAnsi="Cambria" w:cs="Times New Roman"/>
          <w:b/>
          <w:bCs/>
          <w:kern w:val="2"/>
          <w:sz w:val="20"/>
          <w:szCs w:val="20"/>
          <w14:ligatures w14:val="standardContextual"/>
        </w:rPr>
      </w:pPr>
    </w:p>
    <w:p w14:paraId="73004B18" w14:textId="77777777" w:rsidR="0025099A" w:rsidRPr="00450805" w:rsidRDefault="0025099A" w:rsidP="0025099A">
      <w:pPr>
        <w:spacing w:after="0" w:line="240" w:lineRule="auto"/>
        <w:jc w:val="both"/>
        <w:rPr>
          <w:rFonts w:ascii="Cambria" w:eastAsia="Yu Gothic" w:hAnsi="Cambria" w:cs="Times New Roman"/>
          <w:b/>
          <w:bCs/>
          <w:kern w:val="2"/>
          <w:sz w:val="20"/>
          <w:szCs w:val="20"/>
          <w14:ligatures w14:val="standardContextual"/>
        </w:rPr>
      </w:pPr>
      <w:r w:rsidRPr="00450805">
        <w:rPr>
          <w:rFonts w:ascii="Cambria" w:hAnsi="Cambria"/>
          <w:b/>
          <w:sz w:val="20"/>
        </w:rPr>
        <w:t>Debate general</w:t>
      </w:r>
    </w:p>
    <w:p w14:paraId="6D4DC689" w14:textId="77777777" w:rsidR="0025099A" w:rsidRPr="00450805" w:rsidRDefault="0025099A" w:rsidP="0025099A">
      <w:pPr>
        <w:spacing w:after="0" w:line="240" w:lineRule="auto"/>
        <w:jc w:val="both"/>
        <w:rPr>
          <w:rFonts w:ascii="Cambria" w:eastAsia="Yu Gothic" w:hAnsi="Cambria" w:cs="Times New Roman"/>
          <w:b/>
          <w:bCs/>
          <w:kern w:val="2"/>
          <w:sz w:val="20"/>
          <w:szCs w:val="20"/>
          <w14:ligatures w14:val="standardContextual"/>
        </w:rPr>
      </w:pPr>
    </w:p>
    <w:p w14:paraId="5BC6687C" w14:textId="24A8A878" w:rsidR="0025099A" w:rsidRPr="00450805" w:rsidRDefault="009B1125"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rPr>
        <w:t>Mientras examinaban los planes de pesca de las CPC, los miembros de la Subcomisión 2 también mantuvieron debates generales sobre varios puntos.</w:t>
      </w:r>
    </w:p>
    <w:p w14:paraId="65A33A7B" w14:textId="03C08362"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0B7CEE2B" w14:textId="38847ED1" w:rsidR="00E1449E" w:rsidRPr="00450805" w:rsidRDefault="00E1449E" w:rsidP="0025099A">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rPr>
        <w:t>Capacidad de cría</w:t>
      </w:r>
    </w:p>
    <w:p w14:paraId="1AC5E5F7" w14:textId="4E01D943" w:rsidR="00E1449E" w:rsidRPr="00450805" w:rsidRDefault="00E1449E" w:rsidP="0025099A">
      <w:pPr>
        <w:spacing w:after="0" w:line="240" w:lineRule="auto"/>
        <w:jc w:val="both"/>
        <w:rPr>
          <w:rFonts w:ascii="Cambria" w:eastAsia="Yu Gothic" w:hAnsi="Cambria" w:cs="Times New Roman"/>
          <w:kern w:val="2"/>
          <w:sz w:val="20"/>
          <w:szCs w:val="20"/>
          <w14:ligatures w14:val="standardContextual"/>
        </w:rPr>
      </w:pPr>
    </w:p>
    <w:p w14:paraId="1589220F" w14:textId="4B6458EB" w:rsidR="00BE0BAB" w:rsidRPr="00450805" w:rsidRDefault="00BE0BAB" w:rsidP="00BE0BAB">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Los miembros de la Subcomisión 2 debatieron las obligaciones comunicación de información y las definiciones relacionadas con la capacidad de cría. Japón señaló que varias CPC habían incluido tanto la «capacidad» como la «capacidad de entrada» en sus tablas de capacidad de cría. Japón señaló que la </w:t>
      </w:r>
      <w:hyperlink r:id="rId18" w:history="1">
        <w:r w:rsidRPr="00450805">
          <w:rPr>
            <w:rStyle w:val="Hyperlink"/>
            <w:rFonts w:ascii="Cambria" w:hAnsi="Cambria"/>
            <w:sz w:val="20"/>
            <w:szCs w:val="20"/>
            <w:u w:val="none"/>
          </w:rPr>
          <w:t>Rec.</w:t>
        </w:r>
        <w:r w:rsidR="00DF58D5" w:rsidRPr="00450805">
          <w:rPr>
            <w:rStyle w:val="Hyperlink"/>
            <w:rFonts w:ascii="Cambria" w:hAnsi="Cambria"/>
            <w:sz w:val="20"/>
            <w:szCs w:val="20"/>
            <w:u w:val="none"/>
          </w:rPr>
          <w:t> </w:t>
        </w:r>
        <w:r w:rsidRPr="00450805">
          <w:rPr>
            <w:rStyle w:val="Hyperlink"/>
            <w:rFonts w:ascii="Cambria" w:hAnsi="Cambria"/>
            <w:sz w:val="20"/>
            <w:szCs w:val="20"/>
            <w:u w:val="none"/>
          </w:rPr>
          <w:t>25-</w:t>
        </w:r>
        <w:r w:rsidR="00DF58D5" w:rsidRPr="00450805">
          <w:rPr>
            <w:rStyle w:val="Hyperlink"/>
            <w:rFonts w:ascii="Cambria" w:hAnsi="Cambria"/>
            <w:sz w:val="20"/>
            <w:szCs w:val="20"/>
            <w:u w:val="none"/>
          </w:rPr>
          <w:t>‍</w:t>
        </w:r>
        <w:r w:rsidRPr="00450805">
          <w:rPr>
            <w:rStyle w:val="Hyperlink"/>
            <w:rFonts w:ascii="Cambria" w:hAnsi="Cambria"/>
            <w:sz w:val="20"/>
            <w:szCs w:val="20"/>
            <w:u w:val="none"/>
          </w:rPr>
          <w:t>04</w:t>
        </w:r>
      </w:hyperlink>
      <w:r w:rsidRPr="00450805">
        <w:rPr>
          <w:rFonts w:ascii="Cambria" w:hAnsi="Cambria"/>
          <w:sz w:val="20"/>
          <w:szCs w:val="20"/>
        </w:rPr>
        <w:t xml:space="preserve"> no ofrecía una definición de ninguno de los dos términos y que solo ofrece una definición de «capacidad de cría de entrada». Japón entendió que, en el modelo del plan de ordenación de la cría, el término «capacidad» se refiere a la capacidad de cría máxima y que «capacidad de entrada» se refiere a la cantidad prevista de capturas en estado salvaje durante esa temporada de pesca.</w:t>
      </w:r>
    </w:p>
    <w:p w14:paraId="48EC62CE" w14:textId="77777777" w:rsidR="00BE0BAB" w:rsidRPr="00450805" w:rsidRDefault="00BE0BAB" w:rsidP="00BE0BAB">
      <w:pPr>
        <w:spacing w:after="0" w:line="240" w:lineRule="auto"/>
        <w:jc w:val="both"/>
        <w:rPr>
          <w:rFonts w:ascii="Cambria" w:eastAsia="Yu Gothic" w:hAnsi="Cambria" w:cs="Times New Roman"/>
          <w:kern w:val="2"/>
          <w:sz w:val="20"/>
          <w:szCs w:val="20"/>
          <w14:ligatures w14:val="standardContextual"/>
        </w:rPr>
      </w:pPr>
    </w:p>
    <w:p w14:paraId="2F974C02" w14:textId="77777777" w:rsidR="00BE0BAB" w:rsidRPr="00450805" w:rsidRDefault="00BE0BAB" w:rsidP="00BE0BAB">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y varias CPC compartieron la opinión de Japón. </w:t>
      </w:r>
    </w:p>
    <w:p w14:paraId="5A4BB407" w14:textId="77777777" w:rsidR="00BE0BAB" w:rsidRPr="00450805" w:rsidRDefault="00BE0BAB" w:rsidP="00BE0BAB">
      <w:pPr>
        <w:spacing w:after="0" w:line="240" w:lineRule="auto"/>
        <w:jc w:val="both"/>
        <w:rPr>
          <w:rFonts w:ascii="Cambria" w:eastAsia="Yu Gothic" w:hAnsi="Cambria" w:cs="Times New Roman"/>
          <w:kern w:val="2"/>
          <w:sz w:val="20"/>
          <w:szCs w:val="20"/>
          <w14:ligatures w14:val="standardContextual"/>
        </w:rPr>
      </w:pPr>
    </w:p>
    <w:p w14:paraId="25465F70" w14:textId="46D0D0C8" w:rsidR="00BE0BAB" w:rsidRPr="00450805" w:rsidRDefault="00BE0BAB" w:rsidP="00BE0BAB">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señaló que, si bien las CPC pueden incluir tanto la «capacidad» como la «capacidad de entrada» en sus planes de ordenación de la cría, la obligación en virtud de la </w:t>
      </w:r>
      <w:hyperlink r:id="rId19" w:history="1">
        <w:r w:rsidRPr="00450805">
          <w:rPr>
            <w:rStyle w:val="Hyperlink"/>
            <w:rFonts w:ascii="Cambria" w:hAnsi="Cambria"/>
            <w:sz w:val="20"/>
            <w:szCs w:val="20"/>
            <w:u w:val="none"/>
          </w:rPr>
          <w:t>Rec. 25-04</w:t>
        </w:r>
      </w:hyperlink>
      <w:r w:rsidRPr="00450805">
        <w:rPr>
          <w:rFonts w:ascii="Cambria" w:hAnsi="Cambria"/>
          <w:sz w:val="20"/>
          <w:szCs w:val="20"/>
        </w:rPr>
        <w:t xml:space="preserve"> es únicamente indicar la capacidad total de entrada de peces en estado salvaje, es decir, la «capacidad de entrada». Explicó que las CPC deben asegurarse de que su capacidad total de entrada sea acorde con su cuota disponible y que, si la capacidad de entrada de una CPC es mayor que su cuota, se espera que ello signifique que dicha CPC importará peces vivos de otras CPC.</w:t>
      </w:r>
    </w:p>
    <w:p w14:paraId="17C81EF0" w14:textId="77777777" w:rsidR="00BE0BAB" w:rsidRPr="00450805" w:rsidRDefault="00BE0BAB" w:rsidP="00BE0BAB">
      <w:pPr>
        <w:spacing w:after="0" w:line="240" w:lineRule="auto"/>
        <w:jc w:val="both"/>
        <w:rPr>
          <w:rFonts w:ascii="Cambria" w:eastAsia="Yu Gothic" w:hAnsi="Cambria" w:cs="Times New Roman"/>
          <w:kern w:val="2"/>
          <w:sz w:val="20"/>
          <w:szCs w:val="20"/>
          <w14:ligatures w14:val="standardContextual"/>
        </w:rPr>
      </w:pPr>
    </w:p>
    <w:p w14:paraId="73578918" w14:textId="6109E238" w:rsidR="00BE0BAB" w:rsidRPr="00450805" w:rsidRDefault="00BE0BAB" w:rsidP="00BE0BAB">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señaló que podría ser necesario ofrecer definiciones más claras de los dos tipos de capacidad de cría a la hora de estudiar posibles enmiendas a la </w:t>
      </w:r>
      <w:hyperlink r:id="rId20" w:history="1">
        <w:r w:rsidRPr="00450805">
          <w:rPr>
            <w:rStyle w:val="Hyperlink"/>
            <w:rFonts w:ascii="Cambria" w:hAnsi="Cambria"/>
            <w:sz w:val="20"/>
            <w:szCs w:val="20"/>
            <w:u w:val="none"/>
          </w:rPr>
          <w:t>Rec. 25-04</w:t>
        </w:r>
      </w:hyperlink>
      <w:r w:rsidRPr="00450805">
        <w:rPr>
          <w:rFonts w:ascii="Cambria" w:hAnsi="Cambria"/>
          <w:sz w:val="20"/>
          <w:szCs w:val="20"/>
        </w:rPr>
        <w:t>.</w:t>
      </w:r>
    </w:p>
    <w:p w14:paraId="37F8C82A" w14:textId="533878DA" w:rsidR="00B21336" w:rsidRPr="00450805" w:rsidRDefault="00B21336" w:rsidP="0025099A">
      <w:pPr>
        <w:spacing w:after="0" w:line="240" w:lineRule="auto"/>
        <w:jc w:val="both"/>
        <w:rPr>
          <w:rFonts w:ascii="Cambria" w:eastAsia="Yu Gothic" w:hAnsi="Cambria" w:cs="Times New Roman"/>
          <w:kern w:val="2"/>
          <w:sz w:val="20"/>
          <w:szCs w:val="20"/>
          <w14:ligatures w14:val="standardContextual"/>
        </w:rPr>
      </w:pPr>
    </w:p>
    <w:p w14:paraId="38811C5C" w14:textId="34DD6F66" w:rsidR="00BE0BAB" w:rsidRPr="00450805" w:rsidRDefault="00863080" w:rsidP="0025099A">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Obligación de presentar un plan de pesca incluso en caso de transferencia de la totalidad de la cuota</w:t>
      </w:r>
    </w:p>
    <w:p w14:paraId="42076DEE" w14:textId="2E076F3A"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p>
    <w:p w14:paraId="6E42CF5F" w14:textId="2A75DD3A" w:rsidR="00863080" w:rsidRPr="00450805" w:rsidRDefault="00863080"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Los miembros de la Subcomisión 2 no tenían claro, en un principio, si una CPC que haya recibido una cuota está obligada a presentar un plan de pesca en caso de que tenga la intención de transferir la totalidad de su cuota y no pretenda pescarla ella misma. Tras las deliberaciones, los miembros de la Subcomisión 2 acordaron que todas las CPC a las que se haya asignado una cuota deben presentar un plan de pesca, incluso en el caso de que vayan a transferir la totalidad de su cuota, señalando que así se estipula claramente en el párrafo 10 de la </w:t>
      </w:r>
      <w:hyperlink r:id="rId21" w:history="1">
        <w:r w:rsidRPr="00450805">
          <w:rPr>
            <w:rStyle w:val="Hyperlink"/>
            <w:rFonts w:ascii="Cambria" w:hAnsi="Cambria"/>
            <w:sz w:val="20"/>
            <w:szCs w:val="20"/>
            <w:u w:val="none"/>
          </w:rPr>
          <w:t>Rec. 25-04</w:t>
        </w:r>
      </w:hyperlink>
      <w:r w:rsidRPr="00450805">
        <w:rPr>
          <w:rFonts w:ascii="Cambria" w:hAnsi="Cambria"/>
          <w:sz w:val="20"/>
          <w:szCs w:val="20"/>
        </w:rPr>
        <w:t>. Se señaló que esto también era importante desde el punto de vista de garantizar la transparencia.</w:t>
      </w:r>
    </w:p>
    <w:p w14:paraId="06B4BD6F" w14:textId="5ED40A1D" w:rsidR="00CA1B88" w:rsidRPr="00450805" w:rsidRDefault="00CA1B88" w:rsidP="0025099A">
      <w:pPr>
        <w:spacing w:after="0" w:line="240" w:lineRule="auto"/>
        <w:jc w:val="both"/>
        <w:rPr>
          <w:rFonts w:ascii="Cambria" w:eastAsia="Yu Gothic" w:hAnsi="Cambria" w:cs="Times New Roman"/>
          <w:kern w:val="2"/>
          <w:sz w:val="20"/>
          <w:szCs w:val="20"/>
          <w14:ligatures w14:val="standardContextual"/>
        </w:rPr>
      </w:pPr>
    </w:p>
    <w:p w14:paraId="0794DC9F" w14:textId="63B418A5" w:rsidR="00CA1B88" w:rsidRPr="00450805" w:rsidRDefault="00CA1B88"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Varias CPC señalaron que una situación en la que un CPC solicita una asignación y luego transfiere la totalidad de su cuota es inusual y no se había previsto al redactar la </w:t>
      </w:r>
      <w:hyperlink r:id="rId22" w:history="1">
        <w:r w:rsidRPr="00450805">
          <w:rPr>
            <w:rStyle w:val="Hyperlink"/>
            <w:rFonts w:ascii="Cambria" w:hAnsi="Cambria"/>
            <w:sz w:val="20"/>
            <w:szCs w:val="20"/>
            <w:u w:val="none"/>
          </w:rPr>
          <w:t>Rec. 25-04</w:t>
        </w:r>
      </w:hyperlink>
      <w:r w:rsidRPr="00450805">
        <w:rPr>
          <w:rFonts w:ascii="Cambria" w:hAnsi="Cambria"/>
          <w:sz w:val="20"/>
          <w:szCs w:val="20"/>
        </w:rPr>
        <w:t>.</w:t>
      </w:r>
    </w:p>
    <w:p w14:paraId="7BE144EC" w14:textId="617E38A2" w:rsidR="00BE0BAB" w:rsidRDefault="00BE0BAB" w:rsidP="0025099A">
      <w:pPr>
        <w:spacing w:after="0" w:line="240" w:lineRule="auto"/>
        <w:jc w:val="both"/>
        <w:rPr>
          <w:rFonts w:ascii="Cambria" w:eastAsia="Yu Gothic" w:hAnsi="Cambria" w:cs="Times New Roman"/>
          <w:kern w:val="2"/>
          <w:sz w:val="20"/>
          <w:szCs w:val="20"/>
          <w14:ligatures w14:val="standardContextual"/>
        </w:rPr>
      </w:pPr>
    </w:p>
    <w:p w14:paraId="748E803F" w14:textId="77777777" w:rsidR="00F912AA" w:rsidRDefault="00F912AA" w:rsidP="0025099A">
      <w:pPr>
        <w:spacing w:after="0" w:line="240" w:lineRule="auto"/>
        <w:jc w:val="both"/>
        <w:rPr>
          <w:rFonts w:ascii="Cambria" w:eastAsia="Yu Gothic" w:hAnsi="Cambria" w:cs="Times New Roman"/>
          <w:kern w:val="2"/>
          <w:sz w:val="20"/>
          <w:szCs w:val="20"/>
          <w14:ligatures w14:val="standardContextual"/>
        </w:rPr>
      </w:pPr>
    </w:p>
    <w:p w14:paraId="7BF5F86A" w14:textId="77777777" w:rsidR="00F912AA" w:rsidRDefault="00F912AA" w:rsidP="0025099A">
      <w:pPr>
        <w:spacing w:after="0" w:line="240" w:lineRule="auto"/>
        <w:jc w:val="both"/>
        <w:rPr>
          <w:rFonts w:ascii="Cambria" w:eastAsia="Yu Gothic" w:hAnsi="Cambria" w:cs="Times New Roman"/>
          <w:kern w:val="2"/>
          <w:sz w:val="20"/>
          <w:szCs w:val="20"/>
          <w14:ligatures w14:val="standardContextual"/>
        </w:rPr>
      </w:pPr>
    </w:p>
    <w:p w14:paraId="316A1573" w14:textId="77777777" w:rsidR="00F912AA" w:rsidRPr="00450805" w:rsidRDefault="00F912AA" w:rsidP="0025099A">
      <w:pPr>
        <w:spacing w:after="0" w:line="240" w:lineRule="auto"/>
        <w:jc w:val="both"/>
        <w:rPr>
          <w:rFonts w:ascii="Cambria" w:eastAsia="Yu Gothic" w:hAnsi="Cambria" w:cs="Times New Roman"/>
          <w:kern w:val="2"/>
          <w:sz w:val="20"/>
          <w:szCs w:val="20"/>
          <w14:ligatures w14:val="standardContextual"/>
        </w:rPr>
      </w:pPr>
    </w:p>
    <w:p w14:paraId="424F7D69" w14:textId="6F03180E" w:rsidR="00020AED" w:rsidRPr="00450805" w:rsidRDefault="00020AED" w:rsidP="0025099A">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lastRenderedPageBreak/>
        <w:t>Capturas excepcionales de atún rojo por parte de Senegal en 2024</w:t>
      </w:r>
    </w:p>
    <w:p w14:paraId="36B80BF6" w14:textId="2B86EEB4" w:rsidR="00020AED" w:rsidRPr="00450805" w:rsidRDefault="00020AED" w:rsidP="0025099A">
      <w:pPr>
        <w:spacing w:after="0" w:line="240" w:lineRule="auto"/>
        <w:jc w:val="both"/>
        <w:rPr>
          <w:rFonts w:ascii="Cambria" w:eastAsia="Yu Gothic" w:hAnsi="Cambria" w:cs="Times New Roman"/>
          <w:kern w:val="2"/>
          <w:sz w:val="20"/>
          <w:szCs w:val="20"/>
          <w14:ligatures w14:val="standardContextual"/>
        </w:rPr>
      </w:pPr>
    </w:p>
    <w:p w14:paraId="72803D9D" w14:textId="32EFDBC0" w:rsidR="00020AED" w:rsidRPr="00450805" w:rsidRDefault="00646D52"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Al examinar el plan pesquero de Senegal, los miembros de la Subcomisión 2 recordaron las capturas excepcionales de atún rojo realizadas por Senegal en 2024. Algunas CPC solicitaron a Senegal que facilitara más información sobre las acciones emprendidas desde la anterior reunión intersesiones de la Subcomisión</w:t>
      </w:r>
      <w:r w:rsidR="00DF58D5" w:rsidRPr="00450805">
        <w:rPr>
          <w:rFonts w:ascii="Cambria" w:hAnsi="Cambria"/>
          <w:sz w:val="20"/>
          <w:szCs w:val="20"/>
        </w:rPr>
        <w:t> </w:t>
      </w:r>
      <w:r w:rsidRPr="00450805">
        <w:rPr>
          <w:rFonts w:ascii="Cambria" w:hAnsi="Cambria"/>
          <w:sz w:val="20"/>
          <w:szCs w:val="20"/>
        </w:rPr>
        <w:t>2.</w:t>
      </w:r>
    </w:p>
    <w:p w14:paraId="12EC99BF" w14:textId="19D2EDDC" w:rsidR="00646D52" w:rsidRPr="00450805" w:rsidRDefault="00646D52" w:rsidP="0025099A">
      <w:pPr>
        <w:spacing w:after="0" w:line="240" w:lineRule="auto"/>
        <w:jc w:val="both"/>
        <w:rPr>
          <w:rFonts w:ascii="Cambria" w:eastAsia="Yu Gothic" w:hAnsi="Cambria" w:cs="Times New Roman"/>
          <w:kern w:val="2"/>
          <w:sz w:val="20"/>
          <w:szCs w:val="20"/>
          <w14:ligatures w14:val="standardContextual"/>
        </w:rPr>
      </w:pPr>
    </w:p>
    <w:p w14:paraId="6D82C8CB" w14:textId="4D4EB947" w:rsidR="00EA1377" w:rsidRPr="00450805" w:rsidRDefault="00646D52"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En respuesta a ello, Senegal elaboró y presentó el documento «Informe sobre capturas excepcionales de atún rojo en </w:t>
      </w:r>
      <w:r w:rsidR="00DF58D5" w:rsidRPr="00450805">
        <w:rPr>
          <w:rFonts w:ascii="Cambria" w:hAnsi="Cambria"/>
          <w:sz w:val="20"/>
          <w:szCs w:val="20"/>
        </w:rPr>
        <w:t xml:space="preserve">Senegal» </w:t>
      </w:r>
      <w:r w:rsidRPr="00450805">
        <w:rPr>
          <w:rFonts w:ascii="Cambria" w:hAnsi="Cambria"/>
          <w:sz w:val="20"/>
          <w:szCs w:val="20"/>
        </w:rPr>
        <w:t xml:space="preserve">en el que se describen las medidas que ha adoptado. Se impuso al armador la sanción máxima prevista por la legislación senegalesa, que ya ha sido abonada en su totalidad. Las capturas fueron incautadas y el armador del buque corrió con los gastos de almacenamiento y despiece de dichos productos durante todo el tiempo que permanecieron almacenados, así como con los gastos de entrega al Ministerio de Familia y Solidaridad para su distribución en forma de donaciones a organizaciones benéficas y de interés público. Todo el atún rojo capturado se donó, principalmente a organizaciones benéficas y, en parte, a la investigación. Senegal también llevó a cabo un muestreo biológico del atún rojo capturado y presentó un informe sobre estas muestras al Grupo de especies de atún rojo (BFTSG) del Comité Permanente de Investigación y Estadísticas (SCRS). La recogida, el muestreo científico y la distribución de estos productos se llevaron a cabo entre enero y octubre de 2025. </w:t>
      </w:r>
    </w:p>
    <w:p w14:paraId="2AA0C083" w14:textId="77777777" w:rsidR="00EA1377" w:rsidRPr="00450805" w:rsidRDefault="00EA1377" w:rsidP="0025099A">
      <w:pPr>
        <w:spacing w:after="0" w:line="240" w:lineRule="auto"/>
        <w:jc w:val="both"/>
        <w:rPr>
          <w:rFonts w:ascii="Cambria" w:eastAsia="Yu Gothic" w:hAnsi="Cambria" w:cs="Times New Roman"/>
          <w:kern w:val="2"/>
          <w:sz w:val="20"/>
          <w:szCs w:val="20"/>
          <w14:ligatures w14:val="standardContextual"/>
        </w:rPr>
      </w:pPr>
    </w:p>
    <w:p w14:paraId="4BFBD09C" w14:textId="508BCE10" w:rsidR="00646D52" w:rsidRPr="00450805" w:rsidRDefault="00EA1377"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Senegal consideró que ha cumplido todas las orientaciones que se le han dado y que las medidas que ha adoptado son suficientes para resolver esta cuestión en el marco de la Subcomisión 2. Además, Senegal consider</w:t>
      </w:r>
      <w:r w:rsidR="00F9021A" w:rsidRPr="00450805">
        <w:rPr>
          <w:rFonts w:ascii="Cambria" w:hAnsi="Cambria"/>
          <w:sz w:val="20"/>
          <w:szCs w:val="20"/>
        </w:rPr>
        <w:t>a</w:t>
      </w:r>
      <w:r w:rsidRPr="00450805">
        <w:rPr>
          <w:rFonts w:ascii="Cambria" w:hAnsi="Cambria"/>
          <w:sz w:val="20"/>
          <w:szCs w:val="20"/>
        </w:rPr>
        <w:t xml:space="preserve"> que, dado que no se benefició de ninguna asignación en virtud de la </w:t>
      </w:r>
      <w:bookmarkStart w:id="2" w:name="_Hlk223783698"/>
      <w:r w:rsidRPr="00450805">
        <w:fldChar w:fldCharType="begin"/>
      </w:r>
      <w:r w:rsidR="00BB47A2" w:rsidRPr="00450805">
        <w:rPr>
          <w:rFonts w:ascii="Cambria" w:hAnsi="Cambria"/>
          <w:sz w:val="20"/>
          <w:szCs w:val="20"/>
        </w:rPr>
        <w:instrText>HYPERLINK "https://www.iccat.int/Documents/Recs/compendiopdf-s/2024-05-s.pdf"</w:instrText>
      </w:r>
      <w:r w:rsidRPr="00450805">
        <w:fldChar w:fldCharType="separate"/>
      </w:r>
      <w:r w:rsidRPr="00450805">
        <w:rPr>
          <w:rStyle w:val="Hyperlink"/>
          <w:rFonts w:ascii="Cambria" w:hAnsi="Cambria"/>
          <w:sz w:val="20"/>
          <w:szCs w:val="20"/>
          <w:u w:val="none"/>
        </w:rPr>
        <w:t>Rec. 24-05</w:t>
      </w:r>
      <w:r w:rsidRPr="00450805">
        <w:rPr>
          <w:rStyle w:val="Hyperlink"/>
          <w:rFonts w:ascii="Cambria" w:hAnsi="Cambria"/>
          <w:sz w:val="20"/>
          <w:szCs w:val="20"/>
          <w:u w:val="none"/>
        </w:rPr>
        <w:fldChar w:fldCharType="end"/>
      </w:r>
      <w:bookmarkEnd w:id="2"/>
      <w:r w:rsidRPr="00450805">
        <w:rPr>
          <w:rFonts w:ascii="Cambria" w:hAnsi="Cambria"/>
          <w:sz w:val="20"/>
          <w:szCs w:val="20"/>
        </w:rPr>
        <w:t xml:space="preserve">, </w:t>
      </w:r>
      <w:r w:rsidR="00E1360A" w:rsidRPr="00450805">
        <w:rPr>
          <w:rFonts w:ascii="Cambria" w:hAnsi="Cambria"/>
          <w:sz w:val="20"/>
          <w:szCs w:val="20"/>
        </w:rPr>
        <w:t xml:space="preserve">razón por la cual no se le había exigido un plan de pesca </w:t>
      </w:r>
      <w:r w:rsidR="00B45B39" w:rsidRPr="00450805">
        <w:rPr>
          <w:rFonts w:ascii="Cambria" w:hAnsi="Cambria"/>
          <w:sz w:val="20"/>
          <w:szCs w:val="20"/>
        </w:rPr>
        <w:t xml:space="preserve">en 2024, </w:t>
      </w:r>
      <w:r w:rsidRPr="00450805">
        <w:rPr>
          <w:rFonts w:ascii="Cambria" w:hAnsi="Cambria"/>
          <w:sz w:val="20"/>
          <w:szCs w:val="20"/>
        </w:rPr>
        <w:t>las disposiciones relativas a la devolución del exceso de captura no eran aplicables a este caso.</w:t>
      </w:r>
      <w:r w:rsidR="00B324F7" w:rsidRPr="00450805">
        <w:rPr>
          <w:rFonts w:ascii="Cambria" w:hAnsi="Cambria"/>
          <w:sz w:val="20"/>
          <w:szCs w:val="20"/>
        </w:rPr>
        <w:t xml:space="preserve"> Senegal </w:t>
      </w:r>
      <w:r w:rsidR="00A930C7" w:rsidRPr="00450805">
        <w:rPr>
          <w:rFonts w:ascii="Cambria" w:hAnsi="Cambria"/>
          <w:sz w:val="20"/>
          <w:szCs w:val="20"/>
        </w:rPr>
        <w:t xml:space="preserve">concluyó </w:t>
      </w:r>
      <w:r w:rsidR="00B324F7" w:rsidRPr="00450805">
        <w:rPr>
          <w:rFonts w:ascii="Cambria" w:hAnsi="Cambria"/>
          <w:sz w:val="20"/>
          <w:szCs w:val="20"/>
        </w:rPr>
        <w:t xml:space="preserve">que </w:t>
      </w:r>
      <w:r w:rsidR="00D14F3E" w:rsidRPr="00450805">
        <w:rPr>
          <w:rFonts w:ascii="Cambria" w:hAnsi="Cambria"/>
          <w:sz w:val="20"/>
          <w:szCs w:val="20"/>
        </w:rPr>
        <w:t xml:space="preserve">la devolución </w:t>
      </w:r>
      <w:r w:rsidR="00B324F7" w:rsidRPr="00450805">
        <w:rPr>
          <w:rFonts w:ascii="Cambria" w:hAnsi="Cambria"/>
          <w:sz w:val="20"/>
          <w:szCs w:val="20"/>
        </w:rPr>
        <w:t>en este caso concreto carec</w:t>
      </w:r>
      <w:r w:rsidR="00A930C7" w:rsidRPr="00450805">
        <w:rPr>
          <w:rFonts w:ascii="Cambria" w:hAnsi="Cambria"/>
          <w:sz w:val="20"/>
          <w:szCs w:val="20"/>
        </w:rPr>
        <w:t xml:space="preserve">ía </w:t>
      </w:r>
      <w:r w:rsidR="00B324F7" w:rsidRPr="00450805">
        <w:rPr>
          <w:rFonts w:ascii="Cambria" w:hAnsi="Cambria"/>
          <w:sz w:val="20"/>
          <w:szCs w:val="20"/>
        </w:rPr>
        <w:t>de fundamento jurídico.</w:t>
      </w:r>
    </w:p>
    <w:p w14:paraId="14A7AEBE" w14:textId="7FE76EC9" w:rsidR="00EA1377" w:rsidRPr="00450805" w:rsidRDefault="00EA1377" w:rsidP="0025099A">
      <w:pPr>
        <w:spacing w:after="0" w:line="240" w:lineRule="auto"/>
        <w:jc w:val="both"/>
        <w:rPr>
          <w:rFonts w:ascii="Cambria" w:eastAsia="Yu Gothic" w:hAnsi="Cambria" w:cs="Times New Roman"/>
          <w:kern w:val="2"/>
          <w:sz w:val="20"/>
          <w:szCs w:val="20"/>
          <w14:ligatures w14:val="standardContextual"/>
        </w:rPr>
      </w:pPr>
    </w:p>
    <w:p w14:paraId="6C9204F6" w14:textId="4E691775" w:rsidR="00EA1377" w:rsidRPr="00450805" w:rsidRDefault="00741B38"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La UE y Estados Unidos agradecieron a Senegal la información de seguimiento facilitada. Sin embargo, no estaban de acuerdo con el razonamiento de que, dado que Senegal no tenía una cuota asignada, no tenía que devolver el exceso de captura. Advirtieron de que, si las disposiciones relativas a la devolución no se aplicaban a las CPC que no contaban con una cuota, dichas CPC no tendrían ningún incentivo para hacerse miembros de la Subcomisión 2 y solicitar una cuota como parte de dicha Subcomisión.</w:t>
      </w:r>
    </w:p>
    <w:p w14:paraId="267B43EA" w14:textId="61E91F4E" w:rsidR="00413D72" w:rsidRPr="00450805" w:rsidRDefault="00413D72" w:rsidP="0025099A">
      <w:pPr>
        <w:spacing w:after="0" w:line="240" w:lineRule="auto"/>
        <w:jc w:val="both"/>
        <w:rPr>
          <w:rFonts w:ascii="Cambria" w:eastAsia="Yu Gothic" w:hAnsi="Cambria" w:cs="Times New Roman"/>
          <w:kern w:val="2"/>
          <w:sz w:val="20"/>
          <w:szCs w:val="20"/>
          <w14:ligatures w14:val="standardContextual"/>
        </w:rPr>
      </w:pPr>
    </w:p>
    <w:p w14:paraId="4762CF1F" w14:textId="6FBA9211" w:rsidR="00413D72" w:rsidRPr="00450805" w:rsidRDefault="00413D72"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Los miembros de la Subcomisión 2 no llegaron a un consenso sobre si las disposiciones relativas a la devolución se aplican o no a las CPC que no cuentan con una cuota.</w:t>
      </w:r>
    </w:p>
    <w:p w14:paraId="63827F86" w14:textId="20632082" w:rsidR="00413D72" w:rsidRPr="00450805" w:rsidRDefault="00413D72" w:rsidP="0025099A">
      <w:pPr>
        <w:spacing w:after="0" w:line="240" w:lineRule="auto"/>
        <w:jc w:val="both"/>
        <w:rPr>
          <w:rFonts w:ascii="Cambria" w:eastAsia="Yu Gothic" w:hAnsi="Cambria" w:cs="Times New Roman"/>
          <w:kern w:val="2"/>
          <w:sz w:val="20"/>
          <w:szCs w:val="20"/>
          <w14:ligatures w14:val="standardContextual"/>
        </w:rPr>
      </w:pPr>
    </w:p>
    <w:p w14:paraId="15E2D320" w14:textId="148ABF86" w:rsidR="00413D72" w:rsidRPr="00450805" w:rsidRDefault="00413D72"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sugirió que, si alguna CPC consideraba que era necesario perfilar y aclarar más las disposiciones relativas a la devolución, podía elaborar una propuesta concreta al respecto. El presidente sugirió que dicha propuesta abarcara las disposiciones de devolución de forma general para todas las especies de ICCAT, y no solo para el atún rojo, y que se presentara a un órgano distinto a la Subcomisión 2, como el Grupo de Trabajo Permanente para la Mejora de las Estadísticas y las Medidas de Conservación de ICCAT (GTP), el Comité de Cumplimiento (COC) o la Comisión.</w:t>
      </w:r>
    </w:p>
    <w:p w14:paraId="43BAE8DE" w14:textId="29A26F04" w:rsidR="00EA1377" w:rsidRPr="00450805" w:rsidRDefault="00EA1377" w:rsidP="0025099A">
      <w:pPr>
        <w:spacing w:after="0" w:line="240" w:lineRule="auto"/>
        <w:jc w:val="both"/>
        <w:rPr>
          <w:rFonts w:ascii="Cambria" w:eastAsia="Yu Gothic" w:hAnsi="Cambria" w:cs="Times New Roman"/>
          <w:kern w:val="2"/>
          <w:sz w:val="20"/>
          <w:szCs w:val="20"/>
          <w14:ligatures w14:val="standardContextual"/>
        </w:rPr>
      </w:pPr>
    </w:p>
    <w:p w14:paraId="5789B715" w14:textId="703ED6A5" w:rsidR="00413D72" w:rsidRPr="00450805" w:rsidRDefault="00413D72"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La UE acogió con satisfacción la sugerencia y declaró que estudiaría la posibilidad de elaborar una propuesta de ese tipo.</w:t>
      </w:r>
    </w:p>
    <w:p w14:paraId="78017E38" w14:textId="29CF053A" w:rsidR="00020AED" w:rsidRPr="00450805" w:rsidRDefault="00020AED" w:rsidP="0025099A">
      <w:pPr>
        <w:spacing w:after="0" w:line="240" w:lineRule="auto"/>
        <w:jc w:val="both"/>
        <w:rPr>
          <w:rFonts w:ascii="Cambria" w:eastAsia="Yu Gothic" w:hAnsi="Cambria" w:cs="Times New Roman"/>
          <w:kern w:val="2"/>
          <w:sz w:val="20"/>
          <w:szCs w:val="20"/>
          <w14:ligatures w14:val="standardContextual"/>
        </w:rPr>
      </w:pPr>
    </w:p>
    <w:p w14:paraId="4277107A" w14:textId="5762C43B" w:rsidR="006F6E2D" w:rsidRPr="00450805" w:rsidRDefault="006F6E2D" w:rsidP="006F6E2D">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szCs w:val="20"/>
        </w:rPr>
        <w:t>4.2 Atlántico occidental</w:t>
      </w:r>
    </w:p>
    <w:p w14:paraId="385D21E9" w14:textId="7D750CDD" w:rsidR="007F0E9E" w:rsidRPr="00450805" w:rsidRDefault="007F0E9E" w:rsidP="00976D18">
      <w:pPr>
        <w:spacing w:after="0" w:line="240" w:lineRule="auto"/>
        <w:contextualSpacing/>
        <w:jc w:val="both"/>
        <w:rPr>
          <w:rFonts w:ascii="Cambria" w:eastAsia="Yu Gothic" w:hAnsi="Cambria" w:cs="Times New Roman"/>
          <w:kern w:val="2"/>
          <w:sz w:val="20"/>
          <w:szCs w:val="20"/>
          <w14:ligatures w14:val="standardContextual"/>
        </w:rPr>
      </w:pPr>
    </w:p>
    <w:p w14:paraId="0E7B85A8" w14:textId="68A7FD05" w:rsidR="00024C81" w:rsidRPr="00450805" w:rsidRDefault="00024C81" w:rsidP="00976D18">
      <w:pPr>
        <w:spacing w:after="0" w:line="240" w:lineRule="auto"/>
        <w:contextualSpacing/>
        <w:jc w:val="both"/>
        <w:rPr>
          <w:rFonts w:ascii="Cambria" w:eastAsia="Yu Gothic" w:hAnsi="Cambria" w:cs="Times New Roman"/>
          <w:bCs/>
          <w:i/>
          <w:iCs/>
          <w:kern w:val="2"/>
          <w:sz w:val="20"/>
          <w:szCs w:val="20"/>
          <w14:ligatures w14:val="standardContextual"/>
        </w:rPr>
      </w:pPr>
      <w:r w:rsidRPr="00450805">
        <w:rPr>
          <w:rFonts w:ascii="Cambria" w:hAnsi="Cambria"/>
          <w:bCs/>
          <w:i/>
          <w:sz w:val="20"/>
          <w:szCs w:val="20"/>
        </w:rPr>
        <w:t>Proyecto de modelo para el plan de pesca/ordenación del atún rojo del Atlántico oeste</w:t>
      </w:r>
    </w:p>
    <w:p w14:paraId="6AE25D06" w14:textId="77777777" w:rsidR="00024C81" w:rsidRPr="00450805" w:rsidRDefault="00024C81" w:rsidP="00976D18">
      <w:pPr>
        <w:spacing w:after="0" w:line="240" w:lineRule="auto"/>
        <w:contextualSpacing/>
        <w:jc w:val="both"/>
        <w:rPr>
          <w:rFonts w:ascii="Cambria" w:eastAsia="Yu Gothic" w:hAnsi="Cambria" w:cs="Times New Roman"/>
          <w:kern w:val="2"/>
          <w:sz w:val="20"/>
          <w:szCs w:val="20"/>
          <w14:ligatures w14:val="standardContextual"/>
        </w:rPr>
      </w:pPr>
    </w:p>
    <w:p w14:paraId="6CBFE8CA" w14:textId="7E6E7CBB" w:rsidR="006F6E2D" w:rsidRPr="00450805" w:rsidRDefault="00976D18" w:rsidP="00976D18">
      <w:pPr>
        <w:spacing w:after="0" w:line="240" w:lineRule="auto"/>
        <w:contextualSpacing/>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presentó un proyecto de modelo para el plan de pesca y ordenación del atún rojo del Atlántico occidental y explicó el proceso mediante el cual se había elaborado. </w:t>
      </w:r>
      <w:r w:rsidR="000C2E9C" w:rsidRPr="00450805">
        <w:rPr>
          <w:rFonts w:ascii="Cambria" w:hAnsi="Cambria"/>
          <w:sz w:val="20"/>
          <w:szCs w:val="20"/>
        </w:rPr>
        <w:t xml:space="preserve">En su intervención, el presidente confirmó que la Comisión acordó, en la reunión anual de 2025, que los planes de pesca del </w:t>
      </w:r>
      <w:r w:rsidR="00832DA8" w:rsidRPr="00450805">
        <w:rPr>
          <w:rFonts w:ascii="Cambria" w:hAnsi="Cambria"/>
          <w:sz w:val="20"/>
          <w:szCs w:val="20"/>
        </w:rPr>
        <w:t xml:space="preserve">atún rojo del oeste </w:t>
      </w:r>
      <w:r w:rsidR="000C2E9C" w:rsidRPr="00450805">
        <w:rPr>
          <w:rFonts w:ascii="Cambria" w:hAnsi="Cambria"/>
          <w:sz w:val="20"/>
          <w:szCs w:val="20"/>
        </w:rPr>
        <w:t>tendrían carácter retroactivo (es decir, un plan presentado en 2026 se referiría a</w:t>
      </w:r>
      <w:r w:rsidR="00832DA8" w:rsidRPr="00450805">
        <w:rPr>
          <w:rFonts w:ascii="Cambria" w:hAnsi="Cambria"/>
          <w:sz w:val="20"/>
          <w:szCs w:val="20"/>
        </w:rPr>
        <w:t xml:space="preserve">l año de pesca </w:t>
      </w:r>
      <w:r w:rsidR="000C2E9C" w:rsidRPr="00450805">
        <w:rPr>
          <w:rFonts w:ascii="Cambria" w:hAnsi="Cambria"/>
          <w:sz w:val="20"/>
          <w:szCs w:val="20"/>
        </w:rPr>
        <w:t xml:space="preserve">anterior). </w:t>
      </w:r>
      <w:r w:rsidRPr="00450805">
        <w:rPr>
          <w:rFonts w:ascii="Cambria" w:hAnsi="Cambria"/>
          <w:sz w:val="20"/>
          <w:szCs w:val="20"/>
        </w:rPr>
        <w:t>La Secretaría de ICCAT había elaborado un proyecto de modelo en consulta con el presidente y lo había distribuido a los miembros de la Subcomisión 2 para que formularan sus observaciones. La Secretaría de ICCAT recibió, dentro del plazo establecido, comunicaciones de Canadá, Japón y Estados Unidos. A continuación, el presidente revisó el proyecto de modelo, tratando de reflejar en la medida de lo posible estos comentarios. No obstante, quedaban dos cuestiones —relativas a la inclusión de las reservas de capturas fortuitas y a la pesca deportiva— que requerían un debate más a fondo.</w:t>
      </w:r>
    </w:p>
    <w:p w14:paraId="6CFEEDAC" w14:textId="79597DE9" w:rsidR="006F6E2D" w:rsidRPr="00450805" w:rsidRDefault="006F6E2D" w:rsidP="006F6E2D">
      <w:pPr>
        <w:spacing w:after="0" w:line="240" w:lineRule="auto"/>
        <w:contextualSpacing/>
        <w:jc w:val="both"/>
        <w:rPr>
          <w:rFonts w:ascii="Cambria" w:eastAsia="Yu Gothic" w:hAnsi="Cambria" w:cs="Times New Roman"/>
          <w:kern w:val="2"/>
          <w:sz w:val="20"/>
          <w:szCs w:val="20"/>
          <w14:ligatures w14:val="standardContextual"/>
        </w:rPr>
      </w:pPr>
    </w:p>
    <w:p w14:paraId="4CCBD5A3" w14:textId="4EAEC1F2" w:rsidR="008B4E7E" w:rsidRPr="00450805" w:rsidRDefault="00ED24BC" w:rsidP="006F6E2D">
      <w:pPr>
        <w:spacing w:after="0" w:line="240" w:lineRule="auto"/>
        <w:contextualSpacing/>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explicó que la sección relativa a la reserva de capturas fortuitas se refiere a cualquier captura fortuita de atún rojo por parte de otras pesquerías, tal y como ocurre en los planes de pesca del Atlántico oriental y el Mediterráneo. Sugirió que se añadiera «si la hubiere» para indicar que la descripción de la reserva de capturas fortuitas es voluntaria, no obligatoria. Los miembros de la Subcomisión 2 aprobaron el borrador propuesto por el presidente. </w:t>
      </w:r>
    </w:p>
    <w:p w14:paraId="355A7CA5" w14:textId="77777777" w:rsidR="008B4E7E" w:rsidRPr="00450805" w:rsidRDefault="008B4E7E" w:rsidP="006F6E2D">
      <w:pPr>
        <w:spacing w:after="0" w:line="240" w:lineRule="auto"/>
        <w:contextualSpacing/>
        <w:jc w:val="both"/>
        <w:rPr>
          <w:rFonts w:ascii="Cambria" w:eastAsia="Yu Gothic" w:hAnsi="Cambria" w:cs="Times New Roman"/>
          <w:kern w:val="2"/>
          <w:sz w:val="20"/>
          <w:szCs w:val="20"/>
          <w14:ligatures w14:val="standardContextual"/>
        </w:rPr>
      </w:pPr>
    </w:p>
    <w:p w14:paraId="2C009C92" w14:textId="373BCF9D" w:rsidR="008B4E7E" w:rsidRPr="00450805" w:rsidRDefault="008B4E7E" w:rsidP="006F6E2D">
      <w:pPr>
        <w:spacing w:after="0" w:line="240" w:lineRule="auto"/>
        <w:contextualSpacing/>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explicó que una CPC había sugerido que no era necesario incluir en el plan la pesca deportiva del atún rojo, ya que no existía este tipo de pesca en el Atlántico occidental. El presidente propuso mantener la pesca deportiva en el modelo para evitar que se interpretara erróneamente que la pesca deportiva queda excluida de los planes de pesca. Los miembros de la Subcomisión 2 respaldaron la sugerencia del presidente. </w:t>
      </w:r>
    </w:p>
    <w:p w14:paraId="00008F15" w14:textId="77777777" w:rsidR="008B4E7E" w:rsidRPr="00450805" w:rsidRDefault="008B4E7E" w:rsidP="006F6E2D">
      <w:pPr>
        <w:spacing w:after="0" w:line="240" w:lineRule="auto"/>
        <w:contextualSpacing/>
        <w:jc w:val="both"/>
        <w:rPr>
          <w:rFonts w:ascii="Cambria" w:eastAsia="Yu Gothic" w:hAnsi="Cambria" w:cs="Times New Roman"/>
          <w:kern w:val="2"/>
          <w:sz w:val="20"/>
          <w:szCs w:val="20"/>
          <w14:ligatures w14:val="standardContextual"/>
        </w:rPr>
      </w:pPr>
    </w:p>
    <w:p w14:paraId="79404CA7" w14:textId="1F27B97A" w:rsidR="009C6CA6" w:rsidRPr="00450805" w:rsidRDefault="00EF5470" w:rsidP="006F6E2D">
      <w:pPr>
        <w:spacing w:after="0" w:line="240" w:lineRule="auto"/>
        <w:contextualSpacing/>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Los miembros de la Subcomisión 2 aprobaron el modelo revisado, que se adjunta como </w:t>
      </w:r>
      <w:r w:rsidRPr="00450805">
        <w:rPr>
          <w:rFonts w:ascii="Cambria" w:hAnsi="Cambria"/>
          <w:b/>
          <w:bCs/>
          <w:sz w:val="20"/>
          <w:szCs w:val="20"/>
        </w:rPr>
        <w:t>apéndice 4.</w:t>
      </w:r>
      <w:r w:rsidR="008A6214" w:rsidRPr="00450805">
        <w:rPr>
          <w:rFonts w:ascii="Cambria" w:hAnsi="Cambria"/>
          <w:b/>
          <w:bCs/>
          <w:sz w:val="20"/>
          <w:szCs w:val="20"/>
        </w:rPr>
        <w:t xml:space="preserve"> </w:t>
      </w:r>
      <w:r w:rsidR="008A6214" w:rsidRPr="00450805">
        <w:rPr>
          <w:rFonts w:ascii="Cambria" w:hAnsi="Cambria"/>
          <w:sz w:val="20"/>
          <w:szCs w:val="20"/>
        </w:rPr>
        <w:t xml:space="preserve">Este modelo se publicará en el sitio web de ICCAT </w:t>
      </w:r>
      <w:r w:rsidR="005318D3" w:rsidRPr="00450805">
        <w:rPr>
          <w:rFonts w:ascii="Cambria" w:hAnsi="Cambria"/>
          <w:sz w:val="20"/>
          <w:szCs w:val="20"/>
        </w:rPr>
        <w:t>con la referencia</w:t>
      </w:r>
      <w:r w:rsidR="008A6214" w:rsidRPr="00450805">
        <w:rPr>
          <w:rFonts w:ascii="Cambria" w:hAnsi="Cambria"/>
          <w:sz w:val="20"/>
          <w:szCs w:val="20"/>
        </w:rPr>
        <w:t xml:space="preserve"> CP62-WBFTPlan.</w:t>
      </w:r>
    </w:p>
    <w:p w14:paraId="5DD0FFE3" w14:textId="68B5F8CD" w:rsidR="00EF5470" w:rsidRPr="00450805" w:rsidRDefault="00EF5470" w:rsidP="006F6E2D">
      <w:pPr>
        <w:spacing w:after="0" w:line="240" w:lineRule="auto"/>
        <w:contextualSpacing/>
        <w:jc w:val="both"/>
        <w:rPr>
          <w:rFonts w:ascii="Cambria" w:eastAsia="Yu Gothic" w:hAnsi="Cambria" w:cs="Times New Roman"/>
          <w:kern w:val="2"/>
          <w:sz w:val="20"/>
          <w:szCs w:val="20"/>
          <w14:ligatures w14:val="standardContextual"/>
        </w:rPr>
      </w:pPr>
    </w:p>
    <w:p w14:paraId="53573D56" w14:textId="2B61640C" w:rsidR="00024C81" w:rsidRPr="00450805" w:rsidRDefault="00024C81" w:rsidP="00024C81">
      <w:pPr>
        <w:spacing w:after="0" w:line="240" w:lineRule="auto"/>
        <w:contextualSpacing/>
        <w:jc w:val="both"/>
        <w:rPr>
          <w:rFonts w:ascii="Cambria" w:eastAsia="Yu Gothic" w:hAnsi="Cambria" w:cs="Times New Roman"/>
          <w:bCs/>
          <w:i/>
          <w:iCs/>
          <w:kern w:val="2"/>
          <w:sz w:val="20"/>
          <w:szCs w:val="20"/>
          <w14:ligatures w14:val="standardContextual"/>
        </w:rPr>
      </w:pPr>
      <w:r w:rsidRPr="00450805">
        <w:rPr>
          <w:rFonts w:ascii="Cambria" w:hAnsi="Cambria"/>
          <w:bCs/>
          <w:i/>
          <w:sz w:val="20"/>
          <w:szCs w:val="20"/>
        </w:rPr>
        <w:t xml:space="preserve">Carta de la delegación estadounidense sobre las capturas de recreo de atún rojo del Atlántico occidental </w:t>
      </w:r>
    </w:p>
    <w:p w14:paraId="220D8DA3" w14:textId="77777777" w:rsidR="00024C81" w:rsidRPr="00450805" w:rsidRDefault="00024C81" w:rsidP="006F6E2D">
      <w:pPr>
        <w:spacing w:after="0" w:line="240" w:lineRule="auto"/>
        <w:contextualSpacing/>
        <w:jc w:val="both"/>
        <w:rPr>
          <w:rFonts w:ascii="Cambria" w:eastAsia="Yu Gothic" w:hAnsi="Cambria" w:cs="Times New Roman"/>
          <w:kern w:val="2"/>
          <w:sz w:val="20"/>
          <w:szCs w:val="20"/>
          <w14:ligatures w14:val="standardContextual"/>
        </w:rPr>
      </w:pPr>
    </w:p>
    <w:p w14:paraId="752CFB6D" w14:textId="27EBD546" w:rsidR="007C3E48" w:rsidRPr="00450805" w:rsidRDefault="007C3E48" w:rsidP="007C3E48">
      <w:pPr>
        <w:spacing w:after="0" w:line="240" w:lineRule="auto"/>
        <w:contextualSpacing/>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presentó </w:t>
      </w:r>
      <w:r w:rsidR="000C4FC3" w:rsidRPr="00450805">
        <w:rPr>
          <w:rFonts w:ascii="Cambria" w:hAnsi="Cambria"/>
          <w:sz w:val="20"/>
          <w:szCs w:val="20"/>
        </w:rPr>
        <w:t>el documento</w:t>
      </w:r>
      <w:r w:rsidR="004016BD" w:rsidRPr="00450805">
        <w:rPr>
          <w:rFonts w:ascii="Cambria" w:hAnsi="Cambria"/>
          <w:sz w:val="20"/>
          <w:szCs w:val="20"/>
        </w:rPr>
        <w:t xml:space="preserve"> “</w:t>
      </w:r>
      <w:r w:rsidR="004016BD" w:rsidRPr="00450805">
        <w:rPr>
          <w:rFonts w:ascii="Cambria" w:hAnsi="Cambria"/>
          <w:bCs/>
          <w:iCs/>
          <w:sz w:val="20"/>
          <w:szCs w:val="20"/>
        </w:rPr>
        <w:t>Carta de la delegación estadounidense sobre las capturas de recreo de atún rojo del Atlántico occidental”</w:t>
      </w:r>
      <w:r w:rsidR="000C4FC3" w:rsidRPr="00450805">
        <w:rPr>
          <w:rFonts w:ascii="Cambria" w:hAnsi="Cambria"/>
          <w:bCs/>
          <w:iCs/>
          <w:sz w:val="20"/>
          <w:szCs w:val="20"/>
        </w:rPr>
        <w:t xml:space="preserve"> </w:t>
      </w:r>
      <w:r w:rsidR="000C4FC3" w:rsidRPr="00450805">
        <w:rPr>
          <w:rFonts w:ascii="Cambria" w:hAnsi="Cambria"/>
          <w:sz w:val="20"/>
          <w:szCs w:val="20"/>
        </w:rPr>
        <w:t xml:space="preserve">que </w:t>
      </w:r>
      <w:r w:rsidRPr="00450805">
        <w:rPr>
          <w:rFonts w:ascii="Cambria" w:hAnsi="Cambria"/>
          <w:sz w:val="20"/>
          <w:szCs w:val="20"/>
        </w:rPr>
        <w:t xml:space="preserve">incluía una carta de la delegación de Estados Unidos en la que se manifestaba que los buques pesqueros occidentales no están obligados a contabilizar sus capturas recreativas de atún rojo dentro de su cuota, así como los comentarios recibidos de Canadá, la UE, Japón y el Reino Unido en respuesta a dicha carta. También presentaron declaraciones escritas Pew </w:t>
      </w:r>
      <w:proofErr w:type="spellStart"/>
      <w:r w:rsidRPr="00450805">
        <w:rPr>
          <w:rFonts w:ascii="Cambria" w:hAnsi="Cambria"/>
          <w:sz w:val="20"/>
          <w:szCs w:val="20"/>
        </w:rPr>
        <w:t>Charitable</w:t>
      </w:r>
      <w:proofErr w:type="spellEnd"/>
      <w:r w:rsidRPr="00450805">
        <w:rPr>
          <w:rFonts w:ascii="Cambria" w:hAnsi="Cambria"/>
          <w:sz w:val="20"/>
          <w:szCs w:val="20"/>
        </w:rPr>
        <w:t xml:space="preserve"> </w:t>
      </w:r>
      <w:proofErr w:type="spellStart"/>
      <w:r w:rsidRPr="00450805">
        <w:rPr>
          <w:rFonts w:ascii="Cambria" w:hAnsi="Cambria"/>
          <w:sz w:val="20"/>
          <w:szCs w:val="20"/>
        </w:rPr>
        <w:t>Trusts</w:t>
      </w:r>
      <w:proofErr w:type="spellEnd"/>
      <w:r w:rsidRPr="00450805">
        <w:rPr>
          <w:rFonts w:ascii="Cambria" w:hAnsi="Cambria"/>
          <w:sz w:val="20"/>
          <w:szCs w:val="20"/>
        </w:rPr>
        <w:t xml:space="preserve"> (Pew), </w:t>
      </w:r>
      <w:proofErr w:type="spellStart"/>
      <w:r w:rsidRPr="00450805">
        <w:rPr>
          <w:rFonts w:ascii="Cambria" w:hAnsi="Cambria"/>
          <w:sz w:val="20"/>
          <w:szCs w:val="20"/>
        </w:rPr>
        <w:t>Sciaena</w:t>
      </w:r>
      <w:proofErr w:type="spellEnd"/>
      <w:r w:rsidR="00A82B03" w:rsidRPr="00450805">
        <w:rPr>
          <w:rFonts w:ascii="Cambria" w:hAnsi="Cambria"/>
          <w:sz w:val="20"/>
          <w:szCs w:val="20"/>
        </w:rPr>
        <w:t xml:space="preserve"> </w:t>
      </w:r>
      <w:r w:rsidRPr="00450805">
        <w:rPr>
          <w:rFonts w:ascii="Cambria" w:hAnsi="Cambria"/>
          <w:sz w:val="20"/>
          <w:szCs w:val="20"/>
        </w:rPr>
        <w:t xml:space="preserve">y </w:t>
      </w:r>
      <w:proofErr w:type="spellStart"/>
      <w:r w:rsidR="001E124A" w:rsidRPr="00450805">
        <w:rPr>
          <w:rFonts w:ascii="Cambria" w:hAnsi="Cambria"/>
          <w:sz w:val="20"/>
          <w:szCs w:val="20"/>
        </w:rPr>
        <w:t>Ecology</w:t>
      </w:r>
      <w:proofErr w:type="spellEnd"/>
      <w:r w:rsidR="001E124A" w:rsidRPr="00450805">
        <w:rPr>
          <w:rFonts w:ascii="Cambria" w:hAnsi="Cambria"/>
          <w:sz w:val="20"/>
          <w:szCs w:val="20"/>
        </w:rPr>
        <w:t xml:space="preserve"> </w:t>
      </w:r>
      <w:proofErr w:type="spellStart"/>
      <w:r w:rsidR="001E124A" w:rsidRPr="00450805">
        <w:rPr>
          <w:rFonts w:ascii="Cambria" w:hAnsi="Cambria"/>
          <w:sz w:val="20"/>
          <w:szCs w:val="20"/>
        </w:rPr>
        <w:t>Action</w:t>
      </w:r>
      <w:proofErr w:type="spellEnd"/>
      <w:r w:rsidR="001E124A" w:rsidRPr="00450805">
        <w:rPr>
          <w:rFonts w:ascii="Cambria" w:hAnsi="Cambria"/>
          <w:sz w:val="20"/>
          <w:szCs w:val="20"/>
        </w:rPr>
        <w:t xml:space="preserve"> Centre (EAC)</w:t>
      </w:r>
      <w:r w:rsidRPr="00450805">
        <w:rPr>
          <w:rFonts w:ascii="Cambria" w:hAnsi="Cambria"/>
          <w:sz w:val="20"/>
          <w:szCs w:val="20"/>
        </w:rPr>
        <w:t xml:space="preserve">. </w:t>
      </w:r>
    </w:p>
    <w:p w14:paraId="47D577E1" w14:textId="77777777" w:rsidR="007C3E48" w:rsidRPr="00450805" w:rsidRDefault="007C3E48" w:rsidP="007C3E48">
      <w:pPr>
        <w:spacing w:after="0" w:line="240" w:lineRule="auto"/>
        <w:contextualSpacing/>
        <w:jc w:val="both"/>
        <w:rPr>
          <w:rFonts w:ascii="Cambria" w:eastAsia="Yu Gothic" w:hAnsi="Cambria" w:cs="Times New Roman"/>
          <w:kern w:val="2"/>
          <w:sz w:val="20"/>
          <w:szCs w:val="20"/>
          <w14:ligatures w14:val="standardContextual"/>
        </w:rPr>
      </w:pPr>
    </w:p>
    <w:p w14:paraId="51F79834" w14:textId="71E55159" w:rsidR="00FE0902" w:rsidRPr="00450805" w:rsidRDefault="00FE0902" w:rsidP="007C3E48">
      <w:pPr>
        <w:spacing w:after="0" w:line="240" w:lineRule="auto"/>
        <w:contextualSpacing/>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Estados Unidos señaló que, si bien la  </w:t>
      </w:r>
      <w:hyperlink r:id="rId23" w:history="1">
        <w:r w:rsidRPr="00450805">
          <w:rPr>
            <w:rStyle w:val="Hyperlink"/>
            <w:rFonts w:ascii="Cambria" w:hAnsi="Cambria"/>
            <w:sz w:val="20"/>
            <w:szCs w:val="20"/>
            <w:u w:val="none"/>
          </w:rPr>
          <w:t>Rec. 25-04</w:t>
        </w:r>
      </w:hyperlink>
      <w:r w:rsidRPr="00450805">
        <w:rPr>
          <w:rFonts w:ascii="Cambria" w:hAnsi="Cambria"/>
          <w:sz w:val="20"/>
          <w:szCs w:val="20"/>
        </w:rPr>
        <w:t xml:space="preserve">,  relativa a la ordenación del atún rojo en el Atlántico este y el Mediterráneo, establece específicamente, en su párrafo 42, que «las capturas muertas procedentes de la pesca deportiva y recreativa se descontarán de la cuota asignada a la CPC en virtud del párrafo 4», la </w:t>
      </w:r>
      <w:hyperlink r:id="rId24" w:history="1">
        <w:r w:rsidRPr="00450805">
          <w:rPr>
            <w:rFonts w:ascii="Cambria" w:hAnsi="Cambria"/>
            <w:i/>
            <w:iCs/>
            <w:color w:val="0000FF"/>
            <w:sz w:val="20"/>
            <w:szCs w:val="20"/>
          </w:rPr>
          <w:t>Recomendación de ICCAT que reemplaza la Recomendación 22-10 para un plan de conservación y ordenación para el atún rojo del Atlántico oeste</w:t>
        </w:r>
        <w:r w:rsidRPr="00450805">
          <w:rPr>
            <w:rFonts w:ascii="Cambria" w:hAnsi="Cambria"/>
            <w:color w:val="0000FF"/>
            <w:sz w:val="20"/>
            <w:szCs w:val="20"/>
          </w:rPr>
          <w:t xml:space="preserve"> (Rec. 25-05)</w:t>
        </w:r>
      </w:hyperlink>
      <w:r w:rsidRPr="00450805">
        <w:rPr>
          <w:rFonts w:ascii="Cambria" w:hAnsi="Cambria"/>
          <w:sz w:val="20"/>
          <w:szCs w:val="20"/>
        </w:rPr>
        <w:t xml:space="preserve"> relativa a la ordenación del atún rojo en el Atlántico occidental, no contiene ninguna disposición que exija a los pescadores occidentales hacer lo mismo. Estados Unidos señaló que sería jurídicamente incorrecto suponer que los pescadores occidentales están obligados a contabilizar sus capturas recreativas dentro de la cuota, a falta de una disposición específica en ese sentido. Estados Unidos también señaló que ha dedicado grandes esfuerzos y recursos a recopilar, compilar y comunicar datos sobre su pesquería de recreo a ICCAT, al tiempo que sugirió que la comunicación de datos sobre las pesquerías de recreo por parte de otras CPC ha sido inexistente o, en el mejor de los casos, esporádica. Estados Unidos subrayó que las CPC no pueden imponer nuev</w:t>
      </w:r>
      <w:r w:rsidR="00925E23" w:rsidRPr="00450805">
        <w:rPr>
          <w:rFonts w:ascii="Cambria" w:hAnsi="Cambria"/>
          <w:sz w:val="20"/>
          <w:szCs w:val="20"/>
        </w:rPr>
        <w:t>o</w:t>
      </w:r>
      <w:r w:rsidRPr="00450805">
        <w:rPr>
          <w:rFonts w:ascii="Cambria" w:hAnsi="Cambria"/>
          <w:sz w:val="20"/>
          <w:szCs w:val="20"/>
        </w:rPr>
        <w:t xml:space="preserve">s </w:t>
      </w:r>
      <w:r w:rsidR="00925E23" w:rsidRPr="00450805">
        <w:rPr>
          <w:rFonts w:ascii="Cambria" w:hAnsi="Cambria"/>
          <w:sz w:val="20"/>
          <w:szCs w:val="20"/>
        </w:rPr>
        <w:t xml:space="preserve">requisitos </w:t>
      </w:r>
      <w:r w:rsidRPr="00450805">
        <w:rPr>
          <w:rFonts w:ascii="Cambria" w:hAnsi="Cambria"/>
          <w:sz w:val="20"/>
          <w:szCs w:val="20"/>
        </w:rPr>
        <w:t>a otras CPC que no hayan sido debatid</w:t>
      </w:r>
      <w:r w:rsidR="00925E23" w:rsidRPr="00450805">
        <w:rPr>
          <w:rFonts w:ascii="Cambria" w:hAnsi="Cambria"/>
          <w:sz w:val="20"/>
          <w:szCs w:val="20"/>
        </w:rPr>
        <w:t>o</w:t>
      </w:r>
      <w:r w:rsidRPr="00450805">
        <w:rPr>
          <w:rFonts w:ascii="Cambria" w:hAnsi="Cambria"/>
          <w:sz w:val="20"/>
          <w:szCs w:val="20"/>
        </w:rPr>
        <w:t>s y acordad</w:t>
      </w:r>
      <w:r w:rsidR="00925E23" w:rsidRPr="00450805">
        <w:rPr>
          <w:rFonts w:ascii="Cambria" w:hAnsi="Cambria"/>
          <w:sz w:val="20"/>
          <w:szCs w:val="20"/>
        </w:rPr>
        <w:t>o</w:t>
      </w:r>
      <w:r w:rsidRPr="00450805">
        <w:rPr>
          <w:rFonts w:ascii="Cambria" w:hAnsi="Cambria"/>
          <w:sz w:val="20"/>
          <w:szCs w:val="20"/>
        </w:rPr>
        <w:t xml:space="preserve">s por consenso. Estados Unidos sugirió, sin embargo, que podría considerar la posibilidad de añadir una disposición a la </w:t>
      </w:r>
      <w:hyperlink r:id="rId25" w:history="1">
        <w:r w:rsidRPr="00450805">
          <w:rPr>
            <w:rFonts w:ascii="Cambria" w:hAnsi="Cambria"/>
            <w:color w:val="0000FF"/>
            <w:sz w:val="20"/>
            <w:szCs w:val="20"/>
          </w:rPr>
          <w:t>Rec. 25-05</w:t>
        </w:r>
      </w:hyperlink>
      <w:r w:rsidRPr="00450805">
        <w:rPr>
          <w:rFonts w:ascii="Cambria" w:hAnsi="Cambria"/>
          <w:sz w:val="20"/>
          <w:szCs w:val="20"/>
        </w:rPr>
        <w:t xml:space="preserve"> para exigir a los pescadores occidentales que contabilicen sus capturas recreativas dentro de la cuota, pero solo con condiciones que garanticen una mayor equidad, como un aumento de la cuota de los pescadores occidentales proporcional a la biomasa sostenible</w:t>
      </w:r>
      <w:r w:rsidR="00805023" w:rsidRPr="00450805">
        <w:rPr>
          <w:rFonts w:ascii="Cambria" w:hAnsi="Cambria"/>
          <w:sz w:val="20"/>
          <w:szCs w:val="20"/>
        </w:rPr>
        <w:t xml:space="preserve"> (B)</w:t>
      </w:r>
      <w:r w:rsidRPr="00450805">
        <w:rPr>
          <w:rFonts w:ascii="Cambria" w:hAnsi="Cambria"/>
          <w:sz w:val="20"/>
          <w:szCs w:val="20"/>
        </w:rPr>
        <w:t xml:space="preserve"> en el Atlántico occidental y la utilización de los  mejores datos científicos disponibles, incluido el método de marcado y recaptura de individuos estrechamente emparentados (CKMR).</w:t>
      </w:r>
    </w:p>
    <w:p w14:paraId="46B23D90" w14:textId="77777777" w:rsidR="00107437" w:rsidRPr="00450805" w:rsidRDefault="00107437" w:rsidP="007C3E48">
      <w:pPr>
        <w:spacing w:after="0" w:line="240" w:lineRule="auto"/>
        <w:contextualSpacing/>
        <w:jc w:val="both"/>
        <w:rPr>
          <w:rFonts w:ascii="Cambria" w:eastAsia="Yu Gothic" w:hAnsi="Cambria" w:cs="Times New Roman"/>
          <w:kern w:val="2"/>
          <w:sz w:val="20"/>
          <w:szCs w:val="20"/>
          <w14:ligatures w14:val="standardContextual"/>
        </w:rPr>
      </w:pPr>
    </w:p>
    <w:p w14:paraId="362BD71A" w14:textId="4C67CF76" w:rsidR="00024C81" w:rsidRPr="00450805" w:rsidRDefault="00024C81" w:rsidP="006F6E2D">
      <w:pPr>
        <w:spacing w:after="0" w:line="240" w:lineRule="auto"/>
        <w:contextualSpacing/>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sugirió que, si Estados Unidos consideraba que otras CPC no habían comunicado sus capturas recreativas, debería presentar las pruebas pertinentes y comunicar este asunto al COC. Estados Unidos respondió haciendo referencia a algunas cifras de la tabla de capturas del SCRS, y destacó que los pescadores de la costa este rara vez habían comunicado capturas recreativas, a pesar de que hay tantos barcos de pesca recreativa. </w:t>
      </w:r>
    </w:p>
    <w:p w14:paraId="3A3B24E0" w14:textId="77777777" w:rsidR="00024C81" w:rsidRPr="00450805" w:rsidRDefault="00024C81" w:rsidP="006F6E2D">
      <w:pPr>
        <w:spacing w:after="0" w:line="240" w:lineRule="auto"/>
        <w:contextualSpacing/>
        <w:jc w:val="both"/>
        <w:rPr>
          <w:rFonts w:ascii="Cambria" w:eastAsia="Yu Gothic" w:hAnsi="Cambria" w:cs="Times New Roman"/>
          <w:kern w:val="2"/>
          <w:sz w:val="20"/>
          <w:szCs w:val="20"/>
          <w14:ligatures w14:val="standardContextual"/>
        </w:rPr>
      </w:pPr>
    </w:p>
    <w:p w14:paraId="66A6CF3F" w14:textId="10C7A035" w:rsidR="00024C81" w:rsidRPr="00450805" w:rsidRDefault="007F26F1" w:rsidP="006F6E2D">
      <w:pPr>
        <w:spacing w:after="0" w:line="240" w:lineRule="auto"/>
        <w:contextualSpacing/>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La UE declaró que todas las capturas y toda la mortalidad deben descontarse de la cuota de las CPC. La UE señaló además que las capturas recreativas de atún rojo en Estados Unidos representan una gran parte de las capturas en el Atlántico occidental. La UE también hizo hincapié en la importancia de contabilizar todas las capturas muertas y señaló que cualquier captura no contabilizada tendría un impacto significativo y daría lugar a circunstancias excepcionales para el stock occidental, ya que el TAC actual se encuentra en el límite de lo que es científicamente viable. </w:t>
      </w:r>
    </w:p>
    <w:p w14:paraId="73CC65EF" w14:textId="77777777" w:rsidR="00024C81" w:rsidRPr="00450805" w:rsidRDefault="00024C81" w:rsidP="006F6E2D">
      <w:pPr>
        <w:spacing w:after="0" w:line="240" w:lineRule="auto"/>
        <w:contextualSpacing/>
        <w:jc w:val="both"/>
        <w:rPr>
          <w:rFonts w:ascii="Cambria" w:eastAsia="Yu Gothic" w:hAnsi="Cambria" w:cs="Times New Roman"/>
          <w:kern w:val="2"/>
          <w:sz w:val="20"/>
          <w:szCs w:val="20"/>
          <w14:ligatures w14:val="standardContextual"/>
        </w:rPr>
      </w:pPr>
    </w:p>
    <w:p w14:paraId="2784EA4E" w14:textId="2ED950ED" w:rsidR="006E2F2E" w:rsidRPr="00450805" w:rsidRDefault="00DE1959" w:rsidP="006F6E2D">
      <w:pPr>
        <w:spacing w:after="0" w:line="240" w:lineRule="auto"/>
        <w:contextualSpacing/>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Japón se hizo eco de la opinión de la UE de que toda la mortalidad debe contabilizarse a efectos del TAC, señalando que la </w:t>
      </w:r>
      <w:bookmarkStart w:id="3" w:name="_Hlk223884340"/>
      <w:r w:rsidRPr="00450805">
        <w:rPr>
          <w:rFonts w:ascii="Cambria" w:hAnsi="Cambria"/>
          <w:sz w:val="20"/>
          <w:szCs w:val="20"/>
        </w:rPr>
        <w:fldChar w:fldCharType="begin"/>
      </w:r>
      <w:r w:rsidRPr="00450805">
        <w:rPr>
          <w:rFonts w:ascii="Cambria" w:hAnsi="Cambria"/>
          <w:sz w:val="20"/>
          <w:szCs w:val="20"/>
        </w:rPr>
        <w:instrText>HYPERLINK "https://iccat.int/Documents/Recs/compendiopdf-s/2025-05-s.pdf"</w:instrText>
      </w:r>
      <w:r w:rsidRPr="00450805">
        <w:rPr>
          <w:rFonts w:ascii="Cambria" w:hAnsi="Cambria"/>
          <w:sz w:val="20"/>
          <w:szCs w:val="20"/>
        </w:rPr>
      </w:r>
      <w:r w:rsidRPr="00450805">
        <w:rPr>
          <w:rFonts w:ascii="Cambria" w:hAnsi="Cambria"/>
          <w:sz w:val="20"/>
          <w:szCs w:val="20"/>
        </w:rPr>
        <w:fldChar w:fldCharType="separate"/>
      </w:r>
      <w:r w:rsidRPr="00450805">
        <w:rPr>
          <w:rFonts w:ascii="Cambria" w:hAnsi="Cambria"/>
          <w:color w:val="0000FF"/>
          <w:sz w:val="20"/>
          <w:szCs w:val="20"/>
        </w:rPr>
        <w:t>Rec. 25-05</w:t>
      </w:r>
      <w:r w:rsidRPr="00450805">
        <w:rPr>
          <w:rFonts w:ascii="Cambria" w:eastAsia="Yu Mincho" w:hAnsi="Cambria" w:cs="Times New Roman"/>
          <w:color w:val="0000FF"/>
          <w:sz w:val="20"/>
          <w:szCs w:val="20"/>
        </w:rPr>
        <w:fldChar w:fldCharType="end"/>
      </w:r>
      <w:bookmarkEnd w:id="3"/>
      <w:r w:rsidRPr="00450805">
        <w:rPr>
          <w:rFonts w:ascii="Cambria" w:hAnsi="Cambria"/>
          <w:color w:val="0000FF"/>
          <w:sz w:val="20"/>
          <w:szCs w:val="20"/>
        </w:rPr>
        <w:t xml:space="preserve"> </w:t>
      </w:r>
      <w:r w:rsidRPr="00450805">
        <w:rPr>
          <w:rFonts w:ascii="Cambria" w:hAnsi="Cambria"/>
          <w:sz w:val="20"/>
          <w:szCs w:val="20"/>
        </w:rPr>
        <w:t>establece claramente que el TAC incluye los descartes de peces muertos</w:t>
      </w:r>
      <w:r w:rsidRPr="00450805">
        <w:rPr>
          <w:rFonts w:ascii="Cambria" w:hAnsi="Cambria"/>
          <w:color w:val="0000FF"/>
          <w:sz w:val="20"/>
          <w:szCs w:val="20"/>
        </w:rPr>
        <w:t>.</w:t>
      </w:r>
      <w:r w:rsidRPr="00450805">
        <w:rPr>
          <w:rFonts w:ascii="Cambria" w:hAnsi="Cambria"/>
          <w:sz w:val="20"/>
          <w:szCs w:val="20"/>
        </w:rPr>
        <w:t xml:space="preserve"> Japón reconoció que aunque la </w:t>
      </w:r>
      <w:hyperlink r:id="rId26" w:history="1">
        <w:r w:rsidRPr="00450805">
          <w:rPr>
            <w:rFonts w:ascii="Cambria" w:hAnsi="Cambria"/>
            <w:color w:val="0000FF"/>
            <w:sz w:val="20"/>
            <w:szCs w:val="20"/>
          </w:rPr>
          <w:t>Rec. 25-05</w:t>
        </w:r>
      </w:hyperlink>
      <w:r w:rsidRPr="00450805">
        <w:rPr>
          <w:rFonts w:ascii="Cambria" w:hAnsi="Cambria"/>
          <w:color w:val="0000FF"/>
          <w:sz w:val="20"/>
          <w:szCs w:val="20"/>
        </w:rPr>
        <w:t xml:space="preserve"> </w:t>
      </w:r>
      <w:r w:rsidRPr="00450805">
        <w:rPr>
          <w:rFonts w:ascii="Cambria" w:hAnsi="Cambria"/>
          <w:sz w:val="20"/>
          <w:szCs w:val="20"/>
        </w:rPr>
        <w:t xml:space="preserve">no especifica expresamente que las capturas recreativas deban </w:t>
      </w:r>
      <w:r w:rsidRPr="00450805">
        <w:rPr>
          <w:rFonts w:ascii="Cambria" w:hAnsi="Cambria"/>
          <w:sz w:val="20"/>
          <w:szCs w:val="20"/>
        </w:rPr>
        <w:lastRenderedPageBreak/>
        <w:t xml:space="preserve">descontarse de la cuota de una CPC, tal y como mencionó Estados </w:t>
      </w:r>
      <w:r w:rsidR="0025206B" w:rsidRPr="00450805">
        <w:rPr>
          <w:rFonts w:ascii="Cambria" w:hAnsi="Cambria"/>
          <w:sz w:val="20"/>
          <w:szCs w:val="20"/>
        </w:rPr>
        <w:t>Unidos, tampoco</w:t>
      </w:r>
      <w:r w:rsidRPr="00450805">
        <w:rPr>
          <w:rFonts w:ascii="Cambria" w:hAnsi="Cambria"/>
          <w:sz w:val="20"/>
          <w:szCs w:val="20"/>
        </w:rPr>
        <w:t xml:space="preserve"> incluye ninguna disposición específica que excluya las capturas recreativas de la cuota de una CPC. Japón también señaló que el TAC actual es un 20 % superior al recomendado por el procedimiento de ordenación (MP) y que cualquier aumento adicional del volumen de capturas derivado de que Estados Unidos no contabilice las capturas recreativas en su cuota constituiría una circunstancia excepcional. En relación con la afirmación de Estados Unidos de que algunas CPC no han comunicado sus capturas recreativas, Japón señaló que tal situación constituiría un incumplimiento y debería tratarse como tal. Esto no debe servir de justificación para que Estados Unidos haga lo mismo o para que no contabilice sus capturas recreativas dentro de su cuota.</w:t>
      </w:r>
    </w:p>
    <w:p w14:paraId="052F3DE0" w14:textId="00657174" w:rsidR="00024C81" w:rsidRPr="00450805" w:rsidRDefault="00024C81" w:rsidP="006F6E2D">
      <w:pPr>
        <w:spacing w:after="0" w:line="240" w:lineRule="auto"/>
        <w:contextualSpacing/>
        <w:jc w:val="both"/>
        <w:rPr>
          <w:rFonts w:ascii="Cambria" w:eastAsia="Yu Gothic" w:hAnsi="Cambria" w:cs="Times New Roman"/>
          <w:kern w:val="2"/>
          <w:sz w:val="20"/>
          <w:szCs w:val="20"/>
          <w14:ligatures w14:val="standardContextual"/>
        </w:rPr>
      </w:pPr>
    </w:p>
    <w:p w14:paraId="4EBE0FA9" w14:textId="3C2F5DC8" w:rsidR="00024C81" w:rsidRPr="00450805" w:rsidRDefault="00C57718" w:rsidP="006F6E2D">
      <w:pPr>
        <w:spacing w:after="0" w:line="240" w:lineRule="auto"/>
        <w:contextualSpacing/>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Reino Unido afirmó que, en su interpretación de la </w:t>
      </w:r>
      <w:hyperlink r:id="rId27" w:history="1">
        <w:r w:rsidRPr="00450805">
          <w:rPr>
            <w:rFonts w:ascii="Cambria" w:hAnsi="Cambria"/>
            <w:color w:val="0000FF"/>
            <w:sz w:val="20"/>
            <w:szCs w:val="20"/>
          </w:rPr>
          <w:t>Rec. 25-05</w:t>
        </w:r>
      </w:hyperlink>
      <w:r w:rsidRPr="00450805">
        <w:rPr>
          <w:rFonts w:ascii="Cambria" w:hAnsi="Cambria"/>
          <w:sz w:val="20"/>
          <w:szCs w:val="20"/>
        </w:rPr>
        <w:t xml:space="preserve">, todas las muertes derivadas de la pesca deben notificarse y contabilizarse dentro de las cuotas nacionales. Además, cualquier exclusión de las muertes derivadas de la pesca o de actividades pesqueras específicas de los requisitos de ICCAT y de sus recomendaciones debería indicarse expresamente en dichas recomendaciones. Además, todas las pesquerías deben gestionarse dentro de los límites de las cuotas nacionales, y la información pertinente debe incluirse en los planes de pesca que deben presentar las CPC. </w:t>
      </w:r>
    </w:p>
    <w:p w14:paraId="47993F64" w14:textId="5D21B4F8" w:rsidR="00DE1959" w:rsidRPr="00450805" w:rsidRDefault="00DE1959" w:rsidP="006F6E2D">
      <w:pPr>
        <w:spacing w:after="0" w:line="240" w:lineRule="auto"/>
        <w:contextualSpacing/>
        <w:jc w:val="both"/>
        <w:rPr>
          <w:rFonts w:ascii="Cambria" w:eastAsia="Yu Gothic" w:hAnsi="Cambria" w:cs="Times New Roman"/>
          <w:kern w:val="2"/>
          <w:sz w:val="20"/>
          <w:szCs w:val="20"/>
          <w14:ligatures w14:val="standardContextual"/>
        </w:rPr>
      </w:pPr>
    </w:p>
    <w:p w14:paraId="4377A3A8" w14:textId="20B1E4BF" w:rsidR="00DE1959" w:rsidRPr="00450805" w:rsidRDefault="00DE1959" w:rsidP="006F6E2D">
      <w:pPr>
        <w:spacing w:after="0" w:line="240" w:lineRule="auto"/>
        <w:contextualSpacing/>
        <w:jc w:val="both"/>
        <w:rPr>
          <w:rFonts w:ascii="Cambria" w:eastAsia="Yu Gothic" w:hAnsi="Cambria" w:cs="Times New Roman"/>
          <w:kern w:val="2"/>
          <w:sz w:val="20"/>
          <w:szCs w:val="20"/>
          <w14:ligatures w14:val="standardContextual"/>
        </w:rPr>
      </w:pPr>
      <w:r w:rsidRPr="00450805">
        <w:rPr>
          <w:rFonts w:ascii="Cambria" w:hAnsi="Cambria"/>
          <w:sz w:val="20"/>
          <w:szCs w:val="20"/>
        </w:rPr>
        <w:t>Canadá declaró que ya había expresado su opinión en su respuesta por escrito a Estados Unidos y que había decidido no reiterar su postura verbalmente.</w:t>
      </w:r>
    </w:p>
    <w:p w14:paraId="07C932EF" w14:textId="77777777" w:rsidR="00DE1959" w:rsidRPr="00450805" w:rsidRDefault="00DE1959" w:rsidP="006F6E2D">
      <w:pPr>
        <w:spacing w:after="0" w:line="240" w:lineRule="auto"/>
        <w:contextualSpacing/>
        <w:jc w:val="both"/>
        <w:rPr>
          <w:rFonts w:ascii="Cambria" w:eastAsia="Yu Gothic" w:hAnsi="Cambria" w:cs="Times New Roman"/>
          <w:kern w:val="2"/>
          <w:sz w:val="20"/>
          <w:szCs w:val="20"/>
          <w14:ligatures w14:val="standardContextual"/>
        </w:rPr>
      </w:pPr>
    </w:p>
    <w:p w14:paraId="71287F88" w14:textId="116D7E34" w:rsidR="00DE1959" w:rsidRPr="00450805" w:rsidRDefault="00E54FEC" w:rsidP="006F6E2D">
      <w:pPr>
        <w:spacing w:after="0" w:line="240" w:lineRule="auto"/>
        <w:contextualSpacing/>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WWF respaldó las declaraciones escritas presentadas por Canadá, la UE, Japón y el Reino Unido. WWF señaló que el MP en el que se basa la </w:t>
      </w:r>
      <w:hyperlink r:id="rId28" w:history="1">
        <w:r w:rsidRPr="00450805">
          <w:rPr>
            <w:rFonts w:ascii="Cambria" w:hAnsi="Cambria"/>
            <w:color w:val="0000FF"/>
            <w:sz w:val="20"/>
            <w:szCs w:val="20"/>
          </w:rPr>
          <w:t>Rec. 25-05</w:t>
        </w:r>
      </w:hyperlink>
      <w:r w:rsidRPr="00450805">
        <w:rPr>
          <w:rFonts w:ascii="Cambria" w:hAnsi="Cambria"/>
          <w:sz w:val="20"/>
          <w:szCs w:val="20"/>
        </w:rPr>
        <w:t xml:space="preserve"> se desarrolló mediante un proceso de </w:t>
      </w:r>
      <w:r w:rsidR="002F155A" w:rsidRPr="00450805">
        <w:rPr>
          <w:rFonts w:ascii="Cambria" w:hAnsi="Cambria"/>
          <w:sz w:val="20"/>
          <w:szCs w:val="20"/>
        </w:rPr>
        <w:t>evaluación de estrategias de ordenación (</w:t>
      </w:r>
      <w:r w:rsidRPr="00450805">
        <w:rPr>
          <w:rFonts w:ascii="Cambria" w:hAnsi="Cambria"/>
          <w:sz w:val="20"/>
          <w:szCs w:val="20"/>
        </w:rPr>
        <w:t>MSE</w:t>
      </w:r>
      <w:r w:rsidR="002F155A" w:rsidRPr="00450805">
        <w:rPr>
          <w:rFonts w:ascii="Cambria" w:hAnsi="Cambria"/>
          <w:sz w:val="20"/>
          <w:szCs w:val="20"/>
        </w:rPr>
        <w:t>)</w:t>
      </w:r>
      <w:r w:rsidRPr="00450805">
        <w:rPr>
          <w:rFonts w:ascii="Cambria" w:hAnsi="Cambria"/>
          <w:sz w:val="20"/>
          <w:szCs w:val="20"/>
        </w:rPr>
        <w:t xml:space="preserve"> que parte explícitamente de la base de que la mortalidad total de los peces incluye todas las fuentes de extracción, incluidas las capturas desembarcadas y descartadas procedentes de la pesca comercial y recreativa. Si se excluyera la mortalidad recreativa del cálculo de las cuotas, la mortalidad total de peces superaría los niveles previstos en el MP, sobre todo teniendo en cuenta el importante volumen de las capturas recreativas estadounidenses en relación con el TAC total de la zona occidental, lo que daría lugar a una situación ajena al marco científico adoptado por la Comisión. Esto podría dar lugar a circunstancias excepcionales.</w:t>
      </w:r>
    </w:p>
    <w:p w14:paraId="78984320" w14:textId="04541379" w:rsidR="00DE1959" w:rsidRPr="00450805" w:rsidRDefault="00DE1959" w:rsidP="006F6E2D">
      <w:pPr>
        <w:spacing w:after="0" w:line="240" w:lineRule="auto"/>
        <w:contextualSpacing/>
        <w:jc w:val="both"/>
        <w:rPr>
          <w:rFonts w:ascii="Cambria" w:eastAsia="Yu Gothic" w:hAnsi="Cambria" w:cs="Times New Roman"/>
          <w:kern w:val="2"/>
          <w:sz w:val="20"/>
          <w:szCs w:val="20"/>
          <w14:ligatures w14:val="standardContextual"/>
        </w:rPr>
      </w:pPr>
    </w:p>
    <w:p w14:paraId="287BAB5A" w14:textId="5DF3A7F2" w:rsidR="00DE1959" w:rsidRPr="00450805" w:rsidRDefault="00E54FEC" w:rsidP="006F6E2D">
      <w:pPr>
        <w:spacing w:after="0" w:line="240" w:lineRule="auto"/>
        <w:contextualSpacing/>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Pew estuvo de acuerdo en que la </w:t>
      </w:r>
      <w:hyperlink r:id="rId29" w:history="1">
        <w:r w:rsidRPr="00450805">
          <w:rPr>
            <w:rFonts w:ascii="Cambria" w:hAnsi="Cambria"/>
            <w:color w:val="0000FF"/>
            <w:sz w:val="20"/>
            <w:szCs w:val="20"/>
          </w:rPr>
          <w:t>Rec. 25-05</w:t>
        </w:r>
      </w:hyperlink>
      <w:r w:rsidRPr="00450805">
        <w:rPr>
          <w:rFonts w:ascii="Cambria" w:hAnsi="Cambria"/>
          <w:color w:val="0000FF"/>
          <w:sz w:val="20"/>
          <w:szCs w:val="20"/>
        </w:rPr>
        <w:t xml:space="preserve"> </w:t>
      </w:r>
      <w:r w:rsidRPr="00450805">
        <w:rPr>
          <w:rFonts w:ascii="Cambria" w:hAnsi="Cambria"/>
          <w:sz w:val="20"/>
          <w:szCs w:val="20"/>
        </w:rPr>
        <w:t xml:space="preserve">se aplica a todas las capturas, incluidas las recreativas. Excluir las capturas recreativas podría tener consecuencias negativas para el sector pesquero en su conjunto y repercutir en la normativa y los mercados relacionados. Pew afirmó que el TAC basado en el MP incluye claramente las capturas recreativas estadounidenses, por lo que cualquier intento de excluir dichas capturas daría lugar a una reducción del TAC occidental, lo que a su vez supondría una reducción de las asignaciones para otros pescadores de la zona occidental. Pew instó a las CPC a que reafirmaran que el TAC establecido en la </w:t>
      </w:r>
      <w:hyperlink r:id="rId30" w:history="1">
        <w:r w:rsidRPr="00450805">
          <w:rPr>
            <w:rFonts w:ascii="Cambria" w:hAnsi="Cambria"/>
            <w:color w:val="0000FF"/>
            <w:sz w:val="20"/>
            <w:szCs w:val="20"/>
          </w:rPr>
          <w:t>Rec. 25-05</w:t>
        </w:r>
      </w:hyperlink>
      <w:r w:rsidRPr="00450805">
        <w:rPr>
          <w:rFonts w:ascii="Cambria" w:hAnsi="Cambria"/>
          <w:sz w:val="20"/>
          <w:szCs w:val="20"/>
        </w:rPr>
        <w:t xml:space="preserve"> se aplica a todo el atún rojo capturado en el Atlántico occidental, incluidas las capturas de recreo de todas las Partes, entre ellas Estados Unidos.</w:t>
      </w:r>
    </w:p>
    <w:p w14:paraId="2E816643" w14:textId="77777777" w:rsidR="00024C81" w:rsidRPr="00450805" w:rsidRDefault="00024C81" w:rsidP="006F6E2D">
      <w:pPr>
        <w:spacing w:after="0" w:line="240" w:lineRule="auto"/>
        <w:contextualSpacing/>
        <w:jc w:val="both"/>
        <w:rPr>
          <w:rFonts w:ascii="Cambria" w:eastAsia="Yu Gothic" w:hAnsi="Cambria" w:cs="Times New Roman"/>
          <w:kern w:val="2"/>
          <w:sz w:val="20"/>
          <w:szCs w:val="20"/>
          <w14:ligatures w14:val="standardContextual"/>
        </w:rPr>
      </w:pPr>
    </w:p>
    <w:p w14:paraId="56FBBEBD" w14:textId="23EAEC3F" w:rsidR="009C6CA6" w:rsidRPr="00450805" w:rsidRDefault="007C3E48" w:rsidP="006F6E2D">
      <w:pPr>
        <w:spacing w:after="0" w:line="240" w:lineRule="auto"/>
        <w:contextualSpacing/>
        <w:jc w:val="both"/>
        <w:rPr>
          <w:rFonts w:ascii="Cambria" w:eastAsia="Yu Gothic" w:hAnsi="Cambria" w:cs="Times New Roman"/>
          <w:kern w:val="2"/>
          <w:sz w:val="20"/>
          <w:szCs w:val="20"/>
          <w14:ligatures w14:val="standardContextual"/>
        </w:rPr>
      </w:pPr>
      <w:r w:rsidRPr="00450805">
        <w:rPr>
          <w:rFonts w:ascii="Cambria" w:hAnsi="Cambria"/>
          <w:sz w:val="20"/>
          <w:szCs w:val="20"/>
        </w:rPr>
        <w:t>En respuesta a una solicitud de aclaración, el presidente del SCRS, el Dr. Craig Brown, confirmó que el TAC recomendado, obtenido mediante la aplicación del MP, se basaba en unos niveles de captura que incluían las capturas de recreo de Estados Unidos.</w:t>
      </w:r>
    </w:p>
    <w:p w14:paraId="09DE01FF" w14:textId="2769C4FA" w:rsidR="00AD6B2C" w:rsidRPr="00450805" w:rsidRDefault="00AD6B2C" w:rsidP="006F6E2D">
      <w:pPr>
        <w:spacing w:after="0" w:line="240" w:lineRule="auto"/>
        <w:contextualSpacing/>
        <w:jc w:val="both"/>
        <w:rPr>
          <w:rFonts w:ascii="Cambria" w:eastAsia="Yu Gothic" w:hAnsi="Cambria" w:cs="Times New Roman"/>
          <w:kern w:val="2"/>
          <w:sz w:val="20"/>
          <w:szCs w:val="20"/>
          <w14:ligatures w14:val="standardContextual"/>
        </w:rPr>
      </w:pPr>
    </w:p>
    <w:p w14:paraId="093710D4" w14:textId="61BFC5E5" w:rsidR="00E54FEC" w:rsidRPr="00450805" w:rsidRDefault="00E54FEC" w:rsidP="00E54FEC">
      <w:pPr>
        <w:spacing w:after="0" w:line="240" w:lineRule="auto"/>
        <w:contextualSpacing/>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w:t>
      </w:r>
      <w:r w:rsidR="00BD35CF" w:rsidRPr="00450805">
        <w:rPr>
          <w:rFonts w:ascii="Cambria" w:hAnsi="Cambria"/>
          <w:sz w:val="20"/>
          <w:szCs w:val="20"/>
        </w:rPr>
        <w:t xml:space="preserve">de la Subcomisión 2 </w:t>
      </w:r>
      <w:r w:rsidRPr="00450805">
        <w:rPr>
          <w:rFonts w:ascii="Cambria" w:hAnsi="Cambria"/>
          <w:sz w:val="20"/>
          <w:szCs w:val="20"/>
        </w:rPr>
        <w:t xml:space="preserve">señaló que Estados Unidos había indicado en su carta que, a partir del 1 de enero de 2026, no contabilizaría sus capturas recreativas dentro de su cuota actual. El presidente preguntó si Estados Unidos ya había modificado la normativa interna pertinente. Estados Unidos </w:t>
      </w:r>
      <w:r w:rsidR="005F3643" w:rsidRPr="00450805">
        <w:rPr>
          <w:rFonts w:ascii="Cambria" w:hAnsi="Cambria"/>
          <w:sz w:val="20"/>
          <w:szCs w:val="20"/>
        </w:rPr>
        <w:t xml:space="preserve">aclaró </w:t>
      </w:r>
      <w:r w:rsidRPr="00450805">
        <w:rPr>
          <w:rFonts w:ascii="Cambria" w:hAnsi="Cambria"/>
          <w:sz w:val="20"/>
          <w:szCs w:val="20"/>
        </w:rPr>
        <w:t xml:space="preserve">que aún se encuentra en </w:t>
      </w:r>
      <w:r w:rsidR="005F3643" w:rsidRPr="00450805">
        <w:rPr>
          <w:rFonts w:ascii="Cambria" w:hAnsi="Cambria"/>
          <w:sz w:val="20"/>
          <w:szCs w:val="20"/>
        </w:rPr>
        <w:t xml:space="preserve">el </w:t>
      </w:r>
      <w:r w:rsidRPr="00450805">
        <w:rPr>
          <w:rFonts w:ascii="Cambria" w:hAnsi="Cambria"/>
          <w:sz w:val="20"/>
          <w:szCs w:val="20"/>
        </w:rPr>
        <w:t>proceso</w:t>
      </w:r>
      <w:r w:rsidR="005F3643" w:rsidRPr="00450805">
        <w:rPr>
          <w:rFonts w:ascii="Cambria" w:hAnsi="Cambria"/>
          <w:sz w:val="20"/>
          <w:szCs w:val="20"/>
        </w:rPr>
        <w:t xml:space="preserve"> de considerar cualquier cambio normativo relevante</w:t>
      </w:r>
      <w:r w:rsidRPr="00450805">
        <w:rPr>
          <w:rFonts w:ascii="Cambria" w:hAnsi="Cambria"/>
          <w:sz w:val="20"/>
          <w:szCs w:val="20"/>
        </w:rPr>
        <w:t>.</w:t>
      </w:r>
    </w:p>
    <w:p w14:paraId="208D44E6" w14:textId="77777777" w:rsidR="00E54FEC" w:rsidRPr="00450805" w:rsidRDefault="00E54FEC" w:rsidP="00E54FEC">
      <w:pPr>
        <w:spacing w:after="0" w:line="240" w:lineRule="auto"/>
        <w:contextualSpacing/>
        <w:jc w:val="both"/>
        <w:rPr>
          <w:rFonts w:ascii="Cambria" w:eastAsia="Yu Gothic" w:hAnsi="Cambria" w:cs="Times New Roman"/>
          <w:kern w:val="2"/>
          <w:sz w:val="20"/>
          <w:szCs w:val="20"/>
          <w14:ligatures w14:val="standardContextual"/>
        </w:rPr>
      </w:pPr>
    </w:p>
    <w:p w14:paraId="1FB680B1" w14:textId="7E25A67B" w:rsidR="007F26F1" w:rsidRPr="00450805" w:rsidRDefault="007F26F1" w:rsidP="006F6E2D">
      <w:pPr>
        <w:spacing w:after="0" w:line="240" w:lineRule="auto"/>
        <w:contextualSpacing/>
        <w:jc w:val="both"/>
        <w:rPr>
          <w:rFonts w:ascii="Cambria" w:eastAsia="Yu Gothic" w:hAnsi="Cambria" w:cs="Times New Roman"/>
          <w:kern w:val="2"/>
          <w:sz w:val="20"/>
          <w:szCs w:val="20"/>
          <w14:ligatures w14:val="standardContextual"/>
        </w:rPr>
      </w:pPr>
      <w:r w:rsidRPr="00450805">
        <w:rPr>
          <w:rFonts w:ascii="Cambria" w:hAnsi="Cambria"/>
          <w:sz w:val="20"/>
          <w:szCs w:val="20"/>
        </w:rPr>
        <w:t>Los miembros de la Subcomisión 2 continuaron debatiendo la posible concurrencia de circunstancias excepcionales en sus deliberaciones en el marco del punto 8 del orden del día (BFT MP/</w:t>
      </w:r>
      <w:r w:rsidR="002F155A" w:rsidRPr="00450805">
        <w:rPr>
          <w:rFonts w:ascii="Cambria" w:hAnsi="Cambria"/>
          <w:sz w:val="20"/>
          <w:szCs w:val="20"/>
        </w:rPr>
        <w:t xml:space="preserve"> </w:t>
      </w:r>
      <w:r w:rsidRPr="00450805">
        <w:rPr>
          <w:rFonts w:ascii="Cambria" w:hAnsi="Cambria"/>
          <w:sz w:val="20"/>
          <w:szCs w:val="20"/>
        </w:rPr>
        <w:t>MSE).</w:t>
      </w:r>
    </w:p>
    <w:p w14:paraId="6E968E5C" w14:textId="77777777" w:rsidR="007F26F1" w:rsidRPr="00450805" w:rsidRDefault="007F26F1" w:rsidP="006F6E2D">
      <w:pPr>
        <w:spacing w:after="0" w:line="240" w:lineRule="auto"/>
        <w:contextualSpacing/>
        <w:jc w:val="both"/>
        <w:rPr>
          <w:rFonts w:ascii="Cambria" w:eastAsia="Yu Gothic" w:hAnsi="Cambria" w:cs="Times New Roman"/>
          <w:kern w:val="2"/>
          <w:sz w:val="20"/>
          <w:szCs w:val="20"/>
          <w14:ligatures w14:val="standardContextual"/>
        </w:rPr>
      </w:pPr>
    </w:p>
    <w:p w14:paraId="67AA9B61" w14:textId="77777777" w:rsidR="00576749" w:rsidRPr="00450805" w:rsidRDefault="00576749" w:rsidP="006F6E2D">
      <w:pPr>
        <w:spacing w:after="0" w:line="240" w:lineRule="auto"/>
        <w:contextualSpacing/>
        <w:jc w:val="both"/>
        <w:rPr>
          <w:rFonts w:ascii="Cambria" w:eastAsia="Yu Gothic" w:hAnsi="Cambria" w:cs="Times New Roman"/>
          <w:kern w:val="2"/>
          <w:sz w:val="20"/>
          <w:szCs w:val="20"/>
          <w14:ligatures w14:val="standardContextual"/>
        </w:rPr>
      </w:pPr>
    </w:p>
    <w:p w14:paraId="08B9751A" w14:textId="77777777" w:rsidR="00CA21B5" w:rsidRPr="00450805" w:rsidRDefault="00CA21B5" w:rsidP="00CE0EC8">
      <w:pPr>
        <w:numPr>
          <w:ilvl w:val="0"/>
          <w:numId w:val="24"/>
        </w:numPr>
        <w:spacing w:after="0" w:line="240" w:lineRule="auto"/>
        <w:ind w:left="426" w:hanging="426"/>
        <w:contextualSpacing/>
        <w:jc w:val="both"/>
        <w:rPr>
          <w:rFonts w:ascii="Cambria" w:eastAsia="Yu Gothic" w:hAnsi="Cambria" w:cs="Times New Roman"/>
          <w:b/>
          <w:bCs/>
          <w:kern w:val="2"/>
          <w:sz w:val="20"/>
          <w:szCs w:val="20"/>
          <w14:ligatures w14:val="standardContextual"/>
        </w:rPr>
      </w:pPr>
      <w:r w:rsidRPr="00450805">
        <w:rPr>
          <w:rFonts w:ascii="Cambria" w:hAnsi="Cambria"/>
          <w:b/>
          <w:sz w:val="20"/>
          <w:szCs w:val="20"/>
        </w:rPr>
        <w:t xml:space="preserve">Determinación de las acciones que se tienen que emprender con respecto a los planes del punto 4 </w:t>
      </w:r>
    </w:p>
    <w:p w14:paraId="4DCE2DDA" w14:textId="77777777" w:rsidR="00CA21B5" w:rsidRPr="00450805" w:rsidRDefault="00CA21B5" w:rsidP="007C5C0D">
      <w:pPr>
        <w:spacing w:after="0" w:line="240" w:lineRule="auto"/>
        <w:jc w:val="both"/>
        <w:rPr>
          <w:rFonts w:ascii="Cambria" w:eastAsia="Yu Gothic" w:hAnsi="Cambria" w:cs="Times New Roman"/>
          <w:kern w:val="2"/>
          <w:sz w:val="20"/>
          <w:szCs w:val="20"/>
          <w14:ligatures w14:val="standardContextual"/>
        </w:rPr>
      </w:pPr>
    </w:p>
    <w:p w14:paraId="3DAFFE38" w14:textId="5A0E2EF7"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Las medidas que deben adoptarse en relación con los planes de pesca de las CPC se debatieron en el marco del examen de dichos planes realizado por la Subcomisión 2 bajo el punto 4.1.</w:t>
      </w:r>
    </w:p>
    <w:p w14:paraId="19B1D4BD" w14:textId="20D59B35" w:rsidR="0025099A" w:rsidRPr="00450805" w:rsidRDefault="0025099A" w:rsidP="0025099A">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 </w:t>
      </w:r>
    </w:p>
    <w:p w14:paraId="6F90EE1D" w14:textId="77777777" w:rsidR="00A23AF1" w:rsidRPr="00450805" w:rsidRDefault="00A23AF1" w:rsidP="007C5C0D">
      <w:pPr>
        <w:spacing w:after="0" w:line="240" w:lineRule="auto"/>
        <w:jc w:val="both"/>
        <w:rPr>
          <w:rFonts w:ascii="Cambria" w:eastAsia="Yu Gothic" w:hAnsi="Cambria" w:cs="Times New Roman"/>
          <w:kern w:val="2"/>
          <w:sz w:val="20"/>
          <w:szCs w:val="20"/>
          <w14:ligatures w14:val="standardContextual"/>
        </w:rPr>
      </w:pPr>
    </w:p>
    <w:p w14:paraId="130BCD39" w14:textId="3759D8F8" w:rsidR="002A57D7" w:rsidRPr="00F912AA" w:rsidRDefault="003255D8" w:rsidP="00F912AA">
      <w:pPr>
        <w:tabs>
          <w:tab w:val="left" w:pos="426"/>
        </w:tabs>
        <w:spacing w:line="259" w:lineRule="auto"/>
        <w:rPr>
          <w:rFonts w:ascii="Cambria" w:hAnsi="Cambria"/>
          <w:b/>
          <w:sz w:val="20"/>
          <w:szCs w:val="20"/>
        </w:rPr>
      </w:pPr>
      <w:r w:rsidRPr="00450805">
        <w:rPr>
          <w:rFonts w:ascii="Cambria" w:hAnsi="Cambria"/>
          <w:b/>
          <w:sz w:val="20"/>
          <w:szCs w:val="20"/>
        </w:rPr>
        <w:br w:type="page"/>
      </w:r>
      <w:r w:rsidR="00F912AA">
        <w:rPr>
          <w:rFonts w:ascii="Cambria" w:hAnsi="Cambria"/>
          <w:b/>
          <w:sz w:val="20"/>
          <w:szCs w:val="20"/>
        </w:rPr>
        <w:lastRenderedPageBreak/>
        <w:t>6.</w:t>
      </w:r>
      <w:r w:rsidR="00F912AA">
        <w:rPr>
          <w:rFonts w:ascii="Cambria" w:hAnsi="Cambria"/>
          <w:b/>
          <w:sz w:val="20"/>
          <w:szCs w:val="20"/>
        </w:rPr>
        <w:tab/>
        <w:t>E</w:t>
      </w:r>
      <w:r w:rsidR="00CA21B5" w:rsidRPr="00450805">
        <w:rPr>
          <w:rFonts w:ascii="Cambria" w:hAnsi="Cambria"/>
          <w:b/>
          <w:sz w:val="20"/>
          <w:szCs w:val="20"/>
        </w:rPr>
        <w:t>xamen de las actualizaciones de los programas piloto en curso</w:t>
      </w:r>
    </w:p>
    <w:p w14:paraId="0118A47E" w14:textId="46CCC7E4" w:rsidR="00CA21B5" w:rsidRPr="00450805" w:rsidRDefault="00CA21B5" w:rsidP="007C5C0D">
      <w:pPr>
        <w:tabs>
          <w:tab w:val="left" w:pos="426"/>
        </w:tabs>
        <w:spacing w:after="0" w:line="240" w:lineRule="auto"/>
        <w:jc w:val="both"/>
        <w:rPr>
          <w:rFonts w:ascii="Cambria" w:eastAsia="Yu Gothic" w:hAnsi="Cambria" w:cs="Times New Roman"/>
          <w:b/>
          <w:bCs/>
          <w:kern w:val="2"/>
          <w:sz w:val="20"/>
          <w:szCs w:val="20"/>
          <w14:ligatures w14:val="standardContextual"/>
        </w:rPr>
      </w:pPr>
    </w:p>
    <w:p w14:paraId="296B28BA" w14:textId="157A3E2B" w:rsidR="00CA21B5" w:rsidRPr="00450805" w:rsidRDefault="00CA21B5" w:rsidP="007C5C0D">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szCs w:val="20"/>
        </w:rPr>
        <w:t>6.1 Cría de alevines incubados artificialmente</w:t>
      </w:r>
    </w:p>
    <w:p w14:paraId="0F062ED5" w14:textId="77777777" w:rsidR="00CA21B5" w:rsidRPr="00450805" w:rsidRDefault="00CA21B5" w:rsidP="007C5C0D">
      <w:pPr>
        <w:spacing w:after="0" w:line="240" w:lineRule="auto"/>
        <w:jc w:val="both"/>
        <w:rPr>
          <w:rFonts w:ascii="Cambria" w:eastAsia="Yu Gothic" w:hAnsi="Cambria" w:cs="Times New Roman"/>
          <w:i/>
          <w:iCs/>
          <w:kern w:val="2"/>
          <w:sz w:val="20"/>
          <w:szCs w:val="20"/>
          <w14:ligatures w14:val="standardContextual"/>
        </w:rPr>
      </w:pPr>
    </w:p>
    <w:p w14:paraId="1018FC24" w14:textId="31B5B94F" w:rsidR="00DB6CE3" w:rsidRPr="00450805" w:rsidRDefault="000F39F6" w:rsidP="007C5C0D">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Egipto informó sobre sus planes de acuicultura como parte de su plan pesquero general, en el marco del punto 4 del orden del día. No se presentaron más actualizaciones.</w:t>
      </w:r>
      <w:r w:rsidR="004C18F6" w:rsidRPr="00450805">
        <w:rPr>
          <w:rFonts w:ascii="Cambria" w:hAnsi="Cambria"/>
          <w:sz w:val="20"/>
          <w:szCs w:val="20"/>
        </w:rPr>
        <w:t xml:space="preserve"> Al ser preguntado sobre sus planes para proponer los cambios necesarios para actualizar el sistema eBCD con el fin de dar respuesta a esta actividad, Egipto confirmó que actualizaría su propuesta anterior y la volvería a presentar para su debate en la reunión del Grupo de </w:t>
      </w:r>
      <w:r w:rsidR="00944CBF" w:rsidRPr="00450805">
        <w:rPr>
          <w:rFonts w:ascii="Cambria" w:hAnsi="Cambria"/>
          <w:sz w:val="20"/>
          <w:szCs w:val="20"/>
        </w:rPr>
        <w:t>t</w:t>
      </w:r>
      <w:r w:rsidR="004C18F6" w:rsidRPr="00450805">
        <w:rPr>
          <w:rFonts w:ascii="Cambria" w:hAnsi="Cambria"/>
          <w:sz w:val="20"/>
          <w:szCs w:val="20"/>
        </w:rPr>
        <w:t xml:space="preserve">rabajo </w:t>
      </w:r>
      <w:r w:rsidR="00944CBF" w:rsidRPr="00450805">
        <w:rPr>
          <w:rFonts w:ascii="Cambria" w:hAnsi="Cambria"/>
          <w:sz w:val="20"/>
          <w:szCs w:val="20"/>
        </w:rPr>
        <w:t xml:space="preserve">sobre </w:t>
      </w:r>
      <w:r w:rsidR="004C18F6" w:rsidRPr="00450805">
        <w:rPr>
          <w:rFonts w:ascii="Cambria" w:hAnsi="Cambria"/>
          <w:sz w:val="20"/>
          <w:szCs w:val="20"/>
        </w:rPr>
        <w:t>IMM de 2026.</w:t>
      </w:r>
    </w:p>
    <w:p w14:paraId="298D9F16" w14:textId="77777777" w:rsidR="00DB6CE3" w:rsidRPr="00450805" w:rsidRDefault="00DB6CE3" w:rsidP="007C5C0D">
      <w:pPr>
        <w:spacing w:after="0" w:line="240" w:lineRule="auto"/>
        <w:jc w:val="both"/>
        <w:rPr>
          <w:rFonts w:ascii="Cambria" w:eastAsia="Yu Gothic" w:hAnsi="Cambria" w:cs="Times New Roman"/>
          <w:kern w:val="2"/>
          <w:sz w:val="20"/>
          <w:szCs w:val="20"/>
          <w14:ligatures w14:val="standardContextual"/>
        </w:rPr>
      </w:pPr>
    </w:p>
    <w:p w14:paraId="7440A20F" w14:textId="0C078C42" w:rsidR="00CA21B5" w:rsidRPr="00450805" w:rsidRDefault="00CA21B5" w:rsidP="007C5C0D">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szCs w:val="20"/>
        </w:rPr>
        <w:t>6.2 Ratios de crecimiento</w:t>
      </w:r>
    </w:p>
    <w:p w14:paraId="6E961142" w14:textId="77777777" w:rsidR="00CA21B5" w:rsidRPr="00450805" w:rsidRDefault="00CA21B5" w:rsidP="007C5C0D">
      <w:pPr>
        <w:shd w:val="clear" w:color="auto" w:fill="FFFFFF"/>
        <w:spacing w:after="0" w:line="240" w:lineRule="auto"/>
        <w:jc w:val="both"/>
        <w:rPr>
          <w:rFonts w:ascii="Cambria" w:eastAsia="Times New Roman" w:hAnsi="Cambria" w:cs="Times New Roman"/>
          <w:sz w:val="20"/>
          <w:szCs w:val="20"/>
          <w:lang w:eastAsia="fr-FR"/>
        </w:rPr>
      </w:pPr>
    </w:p>
    <w:p w14:paraId="147C23C0" w14:textId="4FB14C21" w:rsidR="00E45605" w:rsidRPr="00450805" w:rsidRDefault="00576749" w:rsidP="007C5C0D">
      <w:pPr>
        <w:shd w:val="clear" w:color="auto" w:fill="FFFFFF"/>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Japón presentó sus medidas y propuestas sobre las tasas de crecimiento y el seguimiento, basadas en el análisis y las recomendaciones del SCRS. Japón recordó que, en su sesión plenaria de 2025, el SCRS reafirmó que el intervalo de confianza (CI) superior del 75 %, correspondiente al percentil 87,5, es más adecuado como nivel de referencia de cumplimiento, y que un CI del 95 % incluye crecimientos individuales poco realistas y no debería utilizarse. Además, el SCRS reafirmó que la medición de tallas basada en la inteligencia artificial (IA) es viable para la primera transferencia y reduce considerablemente el tiempo de procesamiento y aumenta el tamaño de la muestra, y que también deberían utilizarse cámaras estereoscópicas en la primera transferencia. Por lo tanto, el SCRS recomendó pasar a un muestreo del 100</w:t>
      </w:r>
      <w:r w:rsidR="005F3434" w:rsidRPr="00450805">
        <w:rPr>
          <w:rFonts w:ascii="Cambria" w:hAnsi="Cambria"/>
          <w:sz w:val="20"/>
          <w:szCs w:val="20"/>
        </w:rPr>
        <w:t> </w:t>
      </w:r>
      <w:r w:rsidRPr="00450805">
        <w:rPr>
          <w:rFonts w:ascii="Cambria" w:hAnsi="Cambria"/>
          <w:sz w:val="20"/>
          <w:szCs w:val="20"/>
        </w:rPr>
        <w:t xml:space="preserve">% con IA y utilizar un CI del 75 % como indicador de un crecimiento atípico. </w:t>
      </w:r>
    </w:p>
    <w:p w14:paraId="7B7EBAD0" w14:textId="77777777" w:rsidR="00E45605" w:rsidRPr="00450805" w:rsidRDefault="00E45605" w:rsidP="007C5C0D">
      <w:pPr>
        <w:shd w:val="clear" w:color="auto" w:fill="FFFFFF"/>
        <w:spacing w:after="0" w:line="240" w:lineRule="auto"/>
        <w:jc w:val="both"/>
        <w:rPr>
          <w:rFonts w:ascii="Cambria" w:eastAsia="Yu Gothic" w:hAnsi="Cambria" w:cs="Times New Roman"/>
          <w:kern w:val="2"/>
          <w:sz w:val="20"/>
          <w:szCs w:val="20"/>
          <w14:ligatures w14:val="standardContextual"/>
        </w:rPr>
      </w:pPr>
    </w:p>
    <w:p w14:paraId="0D06CA73" w14:textId="58606C96" w:rsidR="001A55E1" w:rsidRPr="00450805" w:rsidRDefault="00E45605" w:rsidP="007C5C0D">
      <w:pPr>
        <w:shd w:val="clear" w:color="auto" w:fill="FFFFFF"/>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Japón declaró que, basándose en el análisis y las recomendaciones del SCRS, utilizará una tabla de crecimiento con un intervalo de confianza del 75 % en el control de las importaciones, reforzará el escrutinio de las importaciones basado en el riesgo e informará al SCRS de cualquier discrepancia significativa. Además, Japón propuso desarrollar funciones automáticas de cálculo de la tasa de crecimiento a nivel de jaula en el sistema electrónico de documentación de capturas de atún rojo (eBCD) y avanzar hacia un seguimiento mediante cámaras estereoscópicas al 100 % con inteligencia artificial, y señaló que está elaborando propuestas concretas con ese fin.</w:t>
      </w:r>
    </w:p>
    <w:p w14:paraId="6DE8121A" w14:textId="7B0B6947" w:rsidR="003A3C27" w:rsidRPr="00450805" w:rsidRDefault="003A3C27" w:rsidP="007C5C0D">
      <w:pPr>
        <w:shd w:val="clear" w:color="auto" w:fill="FFFFFF"/>
        <w:spacing w:after="0" w:line="240" w:lineRule="auto"/>
        <w:jc w:val="both"/>
        <w:rPr>
          <w:rFonts w:ascii="Cambria" w:eastAsia="Yu Gothic" w:hAnsi="Cambria" w:cs="Times New Roman"/>
          <w:kern w:val="2"/>
          <w:sz w:val="20"/>
          <w:szCs w:val="20"/>
          <w14:ligatures w14:val="standardContextual"/>
        </w:rPr>
      </w:pPr>
    </w:p>
    <w:p w14:paraId="7FD2B01E" w14:textId="17D7EEF6" w:rsidR="003A3C27" w:rsidRPr="00450805" w:rsidRDefault="000F39F6" w:rsidP="007C5C0D">
      <w:pPr>
        <w:shd w:val="clear" w:color="auto" w:fill="FFFFFF"/>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Marruecos valoró la labor realizada por Japón en relación con las tasas de crecimiento del atún rojo, en particular el uso del intervalo de confianza del 75 % para identificar ejemplos de crecimiento atípico. Marruecos también señaló que un mayor uso de la inteligencia artificial para la medición automática de la talla mediante análisis de vídeo podría reforzar los controles sobre la introducción en jaulas en las granjas, al tiempo que mejoraría la calidad de los datos científicos. Al mismo tiempo, Marruecos advirtió contra la universalización de ese enfoque en el marco del eBCD, ya que ello podría suponer importantes limitaciones técnicas y financieras para las CPC. En cambio, Marruecos abogó por una aplicación progresiva, teniendo en cuenta las capacidades de las CPC.  </w:t>
      </w:r>
    </w:p>
    <w:p w14:paraId="6C9B188A" w14:textId="0AD753F6" w:rsidR="00060247" w:rsidRPr="00450805" w:rsidRDefault="00060247" w:rsidP="007C5C0D">
      <w:pPr>
        <w:shd w:val="clear" w:color="auto" w:fill="FFFFFF"/>
        <w:spacing w:after="0" w:line="240" w:lineRule="auto"/>
        <w:jc w:val="both"/>
        <w:rPr>
          <w:rFonts w:ascii="Cambria" w:eastAsia="Yu Gothic" w:hAnsi="Cambria" w:cs="Times New Roman"/>
          <w:kern w:val="2"/>
          <w:sz w:val="20"/>
          <w:szCs w:val="20"/>
          <w14:ligatures w14:val="standardContextual"/>
        </w:rPr>
      </w:pPr>
    </w:p>
    <w:p w14:paraId="01BCAA0F" w14:textId="33C2B0C9" w:rsidR="005E36AB" w:rsidRPr="00450805" w:rsidRDefault="005E36AB" w:rsidP="007C5C0D">
      <w:pPr>
        <w:shd w:val="clear" w:color="auto" w:fill="FFFFFF"/>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La UE consideró que las tasas de crecimiento presentadas por Japón eran coherentes, realistas y adecuadas para impedir la entrada en los mercados de atún rojo ilegal. La UE también apoyó el fomento del uso de la inteligencia artificial con cámaras estereoscópicas, al tiempo que pidió que se introdujeran nuevas mejoras y ajustes.</w:t>
      </w:r>
    </w:p>
    <w:p w14:paraId="6DD52EF6" w14:textId="26778C3A" w:rsidR="005E36AB" w:rsidRPr="00450805" w:rsidRDefault="005E36AB" w:rsidP="007C5C0D">
      <w:pPr>
        <w:shd w:val="clear" w:color="auto" w:fill="FFFFFF"/>
        <w:spacing w:after="0" w:line="240" w:lineRule="auto"/>
        <w:jc w:val="both"/>
        <w:rPr>
          <w:rFonts w:ascii="Cambria" w:eastAsia="Yu Gothic" w:hAnsi="Cambria" w:cs="Times New Roman"/>
          <w:kern w:val="2"/>
          <w:sz w:val="20"/>
          <w:szCs w:val="20"/>
          <w14:ligatures w14:val="standardContextual"/>
        </w:rPr>
      </w:pPr>
    </w:p>
    <w:p w14:paraId="534B6675" w14:textId="61BE5430" w:rsidR="005E36AB" w:rsidRPr="00450805" w:rsidRDefault="008D7613" w:rsidP="007C5C0D">
      <w:pPr>
        <w:shd w:val="clear" w:color="auto" w:fill="FFFFFF"/>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Estados Unidos acogió con satisfacción las conclusiones de Japón y se mostró a favor de seguir adelante con propuestas más concretas.</w:t>
      </w:r>
    </w:p>
    <w:p w14:paraId="5DB0ACA6" w14:textId="5DDC35C4" w:rsidR="008D7613" w:rsidRPr="00450805" w:rsidRDefault="008D7613" w:rsidP="007C5C0D">
      <w:pPr>
        <w:shd w:val="clear" w:color="auto" w:fill="FFFFFF"/>
        <w:spacing w:after="0" w:line="240" w:lineRule="auto"/>
        <w:jc w:val="both"/>
        <w:rPr>
          <w:rFonts w:ascii="Cambria" w:eastAsia="Yu Gothic" w:hAnsi="Cambria" w:cs="Times New Roman"/>
          <w:kern w:val="2"/>
          <w:sz w:val="20"/>
          <w:szCs w:val="20"/>
          <w14:ligatures w14:val="standardContextual"/>
        </w:rPr>
      </w:pPr>
    </w:p>
    <w:p w14:paraId="64079BC2" w14:textId="4E28D33C" w:rsidR="008D7613" w:rsidRPr="00450805" w:rsidRDefault="008D7613" w:rsidP="007C5C0D">
      <w:pPr>
        <w:shd w:val="clear" w:color="auto" w:fill="FFFFFF"/>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Los miembros de la Subcomisión 2 acordaron celebrar debates de seguimiento en el marco del Grupo de trabajo sobre medidas de seguimiento integradas (IMM) o del Grupo de trabajo permanente sobre sistemas de documentación de capturas (CDS WG).</w:t>
      </w:r>
    </w:p>
    <w:p w14:paraId="01C8A150" w14:textId="77777777" w:rsidR="008D7613" w:rsidRPr="00450805" w:rsidRDefault="008D7613" w:rsidP="007C5C0D">
      <w:pPr>
        <w:shd w:val="clear" w:color="auto" w:fill="FFFFFF"/>
        <w:spacing w:after="0" w:line="240" w:lineRule="auto"/>
        <w:jc w:val="both"/>
        <w:rPr>
          <w:rFonts w:ascii="Cambria" w:eastAsia="Yu Gothic" w:hAnsi="Cambria" w:cs="Times New Roman"/>
          <w:kern w:val="2"/>
          <w:sz w:val="20"/>
          <w:szCs w:val="20"/>
          <w14:ligatures w14:val="standardContextual"/>
        </w:rPr>
      </w:pPr>
    </w:p>
    <w:p w14:paraId="16EA5A97" w14:textId="4872B35E" w:rsidR="00CA21B5" w:rsidRPr="00450805" w:rsidRDefault="00CA21B5" w:rsidP="007C5C0D">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szCs w:val="20"/>
        </w:rPr>
        <w:t>6.3 Otros</w:t>
      </w:r>
    </w:p>
    <w:p w14:paraId="37A20F06" w14:textId="71174973" w:rsidR="00CA21B5" w:rsidRPr="00450805" w:rsidRDefault="00CA21B5" w:rsidP="007C5C0D">
      <w:pPr>
        <w:spacing w:after="0" w:line="240" w:lineRule="auto"/>
        <w:jc w:val="both"/>
        <w:rPr>
          <w:rFonts w:ascii="Cambria" w:eastAsia="Yu Gothic" w:hAnsi="Cambria" w:cs="Times New Roman"/>
          <w:kern w:val="2"/>
          <w:sz w:val="20"/>
          <w:szCs w:val="20"/>
          <w14:ligatures w14:val="standardContextual"/>
        </w:rPr>
      </w:pPr>
    </w:p>
    <w:p w14:paraId="2569ABB4" w14:textId="1D619F52" w:rsidR="00A87DB2" w:rsidRPr="00450805" w:rsidRDefault="00A87DB2" w:rsidP="007C5C0D">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Noruega proporcionó una actualización de su proyecto </w:t>
      </w:r>
      <w:r w:rsidR="00E20EC6" w:rsidRPr="00450805">
        <w:rPr>
          <w:rFonts w:ascii="Cambria" w:hAnsi="Cambria"/>
          <w:sz w:val="20"/>
          <w:szCs w:val="20"/>
        </w:rPr>
        <w:t>piloto en</w:t>
      </w:r>
      <w:r w:rsidRPr="00450805">
        <w:rPr>
          <w:rFonts w:ascii="Cambria" w:hAnsi="Cambria"/>
          <w:sz w:val="20"/>
          <w:szCs w:val="20"/>
        </w:rPr>
        <w:t xml:space="preserve"> el documento "Informe del proyecto piloto noruego para el almacenamiento de corta duración de atún rojo vivo en 2025". En 2025, el proyecto piloto se llevó a cabo del 18 al 30 de octubre, pero no se logró capturar, transferir ni almacenar ningún atún rojo vivo. No obstante, la prueba proporcionó una experiencia operativa esencial y dio lugar a mejoras significativas en todos los componentes clave necesarios para el futuro almacenamiento de ejemplares </w:t>
      </w:r>
      <w:r w:rsidRPr="00450805">
        <w:rPr>
          <w:rFonts w:ascii="Cambria" w:hAnsi="Cambria"/>
          <w:sz w:val="20"/>
          <w:szCs w:val="20"/>
        </w:rPr>
        <w:lastRenderedPageBreak/>
        <w:t>vivos en condiciones noruegas. Se modificó la red de cerco para mejorar su idoneidad y el cumplimiento de la normativa, y se utilizaron vehículos operados a distancia (ROV) para detectar túnidos y documentar las operaciones, ya que no se permitía la presencia de buzos. Se rediseñó el canal de transferencia con mecanismos mejorados de visibilidad y control, en consonancia con las normas de ICCAT. El proyecto también finalizó el desarrollo de un dispositivo lupara adaptado a las condiciones noruegas y garantizó las licencias necesarias para probar métodos de sacrificio sin crueldad que garantizan tanto la calidad de la carne como el bienestar de los peces. Noruega tiene previsto continuar con el proyecto piloto en 2026 y pretende centrar sus esfuerzos de investigación en la fase de sacrificio, impulsar nuevos avances técnicos y estudiar posibles soluciones de seguimiento electrónico a distancia.</w:t>
      </w:r>
    </w:p>
    <w:p w14:paraId="401EC198" w14:textId="77777777" w:rsidR="00A87DB2" w:rsidRPr="00450805" w:rsidRDefault="00A87DB2" w:rsidP="007C5C0D">
      <w:pPr>
        <w:spacing w:after="0" w:line="240" w:lineRule="auto"/>
        <w:jc w:val="both"/>
        <w:rPr>
          <w:rFonts w:ascii="Cambria" w:eastAsia="Yu Gothic" w:hAnsi="Cambria" w:cs="Times New Roman"/>
          <w:kern w:val="2"/>
          <w:sz w:val="20"/>
          <w:szCs w:val="20"/>
          <w14:ligatures w14:val="standardContextual"/>
        </w:rPr>
      </w:pPr>
    </w:p>
    <w:p w14:paraId="14D5CEA8" w14:textId="77777777" w:rsidR="001A010D" w:rsidRPr="00450805" w:rsidRDefault="001A010D" w:rsidP="007C5C0D">
      <w:pPr>
        <w:spacing w:after="0" w:line="240" w:lineRule="auto"/>
        <w:jc w:val="both"/>
        <w:rPr>
          <w:rFonts w:ascii="Cambria" w:eastAsia="Yu Gothic" w:hAnsi="Cambria" w:cs="Times New Roman"/>
          <w:kern w:val="2"/>
          <w:sz w:val="20"/>
          <w:szCs w:val="20"/>
          <w14:ligatures w14:val="standardContextual"/>
        </w:rPr>
      </w:pPr>
    </w:p>
    <w:p w14:paraId="416E57A7" w14:textId="7E9C95C7" w:rsidR="002A57D7" w:rsidRPr="00450805" w:rsidRDefault="00F912AA" w:rsidP="00F912AA">
      <w:pPr>
        <w:spacing w:after="0" w:line="240" w:lineRule="auto"/>
        <w:ind w:left="426" w:hanging="426"/>
        <w:contextualSpacing/>
        <w:jc w:val="both"/>
        <w:rPr>
          <w:rFonts w:ascii="Cambria" w:eastAsia="Yu Gothic" w:hAnsi="Cambria" w:cs="Times New Roman"/>
          <w:b/>
          <w:bCs/>
          <w:kern w:val="2"/>
          <w:sz w:val="20"/>
          <w:szCs w:val="20"/>
          <w14:ligatures w14:val="standardContextual"/>
        </w:rPr>
      </w:pPr>
      <w:r>
        <w:rPr>
          <w:rFonts w:ascii="Cambria" w:hAnsi="Cambria"/>
          <w:b/>
          <w:bCs/>
          <w:sz w:val="20"/>
          <w:szCs w:val="20"/>
        </w:rPr>
        <w:t xml:space="preserve">7. </w:t>
      </w:r>
      <w:r>
        <w:rPr>
          <w:rFonts w:ascii="Cambria" w:hAnsi="Cambria"/>
          <w:b/>
          <w:bCs/>
          <w:sz w:val="20"/>
          <w:szCs w:val="20"/>
        </w:rPr>
        <w:tab/>
      </w:r>
      <w:r w:rsidR="00636107" w:rsidRPr="00450805">
        <w:rPr>
          <w:rFonts w:ascii="Cambria" w:hAnsi="Cambria"/>
          <w:b/>
          <w:bCs/>
          <w:sz w:val="20"/>
          <w:szCs w:val="20"/>
        </w:rPr>
        <w:t xml:space="preserve">Aclaración solicitada sobre la </w:t>
      </w:r>
      <w:hyperlink r:id="rId31">
        <w:r w:rsidR="00636107" w:rsidRPr="00450805">
          <w:rPr>
            <w:rFonts w:ascii="Cambria" w:hAnsi="Cambria"/>
            <w:b/>
            <w:bCs/>
            <w:i/>
            <w:iCs/>
            <w:color w:val="0000FF"/>
            <w:sz w:val="20"/>
            <w:szCs w:val="20"/>
          </w:rPr>
          <w:t>Recomendación de ICCAT que enmienda la Recomendación 24-05 que establece un plan de ordenación plurianual para el atún rojo en el Atlántico este y el Mediterráneo</w:t>
        </w:r>
        <w:r w:rsidR="00636107" w:rsidRPr="00450805">
          <w:rPr>
            <w:rFonts w:ascii="Cambria" w:hAnsi="Cambria"/>
            <w:b/>
            <w:bCs/>
            <w:color w:val="0000FF"/>
            <w:sz w:val="20"/>
            <w:szCs w:val="20"/>
          </w:rPr>
          <w:t xml:space="preserve"> (Rec. 25-04)</w:t>
        </w:r>
      </w:hyperlink>
      <w:r w:rsidR="00636107" w:rsidRPr="00450805">
        <w:rPr>
          <w:rFonts w:ascii="Cambria" w:hAnsi="Cambria"/>
          <w:b/>
          <w:sz w:val="20"/>
          <w:szCs w:val="20"/>
        </w:rPr>
        <w:t xml:space="preserve"> </w:t>
      </w:r>
    </w:p>
    <w:p w14:paraId="0E7EA7EB" w14:textId="2C93C49F" w:rsidR="00C24FBF" w:rsidRPr="00450805" w:rsidRDefault="00C24FBF" w:rsidP="007C5C0D">
      <w:pPr>
        <w:spacing w:after="0" w:line="240" w:lineRule="auto"/>
        <w:jc w:val="both"/>
        <w:rPr>
          <w:rFonts w:ascii="Cambria" w:eastAsia="Yu Gothic" w:hAnsi="Cambria" w:cs="Times New Roman"/>
          <w:kern w:val="2"/>
          <w:sz w:val="20"/>
          <w:szCs w:val="20"/>
          <w14:ligatures w14:val="standardContextual"/>
        </w:rPr>
      </w:pPr>
    </w:p>
    <w:p w14:paraId="3BEACC06" w14:textId="7E94946F" w:rsidR="00622A20" w:rsidRPr="00450805" w:rsidRDefault="00622A20" w:rsidP="007C5C0D">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szCs w:val="20"/>
        </w:rPr>
        <w:t xml:space="preserve">Solicitudes de </w:t>
      </w:r>
      <w:r w:rsidR="00111519" w:rsidRPr="00450805">
        <w:rPr>
          <w:rFonts w:ascii="Cambria" w:hAnsi="Cambria"/>
          <w:b/>
          <w:i/>
          <w:sz w:val="20"/>
          <w:szCs w:val="20"/>
        </w:rPr>
        <w:t xml:space="preserve">aclaración </w:t>
      </w:r>
      <w:r w:rsidR="005A4B31" w:rsidRPr="00450805">
        <w:rPr>
          <w:rFonts w:ascii="Cambria" w:hAnsi="Cambria"/>
          <w:b/>
          <w:i/>
          <w:sz w:val="20"/>
          <w:szCs w:val="20"/>
        </w:rPr>
        <w:t>del Programa</w:t>
      </w:r>
      <w:r w:rsidRPr="00450805">
        <w:rPr>
          <w:rFonts w:ascii="Cambria" w:hAnsi="Cambria"/>
          <w:b/>
          <w:i/>
          <w:sz w:val="20"/>
          <w:szCs w:val="20"/>
        </w:rPr>
        <w:t xml:space="preserve"> regional de observadores de atún rojo (ROP-BFT) </w:t>
      </w:r>
    </w:p>
    <w:p w14:paraId="0E7D4048" w14:textId="77777777" w:rsidR="00622A20" w:rsidRPr="00450805" w:rsidRDefault="00622A20" w:rsidP="007C5C0D">
      <w:pPr>
        <w:spacing w:after="0" w:line="240" w:lineRule="auto"/>
        <w:jc w:val="both"/>
        <w:rPr>
          <w:rFonts w:ascii="Cambria" w:eastAsia="Yu Gothic" w:hAnsi="Cambria" w:cs="Times New Roman"/>
          <w:kern w:val="2"/>
          <w:sz w:val="20"/>
          <w:szCs w:val="20"/>
          <w14:ligatures w14:val="standardContextual"/>
        </w:rPr>
      </w:pPr>
    </w:p>
    <w:p w14:paraId="5E4205C6" w14:textId="4529CBCE" w:rsidR="00622A20" w:rsidRPr="00450805" w:rsidRDefault="002855E0" w:rsidP="002855E0">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La Subcomisión 2 revisó el documento “Solicitudes de aclaración de la </w:t>
      </w:r>
      <w:hyperlink r:id="rId32" w:history="1">
        <w:r w:rsidRPr="00450805">
          <w:rPr>
            <w:rStyle w:val="Hyperlink"/>
            <w:rFonts w:ascii="Cambria" w:hAnsi="Cambria"/>
            <w:sz w:val="20"/>
            <w:szCs w:val="20"/>
            <w:u w:val="none"/>
          </w:rPr>
          <w:t>Rec. 25-04</w:t>
        </w:r>
      </w:hyperlink>
      <w:r w:rsidRPr="00450805">
        <w:rPr>
          <w:rFonts w:ascii="Cambria" w:hAnsi="Cambria"/>
          <w:sz w:val="20"/>
          <w:szCs w:val="20"/>
        </w:rPr>
        <w:t xml:space="preserve"> por parte del Consorcio del ROP-BFT”</w:t>
      </w:r>
      <w:r w:rsidR="00225932" w:rsidRPr="00450805">
        <w:rPr>
          <w:rFonts w:ascii="Cambria" w:eastAsia="Yu Gothic" w:hAnsi="Cambria" w:cs="Times New Roman"/>
          <w:kern w:val="2"/>
          <w:sz w:val="20"/>
          <w:szCs w:val="20"/>
          <w14:ligatures w14:val="standardContextual"/>
        </w:rPr>
        <w:t>.</w:t>
      </w:r>
    </w:p>
    <w:p w14:paraId="451DC703" w14:textId="22689E86" w:rsidR="00622A20" w:rsidRPr="00450805" w:rsidRDefault="00622A20" w:rsidP="002855E0">
      <w:pPr>
        <w:spacing w:after="0" w:line="240" w:lineRule="auto"/>
        <w:jc w:val="both"/>
        <w:rPr>
          <w:rFonts w:ascii="Cambria" w:eastAsia="Yu Gothic" w:hAnsi="Cambria" w:cs="Times New Roman"/>
          <w:kern w:val="2"/>
          <w:sz w:val="20"/>
          <w:szCs w:val="20"/>
          <w14:ligatures w14:val="standardContextual"/>
        </w:rPr>
      </w:pPr>
    </w:p>
    <w:p w14:paraId="200487AF" w14:textId="77777777" w:rsidR="00622A20" w:rsidRPr="00450805" w:rsidRDefault="00622A20" w:rsidP="00622A20">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Función del observador en el seguimiento de transferencias ulteriores</w:t>
      </w:r>
    </w:p>
    <w:p w14:paraId="22964BC1" w14:textId="375856B6" w:rsidR="00622A20" w:rsidRPr="00450805" w:rsidRDefault="00622A20" w:rsidP="00622A20">
      <w:pPr>
        <w:spacing w:after="0" w:line="240" w:lineRule="auto"/>
        <w:jc w:val="both"/>
        <w:rPr>
          <w:rFonts w:ascii="Cambria" w:eastAsia="Yu Gothic" w:hAnsi="Cambria" w:cs="Times New Roman"/>
          <w:i/>
          <w:iCs/>
          <w:kern w:val="2"/>
          <w:sz w:val="20"/>
          <w:szCs w:val="20"/>
          <w:lang w:val="pt-PT"/>
          <w14:ligatures w14:val="standardContextual"/>
        </w:rPr>
      </w:pPr>
      <w:r w:rsidRPr="00450805">
        <w:rPr>
          <w:rFonts w:ascii="Cambria" w:hAnsi="Cambria"/>
          <w:i/>
          <w:sz w:val="20"/>
          <w:szCs w:val="20"/>
          <w:lang w:val="pt-PT"/>
        </w:rPr>
        <w:t>(Rec. 25-04: párrafos 2k) y 2l); párrafo 101 – segundo apartado; anexo 6, apartados viii–xvi)</w:t>
      </w:r>
    </w:p>
    <w:p w14:paraId="3C4FB518" w14:textId="0B1E458E" w:rsidR="00622A20" w:rsidRPr="00450805" w:rsidRDefault="00622A20" w:rsidP="002855E0">
      <w:pPr>
        <w:spacing w:after="0" w:line="240" w:lineRule="auto"/>
        <w:jc w:val="both"/>
        <w:rPr>
          <w:rFonts w:ascii="Cambria" w:eastAsia="Yu Gothic" w:hAnsi="Cambria" w:cs="Times New Roman"/>
          <w:kern w:val="2"/>
          <w:sz w:val="20"/>
          <w:szCs w:val="20"/>
          <w:lang w:val="pt-PT"/>
          <w14:ligatures w14:val="standardContextual"/>
        </w:rPr>
      </w:pPr>
    </w:p>
    <w:p w14:paraId="64ACCB74" w14:textId="7A856108" w:rsidR="009526EB" w:rsidRPr="00450805" w:rsidRDefault="00622A20" w:rsidP="002855E0">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Los miembros de</w:t>
      </w:r>
      <w:r w:rsidR="00225932" w:rsidRPr="00450805">
        <w:rPr>
          <w:rFonts w:ascii="Cambria" w:hAnsi="Cambria"/>
          <w:sz w:val="20"/>
          <w:szCs w:val="20"/>
        </w:rPr>
        <w:t xml:space="preserve"> </w:t>
      </w:r>
      <w:r w:rsidRPr="00450805">
        <w:rPr>
          <w:rFonts w:ascii="Cambria" w:hAnsi="Cambria"/>
          <w:sz w:val="20"/>
          <w:szCs w:val="20"/>
        </w:rPr>
        <w:t xml:space="preserve">la Subcomisión 2 señalaron que hay casos en los que el atún rojo se </w:t>
      </w:r>
      <w:r w:rsidR="00225932" w:rsidRPr="00450805">
        <w:rPr>
          <w:rFonts w:ascii="Cambria" w:hAnsi="Cambria"/>
          <w:sz w:val="20"/>
          <w:szCs w:val="20"/>
        </w:rPr>
        <w:t>trasfiere simultáneamente</w:t>
      </w:r>
      <w:r w:rsidRPr="00450805">
        <w:rPr>
          <w:rFonts w:ascii="Cambria" w:hAnsi="Cambria"/>
          <w:sz w:val="20"/>
          <w:szCs w:val="20"/>
        </w:rPr>
        <w:t xml:space="preserve"> desde un cerquero a dos jaulas de transporte. En tal caso, se acoplan dos jaulas al cerquero en formación consecutiva, y la compuerta entre la primera y la segunda jaula se mantiene abierta durante toda la operación de transferencia. Durante la operación de transferencia, los atunes rojos entran en la primera jaula desde el cerquero y pueden quedarse en la primera jaula o nadar hasta la segunda. </w:t>
      </w:r>
    </w:p>
    <w:p w14:paraId="0882326E" w14:textId="77777777" w:rsidR="009526EB" w:rsidRPr="00450805" w:rsidRDefault="009526EB" w:rsidP="002855E0">
      <w:pPr>
        <w:spacing w:after="0" w:line="240" w:lineRule="auto"/>
        <w:jc w:val="both"/>
        <w:rPr>
          <w:rFonts w:ascii="Cambria" w:eastAsia="Yu Gothic" w:hAnsi="Cambria" w:cs="Times New Roman"/>
          <w:kern w:val="2"/>
          <w:sz w:val="20"/>
          <w:szCs w:val="20"/>
          <w14:ligatures w14:val="standardContextual"/>
        </w:rPr>
      </w:pPr>
    </w:p>
    <w:p w14:paraId="235F1727" w14:textId="06D11819" w:rsidR="00622A20" w:rsidRPr="00450805" w:rsidRDefault="009526EB" w:rsidP="002855E0">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Los miembros de la Subcomisión 2 coincidieron en que este caso presenta diferencias logísticas con respecto a aquel en el que se produce una primera transferencia entre un cerquero y una jaula de transporte, y posteriormente se lleva a cabo una segunda transferencia de una jaula de transporte a otra. Los miembros de la Subcomisión 2 señalaron que las CPC tenían opiniones divergentes sobre si un caso de este tipo debía considerarse como dos primeras transferencias simultáneas o como una primera y una segunda transferencia, y que, hasta la fecha, las CPC han aplicado estas diferentes interpretaciones.</w:t>
      </w:r>
    </w:p>
    <w:p w14:paraId="5AB94D94" w14:textId="11E21BCF" w:rsidR="00902D21" w:rsidRPr="00450805" w:rsidRDefault="00902D21" w:rsidP="002855E0">
      <w:pPr>
        <w:spacing w:after="0" w:line="240" w:lineRule="auto"/>
        <w:jc w:val="both"/>
        <w:rPr>
          <w:rFonts w:ascii="Cambria" w:eastAsia="Yu Gothic" w:hAnsi="Cambria" w:cs="Times New Roman"/>
          <w:kern w:val="2"/>
          <w:sz w:val="20"/>
          <w:szCs w:val="20"/>
          <w14:ligatures w14:val="standardContextual"/>
        </w:rPr>
      </w:pPr>
    </w:p>
    <w:p w14:paraId="6A89C014" w14:textId="262602B6" w:rsidR="00902D21" w:rsidRPr="00450805" w:rsidRDefault="00902D21" w:rsidP="00902D21">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Los miembros de la Subcomisión 2 acordaron que, como solución provisional, las CPC pueden seguir aplicando su propia interpretación sobre si un caso de este tipo constituiría dos primeras transferencias simultáneas o una primera y una segunda transferencia, </w:t>
      </w:r>
      <w:r w:rsidR="00987D3B" w:rsidRPr="00450805">
        <w:rPr>
          <w:rFonts w:ascii="Cambria" w:hAnsi="Cambria"/>
          <w:sz w:val="20"/>
          <w:szCs w:val="20"/>
        </w:rPr>
        <w:t xml:space="preserve">indicarlo en la autorización expedida por las autoridades de las CPC </w:t>
      </w:r>
      <w:r w:rsidRPr="00450805">
        <w:rPr>
          <w:rFonts w:ascii="Cambria" w:hAnsi="Cambria"/>
          <w:sz w:val="20"/>
          <w:szCs w:val="20"/>
        </w:rPr>
        <w:t>y dar instrucciones al observador regional en consecuencia. Si las dos transferencias se consideran primeras transferencias simultáneas, el observador regional deberá observar ambas transferencias.</w:t>
      </w:r>
    </w:p>
    <w:p w14:paraId="419AACE3" w14:textId="0192CE7B" w:rsidR="00902D21" w:rsidRPr="00450805" w:rsidRDefault="00902D21" w:rsidP="00902D21">
      <w:pPr>
        <w:spacing w:after="0" w:line="240" w:lineRule="auto"/>
        <w:jc w:val="both"/>
        <w:rPr>
          <w:rFonts w:ascii="Cambria" w:eastAsia="Yu Gothic" w:hAnsi="Cambria" w:cs="Times New Roman"/>
          <w:kern w:val="2"/>
          <w:sz w:val="20"/>
          <w:szCs w:val="20"/>
          <w14:ligatures w14:val="standardContextual"/>
        </w:rPr>
      </w:pPr>
    </w:p>
    <w:p w14:paraId="66F89559" w14:textId="2C173FFE" w:rsidR="00E57214" w:rsidRPr="00450805" w:rsidRDefault="00E57214" w:rsidP="00E57214">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Los miembros de la Subcomisión 2 acordaron mantener debates de seguimiento en el seno del Grupo de trabajo IMM.</w:t>
      </w:r>
    </w:p>
    <w:p w14:paraId="69865E5B" w14:textId="77777777" w:rsidR="00E57214" w:rsidRPr="00450805" w:rsidRDefault="00E57214" w:rsidP="00E57214">
      <w:pPr>
        <w:spacing w:after="0" w:line="240" w:lineRule="auto"/>
        <w:jc w:val="both"/>
        <w:rPr>
          <w:rFonts w:ascii="Cambria" w:eastAsia="Yu Gothic" w:hAnsi="Cambria" w:cs="Times New Roman"/>
          <w:kern w:val="2"/>
          <w:sz w:val="20"/>
          <w:szCs w:val="20"/>
          <w14:ligatures w14:val="standardContextual"/>
        </w:rPr>
      </w:pPr>
    </w:p>
    <w:p w14:paraId="3DE3214A" w14:textId="77777777" w:rsidR="00E644B4" w:rsidRPr="00450805" w:rsidRDefault="00E644B4" w:rsidP="00E644B4">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Normas mínimas para los procedimientos de grabación de vídeo: Visualización del número de jaula</w:t>
      </w:r>
    </w:p>
    <w:p w14:paraId="780806C4" w14:textId="4353B5AE" w:rsidR="00E57214" w:rsidRPr="00450805" w:rsidRDefault="00E644B4" w:rsidP="00E644B4">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(Rec. 25-04: Anexo 8, párr. 1a)</w:t>
      </w:r>
    </w:p>
    <w:p w14:paraId="217CE64D" w14:textId="051E3E05" w:rsidR="00E644B4" w:rsidRPr="00450805" w:rsidRDefault="00E644B4" w:rsidP="00E644B4">
      <w:pPr>
        <w:spacing w:after="0" w:line="240" w:lineRule="auto"/>
        <w:jc w:val="both"/>
        <w:rPr>
          <w:rFonts w:ascii="Cambria" w:eastAsia="Yu Gothic" w:hAnsi="Cambria" w:cs="Times New Roman"/>
          <w:kern w:val="2"/>
          <w:sz w:val="20"/>
          <w:szCs w:val="20"/>
          <w14:ligatures w14:val="standardContextual"/>
        </w:rPr>
      </w:pPr>
    </w:p>
    <w:p w14:paraId="743DED9A" w14:textId="79FC9C15" w:rsidR="00E644B4" w:rsidRPr="00450805" w:rsidRDefault="00E644B4" w:rsidP="00E644B4">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Los miembros de la Subcomisión 2 coincidieron en que tanto el número de jaula del donante como el del receptor deben aparecer en la grabación de vídeo y poder identificarse en ella.</w:t>
      </w:r>
    </w:p>
    <w:p w14:paraId="6AFCCEAF" w14:textId="7F91EF8E" w:rsidR="00E644B4" w:rsidRPr="00450805" w:rsidRDefault="00E644B4" w:rsidP="00E644B4">
      <w:pPr>
        <w:spacing w:after="0" w:line="240" w:lineRule="auto"/>
        <w:jc w:val="both"/>
        <w:rPr>
          <w:rFonts w:ascii="Cambria" w:eastAsia="Yu Gothic" w:hAnsi="Cambria" w:cs="Times New Roman"/>
          <w:kern w:val="2"/>
          <w:sz w:val="20"/>
          <w:szCs w:val="20"/>
          <w14:ligatures w14:val="standardContextual"/>
        </w:rPr>
      </w:pPr>
    </w:p>
    <w:p w14:paraId="37097F2B" w14:textId="7A61569D" w:rsidR="00E644B4" w:rsidRPr="00450805" w:rsidRDefault="00E644B4" w:rsidP="00E644B4">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Estimaciones de los observadores sobre el atún introducido en jaula y transferido durante las segregaciones previas a la liberación</w:t>
      </w:r>
    </w:p>
    <w:p w14:paraId="1CA00EA7" w14:textId="232FA161" w:rsidR="00E644B4" w:rsidRPr="00450805" w:rsidRDefault="00E644B4" w:rsidP="00E644B4">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(Rec. 25-04: Anexo 6, párr. </w:t>
      </w:r>
      <w:proofErr w:type="spellStart"/>
      <w:r w:rsidRPr="00450805">
        <w:rPr>
          <w:rFonts w:ascii="Cambria" w:hAnsi="Cambria"/>
          <w:i/>
          <w:sz w:val="20"/>
          <w:szCs w:val="20"/>
        </w:rPr>
        <w:t>xx</w:t>
      </w:r>
      <w:proofErr w:type="spellEnd"/>
      <w:r w:rsidRPr="00450805">
        <w:rPr>
          <w:rFonts w:ascii="Cambria" w:hAnsi="Cambria"/>
          <w:i/>
          <w:sz w:val="20"/>
          <w:szCs w:val="20"/>
        </w:rPr>
        <w:t>)</w:t>
      </w:r>
    </w:p>
    <w:p w14:paraId="58020D41" w14:textId="69F21F3C" w:rsidR="00622A20" w:rsidRPr="00450805" w:rsidRDefault="00622A20" w:rsidP="002855E0">
      <w:pPr>
        <w:spacing w:after="0" w:line="240" w:lineRule="auto"/>
        <w:jc w:val="both"/>
        <w:rPr>
          <w:rFonts w:ascii="Cambria" w:eastAsia="Yu Gothic" w:hAnsi="Cambria" w:cs="Times New Roman"/>
          <w:kern w:val="2"/>
          <w:sz w:val="20"/>
          <w:szCs w:val="20"/>
          <w14:ligatures w14:val="standardContextual"/>
        </w:rPr>
      </w:pPr>
    </w:p>
    <w:p w14:paraId="08A52BB9" w14:textId="301E4D17" w:rsidR="00AF2DED" w:rsidRPr="00450805" w:rsidRDefault="00AF2DED" w:rsidP="002855E0">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Los miembros de la Subcomisión 2 acordaron que el observador regional no debería firmar la declaración de introducción en jaulas, el eBCD ni la orden de liberación si la diferencia entre las estimaciones del </w:t>
      </w:r>
      <w:r w:rsidRPr="00450805">
        <w:rPr>
          <w:rFonts w:ascii="Cambria" w:hAnsi="Cambria"/>
          <w:sz w:val="20"/>
          <w:szCs w:val="20"/>
        </w:rPr>
        <w:lastRenderedPageBreak/>
        <w:t>observador y las de la granja en cuanto a las introducciones en jaulas y las segregaciones previas a la liberación supera el 10 %.</w:t>
      </w:r>
    </w:p>
    <w:p w14:paraId="6D0A6EE9" w14:textId="1BF5CA06" w:rsidR="00AF2DED" w:rsidRPr="00450805" w:rsidRDefault="00AF2DED" w:rsidP="00AF2DED">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Operaciones de segregación previas a la liberación</w:t>
      </w:r>
    </w:p>
    <w:p w14:paraId="28C1B992" w14:textId="3A09C0A1" w:rsidR="00E644B4" w:rsidRPr="00450805" w:rsidRDefault="00AF2DED" w:rsidP="00AF2DED">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(Rec. 25-04: Anexo 6 párr. 3 y Anexo 10, párr. 3</w:t>
      </w:r>
    </w:p>
    <w:p w14:paraId="2A7C2365" w14:textId="52BA2F45" w:rsidR="00E644B4" w:rsidRPr="00450805" w:rsidRDefault="00E644B4" w:rsidP="002855E0">
      <w:pPr>
        <w:spacing w:after="0" w:line="240" w:lineRule="auto"/>
        <w:jc w:val="both"/>
        <w:rPr>
          <w:rFonts w:ascii="Cambria" w:eastAsia="Yu Gothic" w:hAnsi="Cambria" w:cs="Times New Roman"/>
          <w:kern w:val="2"/>
          <w:sz w:val="20"/>
          <w:szCs w:val="20"/>
          <w14:ligatures w14:val="standardContextual"/>
        </w:rPr>
      </w:pPr>
    </w:p>
    <w:p w14:paraId="4BB45E48" w14:textId="243053B2" w:rsidR="00AF2DED" w:rsidRPr="00450805" w:rsidRDefault="00E74A18" w:rsidP="002855E0">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Los miembros de la Subcomisión 2 coincidieron en que la estimación final de atún rojo en la jaula de arrastre es la cantidad que debe compararse con la cantidad registrada en el informe de liberación.</w:t>
      </w:r>
    </w:p>
    <w:p w14:paraId="571E3B16" w14:textId="77777777" w:rsidR="003255D8" w:rsidRPr="00450805" w:rsidRDefault="003255D8" w:rsidP="0029208A">
      <w:pPr>
        <w:spacing w:after="0" w:line="240" w:lineRule="auto"/>
        <w:jc w:val="both"/>
        <w:rPr>
          <w:rFonts w:ascii="Cambria" w:hAnsi="Cambria"/>
          <w:i/>
          <w:sz w:val="20"/>
          <w:szCs w:val="20"/>
        </w:rPr>
      </w:pPr>
    </w:p>
    <w:p w14:paraId="0B4422E9" w14:textId="58A54393" w:rsidR="0029208A" w:rsidRPr="00450805" w:rsidRDefault="0029208A" w:rsidP="0029208A">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Requisitos de consignación de información en el cuaderno de pesca</w:t>
      </w:r>
    </w:p>
    <w:p w14:paraId="5664EFE7" w14:textId="246BD64C" w:rsidR="0029208A" w:rsidRPr="00450805" w:rsidRDefault="0029208A" w:rsidP="0029208A">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(Rec. 25-04: párr. 74; Anexo 2 párr. 2)</w:t>
      </w:r>
    </w:p>
    <w:p w14:paraId="32B63B49" w14:textId="6129CF69" w:rsidR="0029208A" w:rsidRPr="00450805" w:rsidRDefault="0029208A" w:rsidP="002855E0">
      <w:pPr>
        <w:spacing w:after="0" w:line="240" w:lineRule="auto"/>
        <w:jc w:val="both"/>
        <w:rPr>
          <w:rFonts w:ascii="Cambria" w:eastAsia="Yu Gothic" w:hAnsi="Cambria" w:cs="Times New Roman"/>
          <w:kern w:val="2"/>
          <w:sz w:val="20"/>
          <w:szCs w:val="20"/>
          <w14:ligatures w14:val="standardContextual"/>
        </w:rPr>
      </w:pPr>
    </w:p>
    <w:p w14:paraId="1C06E29D" w14:textId="0838E0A5" w:rsidR="0029208A" w:rsidRPr="00450805" w:rsidRDefault="000F773E" w:rsidP="002855E0">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Los miembros de la Subcomisión 2 acordaron que el patrón de pesca deberá estimar y registrar el número y el peso aproximado de la captura de atún rojo antes de la medianoche del día de la operación de pesca. Los miembros de la Subcomisión 2 coincidieron en que estas estimaciones pueden modificarse posteriormente en función de las estimaciones actualizadas realizadas en el marco de la operación de transferencia.</w:t>
      </w:r>
    </w:p>
    <w:p w14:paraId="090ED763" w14:textId="1969A258" w:rsidR="000F773E" w:rsidRPr="00450805" w:rsidRDefault="000F773E" w:rsidP="002855E0">
      <w:pPr>
        <w:spacing w:after="0" w:line="240" w:lineRule="auto"/>
        <w:jc w:val="both"/>
        <w:rPr>
          <w:rFonts w:ascii="Cambria" w:eastAsia="Yu Gothic" w:hAnsi="Cambria" w:cs="Times New Roman"/>
          <w:kern w:val="2"/>
          <w:sz w:val="20"/>
          <w:szCs w:val="20"/>
          <w14:ligatures w14:val="standardContextual"/>
        </w:rPr>
      </w:pPr>
    </w:p>
    <w:p w14:paraId="63E965E0" w14:textId="7F5C0EBF" w:rsidR="000F773E" w:rsidRPr="00450805" w:rsidRDefault="000F773E" w:rsidP="000F773E">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Transferencias inversas de la jaula a la almadraba</w:t>
      </w:r>
    </w:p>
    <w:p w14:paraId="0485D859" w14:textId="7D7FDCCB" w:rsidR="000F773E" w:rsidRPr="00450805" w:rsidRDefault="000F773E" w:rsidP="000F773E">
      <w:pPr>
        <w:spacing w:after="0" w:line="240" w:lineRule="auto"/>
        <w:jc w:val="both"/>
        <w:rPr>
          <w:rFonts w:ascii="Cambria" w:eastAsia="Yu Gothic" w:hAnsi="Cambria" w:cs="Times New Roman"/>
          <w:i/>
          <w:iCs/>
          <w:kern w:val="2"/>
          <w:sz w:val="20"/>
          <w:szCs w:val="20"/>
          <w:lang w:val="pt-BR"/>
          <w14:ligatures w14:val="standardContextual"/>
        </w:rPr>
      </w:pPr>
      <w:r w:rsidRPr="00450805">
        <w:rPr>
          <w:rFonts w:ascii="Cambria" w:hAnsi="Cambria"/>
          <w:i/>
          <w:sz w:val="20"/>
          <w:szCs w:val="20"/>
          <w:lang w:val="pt-BR"/>
        </w:rPr>
        <w:t xml:space="preserve">(Rec. 25-04: </w:t>
      </w:r>
      <w:proofErr w:type="spellStart"/>
      <w:r w:rsidR="00B624DE" w:rsidRPr="00450805">
        <w:rPr>
          <w:rFonts w:ascii="Cambria" w:hAnsi="Cambria"/>
          <w:i/>
          <w:sz w:val="20"/>
          <w:szCs w:val="20"/>
          <w:lang w:val="pt-BR"/>
        </w:rPr>
        <w:t>p</w:t>
      </w:r>
      <w:r w:rsidRPr="00450805">
        <w:rPr>
          <w:rFonts w:ascii="Cambria" w:hAnsi="Cambria"/>
          <w:i/>
          <w:sz w:val="20"/>
          <w:szCs w:val="20"/>
          <w:lang w:val="pt-BR"/>
        </w:rPr>
        <w:t>árr</w:t>
      </w:r>
      <w:proofErr w:type="spellEnd"/>
      <w:r w:rsidRPr="00450805">
        <w:rPr>
          <w:rFonts w:ascii="Cambria" w:hAnsi="Cambria"/>
          <w:i/>
          <w:sz w:val="20"/>
          <w:szCs w:val="20"/>
          <w:lang w:val="pt-BR"/>
        </w:rPr>
        <w:t>. 2i) – segundo apartado; anexo 4)</w:t>
      </w:r>
    </w:p>
    <w:p w14:paraId="0B9FDD58" w14:textId="54DA526A" w:rsidR="0029208A" w:rsidRPr="00450805" w:rsidRDefault="0029208A" w:rsidP="002855E0">
      <w:pPr>
        <w:spacing w:after="0" w:line="240" w:lineRule="auto"/>
        <w:jc w:val="both"/>
        <w:rPr>
          <w:rFonts w:ascii="Cambria" w:eastAsia="Yu Gothic" w:hAnsi="Cambria" w:cs="Times New Roman"/>
          <w:kern w:val="2"/>
          <w:sz w:val="20"/>
          <w:szCs w:val="20"/>
          <w:lang w:val="pt-BR"/>
          <w14:ligatures w14:val="standardContextual"/>
        </w:rPr>
      </w:pPr>
    </w:p>
    <w:p w14:paraId="37FE1D74" w14:textId="15A74FD9" w:rsidR="00D70841" w:rsidRPr="00450805" w:rsidRDefault="00D70841" w:rsidP="002855E0">
      <w:pPr>
        <w:spacing w:after="0" w:line="240" w:lineRule="auto"/>
        <w:jc w:val="both"/>
        <w:rPr>
          <w:rFonts w:ascii="Cambria" w:eastAsia="Yu Gothic" w:hAnsi="Cambria" w:cs="Times New Roman"/>
          <w:sz w:val="20"/>
          <w:szCs w:val="20"/>
        </w:rPr>
      </w:pPr>
      <w:r w:rsidRPr="00450805">
        <w:rPr>
          <w:rFonts w:ascii="Cambria" w:hAnsi="Cambria"/>
          <w:sz w:val="20"/>
          <w:szCs w:val="20"/>
        </w:rPr>
        <w:t xml:space="preserve">Los miembros de la Subcomisión 2 señalaron que la </w:t>
      </w:r>
      <w:hyperlink r:id="rId33" w:history="1">
        <w:r w:rsidRPr="00450805">
          <w:rPr>
            <w:rFonts w:ascii="Cambria" w:hAnsi="Cambria"/>
            <w:color w:val="0000FF"/>
            <w:sz w:val="20"/>
            <w:szCs w:val="20"/>
          </w:rPr>
          <w:t>Rec. 25-04</w:t>
        </w:r>
      </w:hyperlink>
      <w:r w:rsidRPr="00450805">
        <w:rPr>
          <w:rFonts w:ascii="Cambria" w:hAnsi="Cambria"/>
          <w:sz w:val="20"/>
          <w:szCs w:val="20"/>
        </w:rPr>
        <w:t xml:space="preserve"> no prevé una transferencia inversa de peces desde la granja conectada de vuelta a la almadraba. </w:t>
      </w:r>
    </w:p>
    <w:p w14:paraId="258D51FD" w14:textId="77777777" w:rsidR="00D70841" w:rsidRPr="00450805" w:rsidRDefault="00D70841" w:rsidP="002855E0">
      <w:pPr>
        <w:spacing w:after="0" w:line="240" w:lineRule="auto"/>
        <w:jc w:val="both"/>
        <w:rPr>
          <w:rFonts w:ascii="Cambria" w:eastAsia="Yu Gothic" w:hAnsi="Cambria" w:cs="Times New Roman"/>
          <w:sz w:val="20"/>
          <w:szCs w:val="20"/>
        </w:rPr>
      </w:pPr>
    </w:p>
    <w:p w14:paraId="5698A152" w14:textId="4FE1A36C" w:rsidR="00D70841" w:rsidRPr="00450805" w:rsidRDefault="00D70841" w:rsidP="002855E0">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Los miembros de la Subcomisión 2 acordaron que, para la próxima temporada de pesca, el observador regional debería seguir la práctica habitual, es decir, elaborar una declaración de transferencia </w:t>
      </w:r>
      <w:r w:rsidR="00C37127" w:rsidRPr="00450805">
        <w:rPr>
          <w:rFonts w:ascii="Cambria" w:hAnsi="Cambria"/>
          <w:sz w:val="20"/>
          <w:szCs w:val="20"/>
        </w:rPr>
        <w:t>individualizada</w:t>
      </w:r>
      <w:r w:rsidRPr="00450805">
        <w:rPr>
          <w:rFonts w:ascii="Cambria" w:hAnsi="Cambria"/>
          <w:sz w:val="20"/>
          <w:szCs w:val="20"/>
        </w:rPr>
        <w:t xml:space="preserve"> para dicha operación y firmarla para confirmar que la operación se ha llevado a cabo, sin que ello implique necesariamente que la operación se haya realizado de conformidad con las medidas de ICCAT. Acordaron que el observador no debía notificar un posible incumplimiento (PNC) en una operación de este tipo, ya que no existen disposiciones claras al respecto en la </w:t>
      </w:r>
      <w:hyperlink r:id="rId34" w:history="1">
        <w:r w:rsidRPr="00450805">
          <w:rPr>
            <w:rStyle w:val="Hyperlink"/>
            <w:rFonts w:ascii="Cambria" w:hAnsi="Cambria"/>
            <w:sz w:val="20"/>
            <w:szCs w:val="20"/>
            <w:u w:val="none"/>
          </w:rPr>
          <w:t>Rec. 25-04</w:t>
        </w:r>
      </w:hyperlink>
      <w:r w:rsidRPr="00450805">
        <w:rPr>
          <w:rFonts w:ascii="Cambria" w:hAnsi="Cambria"/>
          <w:sz w:val="20"/>
          <w:szCs w:val="20"/>
        </w:rPr>
        <w:t>.</w:t>
      </w:r>
    </w:p>
    <w:p w14:paraId="4E238A26" w14:textId="4477A567" w:rsidR="000F773E" w:rsidRPr="00450805" w:rsidRDefault="000F773E" w:rsidP="002855E0">
      <w:pPr>
        <w:spacing w:after="0" w:line="240" w:lineRule="auto"/>
        <w:jc w:val="both"/>
        <w:rPr>
          <w:rFonts w:ascii="Cambria" w:eastAsia="Yu Gothic" w:hAnsi="Cambria" w:cs="Times New Roman"/>
          <w:kern w:val="2"/>
          <w:sz w:val="20"/>
          <w:szCs w:val="20"/>
          <w14:ligatures w14:val="standardContextual"/>
        </w:rPr>
      </w:pPr>
    </w:p>
    <w:p w14:paraId="1C611185" w14:textId="1A1E8B30" w:rsidR="000F773E" w:rsidRPr="00450805" w:rsidRDefault="00D70841" w:rsidP="002855E0">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Los miembros de la Subcomisión 2 acordaron debatir en la reunión anual la posibilidad de modificar la  </w:t>
      </w:r>
      <w:bookmarkStart w:id="4" w:name="_Hlk224040940"/>
      <w:r w:rsidRPr="00450805">
        <w:fldChar w:fldCharType="begin"/>
      </w:r>
      <w:r w:rsidRPr="00450805">
        <w:rPr>
          <w:rFonts w:ascii="Cambria" w:hAnsi="Cambria"/>
          <w:sz w:val="20"/>
          <w:szCs w:val="20"/>
        </w:rPr>
        <w:instrText xml:space="preserve"> HYPERLINK "https://www.iccat.int/Documents/Recs/compendiopdf-s/2025-04-s.pdf" </w:instrText>
      </w:r>
      <w:r w:rsidRPr="00450805">
        <w:fldChar w:fldCharType="separate"/>
      </w:r>
      <w:r w:rsidRPr="00450805">
        <w:rPr>
          <w:rStyle w:val="Hyperlink"/>
          <w:rFonts w:ascii="Cambria" w:hAnsi="Cambria"/>
          <w:sz w:val="20"/>
          <w:szCs w:val="20"/>
          <w:u w:val="none"/>
        </w:rPr>
        <w:t>Rec.</w:t>
      </w:r>
      <w:r w:rsidR="00E55427" w:rsidRPr="00450805">
        <w:rPr>
          <w:rStyle w:val="Hyperlink"/>
          <w:rFonts w:ascii="Cambria" w:hAnsi="Cambria"/>
          <w:sz w:val="20"/>
          <w:szCs w:val="20"/>
          <w:u w:val="none"/>
        </w:rPr>
        <w:t> </w:t>
      </w:r>
      <w:r w:rsidRPr="00450805">
        <w:rPr>
          <w:rStyle w:val="Hyperlink"/>
          <w:rFonts w:ascii="Cambria" w:hAnsi="Cambria"/>
          <w:sz w:val="20"/>
          <w:szCs w:val="20"/>
          <w:u w:val="none"/>
        </w:rPr>
        <w:t>25-04</w:t>
      </w:r>
      <w:r w:rsidRPr="00450805">
        <w:rPr>
          <w:rStyle w:val="Hyperlink"/>
          <w:rFonts w:ascii="Cambria" w:hAnsi="Cambria"/>
          <w:sz w:val="20"/>
          <w:szCs w:val="20"/>
          <w:u w:val="none"/>
        </w:rPr>
        <w:fldChar w:fldCharType="end"/>
      </w:r>
      <w:bookmarkEnd w:id="4"/>
      <w:r w:rsidRPr="00450805">
        <w:rPr>
          <w:rFonts w:ascii="Cambria" w:hAnsi="Cambria"/>
          <w:sz w:val="20"/>
          <w:szCs w:val="20"/>
        </w:rPr>
        <w:t xml:space="preserve"> para incluir dichas transferencias inversas de la jaula a la almadraba.</w:t>
      </w:r>
    </w:p>
    <w:p w14:paraId="10509E65" w14:textId="7FD9515E" w:rsidR="00D70841" w:rsidRPr="00450805" w:rsidRDefault="00D70841" w:rsidP="002855E0">
      <w:pPr>
        <w:spacing w:after="0" w:line="240" w:lineRule="auto"/>
        <w:jc w:val="both"/>
        <w:rPr>
          <w:rFonts w:ascii="Cambria" w:eastAsia="Yu Gothic" w:hAnsi="Cambria" w:cs="Times New Roman"/>
          <w:kern w:val="2"/>
          <w:sz w:val="20"/>
          <w:szCs w:val="20"/>
          <w14:ligatures w14:val="standardContextual"/>
        </w:rPr>
      </w:pPr>
    </w:p>
    <w:p w14:paraId="36150C53" w14:textId="77777777" w:rsidR="00D70841" w:rsidRPr="00450805" w:rsidRDefault="00D70841" w:rsidP="00D70841">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Liberaciones desde las granjas</w:t>
      </w:r>
    </w:p>
    <w:p w14:paraId="4F138AB1" w14:textId="13F039B1" w:rsidR="00D70841" w:rsidRPr="00450805" w:rsidRDefault="00D70841" w:rsidP="00D70841">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(Rec. 25-04: anexo 10, párr. 9)</w:t>
      </w:r>
    </w:p>
    <w:p w14:paraId="72E2230C" w14:textId="01E203D6" w:rsidR="000F773E" w:rsidRPr="00450805" w:rsidRDefault="000F773E" w:rsidP="002855E0">
      <w:pPr>
        <w:spacing w:after="0" w:line="240" w:lineRule="auto"/>
        <w:jc w:val="both"/>
        <w:rPr>
          <w:rFonts w:ascii="Cambria" w:eastAsia="Yu Gothic" w:hAnsi="Cambria" w:cs="Times New Roman"/>
          <w:kern w:val="2"/>
          <w:sz w:val="20"/>
          <w:szCs w:val="20"/>
          <w14:ligatures w14:val="standardContextual"/>
        </w:rPr>
      </w:pPr>
    </w:p>
    <w:p w14:paraId="56B9D5A0" w14:textId="24185002" w:rsidR="00D70841" w:rsidRPr="00450805" w:rsidRDefault="00D70841" w:rsidP="002855E0">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Los miembros de la Subcomisión 2 coincidieron en que las liberaciones deben realizarse a la distancia mínima pertinente estipulada en la </w:t>
      </w:r>
      <w:hyperlink r:id="rId35" w:history="1">
        <w:r w:rsidRPr="00450805">
          <w:rPr>
            <w:rStyle w:val="Hyperlink"/>
            <w:rFonts w:ascii="Cambria" w:hAnsi="Cambria"/>
            <w:sz w:val="20"/>
            <w:szCs w:val="20"/>
            <w:u w:val="none"/>
          </w:rPr>
          <w:t>Rec. 25-04</w:t>
        </w:r>
      </w:hyperlink>
      <w:r w:rsidRPr="00450805">
        <w:rPr>
          <w:rFonts w:ascii="Cambria" w:hAnsi="Cambria"/>
          <w:sz w:val="20"/>
          <w:szCs w:val="20"/>
        </w:rPr>
        <w:t xml:space="preserve"> y que cualquier liberación directa desde la granja constituiría un incumplimiento.</w:t>
      </w:r>
    </w:p>
    <w:p w14:paraId="22EB7D78" w14:textId="53C213CC" w:rsidR="00D70841" w:rsidRPr="00450805" w:rsidRDefault="00D70841" w:rsidP="002855E0">
      <w:pPr>
        <w:spacing w:after="0" w:line="240" w:lineRule="auto"/>
        <w:jc w:val="both"/>
        <w:rPr>
          <w:rFonts w:ascii="Cambria" w:eastAsia="Yu Gothic" w:hAnsi="Cambria" w:cs="Times New Roman"/>
          <w:kern w:val="2"/>
          <w:sz w:val="20"/>
          <w:szCs w:val="20"/>
          <w14:ligatures w14:val="standardContextual"/>
        </w:rPr>
      </w:pPr>
    </w:p>
    <w:p w14:paraId="48E2C029" w14:textId="6142365E" w:rsidR="00D70841" w:rsidRPr="00450805" w:rsidRDefault="00D70841" w:rsidP="00D70841">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Precintos en granjas durante la asignación que cubre el sacrificio</w:t>
      </w:r>
    </w:p>
    <w:p w14:paraId="577E665B" w14:textId="52C53686" w:rsidR="00D70841" w:rsidRPr="00450805" w:rsidRDefault="00D70841" w:rsidP="00D70841">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(Rec. 25-04: párr. 159)</w:t>
      </w:r>
    </w:p>
    <w:p w14:paraId="7ECB3658" w14:textId="442C90AF" w:rsidR="00D70841" w:rsidRPr="00450805" w:rsidRDefault="00D70841" w:rsidP="002855E0">
      <w:pPr>
        <w:spacing w:after="0" w:line="240" w:lineRule="auto"/>
        <w:jc w:val="both"/>
        <w:rPr>
          <w:rFonts w:ascii="Cambria" w:eastAsia="Yu Gothic" w:hAnsi="Cambria" w:cs="Times New Roman"/>
          <w:kern w:val="2"/>
          <w:sz w:val="20"/>
          <w:szCs w:val="20"/>
          <w14:ligatures w14:val="standardContextual"/>
        </w:rPr>
      </w:pPr>
    </w:p>
    <w:p w14:paraId="7CB76FEC" w14:textId="56D42DB6" w:rsidR="00D70841" w:rsidRPr="00450805" w:rsidRDefault="00D70841" w:rsidP="002855E0">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Los miembros de la Subcomisión 2 acordaron que las autoridades competentes de las CPC deberían proporcionar los precintos a sus granjas y que no es necesario proporcionar dichos precintos a los observadores regionales.</w:t>
      </w:r>
    </w:p>
    <w:p w14:paraId="543BF0EA" w14:textId="77777777" w:rsidR="00D70841" w:rsidRPr="00450805" w:rsidRDefault="00D70841" w:rsidP="002855E0">
      <w:pPr>
        <w:spacing w:after="0" w:line="240" w:lineRule="auto"/>
        <w:jc w:val="both"/>
        <w:rPr>
          <w:rFonts w:ascii="Cambria" w:eastAsia="Yu Gothic" w:hAnsi="Cambria" w:cs="Times New Roman"/>
          <w:kern w:val="2"/>
          <w:sz w:val="20"/>
          <w:szCs w:val="20"/>
          <w14:ligatures w14:val="standardContextual"/>
        </w:rPr>
      </w:pPr>
    </w:p>
    <w:p w14:paraId="57167378" w14:textId="66930185" w:rsidR="00746999" w:rsidRPr="00450805" w:rsidRDefault="00746999" w:rsidP="002F303A">
      <w:pPr>
        <w:spacing w:after="0" w:line="240" w:lineRule="auto"/>
        <w:jc w:val="both"/>
        <w:rPr>
          <w:rFonts w:ascii="Cambria" w:eastAsia="Yu Gothic" w:hAnsi="Cambria" w:cs="Times New Roman"/>
          <w:kern w:val="2"/>
          <w:sz w:val="20"/>
          <w:szCs w:val="20"/>
          <w14:ligatures w14:val="standardContextual"/>
        </w:rPr>
      </w:pPr>
      <w:r w:rsidRPr="00450805">
        <w:rPr>
          <w:rFonts w:ascii="Cambria" w:eastAsia="Yu Gothic" w:hAnsi="Cambria" w:cs="Times New Roman"/>
          <w:kern w:val="2"/>
          <w:sz w:val="20"/>
          <w:szCs w:val="20"/>
          <w14:ligatures w14:val="standardContextual"/>
        </w:rPr>
        <w:t xml:space="preserve">El resumen de las respuestas de las CPC y la </w:t>
      </w:r>
      <w:proofErr w:type="gramStart"/>
      <w:r w:rsidRPr="00450805">
        <w:rPr>
          <w:rFonts w:ascii="Cambria" w:eastAsia="Yu Gothic" w:hAnsi="Cambria" w:cs="Times New Roman"/>
          <w:kern w:val="2"/>
          <w:sz w:val="20"/>
          <w:szCs w:val="20"/>
          <w14:ligatures w14:val="standardContextual"/>
        </w:rPr>
        <w:t>conclusión final</w:t>
      </w:r>
      <w:proofErr w:type="gramEnd"/>
      <w:r w:rsidRPr="00450805">
        <w:rPr>
          <w:rFonts w:ascii="Cambria" w:eastAsia="Yu Gothic" w:hAnsi="Cambria" w:cs="Times New Roman"/>
          <w:kern w:val="2"/>
          <w:sz w:val="20"/>
          <w:szCs w:val="20"/>
          <w14:ligatures w14:val="standardContextual"/>
        </w:rPr>
        <w:t xml:space="preserve"> </w:t>
      </w:r>
      <w:r w:rsidR="004D67C2" w:rsidRPr="00450805">
        <w:rPr>
          <w:rFonts w:ascii="Cambria" w:eastAsia="Yu Gothic" w:hAnsi="Cambria" w:cs="Times New Roman"/>
          <w:kern w:val="2"/>
          <w:sz w:val="20"/>
          <w:szCs w:val="20"/>
          <w14:ligatures w14:val="standardContextual"/>
        </w:rPr>
        <w:t>de la Subcomisión </w:t>
      </w:r>
      <w:r w:rsidRPr="00450805">
        <w:rPr>
          <w:rFonts w:ascii="Cambria" w:eastAsia="Yu Gothic" w:hAnsi="Cambria" w:cs="Times New Roman"/>
          <w:kern w:val="2"/>
          <w:sz w:val="20"/>
          <w:szCs w:val="20"/>
          <w14:ligatures w14:val="standardContextual"/>
        </w:rPr>
        <w:t xml:space="preserve">2 sobre las </w:t>
      </w:r>
      <w:r w:rsidR="00791027" w:rsidRPr="00450805">
        <w:rPr>
          <w:rFonts w:ascii="Cambria" w:eastAsia="Yu Gothic" w:hAnsi="Cambria" w:cs="Times New Roman"/>
          <w:kern w:val="2"/>
          <w:sz w:val="20"/>
          <w:szCs w:val="20"/>
          <w14:ligatures w14:val="standardContextual"/>
        </w:rPr>
        <w:t xml:space="preserve">solicitudes de aclaración </w:t>
      </w:r>
      <w:r w:rsidR="002F303A" w:rsidRPr="00450805">
        <w:rPr>
          <w:rFonts w:ascii="Cambria" w:eastAsia="Times New Roman" w:hAnsi="Cambria" w:cs="Times New Roman"/>
          <w:sz w:val="20"/>
          <w:szCs w:val="20"/>
        </w:rPr>
        <w:t xml:space="preserve">de la </w:t>
      </w:r>
      <w:hyperlink r:id="rId36" w:history="1">
        <w:r w:rsidR="002F303A" w:rsidRPr="00450805">
          <w:rPr>
            <w:rFonts w:ascii="Cambria" w:eastAsia="Times New Roman" w:hAnsi="Cambria" w:cs="Times New Roman"/>
            <w:color w:val="0563C1" w:themeColor="hyperlink"/>
            <w:sz w:val="20"/>
            <w:szCs w:val="20"/>
          </w:rPr>
          <w:t>Rec. 25-04</w:t>
        </w:r>
      </w:hyperlink>
      <w:r w:rsidR="002F303A" w:rsidRPr="00450805">
        <w:rPr>
          <w:rFonts w:ascii="Cambria" w:eastAsia="Times New Roman" w:hAnsi="Cambria" w:cs="Times New Roman"/>
          <w:sz w:val="20"/>
          <w:szCs w:val="20"/>
        </w:rPr>
        <w:t xml:space="preserve"> por el consorcio que implementa el programa regional de observadores de ICCAT para el atún rojo (ROP-BFT) </w:t>
      </w:r>
      <w:r w:rsidR="00D71DD3" w:rsidRPr="00450805">
        <w:rPr>
          <w:rFonts w:ascii="Cambria" w:eastAsia="Yu Gothic" w:hAnsi="Cambria" w:cs="Times New Roman"/>
          <w:kern w:val="2"/>
          <w:sz w:val="20"/>
          <w:szCs w:val="20"/>
          <w14:ligatures w14:val="standardContextual"/>
        </w:rPr>
        <w:t>figuran</w:t>
      </w:r>
      <w:r w:rsidRPr="00450805">
        <w:rPr>
          <w:rFonts w:ascii="Cambria" w:eastAsia="Yu Gothic" w:hAnsi="Cambria" w:cs="Times New Roman"/>
          <w:kern w:val="2"/>
          <w:sz w:val="20"/>
          <w:szCs w:val="20"/>
          <w14:ligatures w14:val="standardContextual"/>
        </w:rPr>
        <w:t xml:space="preserve"> en el </w:t>
      </w:r>
      <w:r w:rsidRPr="00450805">
        <w:rPr>
          <w:rFonts w:ascii="Cambria" w:eastAsia="Yu Gothic" w:hAnsi="Cambria" w:cs="Times New Roman"/>
          <w:b/>
          <w:bCs/>
          <w:kern w:val="2"/>
          <w:sz w:val="20"/>
          <w:szCs w:val="20"/>
          <w14:ligatures w14:val="standardContextual"/>
        </w:rPr>
        <w:t>apéndice</w:t>
      </w:r>
      <w:r w:rsidR="00071C0F" w:rsidRPr="00450805">
        <w:rPr>
          <w:rFonts w:ascii="Cambria" w:eastAsia="Yu Gothic" w:hAnsi="Cambria" w:cs="Times New Roman"/>
          <w:b/>
          <w:bCs/>
          <w:kern w:val="2"/>
          <w:sz w:val="20"/>
          <w:szCs w:val="20"/>
          <w14:ligatures w14:val="standardContextual"/>
        </w:rPr>
        <w:t> </w:t>
      </w:r>
      <w:r w:rsidRPr="00450805">
        <w:rPr>
          <w:rFonts w:ascii="Cambria" w:eastAsia="Yu Gothic" w:hAnsi="Cambria" w:cs="Times New Roman"/>
          <w:b/>
          <w:bCs/>
          <w:kern w:val="2"/>
          <w:sz w:val="20"/>
          <w:szCs w:val="20"/>
          <w14:ligatures w14:val="standardContextual"/>
        </w:rPr>
        <w:t>5</w:t>
      </w:r>
      <w:r w:rsidRPr="00450805">
        <w:rPr>
          <w:rFonts w:ascii="Cambria" w:eastAsia="Yu Gothic" w:hAnsi="Cambria" w:cs="Times New Roman"/>
          <w:kern w:val="2"/>
          <w:sz w:val="20"/>
          <w:szCs w:val="20"/>
          <w14:ligatures w14:val="standardContextual"/>
        </w:rPr>
        <w:t>.</w:t>
      </w:r>
      <w:r w:rsidR="002F303A" w:rsidRPr="00450805">
        <w:rPr>
          <w:rFonts w:ascii="Cambria" w:eastAsia="Yu Gothic" w:hAnsi="Cambria" w:cs="Times New Roman"/>
          <w:kern w:val="2"/>
          <w:sz w:val="20"/>
          <w:szCs w:val="20"/>
          <w14:ligatures w14:val="standardContextual"/>
        </w:rPr>
        <w:t xml:space="preserve"> </w:t>
      </w:r>
    </w:p>
    <w:p w14:paraId="69D4EAC8" w14:textId="0EA520B0" w:rsidR="002855E0" w:rsidRPr="00450805" w:rsidRDefault="002855E0" w:rsidP="002855E0">
      <w:pPr>
        <w:spacing w:after="0" w:line="240" w:lineRule="auto"/>
        <w:jc w:val="both"/>
        <w:rPr>
          <w:rFonts w:ascii="Cambria" w:eastAsia="Yu Gothic" w:hAnsi="Cambria" w:cs="Times New Roman"/>
          <w:kern w:val="2"/>
          <w:sz w:val="20"/>
          <w:szCs w:val="20"/>
          <w14:ligatures w14:val="standardContextual"/>
        </w:rPr>
      </w:pPr>
    </w:p>
    <w:p w14:paraId="1720213F" w14:textId="703FD9AE" w:rsidR="00622A20" w:rsidRPr="00450805" w:rsidRDefault="00622A20" w:rsidP="00622A20">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bCs/>
          <w:i/>
          <w:iCs/>
          <w:sz w:val="20"/>
          <w:szCs w:val="20"/>
        </w:rPr>
        <w:t>Solicitudes de aclaración de la Secretaría de ICCAT</w:t>
      </w:r>
    </w:p>
    <w:p w14:paraId="6FE3C0F9" w14:textId="0F6F03C6" w:rsidR="00622A20" w:rsidRPr="00450805" w:rsidRDefault="00622A20" w:rsidP="002855E0">
      <w:pPr>
        <w:spacing w:after="0" w:line="240" w:lineRule="auto"/>
        <w:jc w:val="both"/>
        <w:rPr>
          <w:rFonts w:ascii="Cambria" w:eastAsia="Yu Gothic" w:hAnsi="Cambria" w:cs="Times New Roman"/>
          <w:kern w:val="2"/>
          <w:sz w:val="20"/>
          <w:szCs w:val="20"/>
          <w14:ligatures w14:val="standardContextual"/>
        </w:rPr>
      </w:pPr>
    </w:p>
    <w:p w14:paraId="618C8CA9" w14:textId="30AE429A" w:rsidR="00A11732" w:rsidRPr="00450805" w:rsidRDefault="00E57214" w:rsidP="007C5C0D">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Los miembros de la Subcomisión 2 examinaron el documento </w:t>
      </w:r>
      <w:r w:rsidR="008C6618" w:rsidRPr="00450805">
        <w:rPr>
          <w:rFonts w:ascii="Cambria" w:hAnsi="Cambria"/>
          <w:sz w:val="20"/>
          <w:szCs w:val="20"/>
        </w:rPr>
        <w:t>“</w:t>
      </w:r>
      <w:r w:rsidRPr="00450805">
        <w:rPr>
          <w:rFonts w:ascii="Cambria" w:hAnsi="Cambria"/>
          <w:sz w:val="20"/>
          <w:szCs w:val="20"/>
        </w:rPr>
        <w:t>Aclaraciones solicitadas sobre la</w:t>
      </w:r>
      <w:r w:rsidR="009E02F5" w:rsidRPr="00450805">
        <w:rPr>
          <w:rFonts w:ascii="Cambria" w:hAnsi="Cambria"/>
          <w:sz w:val="20"/>
          <w:szCs w:val="20"/>
        </w:rPr>
        <w:t xml:space="preserve"> </w:t>
      </w:r>
      <w:hyperlink r:id="rId37">
        <w:r w:rsidRPr="00450805">
          <w:rPr>
            <w:rFonts w:ascii="Cambria" w:hAnsi="Cambria"/>
            <w:color w:val="0000FF"/>
            <w:sz w:val="20"/>
            <w:szCs w:val="20"/>
          </w:rPr>
          <w:t>Rec. 24-05</w:t>
        </w:r>
      </w:hyperlink>
      <w:r w:rsidRPr="00450805">
        <w:rPr>
          <w:rFonts w:ascii="Cambria" w:hAnsi="Cambria"/>
          <w:sz w:val="20"/>
          <w:szCs w:val="20"/>
        </w:rPr>
        <w:t xml:space="preserve"> y la </w:t>
      </w:r>
      <w:hyperlink r:id="rId38">
        <w:r w:rsidRPr="00450805">
          <w:rPr>
            <w:rFonts w:ascii="Cambria" w:hAnsi="Cambria"/>
            <w:color w:val="0000FF"/>
            <w:sz w:val="20"/>
            <w:szCs w:val="20"/>
          </w:rPr>
          <w:t>Rec. 25-04</w:t>
        </w:r>
      </w:hyperlink>
      <w:r w:rsidRPr="00450805">
        <w:rPr>
          <w:rFonts w:ascii="Cambria" w:hAnsi="Cambria"/>
          <w:sz w:val="20"/>
          <w:szCs w:val="20"/>
        </w:rPr>
        <w:t xml:space="preserve">” y elaboraron una versión revisada que incluía las conclusiones de la Subcomisión 2. El resumen de respuestas se adjunta como </w:t>
      </w:r>
      <w:r w:rsidRPr="00450805">
        <w:rPr>
          <w:rFonts w:ascii="Cambria" w:hAnsi="Cambria"/>
          <w:b/>
          <w:bCs/>
          <w:sz w:val="20"/>
          <w:szCs w:val="20"/>
        </w:rPr>
        <w:t>apéndice 6.</w:t>
      </w:r>
    </w:p>
    <w:p w14:paraId="401FE964" w14:textId="2349721A" w:rsidR="00FF7588" w:rsidRPr="00450805" w:rsidRDefault="00FF7588" w:rsidP="007C5C0D">
      <w:pPr>
        <w:spacing w:after="0" w:line="240" w:lineRule="auto"/>
        <w:jc w:val="both"/>
        <w:rPr>
          <w:rFonts w:ascii="Cambria" w:eastAsia="Yu Gothic" w:hAnsi="Cambria" w:cs="Times New Roman"/>
          <w:kern w:val="2"/>
          <w:sz w:val="20"/>
          <w:szCs w:val="20"/>
          <w14:ligatures w14:val="standardContextual"/>
        </w:rPr>
      </w:pPr>
    </w:p>
    <w:p w14:paraId="72682161" w14:textId="77777777" w:rsidR="00FF7588" w:rsidRPr="00450805" w:rsidRDefault="00FF7588" w:rsidP="007C5C0D">
      <w:pPr>
        <w:spacing w:after="0" w:line="240" w:lineRule="auto"/>
        <w:jc w:val="both"/>
        <w:rPr>
          <w:rFonts w:ascii="Cambria" w:eastAsia="Yu Gothic" w:hAnsi="Cambria" w:cs="Times New Roman"/>
          <w:kern w:val="2"/>
          <w:sz w:val="20"/>
          <w:szCs w:val="20"/>
          <w14:ligatures w14:val="standardContextual"/>
        </w:rPr>
      </w:pPr>
    </w:p>
    <w:p w14:paraId="16CA3367" w14:textId="77777777" w:rsidR="003255D8" w:rsidRPr="00450805" w:rsidRDefault="003255D8">
      <w:pPr>
        <w:spacing w:line="259" w:lineRule="auto"/>
        <w:rPr>
          <w:rFonts w:ascii="Cambria" w:hAnsi="Cambria"/>
          <w:b/>
          <w:sz w:val="20"/>
          <w:szCs w:val="20"/>
        </w:rPr>
      </w:pPr>
      <w:r w:rsidRPr="00450805">
        <w:rPr>
          <w:rFonts w:ascii="Cambria" w:hAnsi="Cambria"/>
          <w:b/>
          <w:sz w:val="20"/>
          <w:szCs w:val="20"/>
        </w:rPr>
        <w:br w:type="page"/>
      </w:r>
    </w:p>
    <w:p w14:paraId="602298B1" w14:textId="3DCDAF48" w:rsidR="002A57D7" w:rsidRPr="00450805" w:rsidRDefault="00636107" w:rsidP="00CE0EC8">
      <w:pPr>
        <w:numPr>
          <w:ilvl w:val="0"/>
          <w:numId w:val="96"/>
        </w:numPr>
        <w:spacing w:after="0" w:line="240" w:lineRule="auto"/>
        <w:ind w:left="426" w:hanging="426"/>
        <w:contextualSpacing/>
        <w:jc w:val="both"/>
        <w:rPr>
          <w:rFonts w:ascii="Cambria" w:eastAsia="Yu Gothic" w:hAnsi="Cambria" w:cs="Times New Roman"/>
          <w:b/>
          <w:bCs/>
          <w:kern w:val="2"/>
          <w:sz w:val="20"/>
          <w:szCs w:val="20"/>
          <w14:ligatures w14:val="standardContextual"/>
        </w:rPr>
      </w:pPr>
      <w:r w:rsidRPr="00450805">
        <w:rPr>
          <w:rFonts w:ascii="Cambria" w:hAnsi="Cambria"/>
          <w:b/>
          <w:sz w:val="20"/>
          <w:szCs w:val="20"/>
        </w:rPr>
        <w:lastRenderedPageBreak/>
        <w:t>Debate sobre el procedimiento de ordenación (MP)/ Evaluación de estrategias de ordenación (MSE) para el atún rojo</w:t>
      </w:r>
    </w:p>
    <w:p w14:paraId="2A48BB0F" w14:textId="60F20BD2" w:rsidR="002A57D7" w:rsidRPr="00450805" w:rsidRDefault="002A57D7" w:rsidP="007C5C0D">
      <w:pPr>
        <w:tabs>
          <w:tab w:val="left" w:pos="426"/>
        </w:tabs>
        <w:spacing w:after="0" w:line="240" w:lineRule="auto"/>
        <w:jc w:val="both"/>
        <w:rPr>
          <w:rFonts w:ascii="Cambria" w:eastAsia="Yu Gothic" w:hAnsi="Cambria" w:cs="Times New Roman"/>
          <w:kern w:val="2"/>
          <w:sz w:val="20"/>
          <w:szCs w:val="20"/>
          <w14:ligatures w14:val="standardContextual"/>
        </w:rPr>
      </w:pPr>
    </w:p>
    <w:p w14:paraId="5DBC5684" w14:textId="0613AFFC" w:rsidR="00636107" w:rsidRPr="00450805" w:rsidRDefault="00636107" w:rsidP="00636107">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szCs w:val="20"/>
        </w:rPr>
        <w:t>8.1 Actualizaciones sobre el trabajo del SCRS en relación con el atún rojo</w:t>
      </w:r>
    </w:p>
    <w:p w14:paraId="1D4FF1A1" w14:textId="5F1A7BC3" w:rsidR="00636107" w:rsidRPr="00450805" w:rsidRDefault="00636107" w:rsidP="00636107">
      <w:pPr>
        <w:tabs>
          <w:tab w:val="left" w:pos="426"/>
        </w:tabs>
        <w:spacing w:after="0" w:line="240" w:lineRule="auto"/>
        <w:jc w:val="both"/>
        <w:rPr>
          <w:rFonts w:ascii="Cambria" w:eastAsia="Yu Gothic" w:hAnsi="Cambria" w:cs="Times New Roman"/>
          <w:kern w:val="2"/>
          <w:sz w:val="20"/>
          <w:szCs w:val="20"/>
          <w14:ligatures w14:val="standardContextual"/>
        </w:rPr>
      </w:pPr>
    </w:p>
    <w:p w14:paraId="7E92563E" w14:textId="3D94A121" w:rsidR="008D74AE" w:rsidRPr="00450805" w:rsidRDefault="008D74AE" w:rsidP="008D74AE">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del SCRS presentó un informe sobre los avances del trabajo de la MSE para el atún rojo. Según la hoja de ruta de la ICCAT sobre la MSE, en 2026 el SCRS deberá realizar una comprobación del estado, iniciar la revisión del MP, presentar su trabajo a la Subcomisión 2 y comprobar las circunstancias excepcionales. La Comisión examinará los avances del SCRS en lo relativo a la comprobación del estado y la revisión del MP. En 2027, el SCRS proseguirá con su revisión del MP, presentará su trabajo a la Subcomisión</w:t>
      </w:r>
      <w:r w:rsidR="0078285E" w:rsidRPr="00450805">
        <w:rPr>
          <w:rFonts w:ascii="Cambria" w:hAnsi="Cambria"/>
          <w:sz w:val="20"/>
          <w:szCs w:val="20"/>
        </w:rPr>
        <w:t> </w:t>
      </w:r>
      <w:r w:rsidRPr="00450805">
        <w:rPr>
          <w:rFonts w:ascii="Cambria" w:hAnsi="Cambria"/>
          <w:sz w:val="20"/>
          <w:szCs w:val="20"/>
        </w:rPr>
        <w:t xml:space="preserve">2 para recabar comentarios y comprobará si concurren circunstancias excepcionales. La Comisión examinará los avances del SCRS en la revisión del MP. En 2028, el SCRS deberá finalizar cualquier revisión del MP, presentar su trabajo a la </w:t>
      </w:r>
      <w:r w:rsidR="00592BDE" w:rsidRPr="00450805">
        <w:rPr>
          <w:rFonts w:ascii="Cambria" w:hAnsi="Cambria"/>
          <w:sz w:val="20"/>
          <w:szCs w:val="20"/>
        </w:rPr>
        <w:t>Subcomisión 2</w:t>
      </w:r>
      <w:r w:rsidRPr="00450805">
        <w:rPr>
          <w:rFonts w:ascii="Cambria" w:hAnsi="Cambria"/>
          <w:sz w:val="20"/>
          <w:szCs w:val="20"/>
        </w:rPr>
        <w:t xml:space="preserve"> para obtener comentarios finales, proporcionar </w:t>
      </w:r>
      <w:r w:rsidR="005011D6" w:rsidRPr="00450805">
        <w:rPr>
          <w:rFonts w:ascii="Cambria" w:hAnsi="Cambria"/>
          <w:sz w:val="20"/>
          <w:szCs w:val="20"/>
        </w:rPr>
        <w:t xml:space="preserve">asesoramiento sobre </w:t>
      </w:r>
      <w:r w:rsidRPr="00450805">
        <w:rPr>
          <w:rFonts w:ascii="Cambria" w:hAnsi="Cambria"/>
          <w:sz w:val="20"/>
          <w:szCs w:val="20"/>
        </w:rPr>
        <w:t>los TAC para el período 2029-2031 basándose en el MP actual o en uno alternativo, y comprobar si concurren circunstancias excepcionales. La Comisión adoptará los TAC para el período 2029-2031 basándose en el MP actual o en uno alternativo</w:t>
      </w:r>
      <w:r w:rsidR="00231693" w:rsidRPr="00450805">
        <w:rPr>
          <w:rFonts w:ascii="Cambria" w:hAnsi="Cambria"/>
          <w:sz w:val="20"/>
          <w:szCs w:val="20"/>
        </w:rPr>
        <w:t>/actualizado</w:t>
      </w:r>
      <w:r w:rsidRPr="00450805">
        <w:rPr>
          <w:rFonts w:ascii="Cambria" w:hAnsi="Cambria"/>
          <w:sz w:val="20"/>
          <w:szCs w:val="20"/>
        </w:rPr>
        <w:t>.</w:t>
      </w:r>
    </w:p>
    <w:p w14:paraId="4F037817" w14:textId="77777777" w:rsidR="008D74AE" w:rsidRPr="00450805" w:rsidRDefault="008D74AE" w:rsidP="008D74AE">
      <w:pPr>
        <w:tabs>
          <w:tab w:val="left" w:pos="426"/>
        </w:tabs>
        <w:spacing w:after="0" w:line="240" w:lineRule="auto"/>
        <w:jc w:val="both"/>
        <w:rPr>
          <w:rFonts w:ascii="Cambria" w:eastAsia="Yu Gothic" w:hAnsi="Cambria" w:cs="Times New Roman"/>
          <w:kern w:val="2"/>
          <w:sz w:val="20"/>
          <w:szCs w:val="20"/>
          <w14:ligatures w14:val="standardContextual"/>
        </w:rPr>
      </w:pPr>
    </w:p>
    <w:p w14:paraId="5322F607" w14:textId="615D14A9" w:rsidR="008D74AE" w:rsidRPr="00450805" w:rsidRDefault="008D74AE" w:rsidP="008D74AE">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del SCRS explicó que, de acuerdo con el plan de trabajo del SCRS, los principales objetivos del SCRS para 2026 y años posteriores son llevar a cabo una evaluación del estado de los stocks («comprobación del estado»), revisar y perfeccionar la MSE y elaborar procedimientos de ordenación candidatos (CMP). El objetivo de este trabajo es servir de base para el asesoramiento sobre el TAC para el período 2029-2031. En la actual reunión intersesiones de la Subcomisión 2, el SCRS desea iniciar un diálogo sobre el plan de trabajo del SCRS y recabar las opiniones de la Subcomisión 2, por ejemplo, sobre los objetivos de ordenación, la estructura y las funciones de los modelos operativos (OM) y la estructura del MP.</w:t>
      </w:r>
    </w:p>
    <w:p w14:paraId="7F45450E" w14:textId="77777777" w:rsidR="008D74AE" w:rsidRPr="00450805" w:rsidRDefault="008D74AE" w:rsidP="008D74AE">
      <w:pPr>
        <w:tabs>
          <w:tab w:val="left" w:pos="426"/>
        </w:tabs>
        <w:spacing w:after="0" w:line="240" w:lineRule="auto"/>
        <w:jc w:val="both"/>
        <w:rPr>
          <w:rFonts w:ascii="Cambria" w:eastAsia="Yu Gothic" w:hAnsi="Cambria" w:cs="Times New Roman"/>
          <w:kern w:val="2"/>
          <w:sz w:val="20"/>
          <w:szCs w:val="20"/>
          <w14:ligatures w14:val="standardContextual"/>
        </w:rPr>
      </w:pPr>
    </w:p>
    <w:p w14:paraId="1F77141D" w14:textId="77777777" w:rsidR="008D74AE" w:rsidRPr="00450805" w:rsidRDefault="008D74AE" w:rsidP="008D74AE">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del SCRS explicó que la «comprobación del estado» del atún rojo para 2026 es una evaluación de estado específica destinada a proporcionar una estimación puntual de la mortalidad por pesca y, en la medida de lo posible, de la biomasa del stock. Los objetivos clave son realizar un ensayo de continuidad, validar los datos e integrar los últimos avances científicos. La «comprobación del estado» servirá de apoyo a las revisiones de la MSE, ya que permitirá identificar mejoras en el modelo, elaborar un marco inicial y definir el alcance de los datos. Las revisiones previstas de la MSE incluyen el perfeccionamiento del modelo, el reacondicionamiento de los OM y el desarrollo y la «recalibración» del MP.</w:t>
      </w:r>
    </w:p>
    <w:p w14:paraId="364B50E9" w14:textId="77777777" w:rsidR="008D74AE" w:rsidRPr="00450805" w:rsidRDefault="008D74AE" w:rsidP="008D74AE">
      <w:pPr>
        <w:tabs>
          <w:tab w:val="left" w:pos="426"/>
        </w:tabs>
        <w:spacing w:after="0" w:line="240" w:lineRule="auto"/>
        <w:jc w:val="both"/>
        <w:rPr>
          <w:rFonts w:ascii="Cambria" w:eastAsia="Yu Gothic" w:hAnsi="Cambria" w:cs="Times New Roman"/>
          <w:kern w:val="2"/>
          <w:sz w:val="20"/>
          <w:szCs w:val="20"/>
          <w14:ligatures w14:val="standardContextual"/>
        </w:rPr>
      </w:pPr>
    </w:p>
    <w:p w14:paraId="026BD337" w14:textId="3A90001E" w:rsidR="008D74AE" w:rsidRPr="00450805" w:rsidRDefault="008D74AE" w:rsidP="008D74AE">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del SCRS explicó que, en septiembre de 2026, el SCRS tiene previsto finalizar </w:t>
      </w:r>
      <w:r w:rsidR="008E7239" w:rsidRPr="00450805">
        <w:rPr>
          <w:rFonts w:ascii="Cambria" w:hAnsi="Cambria"/>
          <w:sz w:val="20"/>
          <w:szCs w:val="20"/>
        </w:rPr>
        <w:t xml:space="preserve">la comprobación </w:t>
      </w:r>
      <w:r w:rsidRPr="00450805">
        <w:rPr>
          <w:rFonts w:ascii="Cambria" w:hAnsi="Cambria"/>
          <w:sz w:val="20"/>
          <w:szCs w:val="20"/>
        </w:rPr>
        <w:t xml:space="preserve">del estado, aprobar los supuestos estructurales de la MSE y la «guillotina» de datos de la MSE, completar la provisión de índices anuales hasta 2025 inclusive, determinar </w:t>
      </w:r>
      <w:r w:rsidR="00662BAF" w:rsidRPr="00450805">
        <w:rPr>
          <w:rFonts w:ascii="Cambria" w:hAnsi="Cambria"/>
          <w:sz w:val="20"/>
          <w:szCs w:val="20"/>
        </w:rPr>
        <w:t xml:space="preserve">si se habían producido </w:t>
      </w:r>
      <w:r w:rsidRPr="00450805">
        <w:rPr>
          <w:rFonts w:ascii="Cambria" w:hAnsi="Cambria"/>
          <w:sz w:val="20"/>
          <w:szCs w:val="20"/>
        </w:rPr>
        <w:t xml:space="preserve">circunstancias excepcionales y preparar las respuestas a la Comisión. Con ese fin, es fundamental seguir prestando apoyo al Programa de investigación sobre el atún rojo para todo el Atlántico (GBYP), especialmente en los ámbitos de apoyo a la evaluación de stock, apoyo a la revisión de la MSE, la base de datos de marcado y marcado electrónico, los estudios biológicos y la prospección aérea de las Baleares. El presidente del SCRS también expuso las actividades previstas por el SCRS </w:t>
      </w:r>
      <w:r w:rsidR="00B339CE" w:rsidRPr="00450805">
        <w:rPr>
          <w:rFonts w:ascii="Cambria" w:hAnsi="Cambria"/>
          <w:sz w:val="20"/>
          <w:szCs w:val="20"/>
        </w:rPr>
        <w:t xml:space="preserve">de </w:t>
      </w:r>
      <w:r w:rsidRPr="00450805">
        <w:rPr>
          <w:rFonts w:ascii="Cambria" w:hAnsi="Cambria"/>
          <w:sz w:val="20"/>
          <w:szCs w:val="20"/>
        </w:rPr>
        <w:t>2027</w:t>
      </w:r>
      <w:r w:rsidR="00B339CE" w:rsidRPr="00450805">
        <w:rPr>
          <w:rFonts w:ascii="Cambria" w:hAnsi="Cambria"/>
          <w:sz w:val="20"/>
          <w:szCs w:val="20"/>
        </w:rPr>
        <w:t xml:space="preserve"> hasta </w:t>
      </w:r>
      <w:r w:rsidRPr="00450805">
        <w:rPr>
          <w:rFonts w:ascii="Cambria" w:hAnsi="Cambria"/>
          <w:sz w:val="20"/>
          <w:szCs w:val="20"/>
        </w:rPr>
        <w:t>2029</w:t>
      </w:r>
      <w:r w:rsidR="00B339CE" w:rsidRPr="00450805">
        <w:rPr>
          <w:rFonts w:ascii="Cambria" w:hAnsi="Cambria"/>
          <w:sz w:val="20"/>
          <w:szCs w:val="20"/>
        </w:rPr>
        <w:t>, inclusive</w:t>
      </w:r>
      <w:r w:rsidRPr="00450805">
        <w:rPr>
          <w:rFonts w:ascii="Cambria" w:hAnsi="Cambria"/>
          <w:sz w:val="20"/>
          <w:szCs w:val="20"/>
        </w:rPr>
        <w:t>.</w:t>
      </w:r>
    </w:p>
    <w:p w14:paraId="7D928CEA" w14:textId="77777777" w:rsidR="008D74AE" w:rsidRPr="00450805" w:rsidRDefault="008D74AE" w:rsidP="008D74AE">
      <w:pPr>
        <w:tabs>
          <w:tab w:val="left" w:pos="426"/>
        </w:tabs>
        <w:spacing w:after="0" w:line="240" w:lineRule="auto"/>
        <w:jc w:val="both"/>
        <w:rPr>
          <w:rFonts w:ascii="Cambria" w:eastAsia="Yu Gothic" w:hAnsi="Cambria" w:cs="Times New Roman"/>
          <w:kern w:val="2"/>
          <w:sz w:val="20"/>
          <w:szCs w:val="20"/>
          <w14:ligatures w14:val="standardContextual"/>
        </w:rPr>
      </w:pPr>
    </w:p>
    <w:p w14:paraId="160AE2A6" w14:textId="25C2094C" w:rsidR="00B62332" w:rsidRPr="00450805" w:rsidRDefault="008D74AE" w:rsidP="008D74AE">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del SCRS invitó a la Subcomisión 2 a formular comentarios y destacó la importancia de que el SCRS reciba opiniones y orientaciones sobre la revisión de </w:t>
      </w:r>
      <w:r w:rsidR="00592BDE" w:rsidRPr="00450805">
        <w:rPr>
          <w:rFonts w:ascii="Cambria" w:hAnsi="Cambria"/>
          <w:sz w:val="20"/>
          <w:szCs w:val="20"/>
        </w:rPr>
        <w:t>la MSE</w:t>
      </w:r>
      <w:r w:rsidRPr="00450805">
        <w:rPr>
          <w:rFonts w:ascii="Cambria" w:hAnsi="Cambria"/>
          <w:sz w:val="20"/>
          <w:szCs w:val="20"/>
        </w:rPr>
        <w:t xml:space="preserve"> en esta reunión, ya que el marco de la MSE y el desarrollo de los OM estarán muy avanzados antes de la próxima reunión intersesiones de la Subcomisión 2, que tendrá lugar en 2027.</w:t>
      </w:r>
    </w:p>
    <w:p w14:paraId="7D21B6E6" w14:textId="74AB9BC1" w:rsidR="008D74AE" w:rsidRPr="00450805" w:rsidRDefault="008D74AE" w:rsidP="008D74AE">
      <w:pPr>
        <w:tabs>
          <w:tab w:val="left" w:pos="426"/>
        </w:tabs>
        <w:spacing w:after="0" w:line="240" w:lineRule="auto"/>
        <w:jc w:val="both"/>
        <w:rPr>
          <w:rFonts w:ascii="Cambria" w:eastAsia="Yu Gothic" w:hAnsi="Cambria" w:cs="Times New Roman"/>
          <w:kern w:val="2"/>
          <w:sz w:val="20"/>
          <w:szCs w:val="20"/>
          <w14:ligatures w14:val="standardContextual"/>
        </w:rPr>
      </w:pPr>
    </w:p>
    <w:p w14:paraId="768334F2" w14:textId="4576BBC7" w:rsidR="004B1B7F" w:rsidRPr="00450805" w:rsidRDefault="004B1B7F" w:rsidP="008D74AE">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de la Subcomisión 2 señaló que el presidente del SCRS había mencionado los CMP en varias ocasiones durante su presentación. Afirmó que, según tenía entendido, en esta fase el plan consiste en que ICCAT revise el MP actual para el atún rojo y, posiblemente, lo modifique o lo recalibre, mientras que la presentación del presidente del SCRS daba a entender que el SCRS tiene la intención de elaborar nuevos CMP desde cero para sustituir al actual MP. </w:t>
      </w:r>
    </w:p>
    <w:p w14:paraId="1D75DFCC" w14:textId="2735BE29" w:rsidR="004B1B7F" w:rsidRPr="00450805" w:rsidRDefault="004B1B7F" w:rsidP="008D74AE">
      <w:pPr>
        <w:tabs>
          <w:tab w:val="left" w:pos="426"/>
        </w:tabs>
        <w:spacing w:after="0" w:line="240" w:lineRule="auto"/>
        <w:jc w:val="both"/>
        <w:rPr>
          <w:rFonts w:ascii="Cambria" w:eastAsia="Yu Gothic" w:hAnsi="Cambria" w:cs="Times New Roman"/>
          <w:kern w:val="2"/>
          <w:sz w:val="20"/>
          <w:szCs w:val="20"/>
          <w14:ligatures w14:val="standardContextual"/>
        </w:rPr>
      </w:pPr>
    </w:p>
    <w:p w14:paraId="53CCE9FC" w14:textId="67EACC6D" w:rsidR="00F1053B" w:rsidRPr="00450805" w:rsidRDefault="00F1053B" w:rsidP="008D74AE">
      <w:pPr>
        <w:tabs>
          <w:tab w:val="left" w:pos="426"/>
        </w:tabs>
        <w:spacing w:after="0" w:line="240" w:lineRule="auto"/>
        <w:jc w:val="both"/>
        <w:rPr>
          <w:rFonts w:ascii="Cambria" w:eastAsia="Yu Gothic" w:hAnsi="Cambria" w:cs="Times New Roman"/>
          <w:sz w:val="20"/>
          <w:szCs w:val="20"/>
        </w:rPr>
      </w:pPr>
      <w:r w:rsidRPr="00450805">
        <w:rPr>
          <w:rFonts w:ascii="Cambria" w:hAnsi="Cambria"/>
          <w:sz w:val="20"/>
          <w:szCs w:val="20"/>
        </w:rPr>
        <w:t xml:space="preserve">El presidente del SCRS aclaró que el plan siempre ha consistido en realizar una </w:t>
      </w:r>
      <w:r w:rsidR="00592BDE" w:rsidRPr="00450805">
        <w:rPr>
          <w:rFonts w:ascii="Cambria" w:hAnsi="Cambria"/>
          <w:sz w:val="20"/>
          <w:szCs w:val="20"/>
        </w:rPr>
        <w:t>comprobación del</w:t>
      </w:r>
      <w:r w:rsidRPr="00450805">
        <w:rPr>
          <w:rFonts w:ascii="Cambria" w:hAnsi="Cambria"/>
          <w:sz w:val="20"/>
          <w:szCs w:val="20"/>
        </w:rPr>
        <w:t xml:space="preserve"> estado, que serviría para informar al SCRS sobre el desempeño del MP y sobre si </w:t>
      </w:r>
      <w:proofErr w:type="gramStart"/>
      <w:r w:rsidRPr="00450805">
        <w:rPr>
          <w:rFonts w:ascii="Cambria" w:hAnsi="Cambria"/>
          <w:sz w:val="20"/>
          <w:szCs w:val="20"/>
        </w:rPr>
        <w:t>podría</w:t>
      </w:r>
      <w:proofErr w:type="gramEnd"/>
      <w:r w:rsidRPr="00450805">
        <w:rPr>
          <w:rFonts w:ascii="Cambria" w:hAnsi="Cambria"/>
          <w:sz w:val="20"/>
          <w:szCs w:val="20"/>
        </w:rPr>
        <w:t xml:space="preserve"> ser necesario, por ejemplo, reacondicionar o reestructurar la MSE y actualizar los OM. Señaló que hay suficientes datos nuevos que indican claramente que los supuestos originales en los que se basaban la MSE y la gama de los OM se fundamentaban en la práctica histórica, carecen de fundamento empírico y deben revisarse. Por lo tanto, es probable que sea necesario revisar no solo el MP, sino también la MSE. Como mínimo, probablemente habría </w:t>
      </w:r>
      <w:r w:rsidRPr="00450805">
        <w:rPr>
          <w:rFonts w:ascii="Cambria" w:hAnsi="Cambria"/>
          <w:sz w:val="20"/>
          <w:szCs w:val="20"/>
        </w:rPr>
        <w:lastRenderedPageBreak/>
        <w:t>que recalibrar el MP, pero es posible que ni siquiera un MP recalibrado ofrezca el mejor desempeño, por lo que podría ser necesario desarrollar varios CMP nuevos.</w:t>
      </w:r>
    </w:p>
    <w:p w14:paraId="197104DB" w14:textId="1FD3FAD6" w:rsidR="00F1053B" w:rsidRPr="00450805" w:rsidRDefault="00F1053B" w:rsidP="008D74AE">
      <w:pPr>
        <w:tabs>
          <w:tab w:val="left" w:pos="426"/>
        </w:tabs>
        <w:spacing w:after="0" w:line="240" w:lineRule="auto"/>
        <w:jc w:val="both"/>
        <w:rPr>
          <w:rFonts w:ascii="Cambria" w:eastAsia="Yu Gothic" w:hAnsi="Cambria" w:cs="Times New Roman"/>
          <w:sz w:val="20"/>
          <w:szCs w:val="20"/>
        </w:rPr>
      </w:pPr>
    </w:p>
    <w:p w14:paraId="224A9CD7" w14:textId="07B560A8" w:rsidR="00F1053B" w:rsidRPr="00450805" w:rsidRDefault="0038495F" w:rsidP="008D74AE">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Varias CPC expresaron su preocupación tras la explicación del presidente del SCRS. Consideraban que sería prematuro debatir la modificación del MP o incluso de la MSE en esta fase, y señalaron que el primer paso debería ser realizar una comprobación del MP actual. También señalaron que una de las razones para adoptar un MP y una MSE es la estabilidad que se supone que aportan, pero tener que renegociar y rediseñar un nuevo MP cada pocos años anularía esa ventaja.</w:t>
      </w:r>
    </w:p>
    <w:p w14:paraId="2E9CC231" w14:textId="4ED2A725" w:rsidR="00D35D8F" w:rsidRPr="00450805" w:rsidRDefault="00D35D8F" w:rsidP="008D74AE">
      <w:pPr>
        <w:tabs>
          <w:tab w:val="left" w:pos="426"/>
        </w:tabs>
        <w:spacing w:after="0" w:line="240" w:lineRule="auto"/>
        <w:jc w:val="both"/>
        <w:rPr>
          <w:rFonts w:ascii="Cambria" w:eastAsia="Yu Gothic" w:hAnsi="Cambria" w:cs="Times New Roman"/>
          <w:kern w:val="2"/>
          <w:sz w:val="20"/>
          <w:szCs w:val="20"/>
          <w14:ligatures w14:val="standardContextual"/>
        </w:rPr>
      </w:pPr>
    </w:p>
    <w:p w14:paraId="5E6DB266" w14:textId="4305DBC2" w:rsidR="00B55D2B" w:rsidRPr="00450805" w:rsidRDefault="00F357FF" w:rsidP="008D74AE">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del SCRS indicó que </w:t>
      </w:r>
      <w:r w:rsidR="00592BDE" w:rsidRPr="00450805">
        <w:rPr>
          <w:rFonts w:ascii="Cambria" w:hAnsi="Cambria"/>
          <w:sz w:val="20"/>
          <w:szCs w:val="20"/>
        </w:rPr>
        <w:t>entendía</w:t>
      </w:r>
      <w:r w:rsidRPr="00450805">
        <w:rPr>
          <w:rFonts w:ascii="Cambria" w:hAnsi="Cambria"/>
          <w:sz w:val="20"/>
          <w:szCs w:val="20"/>
        </w:rPr>
        <w:t xml:space="preserve"> la inquietud de las CPC y ofreció más explicaciones. En primer lugar, aclaró que su presentación se basaba en el Plan de trabajo del SCRS, que también había sido revisado por el Grupo de especies de atún rojo del SCRS (BFTSG). A continuación, señaló que el proceso MSE para el atún rojo fue uno de los primeros de este tipo en el SCRS, y explicó que la estructura se basaba en hipótesis previas sobre el rango de biomasa potencial tanto del stock oriental como del occidental. Sin embargo, actualmente se dispone de mucha más información, procedente de la genética y otras fuentes, sobre los niveles relativos de población y los desplazamientos entre zonas, lo que sugiere que el MP podría no ser el que tuviera el mejor desempeño. Por ejemplo, el año pasado, el SCRS aceptó los resultados del estudio sobre marcado y recaptura de individuos estrechamente emparentados (CKMR) relativos al stock occidental como la mejor información científica disponible sobre la biomasa, y dichos resultados indican que los supuestos históricos según los cuales el stock occidental se encontraba muy por debajo de B</w:t>
      </w:r>
      <w:r w:rsidRPr="00450805">
        <w:rPr>
          <w:rFonts w:ascii="Cambria" w:hAnsi="Cambria"/>
          <w:sz w:val="20"/>
          <w:szCs w:val="20"/>
          <w:vertAlign w:val="subscript"/>
        </w:rPr>
        <w:t xml:space="preserve">RMS </w:t>
      </w:r>
      <w:r w:rsidRPr="00450805">
        <w:rPr>
          <w:rFonts w:ascii="Cambria" w:hAnsi="Cambria"/>
          <w:sz w:val="20"/>
          <w:szCs w:val="20"/>
        </w:rPr>
        <w:t xml:space="preserve">eran muy poco probables y no se ajustaban a los nuevos datos. El SCRS reconoció que el MP podría recalibrarse simplemente actualizando los datos de los OM anteriores, pero estos no se ajustan a los datos, por lo que no sería la mejor práctica científica y se correría el riesgo de no obtener el máximo rendimiento y de no optimizar el desempeño. </w:t>
      </w:r>
    </w:p>
    <w:p w14:paraId="3B8076B1" w14:textId="4A563A51" w:rsidR="00B55D2B" w:rsidRPr="00450805" w:rsidRDefault="00B55D2B" w:rsidP="008D74AE">
      <w:pPr>
        <w:tabs>
          <w:tab w:val="left" w:pos="426"/>
        </w:tabs>
        <w:spacing w:after="0" w:line="240" w:lineRule="auto"/>
        <w:jc w:val="both"/>
        <w:rPr>
          <w:rFonts w:ascii="Cambria" w:eastAsia="Yu Gothic" w:hAnsi="Cambria" w:cs="Times New Roman"/>
          <w:kern w:val="2"/>
          <w:sz w:val="20"/>
          <w:szCs w:val="20"/>
          <w14:ligatures w14:val="standardContextual"/>
        </w:rPr>
      </w:pPr>
    </w:p>
    <w:p w14:paraId="69082358" w14:textId="1C2AA133" w:rsidR="00B55D2B" w:rsidRPr="00450805" w:rsidRDefault="00B55D2B" w:rsidP="008D74AE">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w:t>
      </w:r>
      <w:r w:rsidR="003E4592" w:rsidRPr="00450805">
        <w:rPr>
          <w:rFonts w:ascii="Cambria" w:hAnsi="Cambria"/>
          <w:sz w:val="20"/>
          <w:szCs w:val="20"/>
        </w:rPr>
        <w:t xml:space="preserve">relator </w:t>
      </w:r>
      <w:r w:rsidR="008B3A73" w:rsidRPr="00450805">
        <w:rPr>
          <w:rFonts w:ascii="Cambria" w:hAnsi="Cambria"/>
          <w:sz w:val="20"/>
          <w:szCs w:val="20"/>
        </w:rPr>
        <w:t xml:space="preserve">de atún rojo </w:t>
      </w:r>
      <w:r w:rsidR="003E4592" w:rsidRPr="00450805">
        <w:rPr>
          <w:rFonts w:ascii="Cambria" w:hAnsi="Cambria"/>
          <w:sz w:val="20"/>
          <w:szCs w:val="20"/>
        </w:rPr>
        <w:t>del Atlántico occidenta</w:t>
      </w:r>
      <w:r w:rsidR="00333F6F" w:rsidRPr="00450805">
        <w:rPr>
          <w:rFonts w:ascii="Cambria" w:hAnsi="Cambria"/>
          <w:sz w:val="20"/>
          <w:szCs w:val="20"/>
        </w:rPr>
        <w:t>l</w:t>
      </w:r>
      <w:r w:rsidRPr="00450805">
        <w:rPr>
          <w:rFonts w:ascii="Cambria" w:hAnsi="Cambria"/>
          <w:sz w:val="20"/>
          <w:szCs w:val="20"/>
        </w:rPr>
        <w:t xml:space="preserve">, Dr. John Walter, añadió algunos comentarios adicionales. Señaló que el BFTSG tampoco deseaba que la revisión del MP fuera un proceso difícil y largo. Sin embargo, desde que se elaboró el MP original ha surgido nueva información que sugiere que podría ser necesario revisar algunos de los índices —en lo que ha estado trabajando el BFTSG— y, posiblemente, modificar parte de la estructura del MP. La comprobación del estado sería el primer paso para identificar cualquier posible cuestión que deba abordarse. El relator </w:t>
      </w:r>
      <w:r w:rsidR="008B3A73" w:rsidRPr="00450805">
        <w:rPr>
          <w:rFonts w:ascii="Cambria" w:hAnsi="Cambria"/>
          <w:sz w:val="20"/>
          <w:szCs w:val="20"/>
        </w:rPr>
        <w:t xml:space="preserve">de atún rojo </w:t>
      </w:r>
      <w:r w:rsidR="00333F6F" w:rsidRPr="00450805">
        <w:rPr>
          <w:rFonts w:ascii="Cambria" w:hAnsi="Cambria"/>
          <w:sz w:val="20"/>
          <w:szCs w:val="20"/>
        </w:rPr>
        <w:t>del Atlántico occidental</w:t>
      </w:r>
      <w:r w:rsidRPr="00450805">
        <w:rPr>
          <w:rFonts w:ascii="Cambria" w:hAnsi="Cambria"/>
          <w:sz w:val="20"/>
          <w:szCs w:val="20"/>
        </w:rPr>
        <w:t xml:space="preserve"> también afirmó que no esperaba que fuera necesario introducir modificaciones drásticas en el MP y explicó que el objetivo del BFTSG y del SCRS al presentar sus planes a la Subcomisión 2 es recabar sus comentarios en una fase temprana.</w:t>
      </w:r>
    </w:p>
    <w:p w14:paraId="4A7E5DAE" w14:textId="6CDCCC00" w:rsidR="008E35E4" w:rsidRPr="00450805" w:rsidRDefault="008E35E4" w:rsidP="008D74AE">
      <w:pPr>
        <w:tabs>
          <w:tab w:val="left" w:pos="426"/>
        </w:tabs>
        <w:spacing w:after="0" w:line="240" w:lineRule="auto"/>
        <w:jc w:val="both"/>
        <w:rPr>
          <w:rFonts w:ascii="Cambria" w:eastAsia="Yu Gothic" w:hAnsi="Cambria" w:cs="Times New Roman"/>
          <w:kern w:val="2"/>
          <w:sz w:val="20"/>
          <w:szCs w:val="20"/>
          <w14:ligatures w14:val="standardContextual"/>
        </w:rPr>
      </w:pPr>
    </w:p>
    <w:p w14:paraId="6D8B1C80" w14:textId="73CE5CCD" w:rsidR="008E35E4" w:rsidRPr="00450805" w:rsidRDefault="002A56E4" w:rsidP="008D74AE">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Las CPC que habían expresado su preocupación señalaron que aún no se les había presentado ninguna indicación clara de que el MP actual fuera inadecuado y manifestaron su preferencia por una ligera recalibración del MP. Reconocieron la importancia de utilizar los mejores datos científicos disponibles, pero señalaron que siempre se pueden esgrimir argumentos a favor de un marco científico o de unos datos mejores, y que no sería deseable ni práctico revisar o sustituir con frecuencia el MP. Además, esto podría hacer que el proceso resultara excesivamente técnico e impedir que los gestores se hicieran cargo de las decisiones relativas al MP y a la MSE.</w:t>
      </w:r>
    </w:p>
    <w:p w14:paraId="6C528AF3" w14:textId="35A96CB6" w:rsidR="008E35E4" w:rsidRPr="00450805" w:rsidRDefault="008E35E4" w:rsidP="008D74AE">
      <w:pPr>
        <w:tabs>
          <w:tab w:val="left" w:pos="426"/>
        </w:tabs>
        <w:spacing w:after="0" w:line="240" w:lineRule="auto"/>
        <w:jc w:val="both"/>
        <w:rPr>
          <w:rFonts w:ascii="Cambria" w:eastAsia="Yu Gothic" w:hAnsi="Cambria" w:cs="Times New Roman"/>
          <w:kern w:val="2"/>
          <w:sz w:val="20"/>
          <w:szCs w:val="20"/>
          <w14:ligatures w14:val="standardContextual"/>
        </w:rPr>
      </w:pPr>
    </w:p>
    <w:p w14:paraId="620E19CE" w14:textId="286DCAB9" w:rsidR="008E35E4" w:rsidRPr="00450805" w:rsidRDefault="008E35E4" w:rsidP="008E35E4">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Otras CPC consideraban que el plan del SCRS es una práctica habitual y que existen nuevos datos que justifican la necesidad de reconsiderar el MP actual y, posiblemente, elaborar nuevos CMP. Sugirieron que sería razonable, como mínimo, dar al SCRS la posibilidad de estudiar otros CMP y comparar su desempeño con el del MP actual.</w:t>
      </w:r>
    </w:p>
    <w:p w14:paraId="3FBC5344" w14:textId="589729F5" w:rsidR="008E35E4" w:rsidRPr="00450805" w:rsidRDefault="008E35E4" w:rsidP="008D74AE">
      <w:pPr>
        <w:tabs>
          <w:tab w:val="left" w:pos="426"/>
        </w:tabs>
        <w:spacing w:after="0" w:line="240" w:lineRule="auto"/>
        <w:jc w:val="both"/>
        <w:rPr>
          <w:rFonts w:ascii="Cambria" w:eastAsia="Yu Gothic" w:hAnsi="Cambria" w:cs="Times New Roman"/>
          <w:kern w:val="2"/>
          <w:sz w:val="20"/>
          <w:szCs w:val="20"/>
          <w14:ligatures w14:val="standardContextual"/>
        </w:rPr>
      </w:pPr>
    </w:p>
    <w:p w14:paraId="3A317565" w14:textId="261D938C" w:rsidR="002A56E4" w:rsidRPr="00450805" w:rsidRDefault="002A56E4" w:rsidP="008D74AE">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relator </w:t>
      </w:r>
      <w:r w:rsidR="00B06574" w:rsidRPr="00450805">
        <w:rPr>
          <w:rFonts w:ascii="Cambria" w:hAnsi="Cambria"/>
          <w:sz w:val="20"/>
          <w:szCs w:val="20"/>
        </w:rPr>
        <w:t xml:space="preserve">de atún rojo </w:t>
      </w:r>
      <w:r w:rsidRPr="00450805">
        <w:rPr>
          <w:rFonts w:ascii="Cambria" w:hAnsi="Cambria"/>
          <w:sz w:val="20"/>
          <w:szCs w:val="20"/>
        </w:rPr>
        <w:t>del</w:t>
      </w:r>
      <w:r w:rsidR="00DD3BD6" w:rsidRPr="00450805">
        <w:rPr>
          <w:rFonts w:ascii="Cambria" w:hAnsi="Cambria"/>
          <w:sz w:val="20"/>
          <w:szCs w:val="20"/>
        </w:rPr>
        <w:t xml:space="preserve"> Atlántico occidental</w:t>
      </w:r>
      <w:r w:rsidRPr="00450805">
        <w:rPr>
          <w:rFonts w:ascii="Cambria" w:hAnsi="Cambria"/>
          <w:sz w:val="20"/>
          <w:szCs w:val="20"/>
        </w:rPr>
        <w:t xml:space="preserve"> aseguró a los miembros de la Subcomisión 2 que el BFTSG seguiría trabajando con transparencia y ayudando a los gestores a comprender las implicaciones del trabajo que presenta. Les instó a que no se mostraran reticentes a incorporar los nuevos datos y a que lo consideraran una oportunidad para aprovechar los últimos avances científicos.</w:t>
      </w:r>
    </w:p>
    <w:p w14:paraId="192C1020" w14:textId="77777777" w:rsidR="002A56E4" w:rsidRPr="00450805" w:rsidRDefault="002A56E4" w:rsidP="008D74AE">
      <w:pPr>
        <w:tabs>
          <w:tab w:val="left" w:pos="426"/>
        </w:tabs>
        <w:spacing w:after="0" w:line="240" w:lineRule="auto"/>
        <w:jc w:val="both"/>
        <w:rPr>
          <w:rFonts w:ascii="Cambria" w:eastAsia="Yu Gothic" w:hAnsi="Cambria" w:cs="Times New Roman"/>
          <w:kern w:val="2"/>
          <w:sz w:val="20"/>
          <w:szCs w:val="20"/>
          <w14:ligatures w14:val="standardContextual"/>
        </w:rPr>
      </w:pPr>
    </w:p>
    <w:p w14:paraId="46A0AA61" w14:textId="3837E04D" w:rsidR="008E35E4" w:rsidRPr="00450805" w:rsidRDefault="002A56E4" w:rsidP="008D74AE">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de la Subcomisión 2 señaló que las frustraciones expresadas por las CPC probablemente se deban a que consideran que el Grupo de especies de atún rojo y el SCRS se están adelantando demasiado y están prejuzgando los resultados del proceso, en lugar de avanzar paso a paso según el calendario acordado. Advirtió de que hacerlo podría generar desconfianza entre los gestores hacia la MSE.</w:t>
      </w:r>
    </w:p>
    <w:p w14:paraId="01BD6FE0" w14:textId="77777777" w:rsidR="002A56E4" w:rsidRPr="00450805" w:rsidRDefault="002A56E4" w:rsidP="008D74AE">
      <w:pPr>
        <w:tabs>
          <w:tab w:val="left" w:pos="426"/>
        </w:tabs>
        <w:spacing w:after="0" w:line="240" w:lineRule="auto"/>
        <w:jc w:val="both"/>
        <w:rPr>
          <w:rFonts w:ascii="Cambria" w:eastAsia="Yu Gothic" w:hAnsi="Cambria" w:cs="Times New Roman"/>
          <w:kern w:val="2"/>
          <w:sz w:val="20"/>
          <w:szCs w:val="20"/>
          <w14:ligatures w14:val="standardContextual"/>
        </w:rPr>
      </w:pPr>
    </w:p>
    <w:p w14:paraId="7E06C1A5" w14:textId="75634DFD" w:rsidR="00955853" w:rsidRPr="00450805" w:rsidRDefault="00955853" w:rsidP="008D74AE">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lastRenderedPageBreak/>
        <w:t xml:space="preserve">El presidente de la Subcomisión 2 confirmó que, de acuerdo con el calendario acordado en la Hoja de ruta de la MSE, el SCRS llevará a cabo una comprobación del estado del MP en 2026. En ese proceso, el SCRS podría considerar la posibilidad de utilizar nuevos datos e información científica, si lo considera más adecuado. El SCRS podría llegar a la conclusión de que el MP no funciona necesariamente tan bien como podría y decidir recomendar una revisión del MP actual o el desarrollo de nuevos CMP. El SCRS tiene el mandato de llevar a cabo esa labor y formular esas recomendaciones, pero debe presentar sus conclusiones y recomendaciones a la Comisión, sin prejuzgar ninguna medida futura. La Comisión analizará las conclusiones y tomará una decisión sobre los próximos pasos a seguir. </w:t>
      </w:r>
    </w:p>
    <w:p w14:paraId="003617E1" w14:textId="77777777" w:rsidR="00955853" w:rsidRPr="00450805" w:rsidRDefault="00955853" w:rsidP="008D74AE">
      <w:pPr>
        <w:tabs>
          <w:tab w:val="left" w:pos="426"/>
        </w:tabs>
        <w:spacing w:after="0" w:line="240" w:lineRule="auto"/>
        <w:jc w:val="both"/>
        <w:rPr>
          <w:rFonts w:ascii="Cambria" w:eastAsia="Yu Gothic" w:hAnsi="Cambria" w:cs="Times New Roman"/>
          <w:kern w:val="2"/>
          <w:sz w:val="20"/>
          <w:szCs w:val="20"/>
          <w14:ligatures w14:val="standardContextual"/>
        </w:rPr>
      </w:pPr>
    </w:p>
    <w:p w14:paraId="7130F2AA" w14:textId="2168ED9D" w:rsidR="004B1B7F" w:rsidRPr="00450805" w:rsidRDefault="00D35D8F" w:rsidP="008D74AE">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Los miembros de la Subcomisión 2 también solicitaron al SCRS que evaluara lo siguiente en relación con el MP: 1. el impacto de la adopción por parte de la Comisión de un TAC un 20 % superior al recomendado por el MP, y 2. el impacto de que las capturas recreativas de Estados Unidos no se contabilicen dentro de su cuota y la posible concurrencia de circunstancias excepcionales.</w:t>
      </w:r>
    </w:p>
    <w:p w14:paraId="09333DCA" w14:textId="77777777" w:rsidR="002A56E4" w:rsidRPr="00450805" w:rsidRDefault="002A56E4" w:rsidP="008D74AE">
      <w:pPr>
        <w:tabs>
          <w:tab w:val="left" w:pos="426"/>
        </w:tabs>
        <w:spacing w:after="0" w:line="240" w:lineRule="auto"/>
        <w:jc w:val="both"/>
        <w:rPr>
          <w:rFonts w:ascii="Cambria" w:eastAsia="Yu Gothic" w:hAnsi="Cambria" w:cs="Times New Roman"/>
          <w:kern w:val="2"/>
          <w:sz w:val="20"/>
          <w:szCs w:val="20"/>
          <w14:ligatures w14:val="standardContextual"/>
        </w:rPr>
      </w:pPr>
    </w:p>
    <w:p w14:paraId="1D6EC507" w14:textId="77777777" w:rsidR="00BC4C08" w:rsidRPr="00450805" w:rsidRDefault="00BC4C08" w:rsidP="00BC4C08">
      <w:pPr>
        <w:tabs>
          <w:tab w:val="left" w:pos="426"/>
        </w:tabs>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szCs w:val="20"/>
        </w:rPr>
        <w:t>8.2 Examen de los objetivos de ordenación de atún rojo</w:t>
      </w:r>
    </w:p>
    <w:p w14:paraId="3D896FD1"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C936955" w14:textId="11F81E6D" w:rsidR="00BC4C08" w:rsidRPr="00450805" w:rsidRDefault="00084554" w:rsidP="00BC4C08">
      <w:pPr>
        <w:tabs>
          <w:tab w:val="left" w:pos="426"/>
        </w:tabs>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Documento de debate</w:t>
      </w:r>
      <w:r w:rsidR="00BC4C08" w:rsidRPr="00450805">
        <w:rPr>
          <w:rFonts w:ascii="Cambria" w:hAnsi="Cambria"/>
          <w:i/>
          <w:sz w:val="20"/>
          <w:szCs w:val="20"/>
        </w:rPr>
        <w:t xml:space="preserve"> de Estados Unidos</w:t>
      </w:r>
    </w:p>
    <w:p w14:paraId="1E3CDBDD"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1FCB7C09" w14:textId="2D1BA37D" w:rsidR="00BC4C08" w:rsidRPr="00450805" w:rsidRDefault="00BC4C08" w:rsidP="00BC4C08">
      <w:pPr>
        <w:tabs>
          <w:tab w:val="left" w:pos="426"/>
        </w:tabs>
        <w:spacing w:after="0" w:line="240" w:lineRule="auto"/>
        <w:jc w:val="both"/>
        <w:rPr>
          <w:rFonts w:ascii="Cambria" w:hAnsi="Cambria"/>
          <w:sz w:val="20"/>
          <w:szCs w:val="20"/>
        </w:rPr>
      </w:pPr>
      <w:r w:rsidRPr="00450805">
        <w:rPr>
          <w:rFonts w:ascii="Cambria" w:hAnsi="Cambria"/>
          <w:sz w:val="20"/>
          <w:szCs w:val="20"/>
        </w:rPr>
        <w:t>Estados Unidos presentó un "Documento de debate sobre el punto 8 del orden del día: 'Debate sobre el procedimiento de ordenación (MP)/evaluación de estrategias de ordenación (MSE) para el atún rojo'" con recomendaciones para la revisión de la MSE por parte del SCRS, que comenzará en 2026, con el fin de alcanzar mejor los objetivos de rendimiento del MP. Estados Unidos explicó que el MP se queda atrás con respecto al estado actual de los conocimientos científicos y no alcanza plenamente los objetivos de rendimiento, especialmente en la zona de ordenación occidental, y puede mejorarse incorporando los últimos avances científicos para estimar mejor los rendimientos sostenibles. El estado actual de la ciencia del atún rojo ha mejorado considerablemente en comparación con los años previos a la adopción del MP en 2022, incluida la estimación de la mortalidad natural a partir de datos de marcado acústico a largo plazo, el estudio del desove y la edad de madurez del atún rojo a partir de prospecciones sobre larvas y palangre en el Slope Sea, y nuevos avances en la investigación sobre el CKMR del atún rojo del Atlántico occidental. A la luz de estos avances, Estados Unidos presentó cuatro recomendaciones:</w:t>
      </w:r>
    </w:p>
    <w:p w14:paraId="5C623B70"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F8F0D2E" w14:textId="77777777" w:rsidR="00BC4C08" w:rsidRPr="00450805" w:rsidRDefault="00BC4C08" w:rsidP="00CE0EC8">
      <w:pPr>
        <w:pStyle w:val="ListParagraph"/>
        <w:numPr>
          <w:ilvl w:val="0"/>
          <w:numId w:val="29"/>
        </w:numPr>
        <w:tabs>
          <w:tab w:val="left" w:pos="426"/>
        </w:tabs>
        <w:rPr>
          <w:rFonts w:ascii="Cambria" w:eastAsia="Yu Gothic" w:hAnsi="Cambria"/>
          <w:kern w:val="2"/>
          <w:sz w:val="20"/>
          <w:szCs w:val="20"/>
          <w14:ligatures w14:val="standardContextual"/>
        </w:rPr>
      </w:pPr>
      <w:r w:rsidRPr="00450805">
        <w:rPr>
          <w:rFonts w:ascii="Cambria" w:hAnsi="Cambria"/>
          <w:sz w:val="20"/>
          <w:szCs w:val="20"/>
        </w:rPr>
        <w:t>El SCRS debería utilizar los datos más recientes sobre mezcla y movimientos para evaluar la distribución del atún rojo en el Atlántico y proporcionar asesoramiento sobre rendimientos sostenibles basándose en la disponibilidad de la biomasa total de atún rojo en cada zona de ordenación.</w:t>
      </w:r>
    </w:p>
    <w:p w14:paraId="6DF98137" w14:textId="77777777" w:rsidR="00BC4C08" w:rsidRPr="00450805" w:rsidRDefault="00BC4C08" w:rsidP="00CE0EC8">
      <w:pPr>
        <w:pStyle w:val="ListParagraph"/>
        <w:numPr>
          <w:ilvl w:val="0"/>
          <w:numId w:val="29"/>
        </w:numPr>
        <w:tabs>
          <w:tab w:val="left" w:pos="426"/>
        </w:tabs>
        <w:rPr>
          <w:rFonts w:ascii="Cambria" w:eastAsia="Yu Gothic" w:hAnsi="Cambria"/>
          <w:kern w:val="2"/>
          <w:sz w:val="20"/>
          <w:szCs w:val="20"/>
          <w14:ligatures w14:val="standardContextual"/>
        </w:rPr>
      </w:pPr>
      <w:r w:rsidRPr="00450805">
        <w:rPr>
          <w:rFonts w:ascii="Cambria" w:hAnsi="Cambria"/>
          <w:sz w:val="20"/>
          <w:szCs w:val="20"/>
        </w:rPr>
        <w:t>El SCRS debería estimar los rendimientos sostenibles para las zonas de ordenación de los stocks del este y del oeste, en lugar de basar los niveles previstos del TAC en los TAC anteriores para los stocks del este y del oeste.</w:t>
      </w:r>
    </w:p>
    <w:p w14:paraId="17DEFD37" w14:textId="77777777" w:rsidR="00BC4C08" w:rsidRPr="00450805" w:rsidRDefault="00BC4C08" w:rsidP="00CE0EC8">
      <w:pPr>
        <w:pStyle w:val="ListParagraph"/>
        <w:numPr>
          <w:ilvl w:val="0"/>
          <w:numId w:val="29"/>
        </w:numPr>
        <w:tabs>
          <w:tab w:val="left" w:pos="426"/>
        </w:tabs>
        <w:rPr>
          <w:rFonts w:ascii="Cambria" w:eastAsia="Yu Gothic" w:hAnsi="Cambria"/>
          <w:kern w:val="2"/>
          <w:sz w:val="20"/>
          <w:szCs w:val="20"/>
          <w14:ligatures w14:val="standardContextual"/>
        </w:rPr>
      </w:pPr>
      <w:r w:rsidRPr="00450805">
        <w:rPr>
          <w:rFonts w:ascii="Cambria" w:hAnsi="Cambria"/>
          <w:sz w:val="20"/>
          <w:szCs w:val="20"/>
        </w:rPr>
        <w:t>El SCRS debería considerar un MP que utilice la ordenación espacial de la mortalidad por pesca para garantizar que la fracción necesaria de cada población pueda completar sus rutas migratorias.</w:t>
      </w:r>
    </w:p>
    <w:p w14:paraId="60A4DF8D" w14:textId="77777777" w:rsidR="00BC4C08" w:rsidRPr="00450805" w:rsidRDefault="00BC4C08" w:rsidP="00CE0EC8">
      <w:pPr>
        <w:pStyle w:val="ListParagraph"/>
        <w:numPr>
          <w:ilvl w:val="0"/>
          <w:numId w:val="29"/>
        </w:numPr>
        <w:tabs>
          <w:tab w:val="left" w:pos="426"/>
        </w:tabs>
        <w:rPr>
          <w:rFonts w:ascii="Cambria" w:eastAsia="Yu Gothic" w:hAnsi="Cambria"/>
          <w:kern w:val="2"/>
          <w:sz w:val="20"/>
          <w:szCs w:val="20"/>
          <w14:ligatures w14:val="standardContextual"/>
        </w:rPr>
      </w:pPr>
      <w:bookmarkStart w:id="5" w:name="_Hlk224032244"/>
      <w:r w:rsidRPr="00450805">
        <w:rPr>
          <w:rFonts w:ascii="Cambria" w:hAnsi="Cambria"/>
          <w:sz w:val="20"/>
          <w:szCs w:val="20"/>
        </w:rPr>
        <w:t>El SCRS debería diseñar las revisiones de la MSE para apoyar explícitamente la incorporación de información basada en el genoma, dada su importancia en la estimación de la abundancia.</w:t>
      </w:r>
    </w:p>
    <w:bookmarkEnd w:id="5"/>
    <w:p w14:paraId="30210362"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7D8B944C"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Los miembros de la Subcomisión 2 examinaron una por una cada una de las recomendaciones de Estados Unidos.</w:t>
      </w:r>
    </w:p>
    <w:p w14:paraId="6EC535AC"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1EA8F050" w14:textId="77777777" w:rsidR="00BC4C08" w:rsidRPr="00450805" w:rsidRDefault="00BC4C08" w:rsidP="00BC4C08">
      <w:pPr>
        <w:tabs>
          <w:tab w:val="left" w:pos="426"/>
        </w:tabs>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Recomendación n.º 1 de Estados Unidos</w:t>
      </w:r>
    </w:p>
    <w:p w14:paraId="5217E508"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79BA580B"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Los miembros de la Subcomisión 2 respaldaron la primera recomendación de Estados Unidos.</w:t>
      </w:r>
    </w:p>
    <w:p w14:paraId="7CD08CA9"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67B13A89" w14:textId="77777777" w:rsidR="00BC4C08" w:rsidRPr="00450805" w:rsidRDefault="00BC4C08" w:rsidP="00BC4C08">
      <w:pPr>
        <w:tabs>
          <w:tab w:val="left" w:pos="426"/>
        </w:tabs>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Recomendación n.º 2 de Estados Unidos</w:t>
      </w:r>
    </w:p>
    <w:p w14:paraId="151F7F73"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746924E8"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Varias CPC manifestaron que no apoyaban la segunda recomendación de Estados Unidos, señalando que se anticiparía al proceso de la MSE y resultaría excesivamente prescriptiva para el SCRS, y que el MP adoptado no permite modificaciones </w:t>
      </w:r>
      <w:r w:rsidRPr="00450805">
        <w:rPr>
          <w:rFonts w:ascii="Cambria" w:hAnsi="Cambria"/>
          <w:i/>
          <w:iCs/>
          <w:sz w:val="20"/>
          <w:szCs w:val="20"/>
        </w:rPr>
        <w:t>ad hoc</w:t>
      </w:r>
      <w:r w:rsidRPr="00450805">
        <w:rPr>
          <w:rFonts w:ascii="Cambria" w:hAnsi="Cambria"/>
          <w:sz w:val="20"/>
          <w:szCs w:val="20"/>
        </w:rPr>
        <w:t xml:space="preserve"> del TAC.</w:t>
      </w:r>
    </w:p>
    <w:p w14:paraId="00B9D916"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74C9DDC2"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Reino Unido señaló que la segunda recomendación de Estados Unidos supondría un giro hacia el objetivo de maximizar el rendimiento, pero existe una compensación de factores entre ese objetivo y el de garantizar </w:t>
      </w:r>
      <w:r w:rsidRPr="00450805">
        <w:rPr>
          <w:rFonts w:ascii="Cambria" w:hAnsi="Cambria"/>
          <w:sz w:val="20"/>
          <w:szCs w:val="20"/>
        </w:rPr>
        <w:lastRenderedPageBreak/>
        <w:t>la estabilidad del rendimiento. El Reino Unido advirtió que esa compensación de factores debe someterse primero a un análisis minucioso en el marco del proceso de la MSE.</w:t>
      </w:r>
    </w:p>
    <w:p w14:paraId="7F4D413A"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1CC4D13" w14:textId="68E8FD6C" w:rsidR="00BC4C08" w:rsidRPr="00450805" w:rsidRDefault="00BC4C08" w:rsidP="00BC4C08">
      <w:pPr>
        <w:tabs>
          <w:tab w:val="left" w:pos="426"/>
        </w:tabs>
        <w:spacing w:after="0" w:line="240" w:lineRule="auto"/>
        <w:jc w:val="both"/>
        <w:rPr>
          <w:rFonts w:ascii="Cambria" w:hAnsi="Cambria"/>
          <w:sz w:val="20"/>
          <w:szCs w:val="20"/>
        </w:rPr>
      </w:pPr>
      <w:r w:rsidRPr="00450805">
        <w:rPr>
          <w:rFonts w:ascii="Cambria" w:hAnsi="Cambria"/>
          <w:sz w:val="20"/>
          <w:szCs w:val="20"/>
        </w:rPr>
        <w:t xml:space="preserve">Estados Unidos afirmó que el MP </w:t>
      </w:r>
      <w:r w:rsidR="002C29BC" w:rsidRPr="00450805">
        <w:rPr>
          <w:rFonts w:ascii="Cambria" w:hAnsi="Cambria"/>
          <w:sz w:val="20"/>
          <w:szCs w:val="20"/>
        </w:rPr>
        <w:t xml:space="preserve">asume que </w:t>
      </w:r>
      <w:r w:rsidRPr="00450805">
        <w:rPr>
          <w:rFonts w:ascii="Cambria" w:hAnsi="Cambria"/>
          <w:sz w:val="20"/>
          <w:szCs w:val="20"/>
        </w:rPr>
        <w:t>el stock occidental</w:t>
      </w:r>
      <w:r w:rsidR="002C29BC" w:rsidRPr="00450805">
        <w:rPr>
          <w:rFonts w:ascii="Cambria" w:hAnsi="Cambria"/>
          <w:sz w:val="20"/>
          <w:szCs w:val="20"/>
        </w:rPr>
        <w:t xml:space="preserve"> está bajo presión</w:t>
      </w:r>
      <w:r w:rsidRPr="00450805">
        <w:rPr>
          <w:rFonts w:ascii="Cambria" w:hAnsi="Cambria"/>
          <w:sz w:val="20"/>
          <w:szCs w:val="20"/>
        </w:rPr>
        <w:t xml:space="preserve">, cuando, en realidad, los estudios de CKMR muestran que el stock se ha recuperado sustancialmente y que incluso podría haberse recuperado por completo. Estados Unidos señaló que el TAC occidental ha sufrido importantes reducciones en el pasado y que, desde entonces, los aumentos han sido prácticamente insignificantes, a pesar de la rigurosa ordenación de la zona occidental, y consideró que esto se debía a la expansión descontrolada y sin ordenación de las pesquerías orientales, que ha cortado el suministro de peces del este hacia el oeste. Estados Unidos subrayó que su recomendación consiste simplemente en solicitar al SCRS que examine detenidamente las ratios de capturas este-oeste para subsanar la desigualdad en las posiciones iniciales de los TAC del MP anterior. </w:t>
      </w:r>
    </w:p>
    <w:p w14:paraId="4A55A38C" w14:textId="77777777" w:rsidR="005B4A8C" w:rsidRPr="00450805" w:rsidRDefault="005B4A8C"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4DDF17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No hubo consenso entre los miembros de la Subcomisión 2 para respaldar la segunda recomendación de Estados Unidos.</w:t>
      </w:r>
    </w:p>
    <w:p w14:paraId="1184D99E"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09D3A25" w14:textId="77777777" w:rsidR="00BC4C08" w:rsidRPr="00450805" w:rsidRDefault="00BC4C08" w:rsidP="00BC4C08">
      <w:pPr>
        <w:tabs>
          <w:tab w:val="left" w:pos="426"/>
        </w:tabs>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Recomendación n.º 3 de Estados Unidos</w:t>
      </w:r>
    </w:p>
    <w:p w14:paraId="1ACC7CAE"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1D7CD85"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Japón no se opuso a la tercera recomendación de Estados Unidos, pero puso en duda la viabilidad del trabajo propuesto.</w:t>
      </w:r>
    </w:p>
    <w:p w14:paraId="3EF42489"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72A5E9B"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La UE no respaldó la tercera recomendación de Estados Unidos, señalando que recomendar cambios tan drásticos volvería a anticiparse al proceso de la MSE y que, por lo tanto, no era el momento adecuado para ese tipo de debates. La UE también señaló que el concepto de rutas migratorias completas mencionado por Estados Unidos no estaba claro y se preguntó si era posible evaluarlo o si, de hecho, resultaba útil hacerlo. Además, la UE señaló que las medidas actuales protegen a los juveniles, lo que ha demostrado ser un enfoque eficaz. </w:t>
      </w:r>
    </w:p>
    <w:p w14:paraId="6F7C3B0B"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0BF213EE"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Estados Unidos señaló que la Comisión ha acordado revisar la MSE del atún rojo en el marco de la Hoja de ruta de la MSE adoptada y afirmó que, por lo tanto, es el momento adecuado y conveniente para que la Subcomisión 2 celebre dichos debates. Estados Unidos también explicó que no proponía cambios drásticos en el MP, como sugerían algunas CPC, sino que recomendaba que el SCRS tuviera en cuenta la nueva información científica.</w:t>
      </w:r>
    </w:p>
    <w:p w14:paraId="60F3398C"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6DF3908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de la Subcomisión 2 explicó que el SCRS puede considerar el uso de información nueva y actualizada según lo considere oportuno, y señaló que la preocupación de otras CPC con respecto a la segunda y tercera recomendaciones es que estas se anticiparían al examen de dicha información por parte del SCRS. Señaló que la Subcomisión 2 solo debería plantearse formular tales recomendaciones si el SCRS ha llevado a cabo los análisis pertinentes y ha formulado las recomendaciones correspondientes.</w:t>
      </w:r>
    </w:p>
    <w:p w14:paraId="33FBFDEE"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6549758A"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No hubo consenso entre los miembros de la Subcomisión 2 para respaldar la tercera recomendación de Estados Unidos.</w:t>
      </w:r>
    </w:p>
    <w:p w14:paraId="4E2F266B"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01E1B74F" w14:textId="77777777" w:rsidR="00BC4C08" w:rsidRPr="00450805" w:rsidRDefault="00BC4C08" w:rsidP="00BC4C08">
      <w:pPr>
        <w:tabs>
          <w:tab w:val="left" w:pos="426"/>
        </w:tabs>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Recomendación n.º 4 de Estados Unidos</w:t>
      </w:r>
    </w:p>
    <w:p w14:paraId="4B41FC68"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D7D1027"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Canadá expresó su apoyo a la cuarta recomendación de Estados Unidos.</w:t>
      </w:r>
    </w:p>
    <w:p w14:paraId="01E18801"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42B4E0D"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La UE reconoció que el CKMR y otros trabajos genéticos podrían contribuir a mejorar considerablemente los conocimientos científicos y la ordenación de los stocks de atún rojo. Al mismo tiempo, la UE señaló que es posible que algunas CPC, especialmente aquellas que no participaron en los estudios del CKMR, aún no dispongan de un conocimiento detallado de los conceptos fundamentales que subyacen a dichos enfoques y, por lo tanto, no puedan evaluar plenamente aspectos tales como sus ventajas e inconvenientes, su viabilidad en el contexto de las pesquerías de ICCAT y los requisitos en materia de recursos. En vista de ello, la UE consideró que la recomendación propuesta por Estados Unidos era prematura y abogó por avanzar de forma más gradual, de modo que el SCRS ayudara a los gestores a comprender mejor dichos enfoques y a reforzar su confianza en ellos.</w:t>
      </w:r>
    </w:p>
    <w:p w14:paraId="4C5E31B3"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4A57CDD"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señaló que es probable que todos los miembros de la Subcomisión 2 apoyen la intención subyacente de la cuarta recomendación de Estados Unidos, según la cual el SCRS debería incorporar nueva </w:t>
      </w:r>
      <w:r w:rsidRPr="00450805">
        <w:rPr>
          <w:rFonts w:ascii="Cambria" w:hAnsi="Cambria"/>
          <w:sz w:val="20"/>
          <w:szCs w:val="20"/>
        </w:rPr>
        <w:lastRenderedPageBreak/>
        <w:t>información científica, incluido el CKMR. Sin embargo, hay quien podría considerar que la redacción actual se anticipa a los debates del SCRS y que resulta demasiado prescriptiva.</w:t>
      </w:r>
    </w:p>
    <w:p w14:paraId="6BB40625"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745CADCD"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Los miembros de la Subcomisión 2 aprobaron una recomendación revisada que respalda la consideración por parte del SCRS de la información basada en la genética en el proceso de la MSE para el atún rojo del Atlántico y pide al SCRS que ayude a la Comisión a comprender mejor dichos enfoques y a generar confianza en la inclusión de sus resultados en los procesos científicos de ICCAT.</w:t>
      </w:r>
    </w:p>
    <w:p w14:paraId="22849520"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359A5A5" w14:textId="28104B67" w:rsidR="00BC4C08" w:rsidRPr="00450805" w:rsidRDefault="00BC4C08" w:rsidP="00BC4C08">
      <w:pPr>
        <w:tabs>
          <w:tab w:val="left" w:pos="426"/>
        </w:tabs>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Conclusiones de la Subcomisión 2</w:t>
      </w:r>
    </w:p>
    <w:p w14:paraId="31348D8C"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8270F32" w14:textId="77777777" w:rsidR="00BC4C08" w:rsidRPr="00450805" w:rsidRDefault="00BC4C08" w:rsidP="00BC4C08">
      <w:pPr>
        <w:tabs>
          <w:tab w:val="left" w:pos="426"/>
        </w:tabs>
        <w:spacing w:after="0" w:line="240" w:lineRule="auto"/>
        <w:jc w:val="both"/>
        <w:rPr>
          <w:rFonts w:ascii="Cambria" w:hAnsi="Cambria"/>
          <w:sz w:val="20"/>
          <w:szCs w:val="20"/>
        </w:rPr>
      </w:pPr>
      <w:r w:rsidRPr="00450805">
        <w:rPr>
          <w:rFonts w:ascii="Cambria" w:hAnsi="Cambria"/>
          <w:sz w:val="20"/>
          <w:szCs w:val="20"/>
        </w:rPr>
        <w:t>En conclusión, los miembros de la Subcomisión 2 recomendaron lo siguiente:</w:t>
      </w:r>
    </w:p>
    <w:p w14:paraId="1D7EDB1D"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26A8BB3B" w14:textId="77777777" w:rsidR="00BC4C08" w:rsidRPr="00450805" w:rsidRDefault="00BC4C08" w:rsidP="00CE0EC8">
      <w:pPr>
        <w:pStyle w:val="ListParagraph"/>
        <w:numPr>
          <w:ilvl w:val="0"/>
          <w:numId w:val="30"/>
        </w:numPr>
        <w:tabs>
          <w:tab w:val="left" w:pos="426"/>
        </w:tabs>
        <w:rPr>
          <w:rFonts w:ascii="Cambria" w:eastAsia="Yu Gothic" w:hAnsi="Cambria"/>
          <w:kern w:val="2"/>
          <w:sz w:val="20"/>
          <w:szCs w:val="20"/>
          <w14:ligatures w14:val="standardContextual"/>
        </w:rPr>
      </w:pPr>
      <w:r w:rsidRPr="00450805">
        <w:rPr>
          <w:rFonts w:ascii="Cambria" w:hAnsi="Cambria"/>
          <w:sz w:val="20"/>
          <w:szCs w:val="20"/>
        </w:rPr>
        <w:t>El SCRS debería utilizar los datos más recientes sobre mezcla y movimientos para evaluar la distribución del atún rojo en el Atlántico y proporcionar asesoramiento sobre rendimientos sostenibles basándose en la disponibilidad de la biomasa total de atún rojo en cada zona de ordenación.</w:t>
      </w:r>
    </w:p>
    <w:p w14:paraId="32239C27" w14:textId="63E643E2" w:rsidR="00BC4C08" w:rsidRPr="00450805" w:rsidRDefault="00BC4C08" w:rsidP="00CE0EC8">
      <w:pPr>
        <w:pStyle w:val="ListParagraph"/>
        <w:numPr>
          <w:ilvl w:val="0"/>
          <w:numId w:val="30"/>
        </w:numPr>
        <w:tabs>
          <w:tab w:val="left" w:pos="426"/>
        </w:tabs>
        <w:rPr>
          <w:rFonts w:ascii="Cambria" w:eastAsia="Yu Gothic" w:hAnsi="Cambria"/>
          <w:kern w:val="2"/>
          <w:sz w:val="20"/>
          <w:szCs w:val="20"/>
          <w14:ligatures w14:val="standardContextual"/>
        </w:rPr>
      </w:pPr>
      <w:bookmarkStart w:id="6" w:name="_Hlk224032234"/>
      <w:r w:rsidRPr="00450805">
        <w:rPr>
          <w:rFonts w:ascii="Cambria" w:hAnsi="Cambria"/>
          <w:sz w:val="20"/>
          <w:szCs w:val="20"/>
        </w:rPr>
        <w:t xml:space="preserve">El SCRS debería considerar la oportunidad y la viabilidad de incluir información basada en la genética en el marco de la MSE para el atún rojo del Atlántico (ABFT) y ayudar a la Comisión a comprender mejor los conceptos fundamentales subyacentes, así como sus ventajas e inconvenientes, </w:t>
      </w:r>
      <w:r w:rsidR="00065270" w:rsidRPr="00450805">
        <w:rPr>
          <w:rFonts w:ascii="Cambria" w:hAnsi="Cambria"/>
          <w:sz w:val="20"/>
          <w:szCs w:val="20"/>
        </w:rPr>
        <w:t xml:space="preserve">a </w:t>
      </w:r>
      <w:r w:rsidR="00306E34" w:rsidRPr="00450805">
        <w:rPr>
          <w:rFonts w:ascii="Cambria" w:hAnsi="Cambria"/>
          <w:sz w:val="20"/>
          <w:szCs w:val="20"/>
        </w:rPr>
        <w:t>aportar información</w:t>
      </w:r>
      <w:r w:rsidR="00FA62F0" w:rsidRPr="00450805">
        <w:rPr>
          <w:rFonts w:ascii="Cambria" w:hAnsi="Cambria"/>
          <w:sz w:val="20"/>
          <w:szCs w:val="20"/>
        </w:rPr>
        <w:t xml:space="preserve">, </w:t>
      </w:r>
      <w:r w:rsidRPr="00450805">
        <w:rPr>
          <w:rFonts w:ascii="Cambria" w:hAnsi="Cambria"/>
          <w:sz w:val="20"/>
          <w:szCs w:val="20"/>
        </w:rPr>
        <w:t>con el fin de crear confianza en la incorporación de los resultados de los enfoques basados en la genética a los procesos científicos de ICCAT.</w:t>
      </w:r>
    </w:p>
    <w:bookmarkEnd w:id="6"/>
    <w:p w14:paraId="1B2A5638"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23A51D9" w14:textId="77777777" w:rsidR="00BC4C08" w:rsidRPr="00450805" w:rsidRDefault="00BC4C08" w:rsidP="00BC4C08">
      <w:pPr>
        <w:tabs>
          <w:tab w:val="left" w:pos="426"/>
        </w:tabs>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szCs w:val="20"/>
        </w:rPr>
        <w:t>8.3 Información actualizada sobre la nueva MSE para el atún blanco del norte</w:t>
      </w:r>
    </w:p>
    <w:p w14:paraId="5262D1D0"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4180C8D"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del SCRS presentó información actualizada sobre el desarrollo de una nueva MSE para el atún blanco del Atlántico norte y los MP candidatos. Según la Hoja de ruta de la MSE de ICCAT, en 2026 el SCRS presentará los avances a la Subcomisión 2 en esta reunión intersesiones y ejecutará los MP actuales y alternativos para formular asesoramiento sobre el TAC para el período 2027-2029. La Subcomisión 2 presentará sus observaciones en esta reunión sobre cómo ultimar la MSE (objetivos, indicadores de desempeño, MP, calibración), y la Comisión adoptará el TAC de 2027-2029 en la reunión anual, basándose en el MP actual o alternativo. En 2027, el SCRS comprobará si existen circunstancias excepcionales y llevará a cabo los análisis pendientes que soliciten la Comisión o el SCRS. En 2028, el SCRS comprobará la existencia de circunstancias excepcionales y realizará una prueba de integración de la utilización del índice conjunto de juveniles en MP. En 2029, el SCRS realizará una evaluación de referencia (comprobación del estado) y ejecutará el MP para ofrecer asesoramiento sobre el TAC para 2030-2032. La Comisión adoptará el TAC 2030-2032 en la reunión anual en base al MP. El mandato conferido al SCRS para realizar dicho trabajo se establece en el párrafo 18 de la </w:t>
      </w:r>
      <w:hyperlink r:id="rId39" w:history="1">
        <w:r w:rsidRPr="00450805">
          <w:rPr>
            <w:rStyle w:val="Hyperlink"/>
            <w:rFonts w:ascii="Cambria" w:hAnsi="Cambria"/>
            <w:i/>
            <w:iCs/>
            <w:sz w:val="20"/>
            <w:szCs w:val="20"/>
            <w:u w:val="none"/>
          </w:rPr>
          <w:t xml:space="preserve">Recomendación de ICCAT sobre medidas de conservación y ordenación, incluido un procedimiento de ordenación y un protocolo de circunstancias excepcionales, para el atún blanco del Atlántico norte </w:t>
        </w:r>
        <w:r w:rsidRPr="00450805">
          <w:rPr>
            <w:rStyle w:val="Hyperlink"/>
            <w:rFonts w:ascii="Cambria" w:hAnsi="Cambria"/>
            <w:sz w:val="20"/>
            <w:szCs w:val="20"/>
            <w:u w:val="none"/>
          </w:rPr>
          <w:t>(Rec. 21-04)</w:t>
        </w:r>
      </w:hyperlink>
      <w:r w:rsidRPr="00450805">
        <w:rPr>
          <w:rFonts w:ascii="Cambria" w:hAnsi="Cambria"/>
          <w:i/>
          <w:sz w:val="20"/>
          <w:szCs w:val="20"/>
        </w:rPr>
        <w:t>.</w:t>
      </w:r>
      <w:r w:rsidRPr="00450805">
        <w:rPr>
          <w:rFonts w:ascii="Cambria" w:hAnsi="Cambria"/>
          <w:sz w:val="20"/>
          <w:szCs w:val="20"/>
        </w:rPr>
        <w:t xml:space="preserve"> </w:t>
      </w:r>
    </w:p>
    <w:p w14:paraId="19A65DF5"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1E6F4697"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del SCRS presentó las principales características y resultados del MP actual. El MP actual está basado en modelos y utiliza las capturas y las capturas por unidad de esfuerzo (CPUE) para determinar el estado, así como una norma de control de la captura (HCR) para fijar el TAC. Como salvaguardia, el TAC máximo se limita a 50.000 t, y el cambio máximo se limita a +25 % / −20 %. El MP ha establecido tres aumentos consecutivos del TAC, y el TAC actual, de 47.251 t, supera con creces los niveles de captura recientes.</w:t>
      </w:r>
    </w:p>
    <w:p w14:paraId="2DF3C661"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7C0E4190"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del SCRS explicó que el nuevo marco de la MSE se basa en la evaluación de stock de atún blanco del Atlántico de 2023 (incluida la MSE) (</w:t>
      </w:r>
      <w:hyperlink r:id="rId40" w:history="1">
        <w:r w:rsidRPr="00450805">
          <w:rPr>
            <w:rStyle w:val="Hyperlink"/>
            <w:rFonts w:ascii="Cambria" w:hAnsi="Cambria"/>
            <w:sz w:val="20"/>
            <w:szCs w:val="20"/>
            <w:u w:val="none"/>
          </w:rPr>
          <w:t>Anón., 2023</w:t>
        </w:r>
      </w:hyperlink>
      <w:r w:rsidRPr="00450805">
        <w:rPr>
          <w:rFonts w:ascii="Cambria" w:hAnsi="Cambria"/>
          <w:sz w:val="20"/>
          <w:szCs w:val="20"/>
        </w:rPr>
        <w:t>) (la MSE anterior utilizaba la evaluación de 2013) y que la nueva plataforma del modelo se ajusta a las prácticas actuales de la MSE del SCRS para otros stocks. Los OM comprenden ahora más de diez años adicionales de datos pesqueros y biológicos, así como ejes de incertidumbre ampliados que reflejan dinámicas alternativas del stock y la pesquería. Se están estudiando una serie de MP candidatos. En el caso de los MP candidatos basados en modelos, se están estudiando HCR alternativas, cláusulas de estabilidad alternativas y límites biológicos mantenidos en B</w:t>
      </w:r>
      <w:r w:rsidRPr="00450805">
        <w:rPr>
          <w:rFonts w:ascii="Cambria" w:hAnsi="Cambria"/>
          <w:sz w:val="20"/>
          <w:szCs w:val="20"/>
          <w:vertAlign w:val="subscript"/>
        </w:rPr>
        <w:t>LIM</w:t>
      </w:r>
      <w:r w:rsidRPr="00450805">
        <w:rPr>
          <w:rFonts w:ascii="Cambria" w:hAnsi="Cambria"/>
          <w:sz w:val="20"/>
          <w:szCs w:val="20"/>
        </w:rPr>
        <w:t xml:space="preserve"> = 0,4 × B</w:t>
      </w:r>
      <w:r w:rsidRPr="00450805">
        <w:rPr>
          <w:rFonts w:ascii="Cambria" w:hAnsi="Cambria"/>
          <w:sz w:val="20"/>
          <w:szCs w:val="20"/>
          <w:vertAlign w:val="subscript"/>
        </w:rPr>
        <w:t>RMS</w:t>
      </w:r>
      <w:r w:rsidRPr="00450805">
        <w:rPr>
          <w:rFonts w:ascii="Cambria" w:hAnsi="Cambria"/>
          <w:sz w:val="20"/>
          <w:szCs w:val="20"/>
        </w:rPr>
        <w:t xml:space="preserve"> y F</w:t>
      </w:r>
      <w:r w:rsidRPr="00450805">
        <w:rPr>
          <w:rFonts w:ascii="Cambria" w:hAnsi="Cambria"/>
          <w:sz w:val="20"/>
          <w:szCs w:val="20"/>
          <w:vertAlign w:val="subscript"/>
        </w:rPr>
        <w:t>LIM</w:t>
      </w:r>
      <w:r w:rsidRPr="00450805">
        <w:rPr>
          <w:rFonts w:ascii="Cambria" w:hAnsi="Cambria"/>
          <w:sz w:val="20"/>
          <w:szCs w:val="20"/>
        </w:rPr>
        <w:t xml:space="preserve"> = 0,1 × F</w:t>
      </w:r>
      <w:r w:rsidRPr="00450805">
        <w:rPr>
          <w:rFonts w:ascii="Cambria" w:hAnsi="Cambria"/>
          <w:sz w:val="20"/>
          <w:szCs w:val="20"/>
          <w:vertAlign w:val="subscript"/>
        </w:rPr>
        <w:t>RMS</w:t>
      </w:r>
      <w:r w:rsidRPr="00450805">
        <w:rPr>
          <w:rFonts w:ascii="Cambria" w:hAnsi="Cambria"/>
          <w:sz w:val="20"/>
          <w:szCs w:val="20"/>
        </w:rPr>
        <w:t xml:space="preserve">. En el caso de los MP candidatos empíricos, se están estudiando los MP basados en la CPUE, diferentes opciones para limitar el cambio del TAC entre ciclos de ordenación y enfoques basados en capturas </w:t>
      </w:r>
      <w:proofErr w:type="spellStart"/>
      <w:r w:rsidRPr="00450805">
        <w:rPr>
          <w:rFonts w:ascii="Cambria" w:hAnsi="Cambria"/>
          <w:sz w:val="20"/>
          <w:szCs w:val="20"/>
        </w:rPr>
        <w:t>pseudoconstantes</w:t>
      </w:r>
      <w:proofErr w:type="spellEnd"/>
      <w:r w:rsidRPr="00450805">
        <w:rPr>
          <w:rFonts w:ascii="Cambria" w:hAnsi="Cambria"/>
          <w:sz w:val="20"/>
          <w:szCs w:val="20"/>
        </w:rPr>
        <w:t>.</w:t>
      </w:r>
    </w:p>
    <w:p w14:paraId="49F638B5"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05EA5A4A" w14:textId="77777777" w:rsidR="00BC4C08" w:rsidRPr="00450805" w:rsidRDefault="00BC4C08" w:rsidP="00BC4C08">
      <w:pPr>
        <w:tabs>
          <w:tab w:val="left" w:pos="426"/>
          <w:tab w:val="left" w:pos="7513"/>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lastRenderedPageBreak/>
        <w:t xml:space="preserve">El presidente del SCRS expuso los próximos pasos de cara a la decisión de 2026. Los MP alternativos se someterán a prueba utilizando las mismas estadísticas de desempeño que en la primera MSE (anexo 4 de la </w:t>
      </w:r>
      <w:hyperlink r:id="rId41" w:history="1">
        <w:r w:rsidRPr="00450805">
          <w:rPr>
            <w:rStyle w:val="Hyperlink"/>
            <w:rFonts w:ascii="Cambria" w:hAnsi="Cambria"/>
            <w:sz w:val="20"/>
            <w:szCs w:val="20"/>
            <w:u w:val="none"/>
          </w:rPr>
          <w:t>Rec. 21-04</w:t>
        </w:r>
      </w:hyperlink>
      <w:r w:rsidRPr="00450805">
        <w:rPr>
          <w:rFonts w:ascii="Cambria" w:hAnsi="Cambria"/>
          <w:sz w:val="20"/>
          <w:szCs w:val="20"/>
        </w:rPr>
        <w:t>). Los MP no se calibrarán a una probabilidad del 60 % de situarse en el cuadrante verde del diagrama de Kobe (PGK), como en la primera MSE. Los resultados se comunicarán de forma similar a como se hizo en la primera MSE, pero con una herramienta de visualización mejorada. Si la Subcomisión 2 lo desea, se podrían celebrar reuniones intersesiones adicionales sobre la nueva MSE para ayudar a tomar una decisión en noviembre (p. ej., una reunión en línea de un día después de la reunión anual del SCRS, u otras).</w:t>
      </w:r>
    </w:p>
    <w:p w14:paraId="0A9676E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7B56AA97" w14:textId="2C7B3751" w:rsidR="00BC4C08" w:rsidRPr="00450805" w:rsidRDefault="00BC4C08" w:rsidP="007B4B23">
      <w:pPr>
        <w:tabs>
          <w:tab w:val="left" w:pos="426"/>
        </w:tabs>
        <w:spacing w:after="0" w:line="240" w:lineRule="auto"/>
        <w:jc w:val="both"/>
        <w:rPr>
          <w:rFonts w:ascii="Cambria" w:hAnsi="Cambria"/>
          <w:sz w:val="20"/>
          <w:szCs w:val="20"/>
        </w:rPr>
      </w:pPr>
      <w:r w:rsidRPr="00450805">
        <w:rPr>
          <w:rFonts w:ascii="Cambria" w:hAnsi="Cambria"/>
          <w:sz w:val="20"/>
          <w:szCs w:val="20"/>
        </w:rPr>
        <w:t xml:space="preserve">El presidente de la Subcomisión 2 señaló que, según la presentación del presidente del SCRS, el MP no se calibrará para alcanzar un 60 % de PGK. Preguntó cuál era el motivo, ya que se trata de uno de los objetivos de ordenación de la </w:t>
      </w:r>
      <w:hyperlink r:id="rId42" w:history="1">
        <w:r w:rsidRPr="00450805">
          <w:rPr>
            <w:rStyle w:val="Hyperlink"/>
            <w:rFonts w:ascii="Cambria" w:hAnsi="Cambria"/>
            <w:sz w:val="20"/>
            <w:szCs w:val="20"/>
            <w:u w:val="none"/>
          </w:rPr>
          <w:t>Rec. 21-04</w:t>
        </w:r>
      </w:hyperlink>
      <w:r w:rsidRPr="00450805">
        <w:rPr>
          <w:rFonts w:ascii="Cambria" w:hAnsi="Cambria"/>
          <w:sz w:val="20"/>
          <w:szCs w:val="20"/>
        </w:rPr>
        <w:t>.</w:t>
      </w:r>
    </w:p>
    <w:p w14:paraId="124F25B4" w14:textId="77777777" w:rsidR="00817736" w:rsidRPr="00450805" w:rsidRDefault="00817736" w:rsidP="007B4B23">
      <w:pPr>
        <w:tabs>
          <w:tab w:val="left" w:pos="426"/>
        </w:tabs>
        <w:spacing w:after="0" w:line="240" w:lineRule="auto"/>
        <w:jc w:val="both"/>
        <w:rPr>
          <w:rFonts w:ascii="Cambria" w:eastAsia="Yu Gothic" w:hAnsi="Cambria" w:cs="Times New Roman"/>
          <w:kern w:val="2"/>
          <w:sz w:val="20"/>
          <w:szCs w:val="20"/>
          <w14:ligatures w14:val="standardContextual"/>
        </w:rPr>
      </w:pPr>
    </w:p>
    <w:p w14:paraId="46DB6FDF"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del SCRS aclaró que lo que quería decir era que el MP se calibraría al 60 % o más, ya que el objetivo de ordenación exige "una probabilidad de al menos el 60 %", y explicó que, con un enfoque basado en modelos, resulta difícil calibrar el MP exactamente al 60 %. El presidente del SCRS explicó además que su presentación incluía una matriz de distintas HCR y su desempeño en relación con las distintas B umbral y F objetivo, lo que ilustra cómo, aunque quizá no sea posible realizar una calibración precisa, sí es posible observar la evolución de la forma de cada HCR para mejorar el desempeño. El presidente del SCRS añadió que el SCRS también está estudiando MP empíricos, que podrían basarse en índices. </w:t>
      </w:r>
    </w:p>
    <w:p w14:paraId="6B5F9227"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C76E1B2"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coordinador del Grupo de especies de atún blanco del SCRS, el Dr. Haritz Arrizabalaga, aportó comentarios adicionales. Aclaró que, si bien es cierto que los MP basados en modelos son más difíciles de calibrar, es posible encontrar alguna combinación que permita alcanzar un 60 %. Explicó que el objetivo de ordenación prevé un 60 % o más, por lo que el Grupo de especies de atún blanco consideró la PGK como parte de la compensación de factores, pero el Grupo de especies de atún blanco también podría calibrar cualquier otro porcentaje que desee la Subcomisión 2. </w:t>
      </w:r>
    </w:p>
    <w:p w14:paraId="07BD4980"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03B97331"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de la Subcomisión 2 explicó que, desde el punto de vista de un gestor, cuando la Comisión debate los objetivos de ordenación —por ejemplo, en materia de sostenibilidad—, dedica mucho tiempo a analizar diferentes PGK (por ejemplo, el 60 %, el 65 % o el 70 %), y lo hace teniendo en cuenta el posible impacto en el nivel del TAC. Reconoció la dificultad de ajustar el valor exactamente al 60 %, pero señaló que, si el resultado de la simulación fuera, por ejemplo, del 65 %, esa diferencia del 5 % resultaría decepcionantemente grande desde el punto de vista de los gestores y las partes interesadas, ya que daría lugar a un nivel de TAC más bajo. Solicitó al SCRS que tuviera esto en cuenta.</w:t>
      </w:r>
    </w:p>
    <w:p w14:paraId="7C84E169"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10C86558"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del SCRS reconoció el argumento del presidente de la Subcomisión 2, al tiempo que señaló que hay múltiples objetivos de ordenación que deben alcanzarse y compensaciones de factores que deben tenerse en cuenta. Explicó que el SCRS adoptaría un enfoque general consistente en esforzarse por alcanzar el objetivo mínimo del 60 % de PGK, al tiempo que se lograba el nivel mínimo aceptable para evitar B</w:t>
      </w:r>
      <w:r w:rsidRPr="00450805">
        <w:rPr>
          <w:rFonts w:ascii="Cambria" w:hAnsi="Cambria"/>
          <w:sz w:val="20"/>
          <w:szCs w:val="20"/>
          <w:vertAlign w:val="subscript"/>
        </w:rPr>
        <w:t>LIM</w:t>
      </w:r>
      <w:r w:rsidRPr="00450805">
        <w:rPr>
          <w:rFonts w:ascii="Cambria" w:hAnsi="Cambria"/>
          <w:sz w:val="20"/>
          <w:szCs w:val="20"/>
        </w:rPr>
        <w:t xml:space="preserve"> y se intentaba maximizar la captura.</w:t>
      </w:r>
    </w:p>
    <w:p w14:paraId="72E49F88"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7C917F2"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La UE señaló que el presidente del SCRS había mencionado planes para desarrollar y poner a prueba los CMP, con el objetivo de adoptar, en su caso, un nuevo MP. La UE pidió al presidente del SCRS que explicara el motivo de ello, incluyendo si existen o no problemas con el MP actual.</w:t>
      </w:r>
    </w:p>
    <w:p w14:paraId="08A87C5A"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2B74F9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del SCRS explicó que se trataba de la primera MSE realizada en el marco de ICCAT que dio lugar a un MP probado. Se basaba en un modelo subyacente que se había utilizado anteriormente para las evaluaciones de stock y que no cuenta con las capacidades de los modelos que se utilizan actualmente para otras MSE de ICCAT. El modelo tampoco seguía las mejores prácticas que se han ido desarrollando con el tiempo y que actualmente se aplican en ICCAT. El presidente del SCRS explicó que, en un principio, los científicos del SCRS no preveían que el uso del modelo supusiera ningún riesgo para el stock a corto plazo, pero sí recomendaron que se desarrollara una MSE alternativa basada en una estructura de modelo subyacente diferente. También señaló que ahora se dispone de datos nuevos que abarcan un periodo de diez años o más. Por lo tanto, el presidente del SCRS consideró que seguir utilizando el modelo antiguo podría entrañar cierto riesgo y que un nuevo modelo podría ofrecer mejores resultados. Añadió además que esta labor forma parte del plan de trabajo del SCRS y que la Comisión ya está al corriente de ello desde hace tiempo.</w:t>
      </w:r>
    </w:p>
    <w:p w14:paraId="0D74B42A"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130691A" w14:textId="77777777" w:rsidR="00BC4C08" w:rsidRPr="00450805" w:rsidRDefault="00BC4C08" w:rsidP="00BC4C08">
      <w:pPr>
        <w:tabs>
          <w:tab w:val="left" w:pos="426"/>
        </w:tabs>
        <w:spacing w:after="0" w:line="240" w:lineRule="auto"/>
        <w:jc w:val="both"/>
        <w:rPr>
          <w:rFonts w:ascii="Cambria" w:hAnsi="Cambria"/>
          <w:sz w:val="20"/>
          <w:szCs w:val="20"/>
        </w:rPr>
      </w:pPr>
      <w:r w:rsidRPr="00450805">
        <w:rPr>
          <w:rFonts w:ascii="Cambria" w:hAnsi="Cambria"/>
          <w:sz w:val="20"/>
          <w:szCs w:val="20"/>
        </w:rPr>
        <w:lastRenderedPageBreak/>
        <w:t>La UE tomó nota de la explicación del presidente del SCRS, pero señaló que, si bien siempre hay margen de mejora, el actual MP podría seguir siendo adecuado para su finalidad. La UE abogó por un enfoque más gradual y sugirió que el primer paso para revisar el MP actual consistiera en realizar una comprobación del estado, y que el segundo paso fuera elaborar nuevos CMP, en caso de que dicha comprobación del estado pusiera de manifiesto algún problema con el MP actual.</w:t>
      </w:r>
    </w:p>
    <w:p w14:paraId="23E011DD" w14:textId="77777777" w:rsidR="00B81CCA" w:rsidRPr="00450805" w:rsidRDefault="00B81CCA" w:rsidP="00BC4C08">
      <w:pPr>
        <w:tabs>
          <w:tab w:val="left" w:pos="426"/>
        </w:tabs>
        <w:spacing w:after="0" w:line="240" w:lineRule="auto"/>
        <w:jc w:val="both"/>
        <w:rPr>
          <w:rFonts w:ascii="Cambria" w:hAnsi="Cambria"/>
          <w:sz w:val="20"/>
          <w:szCs w:val="20"/>
        </w:rPr>
      </w:pPr>
    </w:p>
    <w:p w14:paraId="12DE5C02" w14:textId="2D3838CD" w:rsidR="00B81CCA" w:rsidRPr="00450805" w:rsidRDefault="00B81CCA" w:rsidP="00B81CCA">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eastAsia="Yu Gothic" w:hAnsi="Cambria" w:cs="Times New Roman"/>
          <w:kern w:val="2"/>
          <w:sz w:val="20"/>
          <w:szCs w:val="20"/>
          <w14:ligatures w14:val="standardContextual"/>
        </w:rPr>
        <w:t xml:space="preserve">El presidente de la Subcomisión 2 señaló que el párrafo 18 de la </w:t>
      </w:r>
      <w:hyperlink r:id="rId43" w:history="1">
        <w:r w:rsidRPr="00450805">
          <w:rPr>
            <w:rStyle w:val="Hyperlink"/>
            <w:rFonts w:ascii="Cambria" w:eastAsia="Yu Gothic" w:hAnsi="Cambria" w:cs="Times New Roman"/>
            <w:kern w:val="2"/>
            <w:sz w:val="20"/>
            <w:szCs w:val="20"/>
            <w:u w:val="none"/>
            <w14:ligatures w14:val="standardContextual"/>
          </w:rPr>
          <w:t>Rec. 21-04</w:t>
        </w:r>
      </w:hyperlink>
      <w:r w:rsidRPr="00450805">
        <w:rPr>
          <w:rFonts w:ascii="Cambria" w:eastAsia="Yu Gothic" w:hAnsi="Cambria" w:cs="Times New Roman"/>
          <w:kern w:val="2"/>
          <w:sz w:val="20"/>
          <w:szCs w:val="20"/>
          <w14:ligatures w14:val="standardContextual"/>
        </w:rPr>
        <w:t xml:space="preserve"> establece que </w:t>
      </w:r>
      <w:r w:rsidR="00953CF4" w:rsidRPr="00450805">
        <w:rPr>
          <w:rFonts w:ascii="Cambria" w:eastAsia="Yu Gothic" w:hAnsi="Cambria" w:cs="Times New Roman"/>
          <w:kern w:val="2"/>
          <w:sz w:val="20"/>
          <w:szCs w:val="20"/>
          <w14:ligatures w14:val="standardContextual"/>
        </w:rPr>
        <w:t>“el SCRS continuará con el desarrollo de un marco nuevo de una MSE para respaldar la posible adopción de un nuevo MP por parte de la Comisión a más tardar en 2026 y para el establecimiento de un TAC para el periodo de ordenación 2027-2030”</w:t>
      </w:r>
      <w:r w:rsidRPr="00450805">
        <w:rPr>
          <w:rFonts w:ascii="Cambria" w:eastAsia="Yu Gothic" w:hAnsi="Cambria" w:cs="Times New Roman"/>
          <w:kern w:val="2"/>
          <w:sz w:val="20"/>
          <w:szCs w:val="20"/>
          <w14:ligatures w14:val="standardContextual"/>
        </w:rPr>
        <w:t>, y que ese era el principal motivo que impulsaba el plan de trabajo del SCRS.</w:t>
      </w:r>
    </w:p>
    <w:p w14:paraId="493CECFA"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15C0731" w14:textId="69BCFA94" w:rsidR="00BC4C08" w:rsidRPr="00450805" w:rsidRDefault="00953CF4"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de la Subcomisión 2</w:t>
      </w:r>
      <w:r w:rsidR="00BC4C08" w:rsidRPr="00450805">
        <w:rPr>
          <w:rFonts w:ascii="Cambria" w:hAnsi="Cambria"/>
          <w:sz w:val="20"/>
          <w:szCs w:val="20"/>
        </w:rPr>
        <w:t xml:space="preserve"> reconoció que no existe un consenso entre los miembros de la Subcomisión 2 en cuanto a la definición de "examen" en este contexto, pero señaló que el SCRS sí tiene la intención de seguir el enfoque sugerido por la UE de comprobar el desempeño del MP actual y, a continuación, trabajar en posibles mejoras. Sin embargo, Japón explicó que, este año, está previsto que el SCRS no solo revise el MP, sino que también calcule un TAC recomendado aplicando dicho MP, por lo que el SCRS debe avanzar en la verificación del estado del MP actual y, al mismo tiempo, trabajar en posibles mejoras.</w:t>
      </w:r>
    </w:p>
    <w:p w14:paraId="028CAA83"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6976108B"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del SCRS explicó que el SCRS tiene la intención tanto de comprobar el estado del MP actual como de probar su desempeño en comparación con otros CMP. Si el MP actual no funciona tan bien como se esperaba o peor que las alternativas, el SCRS puede presentar a la Comisión posibles opciones de mejora. </w:t>
      </w:r>
    </w:p>
    <w:p w14:paraId="7165A419"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635550BC"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Los miembros de la Subcomisión 2 solicitaron al SCRS que continuara con su trabajo de examen y evaluación del MP actual y de otros CMP, y que presentara a la Subcomisión 2 sus resultados y recomendaciones, que podrían incluir el MP actual, modificaciones del MP actual o un posible nuevo MP. </w:t>
      </w:r>
    </w:p>
    <w:p w14:paraId="5B072DA9"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D6FA5C7" w14:textId="77200D1D" w:rsidR="00BC4C08" w:rsidRPr="00450805" w:rsidRDefault="00BC4C08" w:rsidP="00BC4C08">
      <w:pPr>
        <w:tabs>
          <w:tab w:val="left" w:pos="426"/>
        </w:tabs>
        <w:spacing w:after="0" w:line="240" w:lineRule="auto"/>
        <w:jc w:val="both"/>
        <w:rPr>
          <w:rFonts w:ascii="Cambria" w:eastAsia="Yu Gothic" w:hAnsi="Cambria" w:cs="Times New Roman"/>
          <w:sz w:val="20"/>
          <w:szCs w:val="20"/>
        </w:rPr>
      </w:pPr>
      <w:r w:rsidRPr="00450805">
        <w:rPr>
          <w:rFonts w:ascii="Cambria" w:hAnsi="Cambria"/>
          <w:sz w:val="20"/>
          <w:szCs w:val="20"/>
        </w:rPr>
        <w:t xml:space="preserve">Los miembros de la Subcomisión 2 solicitaron al SCRS que, en caso de que considere la posibilidad de introducir modificaciones en el MP actual o de establecer nuevos CMP, estudie lo siguiente: diversas opciones para la inclusión de un límite de seguridad, como una probabilidad no superior al </w:t>
      </w:r>
      <w:r w:rsidR="00971255" w:rsidRPr="00450805">
        <w:rPr>
          <w:rFonts w:ascii="Cambria" w:hAnsi="Cambria"/>
          <w:sz w:val="20"/>
          <w:szCs w:val="20"/>
        </w:rPr>
        <w:t>5-</w:t>
      </w:r>
      <w:r w:rsidRPr="00450805">
        <w:rPr>
          <w:rFonts w:ascii="Cambria" w:hAnsi="Cambria"/>
          <w:sz w:val="20"/>
          <w:szCs w:val="20"/>
        </w:rPr>
        <w:t xml:space="preserve">15 % de no superar </w:t>
      </w:r>
      <w:proofErr w:type="spellStart"/>
      <w:r w:rsidRPr="00450805">
        <w:rPr>
          <w:rFonts w:ascii="Cambria" w:hAnsi="Cambria"/>
          <w:sz w:val="20"/>
          <w:szCs w:val="20"/>
        </w:rPr>
        <w:t>B</w:t>
      </w:r>
      <w:r w:rsidRPr="00450805">
        <w:rPr>
          <w:rFonts w:ascii="Cambria" w:hAnsi="Cambria"/>
          <w:sz w:val="20"/>
          <w:szCs w:val="20"/>
          <w:vertAlign w:val="subscript"/>
        </w:rPr>
        <w:t>Lim</w:t>
      </w:r>
      <w:proofErr w:type="spellEnd"/>
      <w:r w:rsidRPr="00450805">
        <w:rPr>
          <w:rFonts w:ascii="Cambria" w:hAnsi="Cambria"/>
          <w:sz w:val="20"/>
          <w:szCs w:val="20"/>
        </w:rPr>
        <w:t>; varias opciones para un límite de estabilidad más reducido, como una variación interanual de ±</w:t>
      </w:r>
      <w:r w:rsidR="00971255" w:rsidRPr="00450805">
        <w:rPr>
          <w:rFonts w:ascii="Cambria" w:hAnsi="Cambria"/>
          <w:sz w:val="20"/>
          <w:szCs w:val="20"/>
        </w:rPr>
        <w:t>10-</w:t>
      </w:r>
      <w:r w:rsidRPr="00450805">
        <w:rPr>
          <w:rFonts w:ascii="Cambria" w:hAnsi="Cambria"/>
          <w:sz w:val="20"/>
          <w:szCs w:val="20"/>
        </w:rPr>
        <w:t xml:space="preserve">15 %; la exclusión de las HCR </w:t>
      </w:r>
      <w:r w:rsidR="004E2D28" w:rsidRPr="00450805">
        <w:rPr>
          <w:rFonts w:ascii="Cambria" w:hAnsi="Cambria"/>
          <w:sz w:val="20"/>
          <w:szCs w:val="20"/>
        </w:rPr>
        <w:t xml:space="preserve">en CMP basados en modelos </w:t>
      </w:r>
      <w:r w:rsidRPr="00450805">
        <w:rPr>
          <w:rFonts w:ascii="Cambria" w:hAnsi="Cambria"/>
          <w:sz w:val="20"/>
          <w:szCs w:val="20"/>
        </w:rPr>
        <w:t>que incluyan una B umbral inferior a B</w:t>
      </w:r>
      <w:r w:rsidRPr="00450805">
        <w:rPr>
          <w:rFonts w:ascii="Cambria" w:hAnsi="Cambria"/>
          <w:sz w:val="20"/>
          <w:szCs w:val="20"/>
          <w:vertAlign w:val="subscript"/>
        </w:rPr>
        <w:t>RMS</w:t>
      </w:r>
      <w:r w:rsidRPr="00450805">
        <w:rPr>
          <w:rFonts w:ascii="Cambria" w:hAnsi="Cambria"/>
          <w:sz w:val="20"/>
          <w:szCs w:val="20"/>
        </w:rPr>
        <w:t>; la comprobación de la robustez del MP frente a los efectos del cambio climático; la comprobación de la robustez del MP frente a un escenario en el que se utilice plenamente el TAC; y el uso de herramientas de visualización adicionales, como gráficos de caja, para presentar los resultados.</w:t>
      </w:r>
    </w:p>
    <w:p w14:paraId="7F37A705" w14:textId="77777777" w:rsidR="00BC4C08" w:rsidRPr="00450805" w:rsidRDefault="00BC4C08" w:rsidP="00BC4C08">
      <w:pPr>
        <w:tabs>
          <w:tab w:val="left" w:pos="426"/>
        </w:tabs>
        <w:spacing w:after="0" w:line="240" w:lineRule="auto"/>
        <w:jc w:val="both"/>
        <w:rPr>
          <w:rFonts w:ascii="Cambria" w:eastAsia="Yu Gothic" w:hAnsi="Cambria" w:cs="Times New Roman"/>
          <w:sz w:val="20"/>
          <w:szCs w:val="20"/>
        </w:rPr>
      </w:pPr>
    </w:p>
    <w:p w14:paraId="150F61F5" w14:textId="71D5CCBA"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Los miembros de la Subcomisión 2 solicitaron al SCRS que se esforzara por limitar el número de CMP </w:t>
      </w:r>
      <w:r w:rsidR="00B62563" w:rsidRPr="00450805">
        <w:rPr>
          <w:rFonts w:ascii="Cambria" w:hAnsi="Cambria"/>
          <w:sz w:val="20"/>
          <w:szCs w:val="20"/>
        </w:rPr>
        <w:t xml:space="preserve">basados en modelos </w:t>
      </w:r>
      <w:r w:rsidRPr="00450805">
        <w:rPr>
          <w:rFonts w:ascii="Cambria" w:hAnsi="Cambria"/>
          <w:sz w:val="20"/>
          <w:szCs w:val="20"/>
        </w:rPr>
        <w:t>que recomienda</w:t>
      </w:r>
      <w:r w:rsidR="003D572E" w:rsidRPr="00450805">
        <w:rPr>
          <w:rFonts w:ascii="Cambria" w:hAnsi="Cambria"/>
          <w:sz w:val="20"/>
          <w:szCs w:val="20"/>
        </w:rPr>
        <w:t>, teniendo en cuenta los comentarios anteriores,</w:t>
      </w:r>
      <w:r w:rsidRPr="00450805">
        <w:rPr>
          <w:rFonts w:ascii="Cambria" w:hAnsi="Cambria"/>
          <w:sz w:val="20"/>
          <w:szCs w:val="20"/>
        </w:rPr>
        <w:t xml:space="preserve"> y que no presentara más de seis CMP </w:t>
      </w:r>
      <w:r w:rsidR="003D572E" w:rsidRPr="00450805">
        <w:rPr>
          <w:rFonts w:ascii="Cambria" w:hAnsi="Cambria"/>
          <w:sz w:val="20"/>
          <w:szCs w:val="20"/>
        </w:rPr>
        <w:t xml:space="preserve">para cada tipo de CMP empírico </w:t>
      </w:r>
      <w:r w:rsidRPr="00450805">
        <w:rPr>
          <w:rFonts w:ascii="Cambria" w:hAnsi="Cambria"/>
          <w:sz w:val="20"/>
          <w:szCs w:val="20"/>
        </w:rPr>
        <w:t>a la Subcomisión 2.</w:t>
      </w:r>
      <w:r w:rsidR="009311FC" w:rsidRPr="00450805">
        <w:rPr>
          <w:rFonts w:ascii="Cambria" w:hAnsi="Cambria"/>
          <w:sz w:val="20"/>
          <w:szCs w:val="20"/>
        </w:rPr>
        <w:t xml:space="preserve"> No obstante, la UE recordó que, en última instancia, corresponde a los </w:t>
      </w:r>
      <w:r w:rsidR="00D31C94" w:rsidRPr="00450805">
        <w:rPr>
          <w:rFonts w:ascii="Cambria" w:hAnsi="Cambria"/>
          <w:sz w:val="20"/>
          <w:szCs w:val="20"/>
        </w:rPr>
        <w:t>gestores</w:t>
      </w:r>
      <w:r w:rsidR="009311FC" w:rsidRPr="00450805">
        <w:rPr>
          <w:rFonts w:ascii="Cambria" w:hAnsi="Cambria"/>
          <w:sz w:val="20"/>
          <w:szCs w:val="20"/>
        </w:rPr>
        <w:t xml:space="preserve"> reducir el número de CMP.</w:t>
      </w:r>
    </w:p>
    <w:p w14:paraId="0A2DA04A"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136AF7C6"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Los miembros de la Subcomisión 2 acordaron examinar el trabajo y las recomendaciones del SCRS en el periodo intersesiones, en una reunión en línea de un día de duración.</w:t>
      </w:r>
    </w:p>
    <w:p w14:paraId="09B025F3"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5AC8589"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068BC3B2" w14:textId="77777777" w:rsidR="00BC4C08" w:rsidRPr="00450805" w:rsidRDefault="00BC4C08" w:rsidP="00CE0EC8">
      <w:pPr>
        <w:pStyle w:val="ListParagraph"/>
        <w:numPr>
          <w:ilvl w:val="0"/>
          <w:numId w:val="31"/>
        </w:numPr>
        <w:ind w:left="360"/>
        <w:rPr>
          <w:rFonts w:ascii="Cambria" w:eastAsia="Yu Gothic" w:hAnsi="Cambria"/>
          <w:b/>
          <w:bCs/>
          <w:kern w:val="2"/>
          <w:sz w:val="20"/>
          <w:szCs w:val="20"/>
          <w14:ligatures w14:val="standardContextual"/>
        </w:rPr>
      </w:pPr>
      <w:r w:rsidRPr="00450805">
        <w:rPr>
          <w:rFonts w:ascii="Cambria" w:hAnsi="Cambria"/>
          <w:b/>
          <w:sz w:val="20"/>
          <w:szCs w:val="20"/>
        </w:rPr>
        <w:t>Debate sobre la asignación para el atún rojo del Atlántico este y Mediterráneo</w:t>
      </w:r>
    </w:p>
    <w:p w14:paraId="3ADF3EDC" w14:textId="77777777" w:rsidR="00BC4C08" w:rsidRPr="00450805" w:rsidRDefault="00BC4C08" w:rsidP="00BC4C08">
      <w:pPr>
        <w:spacing w:after="0" w:line="240" w:lineRule="auto"/>
        <w:jc w:val="both"/>
        <w:rPr>
          <w:rFonts w:ascii="Cambria" w:eastAsia="Yu Gothic" w:hAnsi="Cambria" w:cs="Times New Roman"/>
          <w:b/>
          <w:i/>
          <w:kern w:val="2"/>
          <w:sz w:val="20"/>
          <w:szCs w:val="20"/>
          <w14:ligatures w14:val="standardContextual"/>
        </w:rPr>
      </w:pPr>
    </w:p>
    <w:p w14:paraId="217B446E" w14:textId="77777777" w:rsidR="00BC4C08" w:rsidRPr="00450805" w:rsidRDefault="00BC4C08" w:rsidP="00BC4C08">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szCs w:val="20"/>
        </w:rPr>
        <w:t>9.1 Examen del debate en la reunión anual de 2025 por parte del presidente de la Subcomisión 2</w:t>
      </w:r>
    </w:p>
    <w:p w14:paraId="10FD06E2"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5FDB430" w14:textId="77777777" w:rsidR="00BC4C08" w:rsidRPr="00450805" w:rsidRDefault="00BC4C08" w:rsidP="00BC4C08">
      <w:pPr>
        <w:tabs>
          <w:tab w:val="left" w:pos="426"/>
        </w:tabs>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szCs w:val="20"/>
        </w:rPr>
        <w:t>Documento del presidente</w:t>
      </w:r>
    </w:p>
    <w:p w14:paraId="00F67619" w14:textId="77777777" w:rsidR="00BC4C08" w:rsidRPr="00450805" w:rsidRDefault="00BC4C08" w:rsidP="00BC4C08">
      <w:pPr>
        <w:spacing w:after="0" w:line="240" w:lineRule="auto"/>
        <w:jc w:val="both"/>
        <w:rPr>
          <w:rFonts w:ascii="Cambria" w:eastAsia="Yu Gothic" w:hAnsi="Cambria" w:cs="Times New Roman"/>
          <w:i/>
          <w:iCs/>
          <w:kern w:val="2"/>
          <w:sz w:val="20"/>
          <w:szCs w:val="20"/>
          <w14:ligatures w14:val="standardContextual"/>
        </w:rPr>
      </w:pPr>
    </w:p>
    <w:p w14:paraId="0A1D5CB3" w14:textId="77777777" w:rsidR="00BC4C08" w:rsidRPr="00450805" w:rsidRDefault="00BC4C08" w:rsidP="00BC4C08">
      <w:pPr>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 xml:space="preserve">Documento de debate del presidente </w:t>
      </w:r>
    </w:p>
    <w:p w14:paraId="2379FAAC"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19926DF1" w14:textId="5DACD64E"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presentó su documento titulado "Examen del debate sobre la asignación en la reunión anual de 2025". El presidente recordó a los miembros de la Subcomisión 2 que en la reunión anual de 2025 se acordaron tanto el TAC como las asignaciones de las CPC para el atún rojo en la zona oriental y que, durante las sesiones de la Subcomisión 2 y en las sesiones plenarias, las CPC plantearon diversos puntos. Explicó que su documento repasa algunos de los puntos que no se trataron en profundidad por falta de tiempo y verifica algunos de los datos mencionados durante las sesiones, concretamente la contribución a la </w:t>
      </w:r>
      <w:r w:rsidRPr="00450805">
        <w:rPr>
          <w:rFonts w:ascii="Cambria" w:hAnsi="Cambria"/>
          <w:sz w:val="20"/>
          <w:szCs w:val="20"/>
        </w:rPr>
        <w:lastRenderedPageBreak/>
        <w:t>ejecución, la contribución a la ciencia (aparte de los índices MP), el sacrificio realizado en el pasado, la utilización de la asignación (por debajo y por encima), la contribución socioeconómica y la dificultad para iniciar la pesca con 50 o 55 t.</w:t>
      </w:r>
    </w:p>
    <w:p w14:paraId="2190836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00D6470"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explicó que, en la reunión anual de 2025, varias CPC defendieron que la contribución de las CPC a la ejecución conjunta se tuviera en cuenta en la asignación y que dicha contribución pudiera cuantificarse, por ejemplo, mediante el número de buques de inspección desplegados. El presidente aceptó la posibilidad de dicha cuantificación, pero señaló que, de conformidad con lo dispuesto en el párrafo 234 de la </w:t>
      </w:r>
      <w:hyperlink r:id="rId44" w:history="1">
        <w:r w:rsidRPr="00450805">
          <w:rPr>
            <w:rStyle w:val="Hyperlink"/>
            <w:rFonts w:ascii="Cambria" w:hAnsi="Cambria"/>
            <w:sz w:val="20"/>
            <w:szCs w:val="20"/>
            <w:u w:val="none"/>
          </w:rPr>
          <w:t>Rec. 25-04</w:t>
        </w:r>
      </w:hyperlink>
      <w:r w:rsidRPr="00450805">
        <w:rPr>
          <w:rFonts w:ascii="Cambria" w:hAnsi="Cambria"/>
          <w:sz w:val="20"/>
          <w:szCs w:val="20"/>
        </w:rPr>
        <w:t>, las CPC que cuenten con más de 15 buques deben enviar buques de inspección, lo que significa que los titulares de grandes cuotas deben, en principio, enviar buques de inspección, mientras que los titulares de pequeñas cuotas no tienen la obligación de hacerlo. Además, es posible que los titulares de pequeñas cuotas no deseen asumir la carga financiera que supone enviar un buque encargado de la ejecución por utilizar una pequeña parte de la cuota. El presidente sugirió que, si el número de buques de inspección desplegados es un criterio para realizar asignaciones adicionales, aumentaría la disparidad entre los titulares de cuotas grandes y los titulares de cuotas pequeñas. Incluso entre los titulares de cuotas grandes, es probable que la disparidad aumente. Por lo tanto, sería injusto que la contribución a la ejecución conjunta se convierta en un criterio adicional a tener en cuenta en la negociación de la asignación.</w:t>
      </w:r>
    </w:p>
    <w:p w14:paraId="5CD2FB5C"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2501D256" w14:textId="77777777" w:rsidR="00BC4C08" w:rsidRPr="00450805" w:rsidRDefault="00BC4C08" w:rsidP="00BC4C08">
      <w:pPr>
        <w:tabs>
          <w:tab w:val="left" w:pos="426"/>
        </w:tabs>
        <w:spacing w:after="0" w:line="240" w:lineRule="auto"/>
        <w:jc w:val="both"/>
        <w:rPr>
          <w:rFonts w:ascii="Cambria" w:hAnsi="Cambria"/>
          <w:sz w:val="20"/>
          <w:szCs w:val="20"/>
        </w:rPr>
      </w:pPr>
      <w:r w:rsidRPr="00450805">
        <w:rPr>
          <w:rFonts w:ascii="Cambria" w:hAnsi="Cambria"/>
          <w:sz w:val="20"/>
          <w:szCs w:val="20"/>
        </w:rPr>
        <w:t>El presidente explicó que, en la reunión anual de 2025, varias CPC también abogaron por que, en la asignación, se debería tener en cuenta la contribución de las CPC a la ciencia, más allá de la provisión de índices MP. El presidente aclaró que la intención del presidente al incluir la "provisión de índices MP" como criterio para realizar asignaciones adicionales no era recompensar los esfuerzos de las CPC que proporcionan dichos índices. Más bien, la intención era estabilizar la implementación del MP. Un ejemplo de contribución científica significativa es el GBYP. La contribución financiera de la UE (80 %) al GBYP es desproporcionadamente superior a su porcentaje de cuota (52 %). Esto significa que la asignación adicional debería destinarse a la UE, lo que podría no ser aceptable para otros miembros de la Subcomisión 2. En segundo lugar, si se tiene en cuenta el número de participantes en el Grupo de especies de atún rojo y los documentos presentados ante él, es probable que las CPC desarrolladas se encuentren en una posición ventajosa, lo que podría resultar inaceptable para las CPC en desarrollo. El presidente sugirió que, si se tiene en cuenta la contribución a la ciencia en la asignación, es probable que aumente la disparidad entre los titulares de grandes cuotas y los titulares de pequeñas cuotas, y que la Subcomisión 2 debe encontrar una forma justa y equitativa de cuantificar dicha contribución.</w:t>
      </w:r>
    </w:p>
    <w:p w14:paraId="51EF05E2"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9C1845E"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explicó que, en la reunión anual de 2025, muchas CPC afirmaron que habían hecho grandes sacrificios en el pasado y que deberían ser recompensadas cuando aumenta el TAC. Sugirió que dicho sacrificio podría clasificarse probablemente en: (1) reducción de la asignación cuando se reduce el TAC entre 2007 y 2012; (2) reducción del porcentaje; y (3) reducción de las capturas cuando una CPC pasa a ser miembro de la Subcomisión 2. En cuanto al punto (1), los titulares de grandes cuotas hicieron mayores sacrificios que los titulares de pequeñas cuotas cuando se redujo el TAC entre 2007 y 2012, y la Comisión ha tomado nota de la posición de Argelia respecto a su situación histórica y podría tenerla en cuenta a la hora de fijar el TAC en 2029. En cuanto al punto (2), entre los titulares de grandes cuotas, Japón y la UE fueron los que hicieron mayores sacrificios al comparar el porcentaje inicial/máximo con el porcentaje actual, mientras que, entre los titulares de cuotas pequeñas, fueron Taipei Chino y Corea (Rep.) los que más sacrificios hicieron. En cuanto al punto (3), al comparar la cuota inicial de cada CPC con la captura media de los cinco años anteriores, Marruecos fue el que más sacrificó, seguido de Türkiye; sin embargo, si se compara la cuota inicial con las capturas de 1993 y 1994, cualquiera que sea la más alta, el mayor sacrificio lo realizó Türkiye, seguida de Marruecos.</w:t>
      </w:r>
    </w:p>
    <w:p w14:paraId="6FFFFF1C"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AEAC3C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explicó que, en la reunión anual de 2025, varias CPC sostuvieron que la infrautilización no debía ser sancionada. Señaló que la infrautilización debería tenerse en cuenta cuando el estado del stock no es satisfactorio, pero que el stock oriental ya se ha recuperado. El presidente también explicó que algunas CPC afirmaron que el exceso de utilización (cuota inicial más traspasos y/o transferencias de otros) debería ser un criterio para realizar asignaciones adicionales, ya que indica el deseo y la capacidad de dicha CPC de utilizar más de la cuota actual. Señaló que hay otras CPC que desean recibir transferencias pero no pueden, y sugirió que sería injusto utilizar el exceso de utilización como criterio para realizar asignaciones adicionales. Asimismo, el presidente indicó que, conforme a la normativa actual, las CPC pueden transferir, pero no vender, cuotas. </w:t>
      </w:r>
    </w:p>
    <w:p w14:paraId="2B6513F1"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FBAC0F1"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lastRenderedPageBreak/>
        <w:t xml:space="preserve">El presidente explicó que, en la reunión anual de 2025, varias CPC defendieron que la contribución socioeconómica debería tenerse en cuenta en la asignación. Señaló que, en la reunión intersesiones de la Subcomisión 2 de marzo de 2024, se debatió este punto y que el apartado III.C.11 de la </w:t>
      </w:r>
      <w:hyperlink r:id="rId45" w:history="1">
        <w:r w:rsidRPr="00450805">
          <w:rPr>
            <w:rStyle w:val="Hyperlink"/>
            <w:rFonts w:ascii="Cambria" w:hAnsi="Cambria"/>
            <w:i/>
            <w:iCs/>
            <w:sz w:val="20"/>
            <w:szCs w:val="20"/>
            <w:u w:val="none"/>
          </w:rPr>
          <w:t>Resolución de ICCAT sobre los criterios de ICCAT para la asignación de posibilidades de pesca</w:t>
        </w:r>
        <w:r w:rsidRPr="00450805">
          <w:rPr>
            <w:rStyle w:val="Hyperlink"/>
            <w:rFonts w:ascii="Cambria" w:hAnsi="Cambria"/>
            <w:sz w:val="20"/>
            <w:szCs w:val="20"/>
            <w:u w:val="none"/>
          </w:rPr>
          <w:t xml:space="preserve"> (Res. 15-13) </w:t>
        </w:r>
      </w:hyperlink>
      <w:r w:rsidRPr="00450805">
        <w:rPr>
          <w:rFonts w:ascii="Cambria" w:hAnsi="Cambria"/>
          <w:sz w:val="20"/>
          <w:szCs w:val="20"/>
        </w:rPr>
        <w:t>estipula que uno de los criterios es la contribución socioeconómica de las pesquerías de stocks regulados por ICCAT a los Estados en desarrollo, especialmente pequeños Estados insulares en desarrollo y territorios en desarrollo de la región. El presidente compartió la opinión de que dicha contribución es un factor importante a tener en cuenta, pero que, si las CPC desean tenerla en cuenta, deberían explicar cómo cuantificarla.</w:t>
      </w:r>
    </w:p>
    <w:p w14:paraId="1A88C6D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0C406E5D"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explicó que, en la reunión anual de 2025, algunas CPC señalaron que resulta difícil pescar con una cuota de tan solo 50 o 55 t. Señaló que varias CPC han realizado capturas con cuotas similares. Además, las CPC pueden utilizar el número de buques pesqueros cuya capacidad total sea proporcional a la cuota. También existe una exención para las CPC con pocos buques que participan en operaciones de pesca conjunta con otra CPC. El presidente explicó que otro punto planteado durante la reunión anual de 2025 fue si debían permitirse los acuerdos de fletamento, que se habían eliminado progresivamente en 2006. El presidente sugirió que la Comisión podría considerar la posibilidad de reintroducir un acuerdo de fletamento si se establece un requisito estricto de eliminación gradual con la presentación de un calendario de desarrollo pesquero.</w:t>
      </w:r>
    </w:p>
    <w:p w14:paraId="1ED693DE"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28F37A53"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Los miembros de la Subcomisión 2 debatieron el documento del presidente. El presidente propuso que las CPC ofrecieran comentarios generales y luego comentaran cada uno de los elementos principales de su documento.</w:t>
      </w:r>
    </w:p>
    <w:p w14:paraId="1FA8915B"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20DD0350" w14:textId="77777777" w:rsidR="00BC4C08" w:rsidRPr="00450805" w:rsidRDefault="00BC4C08" w:rsidP="00BC4C08">
      <w:pPr>
        <w:tabs>
          <w:tab w:val="left" w:pos="426"/>
        </w:tabs>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Comentarios generales</w:t>
      </w:r>
    </w:p>
    <w:p w14:paraId="59D4D0D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45C3AC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Türkiye expresó su apoyo a la celebración de debates con el fin de encontrar soluciones justas y equitativas para la asignación. Türkiye mantuvo su postura y sus argumentos en lo que respecta al respeto de sus derechos históricos de pesca y de sus capturas históricas correspondientes al período de referencia 1993-1994. Türkiye también destacó la importancia de las contribuciones voluntarias a la ciencia y al cumplimiento para el éxito a largo plazo de la Comisión, y solicitó propuestas de asignación que ofrezcan incentivos significativos para que se realicen contribuciones voluntarias sustanciales en estos ámbitos.</w:t>
      </w:r>
    </w:p>
    <w:p w14:paraId="714764AA"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AEDCA70"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Japón señaló que el documento del presidente reafirmaba lo difícil que resulta elaborar criterios de asignación que satisfagan a todas las CPC. </w:t>
      </w:r>
    </w:p>
    <w:p w14:paraId="6F7C0E1D"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0536702A"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Islandia consideró que se habían logrado algunos avances en las conversaciones sobre la asignación durante la reunión anual de 2025, pero estimó que, en última instancia, no se había alcanzado un acuerdo sobre las propuestas de asignación, debido en gran medida a la introducción de medidas punitivas en caso de infrautilización. Islandia consideró que las medidas punitivas iban en la dirección equivocada e instó a los miembros de la Subcomisión 2 a centrarse, en su lugar, en medidas de apoyo para las CPC que necesitan ayuda. Esto podría facilitar el avance de acuerdo con los principios de cooperación y garantizar que se tengan debidamente en cuenta los intereses de los miembros de la Subcomisión 2. Islandia también tomó nota y acogió con satisfacción los debates sobre la posible reintroducción de algún tipo de acuerdo de fletamento, lo cual resultaría especialmente relevante para las CPC con cuotas pequeñas que desean desarrollar y utilizar al máximo sus recursos pesqueros. </w:t>
      </w:r>
    </w:p>
    <w:p w14:paraId="1479B807"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1C95A3EF"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La UE señaló que la Subcomisión 2 lleva ya varios años debatiendo en profundidad los criterios de asignación, sin que se hayan logrado grandes avances, y cuestionó la necesidad de volver a celebrar esos debates. La UE también señaló que muchos elementos importantes de los debates anteriores no se habían incluido en el documento. Además, la UE consideraba que, aunque la Subcomisión 2 lograra ponerse de acuerdo sobre los criterios de asignación, tendría grandes dificultades para acordar cómo ponderar cada uno de ellos. La UE declaró que se abstendría de reiterar los argumentos y fundamentos que sustentan y justifican su porcentaje inicial, señalando que ya lo ha hecho en varias ocasiones en el pasado, en numerosos documentos e intervenciones. Sin embargo, criticó la idea planteada en el documento de que ciertos criterios no deberían o no pueden utilizarse porque, de alguna manera, beneficiarían a la UE. La UE consideró que era intelectualmente deshonesto y políticamente inaceptable ignorar estas razones de peso que justifican el porcentaje de la UE y la realidad del importante papel que desempeña la UE en la pesquería del atún rojo. Además, la UE cuestionó la práctica de conceder automáticamente cuotas a los nuevos participantes, señalando que muchas CPC han destacado su necesidad de obtener una cuota o una cuota </w:t>
      </w:r>
      <w:r w:rsidRPr="00450805">
        <w:rPr>
          <w:rFonts w:ascii="Cambria" w:hAnsi="Cambria"/>
          <w:sz w:val="20"/>
          <w:szCs w:val="20"/>
        </w:rPr>
        <w:lastRenderedPageBreak/>
        <w:t>superior para, a continuación, transferir la totalidad de su cuota a otra CPC. La UE declaró que tales reclamaciones teóricas sobre las cuotas carecen de credibilidad y que, en las futuras negociaciones sobre la asignación, se centrará en la actividad pesquera real y en si las CPC utilizan las cuotas que han solicitado.</w:t>
      </w:r>
    </w:p>
    <w:p w14:paraId="33BED4ED"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AFB5E6A"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explicó que el debate sobre la asignación se había incluido en el orden del día a petición de varias CPC. Además, reiteró que su documento tenía por objeto abordar únicamente los puntos que no se habían tratado en profundidad en la reunión anual, y que se habían excluido los demás para evitar repeticiones y redundancias.</w:t>
      </w:r>
    </w:p>
    <w:p w14:paraId="5861EBF0"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FA53173"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Egipto aclaró que era una de las CPC que había expresado su deseo de debatir la asignación en esta reunión. Egipto explicó que sus objetivos son garantizar una mayor transparencia y agilizar las deliberaciones futuras, con el fin de evitar una situación similar a la de la reunión anual de 2025, en la que se necesitó mucho tiempo para alcanzar un consenso. </w:t>
      </w:r>
    </w:p>
    <w:p w14:paraId="3F66EBC2"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9FE9DD4" w14:textId="77777777" w:rsidR="003255D8" w:rsidRPr="00450805" w:rsidRDefault="00BC4C08" w:rsidP="00BC4C08">
      <w:pPr>
        <w:tabs>
          <w:tab w:val="left" w:pos="426"/>
        </w:tabs>
        <w:spacing w:after="0" w:line="240" w:lineRule="auto"/>
        <w:jc w:val="both"/>
        <w:rPr>
          <w:rFonts w:ascii="Cambria" w:hAnsi="Cambria"/>
          <w:sz w:val="20"/>
          <w:szCs w:val="20"/>
        </w:rPr>
      </w:pPr>
      <w:r w:rsidRPr="00450805">
        <w:rPr>
          <w:rFonts w:ascii="Cambria" w:hAnsi="Cambria"/>
          <w:sz w:val="20"/>
          <w:szCs w:val="20"/>
        </w:rPr>
        <w:t>Senegal sugirió que los puntos de debate planteados en el documento del presidente se centraran en los capturadores actuales y en los nuevos participantes en situación de desventaja. Senegal también consideraba que debía recibir un trato especial en comparación con otros nuevos participantes, ya que su cuota se destina a la captura fortuita de atún rojo.</w:t>
      </w:r>
    </w:p>
    <w:p w14:paraId="6083C466" w14:textId="77777777" w:rsidR="003255D8" w:rsidRPr="00450805" w:rsidRDefault="003255D8" w:rsidP="00BC4C08">
      <w:pPr>
        <w:tabs>
          <w:tab w:val="left" w:pos="426"/>
        </w:tabs>
        <w:spacing w:after="0" w:line="240" w:lineRule="auto"/>
        <w:jc w:val="both"/>
        <w:rPr>
          <w:rFonts w:ascii="Cambria" w:hAnsi="Cambria"/>
          <w:sz w:val="20"/>
          <w:szCs w:val="20"/>
        </w:rPr>
      </w:pPr>
    </w:p>
    <w:p w14:paraId="36D3516D" w14:textId="17F9AD8D"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señaló que, independientemente de que el atún rojo se capture como captura comercial o como captura fortuita, el resultado es siempre la mortalidad del atún rojo. El presidente sugirió que, si Senegal consideraba que su situación merecía una atención especial, debería elaborar un documento con una propuesta y los datos que la respaldaran.</w:t>
      </w:r>
    </w:p>
    <w:p w14:paraId="63E786B5"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427ABDD"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Argelia señaló que la Subcomisión 2 ya había mantenido anteriormente amplios debates sobre los criterios de asignación y destacó que el objetivo tanto de aquellos debates como del actual es tratar de encontrar un mecanismo para distribuir adecuadamente el TAC. Eso no significa necesariamente volver al sistema de asignación anterior. Más bien, la Subcomisión 2 podría introducir ajustes o correcciones y, tal vez, cuantificar algunos criterios nuevos, los cuales podrían aplicarse a la hora de asignar un TAC más elevado. </w:t>
      </w:r>
    </w:p>
    <w:p w14:paraId="40F91C85"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2FC7EEFD"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reconoció que la Subcomisión 2 no tenía por qué mantener la </w:t>
      </w:r>
      <w:hyperlink r:id="rId46" w:history="1">
        <w:r w:rsidRPr="00450805">
          <w:rPr>
            <w:rStyle w:val="Hyperlink"/>
            <w:rFonts w:ascii="Cambria" w:hAnsi="Cambria"/>
            <w:sz w:val="20"/>
            <w:szCs w:val="20"/>
            <w:u w:val="none"/>
          </w:rPr>
          <w:t>Res. 15-13</w:t>
        </w:r>
      </w:hyperlink>
      <w:r w:rsidRPr="00450805">
        <w:rPr>
          <w:rFonts w:ascii="Cambria" w:hAnsi="Cambria"/>
          <w:sz w:val="20"/>
          <w:szCs w:val="20"/>
        </w:rPr>
        <w:t xml:space="preserve"> tal y como está y que, sin duda, podría establecer nuevos criterios si hubiera consenso al respecto.</w:t>
      </w:r>
    </w:p>
    <w:p w14:paraId="24281D21"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1F23DD3" w14:textId="77777777" w:rsidR="00BC4C08" w:rsidRPr="00450805" w:rsidRDefault="00BC4C08" w:rsidP="00BC4C08">
      <w:pPr>
        <w:tabs>
          <w:tab w:val="left" w:pos="426"/>
        </w:tabs>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Contribución a la ejecución</w:t>
      </w:r>
    </w:p>
    <w:p w14:paraId="353AA26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2574AEE5"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expresó su opinión de que sería difícil alcanzar un consenso sobre la inclusión de la contribución a la ejecución como criterio de asignación. Creía que solo se podía avanzar partiendo de propuestas concretas que cuantificaran dichas contribuciones.</w:t>
      </w:r>
    </w:p>
    <w:p w14:paraId="0866557F"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8EA957E"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Túnez destacó la importancia de tener en cuenta las contribuciones a la ejecución en las asignaciones, señalando el coste y la complejidad logística de las operaciones conjuntas de ejecución, así como sus beneficios para la ordenación del stock de atún rojo.</w:t>
      </w:r>
    </w:p>
    <w:p w14:paraId="3A75F0FE"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9AB2187"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Argelia destacó la importancia de las contribuciones de las CPC a la ejecución, señalando el considerable coste financiero que supone el despliegue de buques de inspección durante la temporada de pesca. Argelia animó a otras CPC a que también contribuyeran en mayor medida a la ejecución.</w:t>
      </w:r>
    </w:p>
    <w:p w14:paraId="15322F68"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15169D2"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Egipto señaló que las obligaciones establecidas en la </w:t>
      </w:r>
      <w:hyperlink r:id="rId47" w:history="1">
        <w:r w:rsidRPr="00450805">
          <w:rPr>
            <w:rStyle w:val="Hyperlink"/>
            <w:rFonts w:ascii="Cambria" w:hAnsi="Cambria"/>
            <w:sz w:val="20"/>
            <w:szCs w:val="20"/>
            <w:u w:val="none"/>
          </w:rPr>
          <w:t>Rec. 25-04</w:t>
        </w:r>
      </w:hyperlink>
      <w:r w:rsidRPr="00450805">
        <w:rPr>
          <w:rFonts w:ascii="Cambria" w:hAnsi="Cambria"/>
          <w:sz w:val="20"/>
          <w:szCs w:val="20"/>
        </w:rPr>
        <w:t xml:space="preserve"> en materia de ejecución se aplican únicamente a los capturadores de un determinado tamaño. Si la contribución a la ejecución se recompensara en la asignación, se crearía un círculo vicioso que recompensaría a los titulares de cuotas por cumplir con su responsabilidad legal, mientras que perjudicaría estructuralmente a los titulares de cuotas pequeñas.</w:t>
      </w:r>
    </w:p>
    <w:p w14:paraId="6B556A3D"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6D994E7"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Noruega se hizo eco de la opinión de Egipto y se mostró de acuerdo con la conclusión del documento del presidente.</w:t>
      </w:r>
    </w:p>
    <w:p w14:paraId="24324DBE"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8DD341C"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La UE reconoció que recompensar a determinadas CPC por cumplir obligaciones que solo se les aplican podría generar un desequilibrio estructural, y comprendió por qué esto podría resultar poco atractivo para </w:t>
      </w:r>
      <w:r w:rsidRPr="00450805">
        <w:rPr>
          <w:rFonts w:ascii="Cambria" w:hAnsi="Cambria"/>
          <w:sz w:val="20"/>
          <w:szCs w:val="20"/>
        </w:rPr>
        <w:lastRenderedPageBreak/>
        <w:t xml:space="preserve">otras CPC. Sin embargo, la UE señaló que también hay ejemplos de CPC que van más allá de lo que se les exige legalmente, lo cual podría cuantificarse y tenerse en cuenta en las asignaciones. </w:t>
      </w:r>
    </w:p>
    <w:p w14:paraId="1924F7F5"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A49270E"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Reino Unido expresó su amplio acuerdo con las conclusiones sobre la contribución a la ejecución que figuran en el documento del presidente. El Reino Unido reconoció la necesidad de desarrollar indicadores cuantitativos, aunque admitió la dificultad que ello entraña, y se mostró dispuesto a estudiar cualquier propuesta que pudieran presentar otras CPC. El Reino Unido reconoció que existe el riesgo de agravar las desigualdades al recompensar a las CPC que, tanto en el pasado como en la actualidad, han realizado contribuciones especiales a la ejecución. El Reino Unido aclaró que alcanzar la igualdad total no debería ser necesariamente el objetivo principal, pero que, sin duda, habría que evitar que la desigualdad aumentara. </w:t>
      </w:r>
    </w:p>
    <w:p w14:paraId="236C0EA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Marruecos señaló que cuenta con varios buques que no pueden participar en las inspecciones y sugirió que también se tuviera en cuenta el hecho de que la mayor parte de su cuota se asigna a las almadrabas.</w:t>
      </w:r>
    </w:p>
    <w:p w14:paraId="037A7928"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0C86A34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Egipto señaló que algunas CPC han animado a otras CPC a participar en operaciones conjuntas de ejecución, a pesar de que la </w:t>
      </w:r>
      <w:hyperlink r:id="rId48" w:history="1">
        <w:r w:rsidRPr="00450805">
          <w:rPr>
            <w:rStyle w:val="Hyperlink"/>
            <w:rFonts w:ascii="Cambria" w:hAnsi="Cambria"/>
            <w:sz w:val="20"/>
            <w:szCs w:val="20"/>
            <w:u w:val="none"/>
          </w:rPr>
          <w:t>Rec. 25-04</w:t>
        </w:r>
      </w:hyperlink>
      <w:r w:rsidRPr="00450805">
        <w:rPr>
          <w:rFonts w:ascii="Cambria" w:hAnsi="Cambria"/>
          <w:sz w:val="20"/>
          <w:szCs w:val="20"/>
        </w:rPr>
        <w:t xml:space="preserve"> no les obliga a ello. Egipto cuestionó los fundamentos de dicha propuesta y la viabilidad de llevarla a cabo.</w:t>
      </w:r>
    </w:p>
    <w:p w14:paraId="24320FDE"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21A5BA15" w14:textId="3A127684" w:rsidR="00FE01E7" w:rsidRPr="00450805" w:rsidRDefault="00BC4C08" w:rsidP="00FE01E7">
      <w:pPr>
        <w:tabs>
          <w:tab w:val="left" w:pos="426"/>
        </w:tabs>
        <w:spacing w:after="0" w:line="240" w:lineRule="auto"/>
        <w:jc w:val="both"/>
        <w:rPr>
          <w:rFonts w:ascii="Cambria" w:hAnsi="Cambria"/>
          <w:sz w:val="20"/>
          <w:szCs w:val="20"/>
        </w:rPr>
      </w:pPr>
      <w:r w:rsidRPr="00450805">
        <w:rPr>
          <w:rFonts w:ascii="Cambria" w:hAnsi="Cambria"/>
          <w:sz w:val="20"/>
          <w:szCs w:val="20"/>
        </w:rPr>
        <w:t>El presidente señaló que las CPC con cuotas pequeñas tienen menos incentivos para participar en operaciones conjuntas de ejecución, dado que la gran carga que ello supone es muy desproporcionada en relación con el beneficio que obtienen de su pequeña asignación.</w:t>
      </w:r>
    </w:p>
    <w:p w14:paraId="0E4F658A" w14:textId="77777777" w:rsidR="003255D8" w:rsidRPr="00450805" w:rsidRDefault="003255D8" w:rsidP="00FE01E7">
      <w:pPr>
        <w:tabs>
          <w:tab w:val="left" w:pos="426"/>
        </w:tabs>
        <w:spacing w:after="0" w:line="240" w:lineRule="auto"/>
        <w:jc w:val="both"/>
        <w:rPr>
          <w:rFonts w:ascii="Cambria" w:eastAsia="Yu Gothic" w:hAnsi="Cambria" w:cs="Times New Roman"/>
          <w:kern w:val="2"/>
          <w:sz w:val="20"/>
          <w:szCs w:val="20"/>
          <w14:ligatures w14:val="standardContextual"/>
        </w:rPr>
      </w:pPr>
    </w:p>
    <w:p w14:paraId="4D4A64E1" w14:textId="55C5D5BE" w:rsidR="00BC4C08" w:rsidRPr="00450805" w:rsidRDefault="00BC4C08" w:rsidP="00DE088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i/>
          <w:sz w:val="20"/>
          <w:szCs w:val="20"/>
        </w:rPr>
        <w:t>Contribución a la ciencia (aparte de los índices MP)</w:t>
      </w:r>
    </w:p>
    <w:p w14:paraId="3A0CF889"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1EA76FB8"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Al igual que en el caso de la contribución a la ejecución, el presidente expresó su opinión de que sería difícil alcanzar un consenso sobre la inclusión de la contribución a la ciencia como criterio de asignación. De nuevo, creía que solo se podía avanzar partiendo de propuestas concretas que cuantificaran dichas contribuciones.</w:t>
      </w:r>
    </w:p>
    <w:p w14:paraId="1875B86B"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77309ACA"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Marruecos destacó la importancia de las contribuciones a la ciencia, especialmente en el caso de las realizadas por las CPC en desarrollo y de las contribuciones a la evaluación del stock cuando este se encontraba en mal estado. </w:t>
      </w:r>
    </w:p>
    <w:p w14:paraId="1EAF20E2"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F8D4E5A"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Egipto compartió la opinión expresada en el documento del presidente de que cuantificar la contribución a la ciencia mediante indicadores como el número de participantes en el SCRS o los documentos presentados crearía una disparidad entre las CPC desarrolladas y las CPC en desarrollo. Esto supondría un sesgo inherente en contra de las CPC en desarrollo, que, aunque carezcan de capacidad, aportan datos valiosos. </w:t>
      </w:r>
    </w:p>
    <w:p w14:paraId="2B039AC7"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4559417"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La UE señaló que ha realizado importantes inversiones en los trabajos científicos de ICCAT relacionados con el atún rojo. En concreto, la UE señaló que ha financiado el 80 % del programa de investigación en el que se basa la ordenación del stock, en beneficio de todos. La UE consideró que sería injusto no reconocer dichas contribuciones.</w:t>
      </w:r>
    </w:p>
    <w:p w14:paraId="221F215B"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1F4F6239"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Noruega mostró su acuerdo con las conclusiones sobre la contribución a la ciencia que figuran en el documento del presidente. Al mismo tiempo, Noruega señaló que está realizando contribuciones científicas en diversos ámbitos, no solo al MP, sino también al GBYP, al que contribuye seis veces más de lo que le correspondería según su cuota.</w:t>
      </w:r>
    </w:p>
    <w:p w14:paraId="4377E718"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69E95B02" w14:textId="77777777" w:rsidR="00BC4C08" w:rsidRPr="00450805" w:rsidRDefault="00BC4C08" w:rsidP="00BC4C08">
      <w:pPr>
        <w:tabs>
          <w:tab w:val="left" w:pos="426"/>
        </w:tabs>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Sacrificio realizado en el pasado</w:t>
      </w:r>
    </w:p>
    <w:p w14:paraId="38554D05"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B7884DF"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destacó lo complejo que resulta definir y cuantificar el sacrificio realizado en el pasado. Señaló que todas las CPC consideran que han hecho importantes sacrificios en el pasado y que probablemente todos podrían esgrimir diferentes argumentos para respaldar sus posturas basándose en determinadas cifras, determinados periodos de tiempo, etc. Instó a todas las CPC que tuvieran ideas sobre cómo cuantificar los sacrificios realizados en el pasado a que elaboraran propuestas al respecto.</w:t>
      </w:r>
    </w:p>
    <w:p w14:paraId="198E2080"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7C819EE5"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Noruega señaló que, entre 2007 y 2014, disponía de una cuota, pero se abstuvo de pescar debido al estado del stock. Como consecuencia, Noruega perdió un tiempo y una experiencia muy valiosos para el desarrollo de su pesquería de atún rojo. Noruega preguntó si el presidente había tenido en cuenta esos sacrificios al analizar los sacrificios de los titulares de cuotas pequeñas.</w:t>
      </w:r>
    </w:p>
    <w:p w14:paraId="13B9B393"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62AD5F5"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lastRenderedPageBreak/>
        <w:t>El presidente aclaró que no había incluido esos casos, ya que eran voluntarios y no obligatorios, pero consideraba que, no obstante, las demás CPC deberían valorar esos esfuerzos.</w:t>
      </w:r>
    </w:p>
    <w:p w14:paraId="445F03C0"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0C1FBE3C"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Argelia señaló que, entre 2007 y 2014, sufrió una reducción del 92 % en su cuota, la mayor de todas las CPC en ese periodo, y que ha tenido que soportar esta situación durante 14 años.</w:t>
      </w:r>
    </w:p>
    <w:p w14:paraId="38D1C356"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623F9547" w14:textId="77777777" w:rsidR="00BC4C08" w:rsidRPr="00450805" w:rsidRDefault="00BC4C08" w:rsidP="00BC4C08">
      <w:pPr>
        <w:tabs>
          <w:tab w:val="left" w:pos="426"/>
        </w:tabs>
        <w:spacing w:after="0" w:line="240" w:lineRule="auto"/>
        <w:jc w:val="both"/>
        <w:rPr>
          <w:rFonts w:ascii="Cambria" w:hAnsi="Cambria"/>
          <w:sz w:val="20"/>
          <w:szCs w:val="20"/>
        </w:rPr>
      </w:pPr>
      <w:r w:rsidRPr="00450805">
        <w:rPr>
          <w:rFonts w:ascii="Cambria" w:hAnsi="Cambria"/>
          <w:sz w:val="20"/>
          <w:szCs w:val="20"/>
        </w:rPr>
        <w:t xml:space="preserve">El presidente explicó que esta cifra figura en la tabla 1 del documento, pero que el objetivo de dicha tabla es comparar la reducción media entre los titulares de cuotas grandes y la de los titulares de cuotas pequeñas durante el período en el que se redujo el TAC. El presidente reconoció que Argelia había sufrido la mayor reducción de cuotas durante ese período y señaló que había incluido varias frases en el documento en relación con dicho sacrificio, entre ellas que "la Comisión toma nota de la posición de Argelia con respecto a su situación histórica y puede tenerla en cuenta al fijar el TAC para 2029, 2030 y 2031", tal y como se indica en </w:t>
      </w:r>
      <w:hyperlink r:id="rId49" w:history="1">
        <w:r w:rsidRPr="00450805">
          <w:rPr>
            <w:rStyle w:val="Hyperlink"/>
            <w:rFonts w:ascii="Cambria" w:hAnsi="Cambria"/>
            <w:sz w:val="20"/>
            <w:szCs w:val="20"/>
            <w:u w:val="none"/>
          </w:rPr>
          <w:t>Rec. 25-04</w:t>
        </w:r>
      </w:hyperlink>
      <w:r w:rsidRPr="00450805">
        <w:rPr>
          <w:rFonts w:ascii="Cambria" w:hAnsi="Cambria"/>
          <w:sz w:val="20"/>
          <w:szCs w:val="20"/>
        </w:rPr>
        <w:t>.</w:t>
      </w:r>
    </w:p>
    <w:p w14:paraId="3C4EB93B"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324F09D"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Panamá se pronunció sobre la tabla 7, en la que se cuantificaba el sacrificio pasado como la reducción de las capturas de cada CPC al convertirse en miembro de la Subcomisión 2 y se comparaba la cuota inicial de cada CPC con sus capturas de 1993 o 1994. Panamá señaló que su cuota inicial representaba solo el 4 % de sus capturas de 1994, mientras que otras CPC recibieron cuotas iniciales mucho más elevadas en porcentaje de sus capturas de 1993 o 1994, algunas de ellas superiores al 80 %. Panamá tampoco estaba de acuerdo con la nota al pie de la tabla, en la que se afirma: "La legitimidad de la cifra de capturas de Panamá (1994) no ha sido confirmada". Panamá señaló que había elaborado un documento en el que se reconstruían sus series históricas de capturas, incluyendo 1994 y los años siguientes, y que dicho documento había sido revisado por el SCRS, que había introducido algunos ajustes conservadores para evitar una sobreestimación.</w:t>
      </w:r>
    </w:p>
    <w:p w14:paraId="2B2F8B42"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9FE1CBF"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explicó que había incluido la nota al pie porque, en la reunión anual, varias CPC se mostraron de hecho en desacuerdo con la legitimidad de las cifras de capturas de Panamá correspondientes a 1994. Además, el presidente recordó a Panamá que le había solicitado que presentara en la reunión anual el documento en el que se detallaran sus capturas, con el fin de facilitar el debate, pero Panamá no lo hizo.</w:t>
      </w:r>
    </w:p>
    <w:p w14:paraId="04A1A6F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5DC66EC" w14:textId="4F0CC137" w:rsidR="00AC49D0" w:rsidRPr="00450805" w:rsidRDefault="00AC49D0" w:rsidP="00AC49D0">
      <w:pPr>
        <w:tabs>
          <w:tab w:val="left" w:pos="426"/>
        </w:tabs>
        <w:suppressAutoHyphens/>
        <w:spacing w:after="0" w:line="240" w:lineRule="auto"/>
        <w:jc w:val="both"/>
        <w:rPr>
          <w:rFonts w:ascii="Cambria" w:eastAsia="Yu Gothic" w:hAnsi="Cambria" w:cs="Times New Roman"/>
          <w:kern w:val="2"/>
          <w:sz w:val="20"/>
          <w:szCs w:val="20"/>
        </w:rPr>
      </w:pPr>
      <w:r w:rsidRPr="00450805">
        <w:rPr>
          <w:rFonts w:ascii="Cambria" w:hAnsi="Cambria" w:cs="font1300"/>
          <w:sz w:val="20"/>
          <w:szCs w:val="20"/>
        </w:rPr>
        <w:t>Panamá a los comentarios del presidente manifestó que únicamente una CPC mostró desacuerdo sobre la legitimidad de las cifras de captura de Panamá correspondiente a 1994 durante la reunión de la Comisión y que la intención es presentar el mencionado documento del SCRS en la reunión anual de 2026 y de celebrar un debate sobre la legitimidad de sus capturas de 1994.</w:t>
      </w:r>
    </w:p>
    <w:p w14:paraId="63652906" w14:textId="77777777" w:rsidR="00AC49D0" w:rsidRPr="00450805" w:rsidRDefault="00AC49D0" w:rsidP="00AC49D0">
      <w:pPr>
        <w:tabs>
          <w:tab w:val="left" w:pos="426"/>
        </w:tabs>
        <w:suppressAutoHyphens/>
        <w:spacing w:after="0" w:line="240" w:lineRule="auto"/>
        <w:jc w:val="both"/>
        <w:rPr>
          <w:rFonts w:ascii="Cambria" w:eastAsia="Yu Gothic" w:hAnsi="Cambria" w:cs="Times New Roman"/>
          <w:kern w:val="2"/>
          <w:sz w:val="20"/>
          <w:szCs w:val="20"/>
        </w:rPr>
      </w:pPr>
    </w:p>
    <w:p w14:paraId="6913FA65" w14:textId="6DECA3FF"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A petición </w:t>
      </w:r>
      <w:r w:rsidR="00C11D2F" w:rsidRPr="00450805">
        <w:rPr>
          <w:rFonts w:ascii="Cambria" w:hAnsi="Cambria"/>
          <w:sz w:val="20"/>
          <w:szCs w:val="20"/>
        </w:rPr>
        <w:t>de una CPC</w:t>
      </w:r>
      <w:r w:rsidRPr="00450805">
        <w:rPr>
          <w:rFonts w:ascii="Cambria" w:hAnsi="Cambria"/>
          <w:sz w:val="20"/>
          <w:szCs w:val="20"/>
        </w:rPr>
        <w:t xml:space="preserve">, la Secretaría puso a disposición dicho documento como documento de la reunión de la Subcomisión 2 ("Respuesta a la Recomendación de la Comisión en 1997 respecto a capturas NEI y capturas no comunicadas"), con el fin de que las CPC pudieran comprender </w:t>
      </w:r>
      <w:r w:rsidR="00FB415B" w:rsidRPr="00450805">
        <w:rPr>
          <w:rFonts w:ascii="Cambria" w:hAnsi="Cambria"/>
          <w:sz w:val="20"/>
          <w:szCs w:val="20"/>
        </w:rPr>
        <w:t xml:space="preserve">su contenido y </w:t>
      </w:r>
      <w:r w:rsidRPr="00450805">
        <w:rPr>
          <w:rFonts w:ascii="Cambria" w:hAnsi="Cambria"/>
          <w:sz w:val="20"/>
          <w:szCs w:val="20"/>
        </w:rPr>
        <w:t xml:space="preserve">los antecedentes </w:t>
      </w:r>
      <w:r w:rsidR="00FB415B" w:rsidRPr="00450805">
        <w:rPr>
          <w:rFonts w:ascii="Cambria" w:hAnsi="Cambria"/>
          <w:sz w:val="20"/>
          <w:szCs w:val="20"/>
        </w:rPr>
        <w:t>del desacuerdo</w:t>
      </w:r>
      <w:r w:rsidRPr="00450805">
        <w:rPr>
          <w:rFonts w:ascii="Cambria" w:hAnsi="Cambria"/>
          <w:sz w:val="20"/>
          <w:szCs w:val="20"/>
        </w:rPr>
        <w:t>.</w:t>
      </w:r>
    </w:p>
    <w:p w14:paraId="3E79E289"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64F4868C"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Túnez señaló que su cuota se redujo en más de un 61 % entre 2007 y 2011 y que se trata de una cifra especialmente considerable, dado que es un gran capturador. Además, Túnez señaló que su sector pesquero sigue sufriendo mucho como consecuencia de esta reducción y que dicho sector reviste una gran importancia socioeconómica para Túnez, en su calidad de CPC costera en desarrollo. </w:t>
      </w:r>
    </w:p>
    <w:p w14:paraId="13DA8E77"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2982A65"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Marruecos agradeció al presidente que en su documento hubiera reconocido los sacrificios que ha realizado como gran capturador, y señaló que su porcentaje de cuota se ha reducido del 11,9 % que tenía históricamente al 9,07 % actual. Marruecos señaló que, como consecuencia de ello, se ha visto obligado a reducir considerablemente su capacidad pesquera, reduciendo el número de almadrabas casi a la mitad, lo que ha tenido un impacto económico directo en los operadores pesqueros, así como repercusiones sociales, como la pérdida de puestos de trabajo. </w:t>
      </w:r>
    </w:p>
    <w:p w14:paraId="629F4340"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12E3D0EF"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Egipto reconoció las importantes reducciones porcentuales aplicadas por algunos titulares de cuotas grandes durante el período de recuperación del stock, pero señaló que tampoco deberían pasarse por alto los sacrificios realizados recientemente. Egipto señaló que, en las asignaciones más recientes, se vio penalizado no solo al verse privado de aumentar su porcentaje, sino también al aceptar una reducción de su porcentaje en aras del consenso.</w:t>
      </w:r>
    </w:p>
    <w:p w14:paraId="48D31CC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66037107"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lastRenderedPageBreak/>
        <w:t>La UE compartió la opinión del presidente de que cada CPC tendrá su propia visión de lo que constituye un "sacrificio" y podrá elaborar su propio discurso basándose en datos y periodos de tiempo distintos. Por lo tanto, la UE no consideró que fuera posible llegar a un acuerdo sobre este punto.</w:t>
      </w:r>
    </w:p>
    <w:p w14:paraId="2D1413FA"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764F3003"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Corea (Rep.) se mostró de acuerdo con la opinión del presidente de que el grado de sacrificio realizado por cada CPC varía en función de cómo se examine la cuestión, por ejemplo, del momento de referencia que se utilice. Por lo tanto, Corea (Rep.) consideraba que sería difícil considerar los sacrificios del pasado como un criterio objetivo. </w:t>
      </w:r>
    </w:p>
    <w:p w14:paraId="56F1ED42"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1A27D4B8"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Japón señaló que los debates de la Subcomisión 2 sobre los sacrificios realizados en el pasado se han planteado a menudo partiendo de la idea de que dichos sacrificios se compensarán cuando se aumente el TAC. Sin embargo, Japón señaló que, según las simulaciones del SCRS, el TAC podría reducirse en 2028.</w:t>
      </w:r>
    </w:p>
    <w:p w14:paraId="05186539"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13EFEF09"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El presidente recordó que la Subcomisión 2 ya había debatido anteriormente cómo responder a una reducción del TAC, pero no había logrado llegar a ningún acuerdo. Explicó que había dos puntos de vista: aplicar una reducción prorrateada o aplicar una reducción desproporcionada, en virtud de la cual los titulares de cuotas grandes soportarían una reducción mayor. El presidente sugirió que sería prudente que la Subcomisión 2 mantuviera también conversaciones preparatorias sobre la posibilidad de una reducción del TAC en 2028. </w:t>
      </w:r>
    </w:p>
    <w:p w14:paraId="76B1F000"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235137FF" w14:textId="0D1450DA" w:rsidR="00BC4C08" w:rsidRPr="00450805" w:rsidRDefault="00BC4C08" w:rsidP="00BC4C08">
      <w:pPr>
        <w:tabs>
          <w:tab w:val="left" w:pos="426"/>
        </w:tabs>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Utilización de la asignación (por debajo y por encima)</w:t>
      </w:r>
    </w:p>
    <w:p w14:paraId="7DDDFF2F"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893AE3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señaló que algunas CPC manifestaron que la falta de utilización no debería ser sancionada, mientras que otras CPC indicaron que, de cara a las próximas deliberaciones sobre el TAC y la asignación, examinarán la utilización real durante el periodo de tres años anterior.</w:t>
      </w:r>
    </w:p>
    <w:p w14:paraId="648ECBBE"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52B2378"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Egipto reiteró la opinión que ya había expresado en la reunión anual de 2025 de que la utilización no debería evaluarse sobre la base de un solo año, ni siquiera de dos o tres años, sino que debería evaluarse sobre una base de varios años o una media móvil. Egipto también pidió que se evitara el concepto de "usarla o perderla".</w:t>
      </w:r>
    </w:p>
    <w:p w14:paraId="72FC9E90"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605BF0B3"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La UE reiteró que la utilización efectiva debería ser un factor clave a tener en cuenta, especialmente en un escenario en el que se reduzca el TAC. La UE señaló que, cuando una CPC no utiliza su cuota o la transfiere, significa que dicha cuota no está contribuyendo a su sector pesquero ni al desarrollo de su pesquería de atún rojo. La UE señaló además que, en virtud de la </w:t>
      </w:r>
      <w:hyperlink r:id="rId50" w:history="1">
        <w:r w:rsidRPr="00450805">
          <w:rPr>
            <w:rStyle w:val="Hyperlink"/>
            <w:rFonts w:ascii="Cambria" w:hAnsi="Cambria"/>
            <w:sz w:val="20"/>
            <w:szCs w:val="20"/>
            <w:u w:val="none"/>
          </w:rPr>
          <w:t>Rec. 25-04</w:t>
        </w:r>
      </w:hyperlink>
      <w:r w:rsidRPr="00450805">
        <w:rPr>
          <w:rFonts w:ascii="Cambria" w:hAnsi="Cambria"/>
          <w:sz w:val="20"/>
          <w:szCs w:val="20"/>
        </w:rPr>
        <w:t>, el traspaso interanual permitido de cuota no utilizada se ha incrementado hasta el 20 %, lo que ofrece a las CPC más flexibilidad que en el pasado. La UE también reconoció que la evaluación de la infrautilización no tiene por qué ser estrictamente cuantitativa, ya que pueden existir circunstancias o motivos especiales que expliquen por qué una CPC no puede aprovechar mejor su cuota. No obstante, la UE subrayó que las cuotas se asignan para que se utilicen.</w:t>
      </w:r>
    </w:p>
    <w:p w14:paraId="422DDC91"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747382D6"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Argelia aceptó que, en principio, la cuota se asigna a las CPC para que la utilicen en sus propias actividades pesqueras, y no para que las transfieran a terceros. Argelia también señaló que resulta difícil distinguir entre la transferencia de una cuota y su venta.</w:t>
      </w:r>
    </w:p>
    <w:p w14:paraId="0E6F359F"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B68BB33" w14:textId="77777777" w:rsidR="00BC4C08" w:rsidRPr="00450805" w:rsidRDefault="00BC4C08" w:rsidP="00BC4C08">
      <w:pPr>
        <w:tabs>
          <w:tab w:val="left" w:pos="426"/>
        </w:tabs>
        <w:spacing w:after="0" w:line="240" w:lineRule="auto"/>
        <w:jc w:val="both"/>
        <w:rPr>
          <w:rFonts w:ascii="Cambria" w:eastAsia="Yu Gothic" w:hAnsi="Cambria" w:cs="Times New Roman"/>
          <w:sz w:val="20"/>
          <w:szCs w:val="20"/>
        </w:rPr>
      </w:pPr>
      <w:r w:rsidRPr="00450805">
        <w:rPr>
          <w:rFonts w:ascii="Cambria" w:hAnsi="Cambria"/>
          <w:sz w:val="20"/>
          <w:szCs w:val="20"/>
        </w:rPr>
        <w:t xml:space="preserve">El Reino Unido consideraba que era necesario optimizar las cuotas para garantizar el mejor aprovechamiento posible de las oportunidades de pesca disponibles. El Reino Unido sugirió que, cuando una CPC disponga de una cuota elevada —quizás superior a un umbral acordado—, pero no la utilice de forma sistemática año tras año, y exista una necesidad demostrable en otro lugar, podría merecer la pena considerar una redistribución prudente, basada en el diálogo con dicha CPC y en un examen imparcial de su caso concreto. El Reino Unido recordó a la Subcomisión 2 que había presentado una propuesta sobre cómo redistribuir la cuota no utilizada en la reunión intersesiones de la Subcomisión 2 de 2024. En lo que respecta a los pequeños capturadores, el Reino Unido pidió que se prestara especial atención a esta cuestión. El Reino Unido explicó que muchos pequeños capturadores están trabajando para desarrollar sus actividades pesqueras y que, para algunos, esto puede llevar tiempo. El Reino Unido sugirió que quizá no resulte viable en la práctica ni adecuado que esas CPC pasen a utilizar el 100 % de su cuota de inmediato, pero eso no significa que no tengan la intención de utilizar toda su cuota. El Reino Unido consideraba que penalizar una expansión tan cuidadosa y prudente sería injusto. </w:t>
      </w:r>
    </w:p>
    <w:p w14:paraId="5BE27455" w14:textId="77777777" w:rsidR="00BC4C08" w:rsidRPr="00450805" w:rsidRDefault="00BC4C08" w:rsidP="00BC4C08">
      <w:pPr>
        <w:tabs>
          <w:tab w:val="left" w:pos="426"/>
        </w:tabs>
        <w:spacing w:after="0" w:line="240" w:lineRule="auto"/>
        <w:jc w:val="both"/>
        <w:rPr>
          <w:rFonts w:ascii="Cambria" w:eastAsia="Yu Gothic" w:hAnsi="Cambria" w:cs="Times New Roman"/>
          <w:sz w:val="20"/>
          <w:szCs w:val="20"/>
        </w:rPr>
      </w:pPr>
    </w:p>
    <w:p w14:paraId="1995D4CC" w14:textId="77777777" w:rsidR="00BC4C08" w:rsidRPr="00450805" w:rsidRDefault="00BC4C08" w:rsidP="00BC4C08">
      <w:pPr>
        <w:tabs>
          <w:tab w:val="left" w:pos="426"/>
        </w:tabs>
        <w:spacing w:after="0" w:line="240" w:lineRule="auto"/>
        <w:jc w:val="both"/>
        <w:rPr>
          <w:rFonts w:ascii="Cambria" w:eastAsia="Yu Gothic" w:hAnsi="Cambria" w:cs="Times New Roman"/>
          <w:sz w:val="20"/>
          <w:szCs w:val="20"/>
        </w:rPr>
      </w:pPr>
      <w:r w:rsidRPr="00450805">
        <w:rPr>
          <w:rFonts w:ascii="Cambria" w:hAnsi="Cambria"/>
          <w:sz w:val="20"/>
          <w:szCs w:val="20"/>
        </w:rPr>
        <w:lastRenderedPageBreak/>
        <w:t>El presidente tomó nota de la observación del Reino Unido sobre los pequeños capturadores y señaló que es necesario distinguir entre dos tipos de pequeños capturadores: los que se esfuerzan por aprovechar sus cuotas, pero tienen dificultades para consumirlas en su totalidad debido a problemas técnicos y otras razones, y los que renuncian desde el principio a utilizar sus cuotas y las ceden íntegramente a otros.</w:t>
      </w:r>
    </w:p>
    <w:p w14:paraId="24114983" w14:textId="77777777" w:rsidR="00BC4C08" w:rsidRPr="00450805" w:rsidRDefault="00BC4C08" w:rsidP="00BC4C08">
      <w:pPr>
        <w:tabs>
          <w:tab w:val="left" w:pos="426"/>
        </w:tabs>
        <w:spacing w:after="0" w:line="240" w:lineRule="auto"/>
        <w:jc w:val="both"/>
        <w:rPr>
          <w:rFonts w:ascii="Cambria" w:eastAsia="Yu Gothic" w:hAnsi="Cambria" w:cs="Times New Roman"/>
          <w:sz w:val="20"/>
          <w:szCs w:val="20"/>
        </w:rPr>
      </w:pPr>
    </w:p>
    <w:p w14:paraId="2839DE1D" w14:textId="4D9A5FD4" w:rsidR="003255D8" w:rsidRPr="00450805" w:rsidRDefault="00BC4C08" w:rsidP="00CE221F">
      <w:pPr>
        <w:tabs>
          <w:tab w:val="left" w:pos="426"/>
        </w:tabs>
        <w:spacing w:after="0" w:line="240" w:lineRule="auto"/>
        <w:jc w:val="both"/>
        <w:rPr>
          <w:rFonts w:ascii="Cambria" w:hAnsi="Cambria"/>
          <w:sz w:val="20"/>
          <w:szCs w:val="20"/>
        </w:rPr>
      </w:pPr>
      <w:r w:rsidRPr="00450805">
        <w:rPr>
          <w:rFonts w:ascii="Cambria" w:hAnsi="Cambria"/>
          <w:sz w:val="20"/>
          <w:szCs w:val="20"/>
        </w:rPr>
        <w:t xml:space="preserve">Japón expresó su postura de que el TAC debería asignarse a las CPC que lo vayan a utilizar, al tiempo que reconoció el argumento del Reino Unido en relación con los pequeños capturadores. Japón también recordó a la Subcomisión 2 que el párrafo 27 de la </w:t>
      </w:r>
      <w:hyperlink r:id="rId51" w:history="1">
        <w:r w:rsidRPr="00450805">
          <w:rPr>
            <w:rStyle w:val="Hyperlink"/>
            <w:rFonts w:ascii="Cambria" w:hAnsi="Cambria"/>
            <w:sz w:val="20"/>
            <w:szCs w:val="20"/>
            <w:u w:val="none"/>
          </w:rPr>
          <w:t>Res. 15-13</w:t>
        </w:r>
      </w:hyperlink>
      <w:r w:rsidRPr="00450805">
        <w:rPr>
          <w:rFonts w:ascii="Cambria" w:hAnsi="Cambria"/>
          <w:sz w:val="20"/>
          <w:szCs w:val="20"/>
        </w:rPr>
        <w:t xml:space="preserve"> establece que "ninguna parte candidata a calificación debe vender o comerciar con su asignación de cuota o una parte de la misma", y destacó la importancia de esta disposición.</w:t>
      </w:r>
    </w:p>
    <w:p w14:paraId="6045CAB4" w14:textId="77777777" w:rsidR="00CE221F" w:rsidRPr="00450805" w:rsidRDefault="00CE221F" w:rsidP="00CE221F">
      <w:pPr>
        <w:tabs>
          <w:tab w:val="left" w:pos="426"/>
        </w:tabs>
        <w:spacing w:after="0" w:line="240" w:lineRule="auto"/>
        <w:jc w:val="both"/>
        <w:rPr>
          <w:rFonts w:ascii="Cambria" w:eastAsia="Yu Gothic" w:hAnsi="Cambria" w:cs="Times New Roman"/>
          <w:sz w:val="20"/>
          <w:szCs w:val="20"/>
        </w:rPr>
      </w:pPr>
    </w:p>
    <w:p w14:paraId="37568B54" w14:textId="46B1A5FE" w:rsidR="00BC4C08" w:rsidRPr="00450805" w:rsidRDefault="00BC4C08" w:rsidP="00BC4C08">
      <w:pPr>
        <w:tabs>
          <w:tab w:val="left" w:pos="426"/>
        </w:tabs>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Contribución socioeconómica</w:t>
      </w:r>
    </w:p>
    <w:p w14:paraId="0E2BE4CB"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44F4F9F7"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señaló que muchas CPC han destacado la importancia de la contribución socioeconómica, pero reiteró la necesidad de presentar propuestas concretas sobre cómo cuantificar este criterio.</w:t>
      </w:r>
    </w:p>
    <w:p w14:paraId="052657BE"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2B00D3CA"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Argelia sugirió que el número de cerqueros que se dirigen a stocks de pequeños pelágicos podría ser una forma de cuantificar este criterio, señalando que los operadores de estos buques están observando una disminución de dichos stocks, especialmente en las aguas costeras por las que transita el atún rojo, y que, en consecuencia, se están viendo afectados.</w:t>
      </w:r>
    </w:p>
    <w:p w14:paraId="59C9B5F6"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2A568672"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señaló que Argelia debía proponer un indicador más concreto, como una reducción de las capturas de estos buques o una reducción del número de buques que se dirigen a la pesca de pequeños pelágicos durante un determinado período de tiempo.</w:t>
      </w:r>
    </w:p>
    <w:p w14:paraId="5470825A"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7B45A6B6"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Marruecos sugirió que una forma de cuantificar los factores socioeconómicos sería tener en cuenta el tamaño de las flotas de las CPC en desarrollo.</w:t>
      </w:r>
    </w:p>
    <w:p w14:paraId="3A198329"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7FC99D39"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señaló que esto podría no ser del agrado de la Subcomisión 2, ya que beneficiaría principalmente a los grandes capturadores.</w:t>
      </w:r>
    </w:p>
    <w:p w14:paraId="74A19209"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756C46B2"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reiteró la necesidad de que las CPC presenten propuestas concretas por escrito sobre cómo cuantificar la contribución socioeconómica, si desean que esta sea un criterio de asignación. Insistió en que no sería posible avanzar basándose únicamente en explicaciones verbales.</w:t>
      </w:r>
    </w:p>
    <w:p w14:paraId="55E11C5D"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80A05CF"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La UE coincidió con el presidente en que corresponde a las CPC elaborar propuestas concretas que sean viables y aplicables para todos los miembros de la Subcomisión 2. Al mismo tiempo, la UE señaló que sería injusto excluir automáticamente determinados elementos o criterios por el mero hecho de que ello beneficiaría a una determinada categoría de CPC. En lo que respecta a la contribución socioeconómica, la UE señaló que, si bien es titular de una cuota grande, también posee el litoral más extenso de entre las CPC y, por lo tanto, alberga numerosas comunidades costeras que dependen de ella.</w:t>
      </w:r>
    </w:p>
    <w:p w14:paraId="738DB0DC"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1DC6DFE2"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explicó que los miembros de la Subcomisión 2 pueden presentar propuestas si así lo desean, y que él no tiene autoridad para impedirles que lo hagan. Sin embargo, explicó que, en su calidad de presidente, su función consiste en tratar de alcanzar un consenso y que, por lo tanto, expondrá su valoración cuando considere que es poco probable que una propuesta logre dicho consenso.</w:t>
      </w:r>
    </w:p>
    <w:p w14:paraId="7187B398"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7E01CDE5" w14:textId="77777777" w:rsidR="00BC4C08" w:rsidRPr="00450805" w:rsidRDefault="00BC4C08" w:rsidP="00BC4C08">
      <w:pPr>
        <w:tabs>
          <w:tab w:val="left" w:pos="426"/>
        </w:tabs>
        <w:spacing w:after="0" w:line="240" w:lineRule="auto"/>
        <w:jc w:val="both"/>
        <w:rPr>
          <w:rFonts w:ascii="Cambria" w:eastAsia="Yu Gothic" w:hAnsi="Cambria" w:cs="Times New Roman"/>
          <w:i/>
          <w:iCs/>
          <w:kern w:val="2"/>
          <w:sz w:val="20"/>
          <w:szCs w:val="20"/>
          <w14:ligatures w14:val="standardContextual"/>
        </w:rPr>
      </w:pPr>
      <w:r w:rsidRPr="00450805">
        <w:rPr>
          <w:rFonts w:ascii="Cambria" w:hAnsi="Cambria"/>
          <w:i/>
          <w:sz w:val="20"/>
          <w:szCs w:val="20"/>
        </w:rPr>
        <w:t>Dificultad para comenzar a pescar con 50 o 55 t</w:t>
      </w:r>
    </w:p>
    <w:p w14:paraId="2644B7D0"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354C7683"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reiteró que algunas CPC han señalado que resulta difícil iniciar la pesca con una asignación de tan solo 50 o 55 t, mientras que otras CPC sí han comenzado a pescar con una cantidad similar.</w:t>
      </w:r>
    </w:p>
    <w:p w14:paraId="516B5229"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1D3BCF2E"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Islandia manifestó su intención de elaborar una propuesta para restablecer los acuerdos de fletamento.</w:t>
      </w:r>
    </w:p>
    <w:p w14:paraId="1A87DAD9"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68E3871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Japón esperaba con interés que se presentaran propuestas concretas sobre la reintroducción de los acuerdos de fletamento, pero recordó a las CPC que, al elaborar dichas propuestas, tuvieran en cuenta el párrafo 1 de la </w:t>
      </w:r>
      <w:hyperlink r:id="rId52" w:history="1">
        <w:r w:rsidRPr="00450805">
          <w:rPr>
            <w:rStyle w:val="Hyperlink"/>
            <w:rFonts w:ascii="Cambria" w:hAnsi="Cambria"/>
            <w:i/>
            <w:iCs/>
            <w:sz w:val="20"/>
            <w:szCs w:val="20"/>
            <w:u w:val="none"/>
          </w:rPr>
          <w:t>Recomendación de ICCAT sobre fletamento de barcos de pesca</w:t>
        </w:r>
        <w:r w:rsidRPr="00450805">
          <w:rPr>
            <w:rStyle w:val="Hyperlink"/>
            <w:rFonts w:ascii="Cambria" w:hAnsi="Cambria"/>
            <w:sz w:val="20"/>
            <w:szCs w:val="20"/>
            <w:u w:val="none"/>
          </w:rPr>
          <w:t xml:space="preserve"> (Rec. 13-14)</w:t>
        </w:r>
      </w:hyperlink>
      <w:r w:rsidRPr="00450805">
        <w:rPr>
          <w:rFonts w:ascii="Cambria" w:hAnsi="Cambria"/>
          <w:sz w:val="20"/>
          <w:szCs w:val="20"/>
        </w:rPr>
        <w:t>, que establece que "los acuerdos de fletamento puedan autorizarse, especialmente como un primer paso en el desarrollo de la pesquería de la nación fletadora".</w:t>
      </w:r>
    </w:p>
    <w:p w14:paraId="7BC1F8B5"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B6F2DEA" w14:textId="77777777" w:rsidR="00BC4C08" w:rsidRPr="00450805" w:rsidRDefault="00BC4C08" w:rsidP="00BC4C08">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szCs w:val="20"/>
        </w:rPr>
        <w:t>9.2 Presentación de las CPC sobre la asignación</w:t>
      </w:r>
    </w:p>
    <w:p w14:paraId="53415514"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0C69CFC3"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Las CPC no realizaron ninguna presentación.</w:t>
      </w:r>
    </w:p>
    <w:p w14:paraId="52542A1B"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1D4AF8E7" w14:textId="77777777" w:rsidR="00CE221F" w:rsidRPr="00450805" w:rsidRDefault="00CE221F"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0F0A80BB" w14:textId="4F0AB409" w:rsidR="00BC4C08" w:rsidRPr="00450805" w:rsidRDefault="00BC4C08" w:rsidP="00CE0EC8">
      <w:pPr>
        <w:numPr>
          <w:ilvl w:val="0"/>
          <w:numId w:val="31"/>
        </w:numPr>
        <w:spacing w:after="0" w:line="240" w:lineRule="auto"/>
        <w:ind w:left="426" w:hanging="426"/>
        <w:contextualSpacing/>
        <w:jc w:val="both"/>
        <w:rPr>
          <w:rFonts w:ascii="Cambria" w:eastAsia="Yu Gothic" w:hAnsi="Cambria" w:cs="Times New Roman"/>
          <w:b/>
          <w:bCs/>
          <w:kern w:val="2"/>
          <w:sz w:val="20"/>
          <w:szCs w:val="20"/>
          <w14:ligatures w14:val="standardContextual"/>
        </w:rPr>
      </w:pPr>
      <w:r w:rsidRPr="00450805">
        <w:rPr>
          <w:rFonts w:ascii="Cambria" w:hAnsi="Cambria"/>
          <w:b/>
          <w:sz w:val="20"/>
          <w:szCs w:val="20"/>
        </w:rPr>
        <w:t>Otros asuntos</w:t>
      </w:r>
    </w:p>
    <w:p w14:paraId="20F93D63"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14B4B2F8" w14:textId="77777777" w:rsidR="00BC4C08" w:rsidRPr="00450805" w:rsidRDefault="00BC4C08" w:rsidP="00BC4C08">
      <w:pPr>
        <w:tabs>
          <w:tab w:val="left" w:pos="426"/>
        </w:tabs>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szCs w:val="20"/>
        </w:rPr>
        <w:t>Examen de las solicitudes de la Comisión al SCRS</w:t>
      </w:r>
    </w:p>
    <w:p w14:paraId="734289D1"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5AADF9D4" w14:textId="35DC415F"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presentó el documento "Examen de las solicitudes de la Comisión al SCRS". Explicó que, en la reunión anual, la Comisión acordó intentar reducir el número de solicitudes que esta dirige al SCRS y que, por lo tanto, había revisado las solicitudes de la Subcomisión 2 al SCRS y había formulado sugerencias sobre cuáles debían mantenerse y cuáles podían eliminarse.</w:t>
      </w:r>
    </w:p>
    <w:p w14:paraId="5F56313A"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08AB578A" w14:textId="5DC4A9FC"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Los miembros de la Subcomisión 2 examinaron y aprobaron el documento del presidente, que se adjunta como </w:t>
      </w:r>
      <w:r w:rsidRPr="00450805">
        <w:rPr>
          <w:rFonts w:ascii="Cambria" w:hAnsi="Cambria"/>
          <w:b/>
          <w:bCs/>
          <w:sz w:val="20"/>
          <w:szCs w:val="20"/>
        </w:rPr>
        <w:t>apéndice 7</w:t>
      </w:r>
      <w:r w:rsidRPr="00450805">
        <w:rPr>
          <w:rFonts w:ascii="Cambria" w:hAnsi="Cambria"/>
          <w:sz w:val="20"/>
          <w:szCs w:val="20"/>
        </w:rPr>
        <w:t>.</w:t>
      </w:r>
    </w:p>
    <w:p w14:paraId="3049F7F7"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20BA865D" w14:textId="28D82255" w:rsidR="00BC4C08" w:rsidRPr="00450805" w:rsidRDefault="00BC4C08" w:rsidP="00BC4C08">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szCs w:val="20"/>
        </w:rPr>
        <w:t>Posible proyecto piloto relativo al uso del sistema de seguimiento electrónico (EMS) en la pesquería de cerco en Noruega</w:t>
      </w:r>
    </w:p>
    <w:p w14:paraId="2EC16A23" w14:textId="77777777" w:rsidR="00BC4C08" w:rsidRPr="00450805" w:rsidRDefault="00BC4C08" w:rsidP="00BC4C08">
      <w:pPr>
        <w:spacing w:after="0" w:line="240" w:lineRule="auto"/>
        <w:jc w:val="both"/>
        <w:rPr>
          <w:rFonts w:ascii="Cambria" w:eastAsia="Yu Gothic" w:hAnsi="Cambria" w:cs="Times New Roman"/>
          <w:b/>
          <w:bCs/>
          <w:i/>
          <w:iCs/>
          <w:kern w:val="2"/>
          <w:sz w:val="20"/>
          <w:szCs w:val="20"/>
          <w14:ligatures w14:val="standardContextual"/>
        </w:rPr>
      </w:pPr>
    </w:p>
    <w:p w14:paraId="4D119E13" w14:textId="5CBA0588"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Noruega presentó un "Documento de debate sobre un proyecto piloto relativo al uso del sistema de seguimiento electrónico (EMS) en la pesquería de cerco en Noruega". Noruega explicó que el requisito de una cobertura de observadores del 100 % del ROP en todos los cerqueros autorizados para pescar atún rojo con arreglo al párrafo 101 de la </w:t>
      </w:r>
      <w:hyperlink r:id="rId53" w:history="1">
        <w:r w:rsidRPr="00450805">
          <w:rPr>
            <w:rStyle w:val="Hyperlink"/>
            <w:rFonts w:ascii="Cambria" w:hAnsi="Cambria"/>
            <w:sz w:val="20"/>
            <w:szCs w:val="20"/>
            <w:u w:val="none"/>
          </w:rPr>
          <w:t>Rec. 25-04</w:t>
        </w:r>
      </w:hyperlink>
      <w:r w:rsidRPr="00450805">
        <w:rPr>
          <w:rFonts w:ascii="Cambria" w:hAnsi="Cambria"/>
          <w:sz w:val="20"/>
          <w:szCs w:val="20"/>
        </w:rPr>
        <w:t xml:space="preserve"> se diseñó para la pesquería del Mediterráneo, que es predecible, está muy concentrada y cuenta con el apoyo de buques especializados y operaciones de cría. Sin embargo, la pesquería de cerco en Noruega funciona de manera muy diferente: tiene una temporada tardía, ventanas meteorológicas cortas, peces dispersos y disponibilidad impredecible, buques pelágicos no especializados que combinan múltiples pesquerías, desembarque directo, ausencia de cría, bajo esfuerzo global y baja utilización de cuotas. Por lo tanto, el requisito de contar con un observador físico en cada marea tiene repercusiones operativas y financieras desproporcionadas en la pesquería noruega, especialmente cuando las mareas no dan lugar a capturas.</w:t>
      </w:r>
    </w:p>
    <w:p w14:paraId="37EA252E"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p>
    <w:p w14:paraId="2CA12D3B"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En vista de ello, Noruega deseaba debatir la posibilidad de llevar a cabo un proyecto piloto para el uso del EMS en la pesquería de cerco en la zona económica exclusiva noruega. Noruega señaló que un EMS podría proporcionar una documentación continua y verificable de la actividad pesquera, garantizar la trazabilidad total de la manipulación de la captura, reducir la necesidad de contar con un observador a bordo en las mareas imprevistas organizadas con poca antelación y ofrecer una alternativa rentable y fiable para una pesquería de bajo esfuerzo y bajo impacto.</w:t>
      </w:r>
    </w:p>
    <w:p w14:paraId="3E50E9E7"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p>
    <w:p w14:paraId="412A28F8"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Noruega sugirió que la fase inicial de dicho proyecto piloto podría integrarse en su proyecto piloto para el almacenamiento de corta duración de atún rojo vivo, en el que ya hay un observador regional a bordo. La segunda fase consistiría en aprovechar la experiencia adquirida en la primera fase y, en su caso, presentar una propuesta de medidas alternativas para los observadores que se incluirían en la </w:t>
      </w:r>
      <w:hyperlink r:id="rId54" w:history="1">
        <w:r w:rsidRPr="00450805">
          <w:rPr>
            <w:rStyle w:val="Hyperlink"/>
            <w:rFonts w:ascii="Cambria" w:hAnsi="Cambria"/>
            <w:sz w:val="20"/>
            <w:szCs w:val="20"/>
            <w:u w:val="none"/>
          </w:rPr>
          <w:t>Rec. 25-04</w:t>
        </w:r>
      </w:hyperlink>
      <w:r w:rsidRPr="00450805">
        <w:rPr>
          <w:rFonts w:ascii="Cambria" w:hAnsi="Cambria"/>
          <w:sz w:val="20"/>
          <w:szCs w:val="20"/>
        </w:rPr>
        <w:t>. Noruega manifestó su intención de presentar una propuesta para dicho proyecto piloto al Grupo de trabajo sobre sistemas de seguimiento electrónico (EMS WG) con el fin de recabar opiniones al respecto. En función de los debates que se mantengan en el EMS WG, Noruega podría presentar también una propuesta actualizada a la Subcomisión 2 en la reunión anual de 2026.</w:t>
      </w:r>
    </w:p>
    <w:p w14:paraId="09729B12"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p>
    <w:p w14:paraId="0CB3C760"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Japón señaló que uno de los problemas que ha planteado la introducción del EMS, aunque sea en el Mediterráneo, ha sido la necesidad de que el observador regional firme el eBCD, y sugirió que Noruega tuviera en cuenta este aspecto.</w:t>
      </w:r>
    </w:p>
    <w:p w14:paraId="67F46C70"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p>
    <w:p w14:paraId="26F0F83B"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Argelia sugirió que, dado que las operaciones con redes de cerco en aguas noruegas son muy diferentes a las del Mediterráneo —donde, a menudo, los peces se transfieren a jaulas en lugar de desembarcarse—, la solución podría consistir en incluir una excepción en la </w:t>
      </w:r>
      <w:hyperlink r:id="rId55" w:history="1">
        <w:r w:rsidRPr="00450805">
          <w:rPr>
            <w:rStyle w:val="Hyperlink"/>
            <w:rFonts w:ascii="Cambria" w:hAnsi="Cambria"/>
            <w:sz w:val="20"/>
            <w:szCs w:val="20"/>
            <w:u w:val="none"/>
          </w:rPr>
          <w:t>Rec. 25-04</w:t>
        </w:r>
      </w:hyperlink>
      <w:r w:rsidRPr="00450805">
        <w:rPr>
          <w:rFonts w:ascii="Cambria" w:hAnsi="Cambria"/>
          <w:sz w:val="20"/>
          <w:szCs w:val="20"/>
        </w:rPr>
        <w:t xml:space="preserve"> para los cerqueros que desembarcan sus capturas, o bien poner en marcha el proyecto piloto propuesto y, posteriormente, generalizar el uso del sistema EMS en lugar de observadores regionales en otras situaciones similares en las que los cerqueros realicen actividades de desembarque. </w:t>
      </w:r>
    </w:p>
    <w:p w14:paraId="056FA65C"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p>
    <w:p w14:paraId="274DD05F"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Noruega agradeció a los miembros de la Subcomisión 2 sus comentarios y señaló que este debate pone de manifiesto las diferentes situaciones y dificultades a las que se enfrentan las distintas CPC a la hora de desarrollar sus pesquerías. En el caso de Noruega, el país ha cumplido con las medidas vigentes y, gracias a esa experiencia, ha constatado que muchas de ellas no son adecuadas para la pesca noruega y resultan muy ineficaces y costosas.</w:t>
      </w:r>
    </w:p>
    <w:p w14:paraId="6F3F81C8"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p>
    <w:p w14:paraId="7262DB7A" w14:textId="77777777" w:rsidR="00BC4C08" w:rsidRPr="00450805" w:rsidRDefault="00BC4C08" w:rsidP="00BC4C08">
      <w:pPr>
        <w:spacing w:after="0" w:line="240" w:lineRule="auto"/>
        <w:jc w:val="both"/>
        <w:rPr>
          <w:rFonts w:ascii="Cambria" w:eastAsia="Yu Gothic" w:hAnsi="Cambria" w:cs="Times New Roman"/>
          <w:b/>
          <w:bCs/>
          <w:i/>
          <w:iCs/>
          <w:kern w:val="2"/>
          <w:sz w:val="20"/>
          <w:szCs w:val="20"/>
          <w14:ligatures w14:val="standardContextual"/>
        </w:rPr>
      </w:pPr>
      <w:r w:rsidRPr="00450805">
        <w:rPr>
          <w:rFonts w:ascii="Cambria" w:hAnsi="Cambria"/>
          <w:b/>
          <w:i/>
          <w:sz w:val="20"/>
          <w:szCs w:val="20"/>
        </w:rPr>
        <w:t>Otros</w:t>
      </w:r>
    </w:p>
    <w:p w14:paraId="558AC10B"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p>
    <w:p w14:paraId="471CA839" w14:textId="67731C34"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La Secretaría explicó que se había presentado a la reunión, para información de la Subcomisión 2, un documento titulado "Lista de códigos de PNC actualizados y referencias del consorcio que implementa el programa regional de observadores de ICCAT para el atún rojo (ROP-BFT)".</w:t>
      </w:r>
    </w:p>
    <w:p w14:paraId="316E7BC2"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p>
    <w:p w14:paraId="768E8E46"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p>
    <w:p w14:paraId="55F51A99" w14:textId="125C371E" w:rsidR="00BC4C08" w:rsidRPr="00450805" w:rsidRDefault="00BC4C08" w:rsidP="00CE0EC8">
      <w:pPr>
        <w:numPr>
          <w:ilvl w:val="0"/>
          <w:numId w:val="31"/>
        </w:numPr>
        <w:spacing w:after="0" w:line="240" w:lineRule="auto"/>
        <w:ind w:left="426" w:hanging="426"/>
        <w:contextualSpacing/>
        <w:jc w:val="both"/>
        <w:rPr>
          <w:rFonts w:ascii="Cambria" w:eastAsia="Yu Gothic" w:hAnsi="Cambria" w:cs="Times New Roman"/>
          <w:b/>
          <w:bCs/>
          <w:kern w:val="2"/>
          <w:sz w:val="20"/>
          <w:szCs w:val="20"/>
          <w14:ligatures w14:val="standardContextual"/>
        </w:rPr>
      </w:pPr>
      <w:r w:rsidRPr="00450805">
        <w:rPr>
          <w:rFonts w:ascii="Cambria" w:hAnsi="Cambria"/>
          <w:b/>
          <w:sz w:val="20"/>
          <w:szCs w:val="20"/>
        </w:rPr>
        <w:t>Adopción del informe y clausura</w:t>
      </w:r>
    </w:p>
    <w:p w14:paraId="370A537F" w14:textId="77777777" w:rsidR="00BC4C08" w:rsidRPr="00450805" w:rsidRDefault="00BC4C08" w:rsidP="00BC4C08">
      <w:pPr>
        <w:tabs>
          <w:tab w:val="left" w:pos="426"/>
        </w:tabs>
        <w:spacing w:after="0" w:line="240" w:lineRule="auto"/>
        <w:jc w:val="both"/>
        <w:rPr>
          <w:rFonts w:ascii="Cambria" w:eastAsia="Yu Gothic" w:hAnsi="Cambria" w:cs="Times New Roman"/>
          <w:kern w:val="2"/>
          <w:sz w:val="20"/>
          <w:szCs w:val="20"/>
          <w14:ligatures w14:val="standardContextual"/>
        </w:rPr>
      </w:pPr>
    </w:p>
    <w:p w14:paraId="223208E7"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confirmó que el proyecto de informe se distribuiría después de la reunión y se adoptaría por correspondencia.</w:t>
      </w:r>
    </w:p>
    <w:p w14:paraId="748C509E"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p>
    <w:p w14:paraId="45FDC146"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bookmarkStart w:id="7" w:name="_Hlk223604474"/>
      <w:r w:rsidRPr="00450805">
        <w:rPr>
          <w:rFonts w:ascii="Cambria" w:hAnsi="Cambria"/>
          <w:sz w:val="20"/>
          <w:szCs w:val="20"/>
        </w:rPr>
        <w:t xml:space="preserve">El presidente dio las gracias a los miembros de la Subcomisión 2 y a los observadores por su cooperación y su </w:t>
      </w:r>
      <w:proofErr w:type="gramStart"/>
      <w:r w:rsidRPr="00450805">
        <w:rPr>
          <w:rFonts w:ascii="Cambria" w:hAnsi="Cambria"/>
          <w:sz w:val="20"/>
          <w:szCs w:val="20"/>
        </w:rPr>
        <w:t>participación activa</w:t>
      </w:r>
      <w:proofErr w:type="gramEnd"/>
      <w:r w:rsidRPr="00450805">
        <w:rPr>
          <w:rFonts w:ascii="Cambria" w:hAnsi="Cambria"/>
          <w:sz w:val="20"/>
          <w:szCs w:val="20"/>
        </w:rPr>
        <w:t>, a la Secretaría de ICCAT por organizar la reunión y a la UE por copatrocinarla, y a las intérpretes y técnicos por facilitar los debates.</w:t>
      </w:r>
    </w:p>
    <w:p w14:paraId="32EC6848"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p>
    <w:p w14:paraId="3269616E"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 xml:space="preserve">De cara a la reunión anual, el presidente señaló que hay una serie de cuestiones pendientes que requieren un debate más profundo, entre ellas varios puntos que podrían exigir modificaciones a la </w:t>
      </w:r>
      <w:hyperlink r:id="rId56" w:history="1">
        <w:r w:rsidRPr="00450805">
          <w:rPr>
            <w:rStyle w:val="Hyperlink"/>
            <w:rFonts w:ascii="Cambria" w:hAnsi="Cambria"/>
            <w:sz w:val="20"/>
            <w:szCs w:val="20"/>
            <w:u w:val="none"/>
          </w:rPr>
          <w:t>Rec. 25-04</w:t>
        </w:r>
      </w:hyperlink>
      <w:r w:rsidRPr="00450805">
        <w:rPr>
          <w:rFonts w:ascii="Cambria" w:hAnsi="Cambria"/>
          <w:sz w:val="20"/>
          <w:szCs w:val="20"/>
        </w:rPr>
        <w:t xml:space="preserve">. El presidente animó a los miembros de la Subcomisión 2 a que elaboraran propuestas concretas y las presentaran dentro del plazo establecido. También señaló que, si se presentan varias propuestas para modificar la </w:t>
      </w:r>
      <w:hyperlink r:id="rId57" w:history="1">
        <w:r w:rsidRPr="00450805">
          <w:rPr>
            <w:rStyle w:val="Hyperlink"/>
            <w:rFonts w:ascii="Cambria" w:hAnsi="Cambria"/>
            <w:sz w:val="20"/>
            <w:szCs w:val="20"/>
            <w:u w:val="none"/>
          </w:rPr>
          <w:t>Rec. 25-04</w:t>
        </w:r>
      </w:hyperlink>
      <w:r w:rsidRPr="00450805">
        <w:rPr>
          <w:rFonts w:ascii="Cambria" w:hAnsi="Cambria"/>
          <w:sz w:val="20"/>
          <w:szCs w:val="20"/>
        </w:rPr>
        <w:t>, podría integrarlas en un documento único.</w:t>
      </w:r>
    </w:p>
    <w:bookmarkEnd w:id="7"/>
    <w:p w14:paraId="0FCB998C"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p>
    <w:p w14:paraId="10CE4882"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r w:rsidRPr="00450805">
        <w:rPr>
          <w:rFonts w:ascii="Cambria" w:hAnsi="Cambria"/>
          <w:sz w:val="20"/>
          <w:szCs w:val="20"/>
        </w:rPr>
        <w:t>El presidente clausuró la reunión.</w:t>
      </w:r>
    </w:p>
    <w:p w14:paraId="54C062FD"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p>
    <w:p w14:paraId="73A273DA" w14:textId="77777777" w:rsidR="00BC4C08" w:rsidRPr="00450805" w:rsidRDefault="00BC4C08" w:rsidP="00BC4C08">
      <w:pPr>
        <w:spacing w:after="0" w:line="240" w:lineRule="auto"/>
        <w:jc w:val="both"/>
        <w:rPr>
          <w:rFonts w:ascii="Cambria" w:eastAsia="Yu Gothic" w:hAnsi="Cambria" w:cs="Times New Roman"/>
          <w:kern w:val="2"/>
          <w:sz w:val="20"/>
          <w:szCs w:val="20"/>
          <w14:ligatures w14:val="standardContextual"/>
        </w:rPr>
      </w:pPr>
    </w:p>
    <w:p w14:paraId="1C4BBE31" w14:textId="1B5B73B7" w:rsidR="00EE07E2" w:rsidRPr="00450805" w:rsidRDefault="00EE07E2" w:rsidP="00EE07E2">
      <w:pPr>
        <w:spacing w:line="259" w:lineRule="auto"/>
        <w:rPr>
          <w:rFonts w:ascii="Cambria" w:eastAsia="Yu Gothic" w:hAnsi="Cambria" w:cs="Times New Roman"/>
          <w:b/>
          <w:bCs/>
          <w:kern w:val="2"/>
          <w:sz w:val="20"/>
          <w:szCs w:val="20"/>
          <w:lang w:val="en-US"/>
          <w14:ligatures w14:val="standardContextual"/>
        </w:rPr>
      </w:pPr>
      <w:proofErr w:type="spellStart"/>
      <w:r w:rsidRPr="00450805">
        <w:rPr>
          <w:rFonts w:ascii="Cambria" w:eastAsia="Yu Gothic" w:hAnsi="Cambria" w:cs="Times New Roman"/>
          <w:b/>
          <w:bCs/>
          <w:kern w:val="2"/>
          <w:sz w:val="20"/>
          <w:szCs w:val="20"/>
          <w:lang w:val="en-US"/>
          <w14:ligatures w14:val="standardContextual"/>
        </w:rPr>
        <w:t>Referencia</w:t>
      </w:r>
      <w:proofErr w:type="spellEnd"/>
    </w:p>
    <w:p w14:paraId="7AF6D317" w14:textId="2DFF8797" w:rsidR="009123AC" w:rsidRPr="00450805" w:rsidRDefault="00EE07E2" w:rsidP="00EE07E2">
      <w:pPr>
        <w:spacing w:after="0" w:line="240" w:lineRule="auto"/>
        <w:jc w:val="both"/>
        <w:rPr>
          <w:rFonts w:ascii="Cambria" w:eastAsia="Yu Gothic" w:hAnsi="Cambria" w:cs="Times New Roman"/>
          <w:kern w:val="2"/>
          <w:sz w:val="20"/>
          <w:szCs w:val="20"/>
          <w14:ligatures w14:val="standardContextual"/>
        </w:rPr>
      </w:pPr>
      <w:r w:rsidRPr="00450805">
        <w:rPr>
          <w:rFonts w:ascii="Cambria" w:eastAsia="Yu Gothic" w:hAnsi="Cambria" w:cs="Times New Roman"/>
          <w:kern w:val="2"/>
          <w:sz w:val="20"/>
          <w:szCs w:val="20"/>
          <w:lang w:val="en-US"/>
          <w14:ligatures w14:val="standardContextual"/>
        </w:rPr>
        <w:t xml:space="preserve">Anonymous. 2023. Report of the 2023 ICCAT Atlantic Albacore Stock Assessment Meeting (including MSE). 2023. </w:t>
      </w:r>
      <w:proofErr w:type="spellStart"/>
      <w:r w:rsidRPr="00450805">
        <w:rPr>
          <w:rFonts w:ascii="Cambria" w:eastAsia="Yu Gothic" w:hAnsi="Cambria" w:cs="Times New Roman"/>
          <w:kern w:val="2"/>
          <w:sz w:val="20"/>
          <w:szCs w:val="20"/>
          <w14:ligatures w14:val="standardContextual"/>
        </w:rPr>
        <w:t>Collect</w:t>
      </w:r>
      <w:proofErr w:type="spellEnd"/>
      <w:r w:rsidRPr="00450805">
        <w:rPr>
          <w:rFonts w:ascii="Cambria" w:eastAsia="Yu Gothic" w:hAnsi="Cambria" w:cs="Times New Roman"/>
          <w:kern w:val="2"/>
          <w:sz w:val="20"/>
          <w:szCs w:val="20"/>
          <w14:ligatures w14:val="standardContextual"/>
        </w:rPr>
        <w:t xml:space="preserve">. Vol. </w:t>
      </w:r>
      <w:proofErr w:type="spellStart"/>
      <w:r w:rsidRPr="00450805">
        <w:rPr>
          <w:rFonts w:ascii="Cambria" w:eastAsia="Yu Gothic" w:hAnsi="Cambria" w:cs="Times New Roman"/>
          <w:kern w:val="2"/>
          <w:sz w:val="20"/>
          <w:szCs w:val="20"/>
          <w14:ligatures w14:val="standardContextual"/>
        </w:rPr>
        <w:t>Sci</w:t>
      </w:r>
      <w:proofErr w:type="spellEnd"/>
      <w:r w:rsidRPr="00450805">
        <w:rPr>
          <w:rFonts w:ascii="Cambria" w:eastAsia="Yu Gothic" w:hAnsi="Cambria" w:cs="Times New Roman"/>
          <w:kern w:val="2"/>
          <w:sz w:val="20"/>
          <w:szCs w:val="20"/>
          <w14:ligatures w14:val="standardContextual"/>
        </w:rPr>
        <w:t>. Pap. ICCAT, 80(3): 175-278.</w:t>
      </w:r>
    </w:p>
    <w:p w14:paraId="3F016C98" w14:textId="77777777" w:rsidR="009123AC" w:rsidRPr="00450805" w:rsidRDefault="009123AC">
      <w:pPr>
        <w:spacing w:line="259" w:lineRule="auto"/>
        <w:rPr>
          <w:rFonts w:ascii="Cambria" w:eastAsia="Yu Gothic" w:hAnsi="Cambria" w:cs="Times New Roman"/>
          <w:kern w:val="2"/>
          <w:sz w:val="20"/>
          <w:szCs w:val="20"/>
          <w14:ligatures w14:val="standardContextual"/>
        </w:rPr>
      </w:pPr>
      <w:r w:rsidRPr="00450805">
        <w:rPr>
          <w:rFonts w:ascii="Cambria" w:eastAsia="Yu Gothic" w:hAnsi="Cambria" w:cs="Times New Roman"/>
          <w:kern w:val="2"/>
          <w:sz w:val="20"/>
          <w:szCs w:val="20"/>
          <w14:ligatures w14:val="standardContextual"/>
        </w:rPr>
        <w:br w:type="page"/>
      </w:r>
    </w:p>
    <w:p w14:paraId="32F12986" w14:textId="77777777" w:rsidR="009123AC" w:rsidRPr="00F0379B" w:rsidRDefault="009123AC" w:rsidP="009123AC">
      <w:pPr>
        <w:spacing w:line="259" w:lineRule="auto"/>
        <w:jc w:val="right"/>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Apéndice 1</w:t>
      </w:r>
    </w:p>
    <w:p w14:paraId="68D2BA1E" w14:textId="1DCAC80D" w:rsidR="009123AC" w:rsidRPr="00F0379B" w:rsidRDefault="009123AC" w:rsidP="009123AC">
      <w:pPr>
        <w:spacing w:line="259" w:lineRule="auto"/>
        <w:jc w:val="center"/>
        <w:rPr>
          <w:rFonts w:ascii="Cambria" w:eastAsiaTheme="minorEastAsia" w:hAnsi="Cambria"/>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Orden del día</w:t>
      </w:r>
    </w:p>
    <w:p w14:paraId="773AF2D4" w14:textId="77777777" w:rsidR="009123AC" w:rsidRPr="00F0379B" w:rsidRDefault="009123AC" w:rsidP="009123AC">
      <w:pPr>
        <w:spacing w:line="259" w:lineRule="auto"/>
        <w:jc w:val="center"/>
        <w:rPr>
          <w:rFonts w:ascii="Cambria" w:eastAsiaTheme="minorEastAsia" w:hAnsi="Cambria"/>
          <w:b/>
          <w:bCs/>
          <w:kern w:val="2"/>
          <w:sz w:val="20"/>
          <w:szCs w:val="20"/>
          <w:lang w:eastAsia="ja-JP"/>
          <w14:ligatures w14:val="standardContextual"/>
        </w:rPr>
      </w:pPr>
    </w:p>
    <w:p w14:paraId="2B82985E" w14:textId="77777777" w:rsidR="009123AC" w:rsidRPr="00F0379B" w:rsidRDefault="009123AC" w:rsidP="009123AC">
      <w:pPr>
        <w:spacing w:line="259" w:lineRule="auto"/>
        <w:jc w:val="center"/>
        <w:rPr>
          <w:rFonts w:ascii="Cambria" w:eastAsiaTheme="minorEastAsia" w:hAnsi="Cambria"/>
          <w:b/>
          <w:kern w:val="2"/>
          <w:sz w:val="20"/>
          <w:szCs w:val="20"/>
          <w:lang w:eastAsia="ja-JP"/>
          <w14:ligatures w14:val="standardContextual"/>
        </w:rPr>
      </w:pPr>
    </w:p>
    <w:p w14:paraId="4C1C109C" w14:textId="77777777" w:rsidR="009123AC" w:rsidRPr="00F0379B" w:rsidRDefault="009123AC" w:rsidP="009123AC">
      <w:pPr>
        <w:tabs>
          <w:tab w:val="left" w:pos="426"/>
        </w:tabs>
        <w:spacing w:afterLines="50" w:after="120" w:line="240" w:lineRule="auto"/>
        <w:ind w:left="426" w:hanging="426"/>
        <w:jc w:val="both"/>
        <w:rPr>
          <w:rFonts w:ascii="Cambria" w:eastAsia="Yu Mincho" w:hAnsi="Cambria" w:cs="Times New Roman"/>
          <w:kern w:val="2"/>
          <w:sz w:val="20"/>
          <w:szCs w:val="20"/>
          <w14:ligatures w14:val="standardContextual"/>
        </w:rPr>
      </w:pPr>
      <w:r w:rsidRPr="00F0379B">
        <w:rPr>
          <w:rFonts w:ascii="Cambria" w:eastAsia="Times New Roman" w:hAnsi="Cambria" w:cs="Times New Roman"/>
          <w:sz w:val="20"/>
          <w:szCs w:val="20"/>
        </w:rPr>
        <w:t>1.</w:t>
      </w:r>
      <w:r w:rsidRPr="00F0379B">
        <w:rPr>
          <w:rFonts w:ascii="Cambria" w:eastAsia="Times New Roman" w:hAnsi="Cambria" w:cs="Times New Roman"/>
          <w:sz w:val="20"/>
          <w:szCs w:val="20"/>
        </w:rPr>
        <w:tab/>
        <w:t xml:space="preserve">Apertura y disposiciones para la reunión </w:t>
      </w:r>
    </w:p>
    <w:p w14:paraId="6BB60EEE" w14:textId="77777777" w:rsidR="009123AC" w:rsidRPr="00F0379B" w:rsidRDefault="009123AC" w:rsidP="009123AC">
      <w:pPr>
        <w:tabs>
          <w:tab w:val="left" w:pos="426"/>
        </w:tabs>
        <w:spacing w:line="259" w:lineRule="auto"/>
        <w:jc w:val="both"/>
        <w:rPr>
          <w:rFonts w:ascii="Cambria" w:eastAsia="Yu Mincho" w:hAnsi="Cambria" w:cs="Times New Roman"/>
          <w:kern w:val="2"/>
          <w:sz w:val="20"/>
          <w:szCs w:val="20"/>
          <w14:ligatures w14:val="standardContextual"/>
        </w:rPr>
      </w:pPr>
      <w:r w:rsidRPr="00F0379B">
        <w:rPr>
          <w:rFonts w:ascii="Cambria" w:eastAsia="Times New Roman" w:hAnsi="Cambria" w:cs="Times New Roman"/>
          <w:sz w:val="20"/>
          <w:szCs w:val="20"/>
        </w:rPr>
        <w:t xml:space="preserve">2. </w:t>
      </w:r>
      <w:r w:rsidRPr="00F0379B">
        <w:rPr>
          <w:rFonts w:ascii="Cambria" w:eastAsia="Times New Roman" w:hAnsi="Cambria" w:cs="Times New Roman"/>
          <w:sz w:val="20"/>
          <w:szCs w:val="20"/>
        </w:rPr>
        <w:tab/>
        <w:t xml:space="preserve">Designación del relator </w:t>
      </w:r>
    </w:p>
    <w:p w14:paraId="4267ADA2" w14:textId="77777777" w:rsidR="009123AC" w:rsidRPr="00F0379B" w:rsidRDefault="009123AC" w:rsidP="009123AC">
      <w:pPr>
        <w:tabs>
          <w:tab w:val="left" w:pos="426"/>
        </w:tabs>
        <w:spacing w:line="259" w:lineRule="auto"/>
        <w:jc w:val="both"/>
        <w:rPr>
          <w:rFonts w:ascii="Cambria" w:eastAsia="Yu Mincho" w:hAnsi="Cambria" w:cs="Times New Roman"/>
          <w:kern w:val="2"/>
          <w:sz w:val="20"/>
          <w:szCs w:val="20"/>
          <w14:ligatures w14:val="standardContextual"/>
        </w:rPr>
      </w:pPr>
      <w:r w:rsidRPr="00F0379B">
        <w:rPr>
          <w:rFonts w:ascii="Cambria" w:eastAsia="Times New Roman" w:hAnsi="Cambria" w:cs="Times New Roman"/>
          <w:sz w:val="20"/>
          <w:szCs w:val="20"/>
        </w:rPr>
        <w:t xml:space="preserve">3. </w:t>
      </w:r>
      <w:r w:rsidRPr="00F0379B">
        <w:rPr>
          <w:rFonts w:ascii="Cambria" w:eastAsia="Times New Roman" w:hAnsi="Cambria" w:cs="Times New Roman"/>
          <w:sz w:val="20"/>
          <w:szCs w:val="20"/>
        </w:rPr>
        <w:tab/>
        <w:t xml:space="preserve">Adopción del orden del día </w:t>
      </w:r>
    </w:p>
    <w:p w14:paraId="1E7CEC5B" w14:textId="77777777" w:rsidR="009123AC" w:rsidRPr="00F0379B" w:rsidRDefault="009123AC" w:rsidP="009123AC">
      <w:pPr>
        <w:tabs>
          <w:tab w:val="left" w:pos="426"/>
        </w:tabs>
        <w:spacing w:line="259" w:lineRule="auto"/>
        <w:ind w:left="426" w:hanging="426"/>
        <w:jc w:val="both"/>
        <w:rPr>
          <w:rFonts w:ascii="Cambria" w:eastAsia="Times New Roman" w:hAnsi="Cambria" w:cs="Times New Roman"/>
          <w:sz w:val="20"/>
          <w:szCs w:val="20"/>
        </w:rPr>
      </w:pPr>
      <w:r w:rsidRPr="00F0379B">
        <w:rPr>
          <w:rFonts w:ascii="Cambria" w:eastAsia="Times New Roman" w:hAnsi="Cambria" w:cs="Times New Roman"/>
          <w:sz w:val="20"/>
          <w:szCs w:val="20"/>
        </w:rPr>
        <w:t xml:space="preserve">4. </w:t>
      </w:r>
      <w:r w:rsidRPr="00F0379B">
        <w:rPr>
          <w:rFonts w:ascii="Cambria" w:eastAsia="Times New Roman" w:hAnsi="Cambria" w:cs="Times New Roman"/>
          <w:sz w:val="20"/>
          <w:szCs w:val="20"/>
        </w:rPr>
        <w:tab/>
        <w:t>Consideración de los planes anuales de pesca</w:t>
      </w:r>
    </w:p>
    <w:p w14:paraId="398423FE" w14:textId="77777777" w:rsidR="009123AC" w:rsidRPr="00F0379B" w:rsidRDefault="009123AC" w:rsidP="009123AC">
      <w:pPr>
        <w:spacing w:after="0" w:line="240" w:lineRule="auto"/>
        <w:ind w:left="851" w:hanging="426"/>
        <w:jc w:val="both"/>
        <w:rPr>
          <w:rFonts w:ascii="Cambria" w:eastAsia="Times New Roman" w:hAnsi="Cambria" w:cs="Times New Roman"/>
          <w:sz w:val="20"/>
          <w:szCs w:val="20"/>
        </w:rPr>
      </w:pPr>
      <w:r w:rsidRPr="00F0379B">
        <w:rPr>
          <w:rFonts w:ascii="Cambria" w:eastAsia="Times New Roman" w:hAnsi="Cambria" w:cs="Times New Roman"/>
          <w:sz w:val="20"/>
          <w:szCs w:val="20"/>
        </w:rPr>
        <w:t xml:space="preserve">4.1 </w:t>
      </w:r>
      <w:r w:rsidRPr="00F0379B">
        <w:rPr>
          <w:rFonts w:ascii="Cambria" w:eastAsia="Times New Roman" w:hAnsi="Cambria" w:cs="Times New Roman"/>
          <w:sz w:val="20"/>
          <w:szCs w:val="20"/>
        </w:rPr>
        <w:tab/>
        <w:t xml:space="preserve">Atlántico este y Mediterráneo: planes de pesca, de cría, de inspección, de ordenación de la capacidad y de ordenación de la cría, así como planes anuales de acuicultura para 2026 presentados por las CPC </w:t>
      </w:r>
    </w:p>
    <w:p w14:paraId="1D65A550" w14:textId="77777777" w:rsidR="009123AC" w:rsidRPr="00F0379B" w:rsidRDefault="009123AC" w:rsidP="009123AC">
      <w:pPr>
        <w:spacing w:after="0" w:line="240" w:lineRule="auto"/>
        <w:ind w:left="851" w:hanging="426"/>
        <w:jc w:val="both"/>
        <w:rPr>
          <w:rFonts w:ascii="Cambria" w:eastAsia="Times New Roman" w:hAnsi="Cambria" w:cs="Times New Roman"/>
          <w:sz w:val="20"/>
          <w:szCs w:val="20"/>
        </w:rPr>
      </w:pPr>
    </w:p>
    <w:p w14:paraId="5F839FF7" w14:textId="77777777" w:rsidR="009123AC" w:rsidRPr="00F0379B" w:rsidRDefault="009123AC" w:rsidP="009123AC">
      <w:pPr>
        <w:spacing w:after="0" w:line="240" w:lineRule="auto"/>
        <w:ind w:left="851" w:hanging="426"/>
        <w:jc w:val="both"/>
        <w:rPr>
          <w:rFonts w:ascii="Cambria" w:eastAsia="Times New Roman" w:hAnsi="Cambria" w:cs="Times New Roman"/>
          <w:sz w:val="20"/>
          <w:szCs w:val="20"/>
        </w:rPr>
      </w:pPr>
      <w:r w:rsidRPr="00F0379B">
        <w:rPr>
          <w:rFonts w:ascii="Cambria" w:eastAsia="Times New Roman" w:hAnsi="Cambria" w:cs="Times New Roman"/>
          <w:sz w:val="20"/>
          <w:szCs w:val="20"/>
        </w:rPr>
        <w:t>4.2</w:t>
      </w:r>
      <w:r w:rsidRPr="00F0379B">
        <w:rPr>
          <w:rFonts w:ascii="Cambria" w:eastAsia="Times New Roman" w:hAnsi="Cambria" w:cs="Times New Roman"/>
          <w:sz w:val="20"/>
          <w:szCs w:val="20"/>
        </w:rPr>
        <w:tab/>
        <w:t xml:space="preserve"> Atlántico oeste</w:t>
      </w:r>
    </w:p>
    <w:p w14:paraId="579C9F85" w14:textId="77777777" w:rsidR="009123AC" w:rsidRPr="00F0379B" w:rsidRDefault="009123AC" w:rsidP="009123AC">
      <w:pPr>
        <w:tabs>
          <w:tab w:val="left" w:pos="426"/>
        </w:tabs>
        <w:spacing w:after="0" w:line="240" w:lineRule="auto"/>
        <w:ind w:left="426" w:hanging="426"/>
        <w:jc w:val="both"/>
        <w:rPr>
          <w:rFonts w:ascii="Cambria" w:eastAsia="Yu Mincho" w:hAnsi="Cambria" w:cs="Times New Roman"/>
          <w:kern w:val="2"/>
          <w:sz w:val="20"/>
          <w:szCs w:val="20"/>
          <w14:ligatures w14:val="standardContextual"/>
        </w:rPr>
      </w:pPr>
    </w:p>
    <w:p w14:paraId="2EA09486" w14:textId="77777777" w:rsidR="009123AC" w:rsidRPr="00F0379B" w:rsidRDefault="009123AC" w:rsidP="009123AC">
      <w:pPr>
        <w:tabs>
          <w:tab w:val="left" w:pos="426"/>
        </w:tabs>
        <w:spacing w:line="259" w:lineRule="auto"/>
        <w:jc w:val="both"/>
        <w:rPr>
          <w:rFonts w:ascii="Cambria" w:eastAsia="Yu Mincho" w:hAnsi="Cambria" w:cs="Times New Roman"/>
          <w:kern w:val="2"/>
          <w:sz w:val="20"/>
          <w:szCs w:val="20"/>
          <w14:ligatures w14:val="standardContextual"/>
        </w:rPr>
      </w:pPr>
      <w:r w:rsidRPr="00F0379B">
        <w:rPr>
          <w:rFonts w:ascii="Cambria" w:eastAsia="Times New Roman" w:hAnsi="Cambria" w:cs="Times New Roman"/>
          <w:sz w:val="20"/>
          <w:szCs w:val="20"/>
        </w:rPr>
        <w:t xml:space="preserve">5. </w:t>
      </w:r>
      <w:r w:rsidRPr="00F0379B">
        <w:rPr>
          <w:rFonts w:ascii="Cambria" w:eastAsia="Times New Roman" w:hAnsi="Cambria" w:cs="Times New Roman"/>
          <w:sz w:val="20"/>
          <w:szCs w:val="20"/>
        </w:rPr>
        <w:tab/>
        <w:t xml:space="preserve">Determinación de las acciones que se tienen que emprender con respecto a los planes del punto 4 </w:t>
      </w:r>
    </w:p>
    <w:p w14:paraId="616E9F09" w14:textId="77777777" w:rsidR="009123AC" w:rsidRPr="00F0379B" w:rsidRDefault="009123AC" w:rsidP="009123AC">
      <w:pPr>
        <w:tabs>
          <w:tab w:val="left" w:pos="426"/>
        </w:tabs>
        <w:spacing w:line="259" w:lineRule="auto"/>
        <w:jc w:val="both"/>
        <w:rPr>
          <w:rFonts w:ascii="Cambria" w:eastAsia="Yu Mincho" w:hAnsi="Cambria" w:cs="Times New Roman"/>
          <w:kern w:val="2"/>
          <w:sz w:val="20"/>
          <w:szCs w:val="20"/>
          <w14:ligatures w14:val="standardContextual"/>
        </w:rPr>
      </w:pPr>
      <w:r w:rsidRPr="00F0379B">
        <w:rPr>
          <w:rFonts w:ascii="Cambria" w:eastAsia="Times New Roman" w:hAnsi="Cambria" w:cs="Times New Roman"/>
          <w:sz w:val="20"/>
          <w:szCs w:val="20"/>
        </w:rPr>
        <w:t xml:space="preserve">6. </w:t>
      </w:r>
      <w:r w:rsidRPr="00F0379B">
        <w:rPr>
          <w:rFonts w:ascii="Cambria" w:eastAsia="Times New Roman" w:hAnsi="Cambria" w:cs="Times New Roman"/>
          <w:sz w:val="20"/>
          <w:szCs w:val="20"/>
        </w:rPr>
        <w:tab/>
        <w:t>Examen de cualquier actualización relacionada con los programas piloto en curso.</w:t>
      </w:r>
    </w:p>
    <w:p w14:paraId="6BD80B9C" w14:textId="77777777" w:rsidR="009123AC" w:rsidRPr="00F0379B" w:rsidRDefault="009123AC" w:rsidP="009123AC">
      <w:pPr>
        <w:tabs>
          <w:tab w:val="left" w:pos="709"/>
          <w:tab w:val="left" w:pos="851"/>
        </w:tabs>
        <w:spacing w:after="80" w:line="259" w:lineRule="auto"/>
        <w:ind w:firstLine="425"/>
        <w:jc w:val="both"/>
        <w:rPr>
          <w:rFonts w:ascii="Cambria" w:eastAsia="Yu Mincho" w:hAnsi="Cambria" w:cs="Times New Roman"/>
          <w:kern w:val="2"/>
          <w:sz w:val="20"/>
          <w:szCs w:val="20"/>
          <w14:ligatures w14:val="standardContextual"/>
        </w:rPr>
      </w:pPr>
      <w:r w:rsidRPr="00F0379B">
        <w:rPr>
          <w:rFonts w:ascii="Cambria" w:eastAsia="Times New Roman" w:hAnsi="Cambria" w:cs="Times New Roman"/>
          <w:sz w:val="20"/>
          <w:szCs w:val="20"/>
        </w:rPr>
        <w:t>6.1 Cría de alevines incubados artificialmente</w:t>
      </w:r>
    </w:p>
    <w:p w14:paraId="5A425CBA" w14:textId="77777777" w:rsidR="009123AC" w:rsidRPr="00F0379B" w:rsidRDefault="009123AC" w:rsidP="009123AC">
      <w:pPr>
        <w:tabs>
          <w:tab w:val="left" w:pos="709"/>
          <w:tab w:val="left" w:pos="851"/>
        </w:tabs>
        <w:spacing w:after="80" w:line="259" w:lineRule="auto"/>
        <w:ind w:firstLine="425"/>
        <w:jc w:val="both"/>
        <w:rPr>
          <w:rFonts w:ascii="Cambria" w:eastAsia="Yu Mincho" w:hAnsi="Cambria" w:cs="Times New Roman"/>
          <w:kern w:val="2"/>
          <w:sz w:val="20"/>
          <w:szCs w:val="20"/>
          <w14:ligatures w14:val="standardContextual"/>
        </w:rPr>
      </w:pPr>
      <w:r w:rsidRPr="00F0379B">
        <w:rPr>
          <w:rFonts w:ascii="Cambria" w:eastAsia="Times New Roman" w:hAnsi="Cambria" w:cs="Times New Roman"/>
          <w:sz w:val="20"/>
          <w:szCs w:val="20"/>
        </w:rPr>
        <w:t>6.2 Ratios de crecimiento</w:t>
      </w:r>
    </w:p>
    <w:p w14:paraId="3EEC2B8E" w14:textId="77777777" w:rsidR="009123AC" w:rsidRPr="00F0379B" w:rsidRDefault="009123AC" w:rsidP="009123AC">
      <w:pPr>
        <w:tabs>
          <w:tab w:val="left" w:pos="709"/>
          <w:tab w:val="left" w:pos="851"/>
        </w:tabs>
        <w:spacing w:after="0" w:line="240" w:lineRule="auto"/>
        <w:ind w:firstLine="425"/>
        <w:jc w:val="both"/>
        <w:rPr>
          <w:rFonts w:ascii="Cambria" w:eastAsia="Yu Mincho" w:hAnsi="Cambria" w:cs="Times New Roman"/>
          <w:kern w:val="2"/>
          <w:sz w:val="20"/>
          <w:szCs w:val="20"/>
          <w14:ligatures w14:val="standardContextual"/>
        </w:rPr>
      </w:pPr>
      <w:r w:rsidRPr="00F0379B">
        <w:rPr>
          <w:rFonts w:ascii="Cambria" w:eastAsia="Times New Roman" w:hAnsi="Cambria" w:cs="Times New Roman"/>
          <w:sz w:val="20"/>
          <w:szCs w:val="20"/>
        </w:rPr>
        <w:t>6.3 Otros</w:t>
      </w:r>
    </w:p>
    <w:p w14:paraId="054FB437" w14:textId="77777777" w:rsidR="009123AC" w:rsidRPr="00F0379B" w:rsidRDefault="009123AC" w:rsidP="009123AC">
      <w:pPr>
        <w:tabs>
          <w:tab w:val="left" w:pos="709"/>
          <w:tab w:val="left" w:pos="851"/>
        </w:tabs>
        <w:spacing w:after="0" w:line="240" w:lineRule="auto"/>
        <w:ind w:firstLine="425"/>
        <w:jc w:val="both"/>
        <w:rPr>
          <w:rFonts w:ascii="Cambria" w:eastAsia="Yu Mincho" w:hAnsi="Cambria" w:cs="Times New Roman"/>
          <w:kern w:val="2"/>
          <w:sz w:val="20"/>
          <w:szCs w:val="20"/>
          <w:lang w:eastAsia="ja-JP"/>
          <w14:ligatures w14:val="standardContextual"/>
        </w:rPr>
      </w:pPr>
    </w:p>
    <w:p w14:paraId="5DC15C59" w14:textId="77777777" w:rsidR="009123AC" w:rsidRPr="00F0379B" w:rsidRDefault="009123AC" w:rsidP="009123AC">
      <w:pPr>
        <w:tabs>
          <w:tab w:val="left" w:pos="426"/>
        </w:tabs>
        <w:spacing w:after="0" w:line="240" w:lineRule="auto"/>
        <w:ind w:left="426" w:hanging="426"/>
        <w:jc w:val="both"/>
        <w:rPr>
          <w:rFonts w:ascii="Cambria" w:eastAsia="Times New Roman" w:hAnsi="Cambria" w:cs="Times New Roman"/>
          <w:sz w:val="20"/>
          <w:szCs w:val="20"/>
        </w:rPr>
      </w:pPr>
      <w:r w:rsidRPr="00F0379B">
        <w:rPr>
          <w:rFonts w:ascii="Cambria" w:eastAsia="Times New Roman" w:hAnsi="Cambria" w:cs="Times New Roman"/>
          <w:sz w:val="20"/>
          <w:szCs w:val="20"/>
        </w:rPr>
        <w:t xml:space="preserve">7. </w:t>
      </w:r>
      <w:r w:rsidRPr="00F0379B">
        <w:rPr>
          <w:rFonts w:ascii="Cambria" w:eastAsia="Times New Roman" w:hAnsi="Cambria" w:cs="Times New Roman"/>
          <w:sz w:val="20"/>
          <w:szCs w:val="20"/>
        </w:rPr>
        <w:tab/>
        <w:t>Aclaración solicitada sobre la</w:t>
      </w:r>
      <w:hyperlink r:id="rId58" w:history="1">
        <w:r w:rsidRPr="00F0379B">
          <w:rPr>
            <w:rFonts w:ascii="Cambria" w:eastAsia="Times New Roman" w:hAnsi="Cambria" w:cs="Times New Roman"/>
            <w:color w:val="0000FF"/>
            <w:sz w:val="20"/>
            <w:szCs w:val="20"/>
          </w:rPr>
          <w:t xml:space="preserve"> </w:t>
        </w:r>
        <w:r w:rsidRPr="00F0379B">
          <w:rPr>
            <w:rFonts w:ascii="Cambria" w:eastAsia="Times New Roman" w:hAnsi="Cambria" w:cs="Times New Roman"/>
            <w:i/>
            <w:iCs/>
            <w:color w:val="0000FF"/>
            <w:sz w:val="20"/>
            <w:szCs w:val="20"/>
          </w:rPr>
          <w:t xml:space="preserve">Recomendación de ICCAT que reemplaza la Recomendación 24-05 que establece un plan de ordenación plurianual para el atún rojo en el Atlántico este y el Mediterráneo </w:t>
        </w:r>
        <w:r w:rsidRPr="00F0379B">
          <w:rPr>
            <w:rFonts w:ascii="Cambria" w:eastAsia="Times New Roman" w:hAnsi="Cambria" w:cs="Times New Roman"/>
            <w:color w:val="0000FF"/>
            <w:sz w:val="20"/>
            <w:szCs w:val="20"/>
          </w:rPr>
          <w:t xml:space="preserve">(Rec. 25-04) </w:t>
        </w:r>
      </w:hyperlink>
    </w:p>
    <w:p w14:paraId="5E00AF47" w14:textId="77777777" w:rsidR="009123AC" w:rsidRPr="00F0379B" w:rsidRDefault="009123AC" w:rsidP="009123AC">
      <w:pPr>
        <w:tabs>
          <w:tab w:val="left" w:pos="426"/>
        </w:tabs>
        <w:spacing w:after="0" w:line="240" w:lineRule="auto"/>
        <w:ind w:left="426" w:hanging="426"/>
        <w:jc w:val="both"/>
        <w:rPr>
          <w:rFonts w:ascii="Cambria" w:eastAsia="Yu Mincho" w:hAnsi="Cambria" w:cs="Times New Roman"/>
          <w:kern w:val="2"/>
          <w:sz w:val="20"/>
          <w:szCs w:val="20"/>
          <w14:ligatures w14:val="standardContextual"/>
        </w:rPr>
      </w:pPr>
    </w:p>
    <w:p w14:paraId="5B5114AD" w14:textId="77777777" w:rsidR="009123AC" w:rsidRPr="00F0379B" w:rsidRDefault="009123AC" w:rsidP="009123AC">
      <w:pPr>
        <w:tabs>
          <w:tab w:val="left" w:pos="426"/>
        </w:tabs>
        <w:spacing w:line="259" w:lineRule="auto"/>
        <w:jc w:val="both"/>
        <w:rPr>
          <w:rFonts w:ascii="Cambria" w:eastAsia="Times New Roman" w:hAnsi="Cambria" w:cs="Times New Roman"/>
          <w:sz w:val="20"/>
          <w:szCs w:val="20"/>
        </w:rPr>
      </w:pPr>
      <w:r w:rsidRPr="00F0379B">
        <w:rPr>
          <w:rFonts w:ascii="Cambria" w:eastAsia="Times New Roman" w:hAnsi="Cambria" w:cs="Times New Roman"/>
          <w:sz w:val="20"/>
          <w:szCs w:val="20"/>
        </w:rPr>
        <w:t xml:space="preserve">8. </w:t>
      </w:r>
      <w:r w:rsidRPr="00F0379B">
        <w:rPr>
          <w:rFonts w:ascii="Cambria" w:eastAsia="Times New Roman" w:hAnsi="Cambria" w:cs="Times New Roman"/>
          <w:sz w:val="20"/>
          <w:szCs w:val="20"/>
        </w:rPr>
        <w:tab/>
        <w:t xml:space="preserve">Debate sobre el procedimiento de ordenación (MP)/evaluación de estrategias de ordenación (MSE) </w:t>
      </w:r>
      <w:r w:rsidRPr="00F0379B">
        <w:rPr>
          <w:rFonts w:ascii="Cambria" w:eastAsia="Times New Roman" w:hAnsi="Cambria" w:cs="Times New Roman"/>
          <w:sz w:val="20"/>
          <w:szCs w:val="20"/>
        </w:rPr>
        <w:tab/>
        <w:t>para el atún rojo</w:t>
      </w:r>
    </w:p>
    <w:p w14:paraId="5093218A" w14:textId="77777777" w:rsidR="009123AC" w:rsidRPr="00F0379B" w:rsidRDefault="009123AC" w:rsidP="009123AC">
      <w:pPr>
        <w:tabs>
          <w:tab w:val="left" w:pos="426"/>
          <w:tab w:val="left" w:pos="851"/>
        </w:tabs>
        <w:spacing w:line="259" w:lineRule="auto"/>
        <w:jc w:val="both"/>
        <w:rPr>
          <w:rFonts w:ascii="Cambria" w:eastAsia="Yu Mincho" w:hAnsi="Cambria" w:cs="Times New Roman"/>
          <w:kern w:val="2"/>
          <w:sz w:val="20"/>
          <w:szCs w:val="20"/>
          <w14:ligatures w14:val="standardContextual"/>
        </w:rPr>
      </w:pPr>
      <w:r w:rsidRPr="00F0379B">
        <w:rPr>
          <w:rFonts w:ascii="Cambria" w:eastAsia="Times New Roman" w:hAnsi="Cambria" w:cs="Times New Roman"/>
          <w:sz w:val="20"/>
          <w:szCs w:val="20"/>
        </w:rPr>
        <w:tab/>
        <w:t>8.1     Actualizaciones sobre los trabajos del SCRS relacionados con el atún rojo</w:t>
      </w:r>
    </w:p>
    <w:p w14:paraId="377A8C2A" w14:textId="77777777" w:rsidR="009123AC" w:rsidRPr="00F0379B" w:rsidRDefault="009123AC" w:rsidP="009123AC">
      <w:pPr>
        <w:tabs>
          <w:tab w:val="left" w:pos="426"/>
          <w:tab w:val="left" w:pos="851"/>
        </w:tabs>
        <w:spacing w:line="259" w:lineRule="auto"/>
        <w:jc w:val="both"/>
        <w:rPr>
          <w:rFonts w:ascii="Cambria" w:eastAsia="Times New Roman" w:hAnsi="Cambria" w:cs="Times New Roman"/>
          <w:sz w:val="20"/>
          <w:szCs w:val="20"/>
        </w:rPr>
      </w:pPr>
      <w:r w:rsidRPr="00F0379B">
        <w:rPr>
          <w:rFonts w:ascii="Cambria" w:eastAsia="Times New Roman" w:hAnsi="Cambria" w:cs="Times New Roman"/>
          <w:sz w:val="20"/>
          <w:szCs w:val="20"/>
        </w:rPr>
        <w:tab/>
        <w:t>8.2     Examen de los objetivos de ordenación para el atún rojo</w:t>
      </w:r>
    </w:p>
    <w:p w14:paraId="736009B6" w14:textId="77777777" w:rsidR="009123AC" w:rsidRPr="00F0379B" w:rsidRDefault="009123AC" w:rsidP="009123AC">
      <w:pPr>
        <w:tabs>
          <w:tab w:val="left" w:pos="426"/>
          <w:tab w:val="left" w:pos="851"/>
        </w:tabs>
        <w:spacing w:line="259" w:lineRule="auto"/>
        <w:jc w:val="both"/>
        <w:rPr>
          <w:rFonts w:ascii="Cambria" w:eastAsia="Yu Mincho" w:hAnsi="Cambria" w:cs="Times New Roman"/>
          <w:kern w:val="2"/>
          <w:sz w:val="20"/>
          <w:szCs w:val="20"/>
          <w14:ligatures w14:val="standardContextual"/>
        </w:rPr>
      </w:pPr>
      <w:r w:rsidRPr="00F0379B">
        <w:rPr>
          <w:rFonts w:ascii="Cambria" w:eastAsia="Times New Roman" w:hAnsi="Cambria" w:cs="Times New Roman"/>
          <w:sz w:val="20"/>
          <w:szCs w:val="20"/>
        </w:rPr>
        <w:tab/>
        <w:t>8.3</w:t>
      </w:r>
      <w:r w:rsidRPr="00F0379B">
        <w:rPr>
          <w:rFonts w:ascii="Cambria" w:eastAsia="Times New Roman" w:hAnsi="Cambria" w:cs="Times New Roman"/>
          <w:sz w:val="20"/>
          <w:szCs w:val="20"/>
        </w:rPr>
        <w:tab/>
        <w:t>Actualización sobre la nueva MSE para el atún blanco del norte</w:t>
      </w:r>
    </w:p>
    <w:p w14:paraId="46617EE2" w14:textId="77777777" w:rsidR="009123AC" w:rsidRPr="00F0379B" w:rsidRDefault="009123AC" w:rsidP="009123AC">
      <w:pPr>
        <w:tabs>
          <w:tab w:val="left" w:pos="426"/>
        </w:tabs>
        <w:spacing w:line="259" w:lineRule="auto"/>
        <w:jc w:val="both"/>
        <w:rPr>
          <w:rFonts w:ascii="Cambria" w:eastAsia="Yu Mincho" w:hAnsi="Cambria" w:cs="Times New Roman"/>
          <w:kern w:val="2"/>
          <w:sz w:val="20"/>
          <w:szCs w:val="20"/>
          <w14:ligatures w14:val="standardContextual"/>
        </w:rPr>
      </w:pPr>
      <w:r w:rsidRPr="00F0379B">
        <w:rPr>
          <w:rFonts w:ascii="Cambria" w:eastAsia="Times New Roman" w:hAnsi="Cambria" w:cs="Times New Roman"/>
          <w:sz w:val="20"/>
          <w:szCs w:val="20"/>
        </w:rPr>
        <w:t xml:space="preserve">9. </w:t>
      </w:r>
      <w:r w:rsidRPr="00F0379B">
        <w:rPr>
          <w:rFonts w:ascii="Cambria" w:eastAsia="Times New Roman" w:hAnsi="Cambria" w:cs="Times New Roman"/>
          <w:sz w:val="20"/>
          <w:szCs w:val="20"/>
        </w:rPr>
        <w:tab/>
        <w:t>Debate sobre la asignación para el atún rojo del Atlántico este y Mediterráneo</w:t>
      </w:r>
    </w:p>
    <w:p w14:paraId="254D7002" w14:textId="77777777" w:rsidR="009123AC" w:rsidRPr="00F0379B" w:rsidRDefault="009123AC" w:rsidP="009123AC">
      <w:pPr>
        <w:tabs>
          <w:tab w:val="left" w:pos="426"/>
        </w:tabs>
        <w:spacing w:line="259" w:lineRule="auto"/>
        <w:ind w:right="-130"/>
        <w:jc w:val="both"/>
        <w:rPr>
          <w:rFonts w:ascii="Cambria" w:eastAsia="Yu Mincho" w:hAnsi="Cambria" w:cs="Times New Roman"/>
          <w:spacing w:val="-4"/>
          <w:kern w:val="2"/>
          <w:sz w:val="20"/>
          <w:szCs w:val="20"/>
          <w14:ligatures w14:val="standardContextual"/>
        </w:rPr>
      </w:pPr>
      <w:r w:rsidRPr="00F0379B">
        <w:rPr>
          <w:rFonts w:ascii="Cambria" w:eastAsia="Times New Roman" w:hAnsi="Cambria" w:cs="Times New Roman"/>
          <w:sz w:val="20"/>
          <w:szCs w:val="20"/>
        </w:rPr>
        <w:tab/>
        <w:t xml:space="preserve">9.1    </w:t>
      </w:r>
      <w:r w:rsidRPr="00F0379B">
        <w:rPr>
          <w:rFonts w:ascii="Cambria" w:eastAsia="Times New Roman" w:hAnsi="Cambria" w:cs="Times New Roman"/>
          <w:spacing w:val="-4"/>
          <w:sz w:val="20"/>
          <w:szCs w:val="20"/>
        </w:rPr>
        <w:t>Examen de los debates de la reunión anual de 2025 por parte del presidente de la Subcomisión 2.</w:t>
      </w:r>
    </w:p>
    <w:p w14:paraId="26CEB047" w14:textId="77777777" w:rsidR="009123AC" w:rsidRPr="00F0379B" w:rsidRDefault="009123AC" w:rsidP="009123AC">
      <w:pPr>
        <w:tabs>
          <w:tab w:val="left" w:pos="426"/>
        </w:tabs>
        <w:spacing w:line="259" w:lineRule="auto"/>
        <w:jc w:val="both"/>
        <w:rPr>
          <w:rFonts w:ascii="Cambria" w:eastAsia="Yu Mincho" w:hAnsi="Cambria" w:cs="Times New Roman"/>
          <w:kern w:val="2"/>
          <w:sz w:val="20"/>
          <w:szCs w:val="20"/>
          <w14:ligatures w14:val="standardContextual"/>
        </w:rPr>
      </w:pPr>
      <w:r w:rsidRPr="00F0379B">
        <w:rPr>
          <w:rFonts w:ascii="Cambria" w:eastAsia="Times New Roman" w:hAnsi="Cambria" w:cs="Times New Roman"/>
          <w:sz w:val="20"/>
          <w:szCs w:val="20"/>
        </w:rPr>
        <w:tab/>
        <w:t>9.2</w:t>
      </w:r>
      <w:r w:rsidRPr="00F0379B">
        <w:rPr>
          <w:rFonts w:ascii="Cambria" w:eastAsia="Times New Roman" w:hAnsi="Cambria" w:cs="Times New Roman"/>
          <w:sz w:val="20"/>
          <w:szCs w:val="20"/>
        </w:rPr>
        <w:tab/>
        <w:t xml:space="preserve">     Presentación de las CPC sobre la asignación (si procede)</w:t>
      </w:r>
    </w:p>
    <w:p w14:paraId="624D6C6E" w14:textId="77777777" w:rsidR="009123AC" w:rsidRPr="00F0379B" w:rsidRDefault="009123AC" w:rsidP="009123AC">
      <w:pPr>
        <w:tabs>
          <w:tab w:val="left" w:pos="426"/>
        </w:tabs>
        <w:spacing w:line="259" w:lineRule="auto"/>
        <w:jc w:val="both"/>
        <w:rPr>
          <w:rFonts w:ascii="Cambria" w:eastAsia="Yu Mincho" w:hAnsi="Cambria" w:cs="Times New Roman"/>
          <w:kern w:val="2"/>
          <w:sz w:val="20"/>
          <w:szCs w:val="20"/>
          <w14:ligatures w14:val="standardContextual"/>
        </w:rPr>
      </w:pPr>
      <w:r w:rsidRPr="00F0379B">
        <w:rPr>
          <w:rFonts w:ascii="Cambria" w:eastAsia="Times New Roman" w:hAnsi="Cambria" w:cs="Times New Roman"/>
          <w:sz w:val="20"/>
          <w:szCs w:val="20"/>
        </w:rPr>
        <w:t xml:space="preserve">10. </w:t>
      </w:r>
      <w:r w:rsidRPr="00F0379B">
        <w:rPr>
          <w:rFonts w:ascii="Cambria" w:eastAsia="Times New Roman" w:hAnsi="Cambria" w:cs="Times New Roman"/>
          <w:sz w:val="20"/>
          <w:szCs w:val="20"/>
        </w:rPr>
        <w:tab/>
        <w:t xml:space="preserve">Otros asuntos </w:t>
      </w:r>
    </w:p>
    <w:p w14:paraId="4F45B398" w14:textId="77777777" w:rsidR="009123AC" w:rsidRPr="00F0379B" w:rsidRDefault="009123AC" w:rsidP="009123AC">
      <w:pPr>
        <w:tabs>
          <w:tab w:val="left" w:pos="426"/>
        </w:tabs>
        <w:spacing w:line="259" w:lineRule="auto"/>
        <w:jc w:val="both"/>
        <w:rPr>
          <w:rFonts w:ascii="Cambria" w:eastAsia="Yu Mincho" w:hAnsi="Cambria" w:cs="Times New Roman"/>
          <w:kern w:val="2"/>
          <w:sz w:val="20"/>
          <w:szCs w:val="20"/>
          <w14:ligatures w14:val="standardContextual"/>
        </w:rPr>
      </w:pPr>
      <w:r w:rsidRPr="00F0379B">
        <w:rPr>
          <w:rFonts w:ascii="Cambria" w:eastAsia="Times New Roman" w:hAnsi="Cambria" w:cs="Times New Roman"/>
          <w:sz w:val="20"/>
          <w:szCs w:val="20"/>
        </w:rPr>
        <w:t xml:space="preserve">11. </w:t>
      </w:r>
      <w:r w:rsidRPr="00F0379B">
        <w:rPr>
          <w:rFonts w:ascii="Cambria" w:eastAsia="Times New Roman" w:hAnsi="Cambria" w:cs="Times New Roman"/>
          <w:sz w:val="20"/>
          <w:szCs w:val="20"/>
        </w:rPr>
        <w:tab/>
        <w:t>Adopción del informe y clausura</w:t>
      </w:r>
    </w:p>
    <w:p w14:paraId="40079CD2" w14:textId="77777777" w:rsidR="009123AC" w:rsidRPr="00F0379B" w:rsidRDefault="009123AC" w:rsidP="009123AC">
      <w:pPr>
        <w:tabs>
          <w:tab w:val="left" w:pos="426"/>
        </w:tabs>
        <w:spacing w:line="259" w:lineRule="auto"/>
        <w:rPr>
          <w:rFonts w:ascii="Cambria" w:eastAsiaTheme="minorEastAsia" w:hAnsi="Cambria"/>
          <w:kern w:val="2"/>
          <w:sz w:val="20"/>
          <w:szCs w:val="20"/>
          <w:lang w:eastAsia="ja-JP"/>
          <w14:ligatures w14:val="standardContextual"/>
        </w:rPr>
      </w:pPr>
    </w:p>
    <w:p w14:paraId="7F17EC84" w14:textId="77777777" w:rsidR="009123AC" w:rsidRPr="00F912AA" w:rsidRDefault="009123AC" w:rsidP="009123AC">
      <w:pPr>
        <w:spacing w:line="259" w:lineRule="auto"/>
        <w:jc w:val="right"/>
        <w:rPr>
          <w:rFonts w:ascii="Cambria" w:eastAsiaTheme="minorEastAsia" w:hAnsi="Cambria"/>
          <w:kern w:val="2"/>
          <w:sz w:val="20"/>
          <w:szCs w:val="20"/>
          <w:lang w:eastAsia="ja-JP"/>
          <w14:ligatures w14:val="standardContextual"/>
        </w:rPr>
      </w:pPr>
      <w:r w:rsidRPr="001A4E7A">
        <w:rPr>
          <w:rFonts w:ascii="Cambria" w:eastAsiaTheme="minorEastAsia" w:hAnsi="Cambria"/>
          <w:kern w:val="2"/>
          <w:sz w:val="20"/>
          <w:szCs w:val="20"/>
          <w:lang w:eastAsia="ja-JP"/>
          <w14:ligatures w14:val="standardContextual"/>
        </w:rPr>
        <w:br w:type="page"/>
      </w:r>
      <w:r w:rsidRPr="00F912AA">
        <w:rPr>
          <w:rFonts w:ascii="Cambria" w:eastAsiaTheme="minorEastAsia" w:hAnsi="Cambria"/>
          <w:b/>
          <w:kern w:val="2"/>
          <w:sz w:val="20"/>
          <w:szCs w:val="20"/>
          <w:lang w:eastAsia="ja-JP"/>
          <w14:ligatures w14:val="standardContextual"/>
        </w:rPr>
        <w:lastRenderedPageBreak/>
        <w:t>Apéndice 2</w:t>
      </w:r>
    </w:p>
    <w:p w14:paraId="53D9880D" w14:textId="77777777" w:rsidR="009123AC" w:rsidRPr="00F912AA" w:rsidRDefault="009123AC" w:rsidP="009123AC">
      <w:pPr>
        <w:spacing w:after="0" w:line="240" w:lineRule="auto"/>
        <w:jc w:val="center"/>
        <w:rPr>
          <w:rFonts w:ascii="Cambria" w:eastAsia="Cambria" w:hAnsi="Cambria" w:cs="Cambria"/>
          <w:sz w:val="20"/>
          <w:szCs w:val="20"/>
          <w:lang w:eastAsia="en-GB"/>
        </w:rPr>
      </w:pPr>
      <w:r w:rsidRPr="00F912AA">
        <w:rPr>
          <w:rFonts w:ascii="Cambria" w:eastAsia="Cambria" w:hAnsi="Cambria" w:cs="Cambria"/>
          <w:b/>
          <w:sz w:val="20"/>
          <w:szCs w:val="20"/>
          <w:lang w:eastAsia="en-GB"/>
        </w:rPr>
        <w:t xml:space="preserve">Lista de participantes </w:t>
      </w:r>
      <w:r w:rsidRPr="00F0379B">
        <w:rPr>
          <w:rFonts w:ascii="Cambria" w:eastAsia="Cambria" w:hAnsi="Cambria" w:cs="Cambria"/>
          <w:sz w:val="20"/>
          <w:szCs w:val="20"/>
          <w:lang w:val="en-GB" w:eastAsia="en-GB"/>
        </w:rPr>
        <w:footnoteReference w:id="2"/>
      </w:r>
      <w:r w:rsidRPr="00F912AA">
        <w:rPr>
          <w:rFonts w:ascii="Cambria" w:eastAsia="Cambria" w:hAnsi="Cambria" w:cs="Cambria"/>
          <w:b/>
          <w:sz w:val="20"/>
          <w:szCs w:val="20"/>
          <w:lang w:eastAsia="en-GB"/>
        </w:rPr>
        <w:t xml:space="preserve"> </w:t>
      </w:r>
      <w:r w:rsidRPr="00F912AA">
        <w:rPr>
          <w:rFonts w:ascii="Cambria" w:eastAsia="Cambria" w:hAnsi="Cambria" w:cs="Cambria"/>
          <w:b/>
          <w:sz w:val="20"/>
          <w:szCs w:val="20"/>
          <w:vertAlign w:val="superscript"/>
          <w:lang w:eastAsia="en-GB"/>
        </w:rPr>
        <w:t>1</w:t>
      </w:r>
    </w:p>
    <w:p w14:paraId="5B453D8D" w14:textId="77777777" w:rsidR="009123AC" w:rsidRPr="00F912AA" w:rsidRDefault="009123AC" w:rsidP="009123AC">
      <w:pPr>
        <w:spacing w:after="0" w:line="240" w:lineRule="auto"/>
        <w:jc w:val="center"/>
        <w:rPr>
          <w:rFonts w:ascii="Cambria" w:eastAsia="Cambria" w:hAnsi="Cambria" w:cs="Cambria"/>
          <w:sz w:val="20"/>
          <w:szCs w:val="20"/>
          <w:lang w:eastAsia="en-GB"/>
        </w:rPr>
      </w:pPr>
    </w:p>
    <w:p w14:paraId="0A573A78" w14:textId="77777777" w:rsidR="009123AC" w:rsidRPr="00F912AA" w:rsidRDefault="009123AC" w:rsidP="009123AC">
      <w:pPr>
        <w:spacing w:after="0" w:line="240" w:lineRule="auto"/>
        <w:jc w:val="both"/>
        <w:rPr>
          <w:rFonts w:ascii="Cambria" w:eastAsia="Cambria" w:hAnsi="Cambria" w:cs="Cambria"/>
          <w:sz w:val="20"/>
          <w:szCs w:val="20"/>
          <w:lang w:eastAsia="en-GB"/>
        </w:rPr>
      </w:pPr>
      <w:r w:rsidRPr="00F912AA">
        <w:rPr>
          <w:rFonts w:ascii="Cambria" w:eastAsia="Cambria" w:hAnsi="Cambria" w:cs="Cambria"/>
          <w:b/>
          <w:i/>
          <w:sz w:val="20"/>
          <w:szCs w:val="20"/>
          <w:lang w:eastAsia="en-GB"/>
        </w:rPr>
        <w:t>PARTES CONTRATANTES</w:t>
      </w:r>
    </w:p>
    <w:p w14:paraId="4F6AC4D1" w14:textId="77777777" w:rsidR="009123AC" w:rsidRPr="00F912AA" w:rsidRDefault="009123AC" w:rsidP="009123AC">
      <w:pPr>
        <w:spacing w:after="0" w:line="240" w:lineRule="auto"/>
        <w:jc w:val="both"/>
        <w:rPr>
          <w:rFonts w:ascii="Cambria" w:eastAsia="Cambria" w:hAnsi="Cambria" w:cs="Cambria"/>
          <w:sz w:val="20"/>
          <w:szCs w:val="20"/>
          <w:lang w:eastAsia="en-GB"/>
        </w:rPr>
      </w:pPr>
    </w:p>
    <w:p w14:paraId="4E0D5ABE"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ALBANIA</w:t>
      </w:r>
    </w:p>
    <w:p w14:paraId="715F1C8A"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Kule</w:t>
      </w:r>
      <w:r w:rsidRPr="00F0379B">
        <w:rPr>
          <w:rFonts w:ascii="Cambria" w:eastAsia="Cambria" w:hAnsi="Cambria" w:cs="Cambria"/>
          <w:sz w:val="20"/>
          <w:szCs w:val="20"/>
          <w:lang w:val="en-US"/>
        </w:rPr>
        <w:t>, Marco * (online)</w:t>
      </w:r>
    </w:p>
    <w:p w14:paraId="68D6BB16"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Head of Sector, Sector of Fisheries and Aquaculture Development Programs, Directorate of Fisheries and Aquaculture Policies and </w:t>
      </w:r>
      <w:proofErr w:type="spellStart"/>
      <w:r w:rsidRPr="00F0379B">
        <w:rPr>
          <w:rFonts w:ascii="Cambria" w:eastAsia="Cambria" w:hAnsi="Cambria" w:cs="Cambria"/>
          <w:sz w:val="20"/>
          <w:szCs w:val="20"/>
          <w:lang w:val="en-US"/>
        </w:rPr>
        <w:t>Programmes</w:t>
      </w:r>
      <w:proofErr w:type="spellEnd"/>
      <w:r w:rsidRPr="00F0379B">
        <w:rPr>
          <w:rFonts w:ascii="Cambria" w:eastAsia="Cambria" w:hAnsi="Cambria" w:cs="Cambria"/>
          <w:sz w:val="20"/>
          <w:szCs w:val="20"/>
          <w:lang w:val="en-US"/>
        </w:rPr>
        <w:t xml:space="preserve">, Ministry of Agriculture and Rural Development, </w:t>
      </w:r>
      <w:proofErr w:type="spellStart"/>
      <w:r w:rsidRPr="00F0379B">
        <w:rPr>
          <w:rFonts w:ascii="Cambria" w:eastAsia="Cambria" w:hAnsi="Cambria" w:cs="Cambria"/>
          <w:sz w:val="20"/>
          <w:szCs w:val="20"/>
          <w:lang w:val="en-US"/>
        </w:rPr>
        <w:t>Bulevardi</w:t>
      </w:r>
      <w:proofErr w:type="spellEnd"/>
      <w:r w:rsidRPr="00F0379B">
        <w:rPr>
          <w:rFonts w:ascii="Cambria" w:eastAsia="Cambria" w:hAnsi="Cambria" w:cs="Cambria"/>
          <w:sz w:val="20"/>
          <w:szCs w:val="20"/>
          <w:lang w:val="en-US"/>
        </w:rPr>
        <w:t xml:space="preserve"> “</w:t>
      </w:r>
      <w:proofErr w:type="spellStart"/>
      <w:r w:rsidRPr="00F0379B">
        <w:rPr>
          <w:rFonts w:ascii="Cambria" w:eastAsia="Cambria" w:hAnsi="Cambria" w:cs="Cambria"/>
          <w:sz w:val="20"/>
          <w:szCs w:val="20"/>
          <w:lang w:val="en-US"/>
        </w:rPr>
        <w:t>Dëshmorët</w:t>
      </w:r>
      <w:proofErr w:type="spellEnd"/>
      <w:r w:rsidRPr="00F0379B">
        <w:rPr>
          <w:rFonts w:ascii="Cambria" w:eastAsia="Cambria" w:hAnsi="Cambria" w:cs="Cambria"/>
          <w:sz w:val="20"/>
          <w:szCs w:val="20"/>
          <w:lang w:val="en-US"/>
        </w:rPr>
        <w:t xml:space="preserve"> e </w:t>
      </w:r>
      <w:proofErr w:type="spellStart"/>
      <w:r w:rsidRPr="00F0379B">
        <w:rPr>
          <w:rFonts w:ascii="Cambria" w:eastAsia="Cambria" w:hAnsi="Cambria" w:cs="Cambria"/>
          <w:sz w:val="20"/>
          <w:szCs w:val="20"/>
          <w:lang w:val="en-US"/>
        </w:rPr>
        <w:t>Kombit</w:t>
      </w:r>
      <w:proofErr w:type="spellEnd"/>
      <w:r w:rsidRPr="00F0379B">
        <w:rPr>
          <w:rFonts w:ascii="Cambria" w:eastAsia="Cambria" w:hAnsi="Cambria" w:cs="Cambria"/>
          <w:sz w:val="20"/>
          <w:szCs w:val="20"/>
          <w:lang w:val="en-US"/>
        </w:rPr>
        <w:t xml:space="preserve">”, Nr.2, </w:t>
      </w:r>
      <w:proofErr w:type="spellStart"/>
      <w:r w:rsidRPr="00F0379B">
        <w:rPr>
          <w:rFonts w:ascii="Cambria" w:eastAsia="Cambria" w:hAnsi="Cambria" w:cs="Cambria"/>
          <w:sz w:val="20"/>
          <w:szCs w:val="20"/>
          <w:lang w:val="en-US"/>
        </w:rPr>
        <w:t>Tiranë</w:t>
      </w:r>
      <w:proofErr w:type="spellEnd"/>
      <w:r w:rsidRPr="00F0379B">
        <w:rPr>
          <w:rFonts w:ascii="Cambria" w:eastAsia="Cambria" w:hAnsi="Cambria" w:cs="Cambria"/>
          <w:sz w:val="20"/>
          <w:szCs w:val="20"/>
          <w:lang w:val="en-US"/>
        </w:rPr>
        <w:t xml:space="preserve">, </w:t>
      </w:r>
      <w:proofErr w:type="spellStart"/>
      <w:r w:rsidRPr="00F0379B">
        <w:rPr>
          <w:rFonts w:ascii="Cambria" w:eastAsia="Cambria" w:hAnsi="Cambria" w:cs="Cambria"/>
          <w:sz w:val="20"/>
          <w:szCs w:val="20"/>
          <w:lang w:val="en-US"/>
        </w:rPr>
        <w:t>Shqipëri</w:t>
      </w:r>
      <w:proofErr w:type="spellEnd"/>
    </w:p>
    <w:p w14:paraId="10D43CFF"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+355 4 2226911, E-Mail: marco.kule@bujqesia.gov.al</w:t>
      </w:r>
    </w:p>
    <w:p w14:paraId="3934BBBC" w14:textId="77777777" w:rsidR="009123AC" w:rsidRPr="00F0379B" w:rsidRDefault="009123AC" w:rsidP="009123AC">
      <w:pPr>
        <w:spacing w:after="0" w:line="240" w:lineRule="auto"/>
        <w:rPr>
          <w:rFonts w:ascii="Cambria" w:eastAsia="Cambria" w:hAnsi="Cambria" w:cs="Cambria"/>
          <w:sz w:val="20"/>
          <w:szCs w:val="20"/>
          <w:lang w:val="pt-PT"/>
        </w:rPr>
      </w:pPr>
    </w:p>
    <w:p w14:paraId="3712DE82"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 xml:space="preserve">ARGELIA </w:t>
      </w:r>
    </w:p>
    <w:p w14:paraId="69EEF871"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Ouchelli</w:t>
      </w:r>
      <w:r w:rsidRPr="00F0379B">
        <w:rPr>
          <w:rFonts w:ascii="Cambria" w:eastAsia="Cambria" w:hAnsi="Cambria" w:cs="Cambria"/>
          <w:sz w:val="20"/>
          <w:szCs w:val="20"/>
          <w:lang w:val="fr-FR"/>
        </w:rPr>
        <w:t>, Amar *</w:t>
      </w:r>
    </w:p>
    <w:p w14:paraId="0FBDF161" w14:textId="77777777" w:rsidR="009123AC" w:rsidRPr="00F0379B" w:rsidRDefault="009123AC" w:rsidP="009123AC">
      <w:pPr>
        <w:spacing w:after="0" w:line="240" w:lineRule="auto"/>
        <w:jc w:val="both"/>
        <w:rPr>
          <w:rFonts w:ascii="Cambria" w:eastAsia="Cambria" w:hAnsi="Cambria" w:cs="Cambria"/>
          <w:color w:val="000000" w:themeColor="text1"/>
          <w:sz w:val="20"/>
          <w:szCs w:val="20"/>
          <w:lang w:val="fr-FR"/>
        </w:rPr>
      </w:pPr>
      <w:r w:rsidRPr="00F0379B">
        <w:rPr>
          <w:rFonts w:ascii="Cambria" w:eastAsia="Cambria" w:hAnsi="Cambria" w:cs="Cambria"/>
          <w:sz w:val="20"/>
          <w:szCs w:val="20"/>
          <w:lang w:val="fr-FR"/>
        </w:rPr>
        <w:t xml:space="preserve">Sous-directeur de la Grande Pêche et de la Pêche Spécialisée, ministère de la Pêche et des Productions halieutiques, Route des quatre canons, 16000 </w:t>
      </w:r>
      <w:r w:rsidRPr="00F0379B">
        <w:rPr>
          <w:rFonts w:ascii="Cambria" w:eastAsia="Cambria" w:hAnsi="Cambria" w:cs="Cambria"/>
          <w:color w:val="000000" w:themeColor="text1"/>
          <w:sz w:val="20"/>
          <w:szCs w:val="20"/>
          <w:lang w:val="fr-FR"/>
        </w:rPr>
        <w:t>Alger</w:t>
      </w:r>
    </w:p>
    <w:p w14:paraId="04E1C00D" w14:textId="77777777" w:rsidR="009123AC" w:rsidRPr="00F912AA" w:rsidRDefault="009123AC" w:rsidP="009123AC">
      <w:pPr>
        <w:spacing w:after="0" w:line="240" w:lineRule="auto"/>
        <w:jc w:val="both"/>
        <w:rPr>
          <w:rFonts w:ascii="Cambria" w:eastAsia="Cambria" w:hAnsi="Cambria" w:cs="Cambria"/>
          <w:color w:val="000000" w:themeColor="text1"/>
          <w:sz w:val="20"/>
          <w:szCs w:val="20"/>
          <w:lang w:val="en-US"/>
        </w:rPr>
      </w:pPr>
      <w:r w:rsidRPr="00F912AA">
        <w:rPr>
          <w:rFonts w:ascii="Cambria" w:eastAsia="Cambria" w:hAnsi="Cambria" w:cs="Cambria"/>
          <w:color w:val="000000" w:themeColor="text1"/>
          <w:sz w:val="20"/>
          <w:szCs w:val="20"/>
          <w:lang w:val="en-US"/>
        </w:rPr>
        <w:t xml:space="preserve">Tel: +213 550 386 938, Fax: +213 234 95597, E-Mail: </w:t>
      </w:r>
      <w:hyperlink r:id="rId59" w:history="1">
        <w:r w:rsidRPr="00F912AA">
          <w:rPr>
            <w:rFonts w:eastAsia="Cambria" w:cs="Cambria"/>
            <w:color w:val="000000" w:themeColor="text1"/>
            <w:kern w:val="2"/>
            <w:sz w:val="20"/>
            <w:szCs w:val="20"/>
            <w:lang w:val="en-US" w:eastAsia="ja-JP"/>
            <w14:ligatures w14:val="standardContextual"/>
          </w:rPr>
          <w:t>amarouchelli.dz@gmail.com</w:t>
        </w:r>
      </w:hyperlink>
      <w:r w:rsidRPr="00F912AA">
        <w:rPr>
          <w:rFonts w:ascii="Cambria" w:eastAsia="Cambria" w:hAnsi="Cambria" w:cs="Cambria"/>
          <w:color w:val="000000" w:themeColor="text1"/>
          <w:sz w:val="20"/>
          <w:szCs w:val="20"/>
          <w:lang w:val="en-US"/>
        </w:rPr>
        <w:t>;</w:t>
      </w:r>
    </w:p>
    <w:p w14:paraId="639173D5" w14:textId="77777777" w:rsidR="009123AC" w:rsidRPr="00F912AA" w:rsidRDefault="009123AC" w:rsidP="009123AC">
      <w:pPr>
        <w:spacing w:after="0" w:line="240" w:lineRule="auto"/>
        <w:jc w:val="both"/>
        <w:rPr>
          <w:rFonts w:ascii="Cambria" w:eastAsia="Cambria" w:hAnsi="Cambria" w:cs="Cambria"/>
          <w:sz w:val="20"/>
          <w:szCs w:val="20"/>
          <w:lang w:val="en-US"/>
        </w:rPr>
      </w:pPr>
      <w:r w:rsidRPr="00F912AA">
        <w:rPr>
          <w:rFonts w:ascii="Cambria" w:eastAsia="Cambria" w:hAnsi="Cambria" w:cs="Cambria"/>
          <w:sz w:val="20"/>
          <w:szCs w:val="20"/>
          <w:lang w:val="en-US"/>
        </w:rPr>
        <w:t xml:space="preserve"> amar.ouchelli@mpeche.gov.dz</w:t>
      </w:r>
    </w:p>
    <w:p w14:paraId="5E15ACA9" w14:textId="77777777" w:rsidR="009123AC" w:rsidRPr="00F912AA" w:rsidRDefault="009123AC" w:rsidP="009123AC">
      <w:pPr>
        <w:spacing w:after="0" w:line="240" w:lineRule="auto"/>
        <w:rPr>
          <w:rFonts w:ascii="Cambria" w:eastAsia="Cambria" w:hAnsi="Cambria" w:cs="Cambria"/>
          <w:sz w:val="20"/>
          <w:szCs w:val="20"/>
          <w:lang w:val="en-US"/>
        </w:rPr>
      </w:pPr>
    </w:p>
    <w:p w14:paraId="008DBA06" w14:textId="77777777" w:rsidR="009123AC" w:rsidRPr="00F912AA" w:rsidRDefault="009123AC" w:rsidP="009123AC">
      <w:pPr>
        <w:spacing w:after="0" w:line="240" w:lineRule="auto"/>
        <w:rPr>
          <w:rFonts w:ascii="Cambria" w:eastAsia="Cambria" w:hAnsi="Cambria" w:cs="Cambria"/>
          <w:sz w:val="20"/>
          <w:szCs w:val="20"/>
          <w:lang w:val="en-US"/>
        </w:rPr>
      </w:pPr>
      <w:r w:rsidRPr="00F912AA">
        <w:rPr>
          <w:rFonts w:ascii="Cambria" w:eastAsia="Cambria" w:hAnsi="Cambria" w:cs="Cambria"/>
          <w:b/>
          <w:sz w:val="20"/>
          <w:szCs w:val="20"/>
          <w:lang w:val="en-US"/>
        </w:rPr>
        <w:t>Melikechi</w:t>
      </w:r>
      <w:r w:rsidRPr="00F912AA">
        <w:rPr>
          <w:rFonts w:ascii="Cambria" w:eastAsia="Cambria" w:hAnsi="Cambria" w:cs="Cambria"/>
          <w:sz w:val="20"/>
          <w:szCs w:val="20"/>
          <w:lang w:val="en-US"/>
        </w:rPr>
        <w:t xml:space="preserve">, Hamza </w:t>
      </w:r>
      <w:r w:rsidRPr="00F912AA">
        <w:rPr>
          <w:rFonts w:ascii="Cambria" w:eastAsia="Cambria" w:hAnsi="Cambria" w:cs="Cambria"/>
          <w:sz w:val="20"/>
          <w:szCs w:val="20"/>
          <w:vertAlign w:val="superscript"/>
          <w:lang w:val="en-US"/>
        </w:rPr>
        <w:t>1</w:t>
      </w:r>
      <w:r w:rsidRPr="00F912AA">
        <w:rPr>
          <w:rFonts w:ascii="Cambria" w:eastAsia="Cambria" w:hAnsi="Cambria" w:cs="Cambria"/>
          <w:sz w:val="20"/>
          <w:szCs w:val="20"/>
          <w:lang w:val="en-US"/>
        </w:rPr>
        <w:t xml:space="preserve"> (online)</w:t>
      </w:r>
    </w:p>
    <w:p w14:paraId="58261780"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16000</w:t>
      </w:r>
    </w:p>
    <w:p w14:paraId="4860607E" w14:textId="77777777" w:rsidR="009123AC" w:rsidRPr="00F0379B" w:rsidRDefault="009123AC" w:rsidP="009123AC">
      <w:pPr>
        <w:spacing w:after="0" w:line="240" w:lineRule="auto"/>
        <w:rPr>
          <w:rFonts w:ascii="Cambria" w:eastAsia="Cambria" w:hAnsi="Cambria" w:cs="Cambria"/>
          <w:sz w:val="20"/>
          <w:szCs w:val="20"/>
        </w:rPr>
      </w:pPr>
    </w:p>
    <w:p w14:paraId="3462A2A8"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Mesbah</w:t>
      </w:r>
      <w:r w:rsidRPr="00F0379B">
        <w:rPr>
          <w:rFonts w:ascii="Cambria" w:eastAsia="Cambria" w:hAnsi="Cambria" w:cs="Cambria"/>
          <w:sz w:val="20"/>
          <w:szCs w:val="20"/>
        </w:rPr>
        <w:t>, Reda</w:t>
      </w:r>
    </w:p>
    <w:p w14:paraId="4706DB8D"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 xml:space="preserve">Secretario Diplomático encargado de Organismos Internacionales en Madrid, Embajada de Argelia en Madrid, C/ General Oraá, </w:t>
      </w:r>
      <w:proofErr w:type="spellStart"/>
      <w:r w:rsidRPr="00F0379B">
        <w:rPr>
          <w:rFonts w:ascii="Cambria" w:eastAsia="Cambria" w:hAnsi="Cambria" w:cs="Cambria"/>
          <w:sz w:val="20"/>
          <w:szCs w:val="20"/>
        </w:rPr>
        <w:t>nº</w:t>
      </w:r>
      <w:proofErr w:type="spellEnd"/>
      <w:r w:rsidRPr="00F0379B">
        <w:rPr>
          <w:rFonts w:ascii="Cambria" w:eastAsia="Cambria" w:hAnsi="Cambria" w:cs="Cambria"/>
          <w:sz w:val="20"/>
          <w:szCs w:val="20"/>
        </w:rPr>
        <w:t xml:space="preserve"> 12, 28006 Madrid, España</w:t>
      </w:r>
    </w:p>
    <w:p w14:paraId="6D2185DD"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+34 91 562 98 77; +34 624 00 44 91, E-Mail: organizacionesinternacionales@emb-argelia.es</w:t>
      </w:r>
    </w:p>
    <w:p w14:paraId="3A1960BA" w14:textId="77777777" w:rsidR="009123AC" w:rsidRPr="00F0379B" w:rsidRDefault="009123AC" w:rsidP="009123AC">
      <w:pPr>
        <w:spacing w:after="0" w:line="240" w:lineRule="auto"/>
        <w:rPr>
          <w:rFonts w:ascii="Cambria" w:eastAsia="Cambria" w:hAnsi="Cambria" w:cs="Cambria"/>
          <w:sz w:val="20"/>
          <w:szCs w:val="20"/>
          <w:lang w:val="pt-PT"/>
        </w:rPr>
      </w:pPr>
    </w:p>
    <w:p w14:paraId="7AA099B5" w14:textId="77777777" w:rsidR="009123AC" w:rsidRPr="00F0379B" w:rsidRDefault="009123AC" w:rsidP="009123AC">
      <w:pPr>
        <w:spacing w:after="0" w:line="240" w:lineRule="auto"/>
        <w:rPr>
          <w:rFonts w:ascii="Cambria" w:eastAsia="Cambria" w:hAnsi="Cambria" w:cs="Cambria"/>
          <w:sz w:val="20"/>
          <w:szCs w:val="20"/>
          <w:lang w:val="fr-FR"/>
        </w:rPr>
      </w:pPr>
      <w:proofErr w:type="spellStart"/>
      <w:r w:rsidRPr="00F0379B">
        <w:rPr>
          <w:rFonts w:ascii="Cambria" w:eastAsia="Cambria" w:hAnsi="Cambria" w:cs="Cambria"/>
          <w:b/>
          <w:sz w:val="20"/>
          <w:szCs w:val="20"/>
          <w:lang w:val="fr-FR"/>
        </w:rPr>
        <w:t>Tamourt</w:t>
      </w:r>
      <w:proofErr w:type="spellEnd"/>
      <w:r w:rsidRPr="00F0379B">
        <w:rPr>
          <w:rFonts w:ascii="Cambria" w:eastAsia="Cambria" w:hAnsi="Cambria" w:cs="Cambria"/>
          <w:sz w:val="20"/>
          <w:szCs w:val="20"/>
          <w:lang w:val="fr-FR"/>
        </w:rPr>
        <w:t xml:space="preserve">, </w:t>
      </w:r>
      <w:proofErr w:type="spellStart"/>
      <w:r w:rsidRPr="00F0379B">
        <w:rPr>
          <w:rFonts w:ascii="Cambria" w:eastAsia="Cambria" w:hAnsi="Cambria" w:cs="Cambria"/>
          <w:sz w:val="20"/>
          <w:szCs w:val="20"/>
          <w:lang w:val="fr-FR"/>
        </w:rPr>
        <w:t>Amira</w:t>
      </w:r>
      <w:proofErr w:type="spellEnd"/>
      <w:r w:rsidRPr="00F0379B">
        <w:rPr>
          <w:rFonts w:ascii="Cambria" w:eastAsia="Cambria" w:hAnsi="Cambria" w:cs="Cambria"/>
          <w:sz w:val="20"/>
          <w:szCs w:val="20"/>
          <w:lang w:val="fr-FR"/>
        </w:rPr>
        <w:t xml:space="preserve"> </w:t>
      </w:r>
      <w:r w:rsidRPr="00F0379B">
        <w:rPr>
          <w:rFonts w:ascii="Cambria" w:eastAsia="Cambria" w:hAnsi="Cambria" w:cs="Cambria"/>
          <w:sz w:val="20"/>
          <w:szCs w:val="20"/>
          <w:vertAlign w:val="superscript"/>
          <w:lang w:val="fr-FR"/>
        </w:rPr>
        <w:t>1</w:t>
      </w:r>
      <w:r w:rsidRPr="00F0379B">
        <w:rPr>
          <w:rFonts w:ascii="Cambria" w:eastAsia="Cambria" w:hAnsi="Cambria" w:cs="Cambria"/>
          <w:sz w:val="20"/>
          <w:szCs w:val="20"/>
          <w:lang w:val="fr-FR"/>
        </w:rPr>
        <w:t xml:space="preserve"> (online)</w:t>
      </w:r>
    </w:p>
    <w:p w14:paraId="7E35A24C" w14:textId="77777777" w:rsidR="009123AC" w:rsidRPr="00F0379B" w:rsidRDefault="009123AC" w:rsidP="009123AC">
      <w:pPr>
        <w:spacing w:after="0" w:line="240" w:lineRule="auto"/>
        <w:jc w:val="both"/>
        <w:rPr>
          <w:rFonts w:ascii="Cambria" w:eastAsia="Cambria" w:hAnsi="Cambria" w:cs="Cambria"/>
          <w:sz w:val="20"/>
          <w:szCs w:val="20"/>
          <w:lang w:val="fr-FR"/>
        </w:rPr>
      </w:pPr>
      <w:proofErr w:type="gramStart"/>
      <w:r w:rsidRPr="00F0379B">
        <w:rPr>
          <w:rFonts w:ascii="Cambria" w:eastAsia="Cambria" w:hAnsi="Cambria" w:cs="Cambria"/>
          <w:sz w:val="20"/>
          <w:szCs w:val="20"/>
          <w:lang w:val="fr-FR"/>
        </w:rPr>
        <w:t>ministère</w:t>
      </w:r>
      <w:proofErr w:type="gramEnd"/>
      <w:r w:rsidRPr="00F0379B">
        <w:rPr>
          <w:rFonts w:ascii="Cambria" w:eastAsia="Cambria" w:hAnsi="Cambria" w:cs="Cambria"/>
          <w:sz w:val="20"/>
          <w:szCs w:val="20"/>
          <w:lang w:val="fr-FR"/>
        </w:rPr>
        <w:t xml:space="preserve"> de la Pêche &amp; des Ressources Halieutiques, 16100 Alger</w:t>
      </w:r>
    </w:p>
    <w:p w14:paraId="6AA02D07" w14:textId="77777777" w:rsidR="009123AC" w:rsidRPr="00F0379B" w:rsidRDefault="009123AC" w:rsidP="009123AC">
      <w:pPr>
        <w:spacing w:after="0" w:line="240" w:lineRule="auto"/>
        <w:rPr>
          <w:rFonts w:ascii="Cambria" w:eastAsia="Cambria" w:hAnsi="Cambria" w:cs="Cambria"/>
          <w:sz w:val="20"/>
          <w:szCs w:val="20"/>
          <w:lang w:val="fr-FR"/>
        </w:rPr>
      </w:pPr>
    </w:p>
    <w:p w14:paraId="1DEC4348"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BELICE</w:t>
      </w:r>
    </w:p>
    <w:p w14:paraId="0BDDDD8D"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Howe</w:t>
      </w:r>
      <w:r w:rsidRPr="00F0379B">
        <w:rPr>
          <w:rFonts w:ascii="Cambria" w:eastAsia="Cambria" w:hAnsi="Cambria" w:cs="Cambria"/>
          <w:sz w:val="20"/>
          <w:szCs w:val="20"/>
          <w:lang w:val="en-US"/>
        </w:rPr>
        <w:t>, Ernie (online)</w:t>
      </w:r>
    </w:p>
    <w:p w14:paraId="59892D22"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High Seas Fisheries Officer, Belize High Seas Fisheries Unit, Ministry of Finance, Government of Belize, Keystone Building, Suite 501, 304 Newtown Barracks, Belize City</w:t>
      </w:r>
    </w:p>
    <w:p w14:paraId="7E95530E"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Tel: +501 223 4918, Fax: +501 223 5087, E-Mail: ernie.howe@bhsfu.gov.bz</w:t>
      </w:r>
    </w:p>
    <w:p w14:paraId="41A03AE5" w14:textId="77777777" w:rsidR="009123AC" w:rsidRPr="00F0379B" w:rsidRDefault="009123AC" w:rsidP="009123AC">
      <w:pPr>
        <w:spacing w:after="0" w:line="240" w:lineRule="auto"/>
        <w:rPr>
          <w:rFonts w:ascii="Cambria" w:eastAsia="Cambria" w:hAnsi="Cambria" w:cs="Cambria"/>
          <w:sz w:val="20"/>
          <w:szCs w:val="20"/>
          <w:lang w:val="en-US"/>
        </w:rPr>
      </w:pPr>
    </w:p>
    <w:p w14:paraId="3B0031F1"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CANADÁ</w:t>
      </w:r>
    </w:p>
    <w:p w14:paraId="1188C0B9"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Waddell</w:t>
      </w:r>
      <w:r w:rsidRPr="00F0379B">
        <w:rPr>
          <w:rFonts w:ascii="Cambria" w:eastAsia="Cambria" w:hAnsi="Cambria" w:cs="Cambria"/>
          <w:sz w:val="20"/>
          <w:szCs w:val="20"/>
          <w:lang w:val="en-US"/>
        </w:rPr>
        <w:t xml:space="preserve">, Mark * </w:t>
      </w:r>
      <w:r w:rsidRPr="00F0379B">
        <w:rPr>
          <w:rFonts w:ascii="Cambria" w:eastAsia="Cambria" w:hAnsi="Cambria" w:cs="Cambria"/>
          <w:sz w:val="20"/>
          <w:szCs w:val="20"/>
          <w:vertAlign w:val="superscript"/>
          <w:lang w:val="en-US"/>
        </w:rPr>
        <w:t>1</w:t>
      </w:r>
      <w:r w:rsidRPr="00F0379B">
        <w:rPr>
          <w:rFonts w:ascii="Cambria" w:eastAsia="Cambria" w:hAnsi="Cambria" w:cs="Cambria"/>
          <w:sz w:val="20"/>
          <w:szCs w:val="20"/>
          <w:lang w:val="en-US"/>
        </w:rPr>
        <w:t xml:space="preserve"> (online)</w:t>
      </w:r>
    </w:p>
    <w:p w14:paraId="46562856"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Director General, Fisheries and Oceans Canada, Ottawa ON K1A0E6</w:t>
      </w:r>
    </w:p>
    <w:p w14:paraId="72564EBF" w14:textId="77777777" w:rsidR="009123AC" w:rsidRPr="00F0379B" w:rsidRDefault="009123AC" w:rsidP="009123AC">
      <w:pPr>
        <w:spacing w:after="0" w:line="240" w:lineRule="auto"/>
        <w:rPr>
          <w:rFonts w:ascii="Cambria" w:eastAsia="Cambria" w:hAnsi="Cambria" w:cs="Cambria"/>
          <w:sz w:val="20"/>
          <w:szCs w:val="20"/>
          <w:lang w:val="en-US"/>
        </w:rPr>
      </w:pPr>
    </w:p>
    <w:p w14:paraId="7417D79D"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Atkinson</w:t>
      </w:r>
      <w:r w:rsidRPr="00F0379B">
        <w:rPr>
          <w:rFonts w:ascii="Cambria" w:eastAsia="Cambria" w:hAnsi="Cambria" w:cs="Cambria"/>
          <w:sz w:val="20"/>
          <w:szCs w:val="20"/>
          <w:lang w:val="en-US"/>
        </w:rPr>
        <w:t>, Troy (online)</w:t>
      </w:r>
    </w:p>
    <w:p w14:paraId="51B7A755"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Nova Scotia </w:t>
      </w:r>
      <w:proofErr w:type="spellStart"/>
      <w:r w:rsidRPr="00F0379B">
        <w:rPr>
          <w:rFonts w:ascii="Cambria" w:eastAsia="Cambria" w:hAnsi="Cambria" w:cs="Cambria"/>
          <w:sz w:val="20"/>
          <w:szCs w:val="20"/>
          <w:lang w:val="en-US"/>
        </w:rPr>
        <w:t>Swordfisherman's</w:t>
      </w:r>
      <w:proofErr w:type="spellEnd"/>
      <w:r w:rsidRPr="00F0379B">
        <w:rPr>
          <w:rFonts w:ascii="Cambria" w:eastAsia="Cambria" w:hAnsi="Cambria" w:cs="Cambria"/>
          <w:sz w:val="20"/>
          <w:szCs w:val="20"/>
          <w:lang w:val="en-US"/>
        </w:rPr>
        <w:t xml:space="preserve"> Association, 384 St George Blvd, Halifax, NS B4B1T2</w:t>
      </w:r>
    </w:p>
    <w:p w14:paraId="0D9B471E"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+1 902 499 7390, E-Mail: atkinsontroy215@gmail.com</w:t>
      </w:r>
    </w:p>
    <w:p w14:paraId="1903F835" w14:textId="77777777" w:rsidR="009123AC" w:rsidRPr="00F0379B" w:rsidRDefault="009123AC" w:rsidP="009123AC">
      <w:pPr>
        <w:spacing w:after="0" w:line="240" w:lineRule="auto"/>
        <w:rPr>
          <w:rFonts w:ascii="Cambria" w:eastAsia="Cambria" w:hAnsi="Cambria" w:cs="Cambria"/>
          <w:sz w:val="20"/>
          <w:szCs w:val="20"/>
          <w:lang w:val="pt-PT"/>
        </w:rPr>
      </w:pPr>
    </w:p>
    <w:p w14:paraId="4855C678"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Duprey</w:t>
      </w:r>
      <w:r w:rsidRPr="00F0379B">
        <w:rPr>
          <w:rFonts w:ascii="Cambria" w:eastAsia="Cambria" w:hAnsi="Cambria" w:cs="Cambria"/>
          <w:sz w:val="20"/>
          <w:szCs w:val="20"/>
          <w:lang w:val="en-US"/>
        </w:rPr>
        <w:t>, Nicholas (online)</w:t>
      </w:r>
    </w:p>
    <w:p w14:paraId="1DABD2CC"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Senior Science Advisor, Fisheries and Oceans Canada, 200-401 Burrard Street, Vancouver, BC V6C 3R2</w:t>
      </w:r>
    </w:p>
    <w:p w14:paraId="63C2907B"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+1 604 499 0469, E-Mail: nicholas.duprey@dfo-mpo.gc.ca</w:t>
      </w:r>
    </w:p>
    <w:p w14:paraId="3A2DBD9D" w14:textId="77777777" w:rsidR="009123AC" w:rsidRPr="00F0379B" w:rsidRDefault="009123AC" w:rsidP="009123AC">
      <w:pPr>
        <w:spacing w:after="0" w:line="240" w:lineRule="auto"/>
        <w:rPr>
          <w:rFonts w:ascii="Cambria" w:eastAsia="Cambria" w:hAnsi="Cambria" w:cs="Cambria"/>
          <w:sz w:val="20"/>
          <w:szCs w:val="20"/>
          <w:lang w:val="pt-PT"/>
        </w:rPr>
      </w:pPr>
    </w:p>
    <w:p w14:paraId="07CFFE57" w14:textId="77777777" w:rsidR="009123AC" w:rsidRPr="00F912AA" w:rsidRDefault="009123AC" w:rsidP="009123AC">
      <w:pPr>
        <w:spacing w:after="0" w:line="240" w:lineRule="auto"/>
        <w:rPr>
          <w:rFonts w:ascii="Cambria" w:eastAsia="Cambria" w:hAnsi="Cambria" w:cs="Cambria"/>
          <w:sz w:val="20"/>
          <w:szCs w:val="20"/>
          <w:lang w:val="fr-FR"/>
        </w:rPr>
      </w:pPr>
      <w:r w:rsidRPr="00F912AA">
        <w:rPr>
          <w:rFonts w:ascii="Cambria" w:eastAsia="Cambria" w:hAnsi="Cambria" w:cs="Cambria"/>
          <w:b/>
          <w:sz w:val="20"/>
          <w:szCs w:val="20"/>
          <w:lang w:val="fr-FR"/>
        </w:rPr>
        <w:t>Elsworth</w:t>
      </w:r>
      <w:r w:rsidRPr="00F912AA">
        <w:rPr>
          <w:rFonts w:ascii="Cambria" w:eastAsia="Cambria" w:hAnsi="Cambria" w:cs="Cambria"/>
          <w:sz w:val="20"/>
          <w:szCs w:val="20"/>
          <w:lang w:val="fr-FR"/>
        </w:rPr>
        <w:t xml:space="preserve">, Samuel G. </w:t>
      </w:r>
      <w:r w:rsidRPr="00F912AA">
        <w:rPr>
          <w:rFonts w:ascii="Cambria" w:eastAsia="Cambria" w:hAnsi="Cambria" w:cs="Cambria"/>
          <w:sz w:val="20"/>
          <w:szCs w:val="20"/>
          <w:vertAlign w:val="superscript"/>
          <w:lang w:val="fr-FR"/>
        </w:rPr>
        <w:t xml:space="preserve">1 </w:t>
      </w:r>
      <w:r w:rsidRPr="00F912AA">
        <w:rPr>
          <w:rFonts w:ascii="Cambria" w:eastAsia="Cambria" w:hAnsi="Cambria" w:cs="Cambria"/>
          <w:sz w:val="20"/>
          <w:szCs w:val="20"/>
          <w:lang w:val="fr-FR"/>
        </w:rPr>
        <w:t>(online)</w:t>
      </w:r>
    </w:p>
    <w:p w14:paraId="515CFBF6" w14:textId="77777777" w:rsidR="009123AC" w:rsidRPr="00F0379B" w:rsidRDefault="009123AC" w:rsidP="009123AC">
      <w:pPr>
        <w:spacing w:after="0" w:line="240" w:lineRule="auto"/>
        <w:jc w:val="both"/>
        <w:rPr>
          <w:rFonts w:ascii="Cambria" w:eastAsia="Cambria" w:hAnsi="Cambria" w:cs="Cambria"/>
          <w:sz w:val="20"/>
          <w:szCs w:val="20"/>
          <w:lang w:val="en-US"/>
        </w:rPr>
      </w:pPr>
      <w:proofErr w:type="gramStart"/>
      <w:r w:rsidRPr="00F0379B">
        <w:rPr>
          <w:rFonts w:ascii="Cambria" w:eastAsia="Cambria" w:hAnsi="Cambria" w:cs="Cambria"/>
          <w:sz w:val="20"/>
          <w:szCs w:val="20"/>
          <w:lang w:val="en-US"/>
        </w:rPr>
        <w:t>South West</w:t>
      </w:r>
      <w:proofErr w:type="gramEnd"/>
      <w:r w:rsidRPr="00F0379B">
        <w:rPr>
          <w:rFonts w:ascii="Cambria" w:eastAsia="Cambria" w:hAnsi="Cambria" w:cs="Cambria"/>
          <w:sz w:val="20"/>
          <w:szCs w:val="20"/>
          <w:lang w:val="en-US"/>
        </w:rPr>
        <w:t xml:space="preserve"> Nova Tuna Association, Bridgewater, NS B4V 2M5</w:t>
      </w:r>
    </w:p>
    <w:p w14:paraId="773AFA95" w14:textId="77777777" w:rsidR="009123AC" w:rsidRPr="00F0379B" w:rsidRDefault="009123AC" w:rsidP="009123AC">
      <w:pPr>
        <w:spacing w:after="0" w:line="240" w:lineRule="auto"/>
        <w:rPr>
          <w:rFonts w:ascii="Cambria" w:eastAsia="Cambria" w:hAnsi="Cambria" w:cs="Cambria"/>
          <w:sz w:val="20"/>
          <w:szCs w:val="20"/>
          <w:lang w:val="en-US"/>
        </w:rPr>
      </w:pPr>
    </w:p>
    <w:p w14:paraId="2CAC2DC0"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MacMillan</w:t>
      </w:r>
      <w:r w:rsidRPr="00F0379B">
        <w:rPr>
          <w:rFonts w:ascii="Cambria" w:eastAsia="Cambria" w:hAnsi="Cambria" w:cs="Cambria"/>
          <w:sz w:val="20"/>
          <w:szCs w:val="20"/>
          <w:lang w:val="en-US"/>
        </w:rPr>
        <w:t>, Robert (online)</w:t>
      </w:r>
    </w:p>
    <w:p w14:paraId="6463EFE5"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Government of Prince Edward Island, Department of Fisheries and Communities, 548 Main Street, Montague, P.E.I C0A </w:t>
      </w:r>
      <w:proofErr w:type="gramStart"/>
      <w:r w:rsidRPr="00F0379B">
        <w:rPr>
          <w:rFonts w:ascii="Cambria" w:eastAsia="Cambria" w:hAnsi="Cambria" w:cs="Cambria"/>
          <w:sz w:val="20"/>
          <w:szCs w:val="20"/>
          <w:lang w:val="en-US"/>
        </w:rPr>
        <w:t>1RD</w:t>
      </w:r>
      <w:proofErr w:type="gramEnd"/>
      <w:r w:rsidRPr="00F0379B">
        <w:rPr>
          <w:rFonts w:ascii="Cambria" w:eastAsia="Cambria" w:hAnsi="Cambria" w:cs="Cambria"/>
          <w:sz w:val="20"/>
          <w:szCs w:val="20"/>
          <w:lang w:val="en-US"/>
        </w:rPr>
        <w:t>; Tel: +1 902 314 0809, E-Mail: rjmacmillan@gov.pe.ca</w:t>
      </w:r>
    </w:p>
    <w:p w14:paraId="68F71987"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lastRenderedPageBreak/>
        <w:t>Sheppard</w:t>
      </w:r>
      <w:r w:rsidRPr="00F0379B">
        <w:rPr>
          <w:rFonts w:ascii="Cambria" w:eastAsia="Cambria" w:hAnsi="Cambria" w:cs="Cambria"/>
          <w:sz w:val="20"/>
          <w:szCs w:val="20"/>
          <w:lang w:val="en-US"/>
        </w:rPr>
        <w:t>, Taylor (online)</w:t>
      </w:r>
    </w:p>
    <w:p w14:paraId="6A9B3B1D"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30 Strawberry March Rd, St. John's, NL A1B4J6</w:t>
      </w:r>
    </w:p>
    <w:p w14:paraId="6037B707"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+1 709 765 1715, E-Mail: taylorsheppard@gov.nl.ca</w:t>
      </w:r>
    </w:p>
    <w:p w14:paraId="54756C2C" w14:textId="77777777" w:rsidR="009123AC" w:rsidRPr="00F0379B" w:rsidRDefault="009123AC" w:rsidP="009123AC">
      <w:pPr>
        <w:spacing w:after="0" w:line="240" w:lineRule="auto"/>
        <w:rPr>
          <w:rFonts w:ascii="Cambria" w:eastAsia="Cambria" w:hAnsi="Cambria" w:cs="Cambria"/>
          <w:b/>
          <w:sz w:val="20"/>
          <w:szCs w:val="20"/>
          <w:lang w:val="pt-BR"/>
        </w:rPr>
      </w:pPr>
    </w:p>
    <w:p w14:paraId="37C3ABA7"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CHINA, (R.P.)</w:t>
      </w:r>
    </w:p>
    <w:p w14:paraId="689CED13"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Fang</w:t>
      </w:r>
      <w:r w:rsidRPr="00F0379B">
        <w:rPr>
          <w:rFonts w:ascii="Cambria" w:eastAsia="Cambria" w:hAnsi="Cambria" w:cs="Cambria"/>
          <w:sz w:val="20"/>
          <w:szCs w:val="20"/>
          <w:lang w:val="en-US"/>
        </w:rPr>
        <w:t xml:space="preserve">, </w:t>
      </w:r>
      <w:proofErr w:type="spellStart"/>
      <w:r w:rsidRPr="00F0379B">
        <w:rPr>
          <w:rFonts w:ascii="Cambria" w:eastAsia="Cambria" w:hAnsi="Cambria" w:cs="Cambria"/>
          <w:sz w:val="20"/>
          <w:szCs w:val="20"/>
          <w:lang w:val="en-US"/>
        </w:rPr>
        <w:t>Lianyong</w:t>
      </w:r>
      <w:proofErr w:type="spellEnd"/>
      <w:r w:rsidRPr="00F0379B">
        <w:rPr>
          <w:rFonts w:ascii="Cambria" w:eastAsia="Cambria" w:hAnsi="Cambria" w:cs="Cambria"/>
          <w:sz w:val="20"/>
          <w:szCs w:val="20"/>
          <w:lang w:val="en-US"/>
        </w:rPr>
        <w:t xml:space="preserve"> (online)</w:t>
      </w:r>
    </w:p>
    <w:p w14:paraId="673FCFB6"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Director assistant, China Overseas Fisheries Association, Room 1216, </w:t>
      </w:r>
      <w:proofErr w:type="spellStart"/>
      <w:r w:rsidRPr="00F0379B">
        <w:rPr>
          <w:rFonts w:ascii="Cambria" w:eastAsia="Cambria" w:hAnsi="Cambria" w:cs="Cambria"/>
          <w:sz w:val="20"/>
          <w:szCs w:val="20"/>
          <w:lang w:val="en-US"/>
        </w:rPr>
        <w:t>Jingchao</w:t>
      </w:r>
      <w:proofErr w:type="spellEnd"/>
      <w:r w:rsidRPr="00F0379B">
        <w:rPr>
          <w:rFonts w:ascii="Cambria" w:eastAsia="Cambria" w:hAnsi="Cambria" w:cs="Cambria"/>
          <w:sz w:val="20"/>
          <w:szCs w:val="20"/>
          <w:lang w:val="en-US"/>
        </w:rPr>
        <w:t xml:space="preserve"> </w:t>
      </w:r>
      <w:proofErr w:type="spellStart"/>
      <w:r w:rsidRPr="00F0379B">
        <w:rPr>
          <w:rFonts w:ascii="Cambria" w:eastAsia="Cambria" w:hAnsi="Cambria" w:cs="Cambria"/>
          <w:sz w:val="20"/>
          <w:szCs w:val="20"/>
          <w:lang w:val="en-US"/>
        </w:rPr>
        <w:t>Massion</w:t>
      </w:r>
      <w:proofErr w:type="spellEnd"/>
      <w:r w:rsidRPr="00F0379B">
        <w:rPr>
          <w:rFonts w:ascii="Cambria" w:eastAsia="Cambria" w:hAnsi="Cambria" w:cs="Cambria"/>
          <w:sz w:val="20"/>
          <w:szCs w:val="20"/>
          <w:lang w:val="en-US"/>
        </w:rPr>
        <w:t xml:space="preserve">, </w:t>
      </w:r>
      <w:proofErr w:type="spellStart"/>
      <w:r w:rsidRPr="00F0379B">
        <w:rPr>
          <w:rFonts w:ascii="Cambria" w:eastAsia="Cambria" w:hAnsi="Cambria" w:cs="Cambria"/>
          <w:sz w:val="20"/>
          <w:szCs w:val="20"/>
          <w:lang w:val="en-US"/>
        </w:rPr>
        <w:t>Nongzhanguannan</w:t>
      </w:r>
      <w:proofErr w:type="spellEnd"/>
      <w:r w:rsidRPr="00F0379B">
        <w:rPr>
          <w:rFonts w:ascii="Cambria" w:eastAsia="Cambria" w:hAnsi="Cambria" w:cs="Cambria"/>
          <w:sz w:val="20"/>
          <w:szCs w:val="20"/>
          <w:lang w:val="en-US"/>
        </w:rPr>
        <w:t xml:space="preserve"> Road, </w:t>
      </w:r>
      <w:proofErr w:type="spellStart"/>
      <w:r w:rsidRPr="00F0379B">
        <w:rPr>
          <w:rFonts w:ascii="Cambria" w:eastAsia="Cambria" w:hAnsi="Cambria" w:cs="Cambria"/>
          <w:sz w:val="20"/>
          <w:szCs w:val="20"/>
          <w:lang w:val="en-US"/>
        </w:rPr>
        <w:t>Cahoyang</w:t>
      </w:r>
      <w:proofErr w:type="spellEnd"/>
      <w:r w:rsidRPr="00F0379B">
        <w:rPr>
          <w:rFonts w:ascii="Cambria" w:eastAsia="Cambria" w:hAnsi="Cambria" w:cs="Cambria"/>
          <w:sz w:val="20"/>
          <w:szCs w:val="20"/>
          <w:lang w:val="en-US"/>
        </w:rPr>
        <w:t xml:space="preserve"> District, 100126 Beijing</w:t>
      </w:r>
    </w:p>
    <w:p w14:paraId="161062D8"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Tel: +86 10 65853488, Fax: +86 10 65850551, E-Mail: fanglianyong@cofa.net.cn</w:t>
      </w:r>
    </w:p>
    <w:p w14:paraId="0DACB743" w14:textId="77777777" w:rsidR="009123AC" w:rsidRPr="00F0379B" w:rsidRDefault="009123AC" w:rsidP="009123AC">
      <w:pPr>
        <w:spacing w:after="0" w:line="240" w:lineRule="auto"/>
        <w:rPr>
          <w:rFonts w:ascii="Cambria" w:eastAsia="Cambria" w:hAnsi="Cambria" w:cs="Cambria"/>
          <w:sz w:val="20"/>
          <w:szCs w:val="20"/>
          <w:lang w:val="en-US"/>
        </w:rPr>
      </w:pPr>
    </w:p>
    <w:p w14:paraId="35FF410F" w14:textId="77777777" w:rsidR="009123AC" w:rsidRPr="00F0379B" w:rsidRDefault="009123AC" w:rsidP="009123AC">
      <w:pPr>
        <w:spacing w:after="0" w:line="240" w:lineRule="auto"/>
        <w:rPr>
          <w:rFonts w:ascii="Cambria" w:eastAsia="Cambria" w:hAnsi="Cambria" w:cs="Cambria"/>
          <w:sz w:val="20"/>
          <w:szCs w:val="20"/>
          <w:lang w:val="en-US"/>
        </w:rPr>
      </w:pPr>
      <w:proofErr w:type="gramStart"/>
      <w:r w:rsidRPr="00F0379B">
        <w:rPr>
          <w:rFonts w:ascii="Cambria" w:eastAsia="Cambria" w:hAnsi="Cambria" w:cs="Cambria"/>
          <w:b/>
          <w:sz w:val="20"/>
          <w:szCs w:val="20"/>
          <w:lang w:val="en-US"/>
        </w:rPr>
        <w:t>Li</w:t>
      </w:r>
      <w:r w:rsidRPr="00F0379B">
        <w:rPr>
          <w:rFonts w:ascii="Cambria" w:eastAsia="Cambria" w:hAnsi="Cambria" w:cs="Cambria"/>
          <w:sz w:val="20"/>
          <w:szCs w:val="20"/>
          <w:lang w:val="en-US"/>
        </w:rPr>
        <w:t>,</w:t>
      </w:r>
      <w:proofErr w:type="gramEnd"/>
      <w:r w:rsidRPr="00F0379B">
        <w:rPr>
          <w:rFonts w:ascii="Cambria" w:eastAsia="Cambria" w:hAnsi="Cambria" w:cs="Cambria"/>
          <w:sz w:val="20"/>
          <w:szCs w:val="20"/>
          <w:lang w:val="en-US"/>
        </w:rPr>
        <w:t xml:space="preserve"> Mingfeng (online)</w:t>
      </w:r>
    </w:p>
    <w:p w14:paraId="1C6FAD60"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Building 19, Block18, 188 West Road, South 4th Ring Road, </w:t>
      </w:r>
      <w:proofErr w:type="spellStart"/>
      <w:r w:rsidRPr="00F0379B">
        <w:rPr>
          <w:rFonts w:ascii="Cambria" w:eastAsia="Cambria" w:hAnsi="Cambria" w:cs="Cambria"/>
          <w:sz w:val="20"/>
          <w:szCs w:val="20"/>
          <w:lang w:val="en-US"/>
        </w:rPr>
        <w:t>Fengtai</w:t>
      </w:r>
      <w:proofErr w:type="spellEnd"/>
      <w:r w:rsidRPr="00F0379B">
        <w:rPr>
          <w:rFonts w:ascii="Cambria" w:eastAsia="Cambria" w:hAnsi="Cambria" w:cs="Cambria"/>
          <w:sz w:val="20"/>
          <w:szCs w:val="20"/>
          <w:lang w:val="en-US"/>
        </w:rPr>
        <w:t xml:space="preserve"> District, 100160 Beijing</w:t>
      </w:r>
    </w:p>
    <w:p w14:paraId="035AF5F3"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Tel: +86 580 368 0260; +86 580 807 0781, Fax: +86 580 368 0256, E-Mail: limingfeng@cofc.com.cn; </w:t>
      </w:r>
      <w:hyperlink r:id="rId60" w:history="1">
        <w:r w:rsidRPr="00F0379B">
          <w:rPr>
            <w:rFonts w:eastAsia="Cambria" w:cs="Cambria"/>
            <w:color w:val="000000" w:themeColor="text1"/>
            <w:kern w:val="2"/>
            <w:sz w:val="20"/>
            <w:szCs w:val="20"/>
            <w:lang w:val="en-US" w:eastAsia="ja-JP"/>
            <w14:ligatures w14:val="standardContextual"/>
          </w:rPr>
          <w:t>limingfeng8805@126.com</w:t>
        </w:r>
      </w:hyperlink>
    </w:p>
    <w:p w14:paraId="539A15FC" w14:textId="77777777" w:rsidR="009123AC" w:rsidRPr="00F0379B" w:rsidRDefault="009123AC" w:rsidP="009123AC">
      <w:pPr>
        <w:spacing w:after="0" w:line="240" w:lineRule="auto"/>
        <w:jc w:val="both"/>
        <w:rPr>
          <w:rFonts w:ascii="Cambria" w:eastAsia="Cambria" w:hAnsi="Cambria" w:cs="Cambria"/>
          <w:sz w:val="20"/>
          <w:szCs w:val="20"/>
          <w:lang w:val="en-US"/>
        </w:rPr>
      </w:pPr>
    </w:p>
    <w:p w14:paraId="594A52EA"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REP. DE COREA</w:t>
      </w:r>
    </w:p>
    <w:p w14:paraId="135BCA34"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Kim</w:t>
      </w:r>
      <w:r w:rsidRPr="00F0379B">
        <w:rPr>
          <w:rFonts w:ascii="Cambria" w:eastAsia="Cambria" w:hAnsi="Cambria" w:cs="Cambria"/>
          <w:sz w:val="20"/>
          <w:szCs w:val="20"/>
          <w:lang w:val="en-US"/>
        </w:rPr>
        <w:t xml:space="preserve">, </w:t>
      </w:r>
      <w:proofErr w:type="spellStart"/>
      <w:r w:rsidRPr="00F0379B">
        <w:rPr>
          <w:rFonts w:ascii="Cambria" w:eastAsia="Cambria" w:hAnsi="Cambria" w:cs="Cambria"/>
          <w:sz w:val="20"/>
          <w:szCs w:val="20"/>
          <w:lang w:val="en-US"/>
        </w:rPr>
        <w:t>RoYun</w:t>
      </w:r>
      <w:proofErr w:type="spellEnd"/>
      <w:r w:rsidRPr="00F0379B">
        <w:rPr>
          <w:rFonts w:ascii="Cambria" w:eastAsia="Cambria" w:hAnsi="Cambria" w:cs="Cambria"/>
          <w:sz w:val="20"/>
          <w:szCs w:val="20"/>
          <w:lang w:val="en-US"/>
        </w:rPr>
        <w:t xml:space="preserve"> *</w:t>
      </w:r>
    </w:p>
    <w:p w14:paraId="4368F5A5"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Deputy Director, Ministry of Oceans and Fisheries (MOF), International Cooperation Division, Marine Policy Office, 14, </w:t>
      </w:r>
      <w:proofErr w:type="spellStart"/>
      <w:r w:rsidRPr="00F0379B">
        <w:rPr>
          <w:rFonts w:ascii="Cambria" w:eastAsia="Cambria" w:hAnsi="Cambria" w:cs="Cambria"/>
          <w:sz w:val="20"/>
          <w:szCs w:val="20"/>
          <w:lang w:val="en-US"/>
        </w:rPr>
        <w:t>Jungang-daero</w:t>
      </w:r>
      <w:proofErr w:type="spellEnd"/>
      <w:r w:rsidRPr="00F0379B">
        <w:rPr>
          <w:rFonts w:ascii="Cambria" w:eastAsia="Cambria" w:hAnsi="Cambria" w:cs="Cambria"/>
          <w:sz w:val="20"/>
          <w:szCs w:val="20"/>
          <w:lang w:val="en-US"/>
        </w:rPr>
        <w:t xml:space="preserve"> 361beon-gil, Dong-</w:t>
      </w:r>
      <w:proofErr w:type="spellStart"/>
      <w:r w:rsidRPr="00F0379B">
        <w:rPr>
          <w:rFonts w:ascii="Cambria" w:eastAsia="Cambria" w:hAnsi="Cambria" w:cs="Cambria"/>
          <w:sz w:val="20"/>
          <w:szCs w:val="20"/>
          <w:lang w:val="en-US"/>
        </w:rPr>
        <w:t>gu</w:t>
      </w:r>
      <w:proofErr w:type="spellEnd"/>
      <w:r w:rsidRPr="00F0379B">
        <w:rPr>
          <w:rFonts w:ascii="Cambria" w:eastAsia="Cambria" w:hAnsi="Cambria" w:cs="Cambria"/>
          <w:sz w:val="20"/>
          <w:szCs w:val="20"/>
          <w:lang w:val="en-US"/>
        </w:rPr>
        <w:t>, 48789 Busan</w:t>
      </w:r>
    </w:p>
    <w:p w14:paraId="2CA4A318"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Tel: +82 442 005 395; +82 10 2381 8065, Fax: +82 44 200 5349, E-Mail: 100ro@korea.kr</w:t>
      </w:r>
    </w:p>
    <w:p w14:paraId="431195A1" w14:textId="77777777" w:rsidR="009123AC" w:rsidRPr="00F0379B" w:rsidRDefault="009123AC" w:rsidP="009123AC">
      <w:pPr>
        <w:spacing w:after="0" w:line="240" w:lineRule="auto"/>
        <w:rPr>
          <w:rFonts w:ascii="Cambria" w:eastAsia="Cambria" w:hAnsi="Cambria" w:cs="Cambria"/>
          <w:sz w:val="20"/>
          <w:szCs w:val="20"/>
          <w:lang w:val="en-US"/>
        </w:rPr>
      </w:pPr>
    </w:p>
    <w:p w14:paraId="14A60706"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Baek</w:t>
      </w:r>
      <w:r w:rsidRPr="00F0379B">
        <w:rPr>
          <w:rFonts w:ascii="Cambria" w:eastAsia="Cambria" w:hAnsi="Cambria" w:cs="Cambria"/>
          <w:sz w:val="20"/>
          <w:szCs w:val="20"/>
          <w:lang w:val="en-US"/>
        </w:rPr>
        <w:t xml:space="preserve">, </w:t>
      </w:r>
      <w:proofErr w:type="spellStart"/>
      <w:r w:rsidRPr="00F0379B">
        <w:rPr>
          <w:rFonts w:ascii="Cambria" w:eastAsia="Cambria" w:hAnsi="Cambria" w:cs="Cambria"/>
          <w:sz w:val="20"/>
          <w:szCs w:val="20"/>
          <w:lang w:val="en-US"/>
        </w:rPr>
        <w:t>Sangjin</w:t>
      </w:r>
      <w:proofErr w:type="spellEnd"/>
      <w:r w:rsidRPr="00F0379B">
        <w:rPr>
          <w:rFonts w:ascii="Cambria" w:eastAsia="Cambria" w:hAnsi="Cambria" w:cs="Cambria"/>
          <w:sz w:val="20"/>
          <w:szCs w:val="20"/>
          <w:lang w:val="en-US"/>
        </w:rPr>
        <w:t xml:space="preserve"> (online)</w:t>
      </w:r>
    </w:p>
    <w:p w14:paraId="40683A3C" w14:textId="77777777" w:rsidR="009123AC" w:rsidRPr="00F912AA" w:rsidRDefault="009123AC" w:rsidP="009123AC">
      <w:pPr>
        <w:spacing w:after="0" w:line="240" w:lineRule="auto"/>
        <w:jc w:val="both"/>
        <w:rPr>
          <w:rFonts w:ascii="Cambria" w:eastAsia="Cambria" w:hAnsi="Cambria" w:cs="Cambria"/>
          <w:sz w:val="20"/>
          <w:szCs w:val="20"/>
          <w:lang w:val="it-IT"/>
        </w:rPr>
      </w:pPr>
      <w:r w:rsidRPr="00F0379B">
        <w:rPr>
          <w:rFonts w:ascii="Cambria" w:eastAsia="Cambria" w:hAnsi="Cambria" w:cs="Cambria"/>
          <w:sz w:val="20"/>
          <w:szCs w:val="20"/>
          <w:lang w:val="en-US"/>
        </w:rPr>
        <w:t xml:space="preserve">Assistant Manager, Korea Overseas Fisheries Association, 6th fl. </w:t>
      </w:r>
      <w:proofErr w:type="spellStart"/>
      <w:r w:rsidRPr="00F912AA">
        <w:rPr>
          <w:rFonts w:ascii="Cambria" w:eastAsia="Cambria" w:hAnsi="Cambria" w:cs="Cambria"/>
          <w:sz w:val="20"/>
          <w:szCs w:val="20"/>
          <w:lang w:val="it-IT"/>
        </w:rPr>
        <w:t>Samho</w:t>
      </w:r>
      <w:proofErr w:type="spellEnd"/>
      <w:r w:rsidRPr="00F912AA">
        <w:rPr>
          <w:rFonts w:ascii="Cambria" w:eastAsia="Cambria" w:hAnsi="Cambria" w:cs="Cambria"/>
          <w:sz w:val="20"/>
          <w:szCs w:val="20"/>
          <w:lang w:val="it-IT"/>
        </w:rPr>
        <w:t xml:space="preserve"> Center </w:t>
      </w:r>
      <w:proofErr w:type="spellStart"/>
      <w:r w:rsidRPr="00F912AA">
        <w:rPr>
          <w:rFonts w:ascii="Cambria" w:eastAsia="Cambria" w:hAnsi="Cambria" w:cs="Cambria"/>
          <w:sz w:val="20"/>
          <w:szCs w:val="20"/>
          <w:lang w:val="it-IT"/>
        </w:rPr>
        <w:t>Bldg</w:t>
      </w:r>
      <w:proofErr w:type="spellEnd"/>
      <w:r w:rsidRPr="00F912AA">
        <w:rPr>
          <w:rFonts w:ascii="Cambria" w:eastAsia="Cambria" w:hAnsi="Cambria" w:cs="Cambria"/>
          <w:sz w:val="20"/>
          <w:szCs w:val="20"/>
          <w:lang w:val="it-IT"/>
        </w:rPr>
        <w:t xml:space="preserve">. "A" 83, </w:t>
      </w:r>
      <w:proofErr w:type="spellStart"/>
      <w:r w:rsidRPr="00F912AA">
        <w:rPr>
          <w:rFonts w:ascii="Cambria" w:eastAsia="Cambria" w:hAnsi="Cambria" w:cs="Cambria"/>
          <w:sz w:val="20"/>
          <w:szCs w:val="20"/>
          <w:lang w:val="it-IT"/>
        </w:rPr>
        <w:t>Nonhyeon</w:t>
      </w:r>
      <w:proofErr w:type="spellEnd"/>
      <w:r w:rsidRPr="00F912AA">
        <w:rPr>
          <w:rFonts w:ascii="Cambria" w:eastAsia="Cambria" w:hAnsi="Cambria" w:cs="Cambria"/>
          <w:sz w:val="20"/>
          <w:szCs w:val="20"/>
          <w:lang w:val="it-IT"/>
        </w:rPr>
        <w:t xml:space="preserve">-ro, 06775 Seoul </w:t>
      </w:r>
      <w:proofErr w:type="spellStart"/>
      <w:r w:rsidRPr="00F912AA">
        <w:rPr>
          <w:rFonts w:ascii="Cambria" w:eastAsia="Cambria" w:hAnsi="Cambria" w:cs="Cambria"/>
          <w:sz w:val="20"/>
          <w:szCs w:val="20"/>
          <w:lang w:val="it-IT"/>
        </w:rPr>
        <w:t>Seocho-gu</w:t>
      </w:r>
      <w:proofErr w:type="spellEnd"/>
    </w:p>
    <w:p w14:paraId="798EED74" w14:textId="77777777" w:rsidR="009123AC" w:rsidRPr="00F912AA" w:rsidRDefault="009123AC" w:rsidP="009123AC">
      <w:pPr>
        <w:spacing w:after="0" w:line="240" w:lineRule="auto"/>
        <w:jc w:val="both"/>
        <w:rPr>
          <w:rFonts w:ascii="Cambria" w:eastAsia="Cambria" w:hAnsi="Cambria" w:cs="Cambria"/>
          <w:sz w:val="20"/>
          <w:szCs w:val="20"/>
          <w:lang w:val="it-IT"/>
        </w:rPr>
      </w:pPr>
      <w:r w:rsidRPr="00F912AA">
        <w:rPr>
          <w:rFonts w:ascii="Cambria" w:eastAsia="Cambria" w:hAnsi="Cambria" w:cs="Cambria"/>
          <w:sz w:val="20"/>
          <w:szCs w:val="20"/>
          <w:lang w:val="it-IT"/>
        </w:rPr>
        <w:t>Tel: +82 258 91614, Fax: +82 258 91610, E-Mail: sjbaek@kosfa.org</w:t>
      </w:r>
    </w:p>
    <w:p w14:paraId="7B387D4A" w14:textId="77777777" w:rsidR="009123AC" w:rsidRPr="00F912AA" w:rsidRDefault="009123AC" w:rsidP="009123AC">
      <w:pPr>
        <w:spacing w:after="0" w:line="240" w:lineRule="auto"/>
        <w:rPr>
          <w:rFonts w:ascii="Cambria" w:eastAsia="Cambria" w:hAnsi="Cambria" w:cs="Cambria"/>
          <w:sz w:val="20"/>
          <w:szCs w:val="20"/>
          <w:lang w:val="it-IT"/>
        </w:rPr>
      </w:pPr>
    </w:p>
    <w:p w14:paraId="412B6D5A" w14:textId="77777777" w:rsidR="009123AC" w:rsidRPr="00F0379B" w:rsidRDefault="009123AC" w:rsidP="009123AC">
      <w:pPr>
        <w:spacing w:after="0" w:line="240" w:lineRule="auto"/>
        <w:rPr>
          <w:rFonts w:ascii="Cambria" w:eastAsia="Cambria" w:hAnsi="Cambria" w:cs="Cambria"/>
          <w:sz w:val="20"/>
          <w:szCs w:val="20"/>
          <w:lang w:val="en-US"/>
        </w:rPr>
      </w:pPr>
      <w:proofErr w:type="gramStart"/>
      <w:r w:rsidRPr="00F0379B">
        <w:rPr>
          <w:rFonts w:ascii="Cambria" w:eastAsia="Cambria" w:hAnsi="Cambria" w:cs="Cambria"/>
          <w:b/>
          <w:sz w:val="20"/>
          <w:szCs w:val="20"/>
          <w:lang w:val="en-US"/>
        </w:rPr>
        <w:t>Kim</w:t>
      </w:r>
      <w:r w:rsidRPr="00F0379B">
        <w:rPr>
          <w:rFonts w:ascii="Cambria" w:eastAsia="Cambria" w:hAnsi="Cambria" w:cs="Cambria"/>
          <w:sz w:val="20"/>
          <w:szCs w:val="20"/>
          <w:lang w:val="en-US"/>
        </w:rPr>
        <w:t>,</w:t>
      </w:r>
      <w:proofErr w:type="gramEnd"/>
      <w:r w:rsidRPr="00F0379B">
        <w:rPr>
          <w:rFonts w:ascii="Cambria" w:eastAsia="Cambria" w:hAnsi="Cambria" w:cs="Cambria"/>
          <w:sz w:val="20"/>
          <w:szCs w:val="20"/>
          <w:lang w:val="en-US"/>
        </w:rPr>
        <w:t xml:space="preserve"> Soomin</w:t>
      </w:r>
    </w:p>
    <w:p w14:paraId="3A0EFE12"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Policy Analyst, Korea Overseas Fisheries Cooperation Center, 6th FL, S Building, 253, </w:t>
      </w:r>
      <w:proofErr w:type="spellStart"/>
      <w:r w:rsidRPr="00F0379B">
        <w:rPr>
          <w:rFonts w:ascii="Cambria" w:eastAsia="Cambria" w:hAnsi="Cambria" w:cs="Cambria"/>
          <w:sz w:val="20"/>
          <w:szCs w:val="20"/>
          <w:lang w:val="en-US"/>
        </w:rPr>
        <w:t>Hannuri-daero</w:t>
      </w:r>
      <w:proofErr w:type="spellEnd"/>
      <w:r w:rsidRPr="00F0379B">
        <w:rPr>
          <w:rFonts w:ascii="Cambria" w:eastAsia="Cambria" w:hAnsi="Cambria" w:cs="Cambria"/>
          <w:sz w:val="20"/>
          <w:szCs w:val="20"/>
          <w:lang w:val="en-US"/>
        </w:rPr>
        <w:t>, 30127 Sejong; Tel: +82 44 868 7363, Fax: +82 44 868 7840, E-Mail: soominkim@kofci.org</w:t>
      </w:r>
    </w:p>
    <w:p w14:paraId="6C35D35A" w14:textId="77777777" w:rsidR="009123AC" w:rsidRPr="00F0379B" w:rsidRDefault="009123AC" w:rsidP="009123AC">
      <w:pPr>
        <w:spacing w:after="0" w:line="240" w:lineRule="auto"/>
        <w:rPr>
          <w:rFonts w:ascii="Cambria" w:eastAsia="Cambria" w:hAnsi="Cambria" w:cs="Cambria"/>
          <w:sz w:val="20"/>
          <w:szCs w:val="20"/>
          <w:lang w:val="en-US"/>
        </w:rPr>
      </w:pPr>
    </w:p>
    <w:p w14:paraId="67FA033A"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Kim</w:t>
      </w:r>
      <w:r w:rsidRPr="00F0379B">
        <w:rPr>
          <w:rFonts w:ascii="Cambria" w:eastAsia="Cambria" w:hAnsi="Cambria" w:cs="Cambria"/>
          <w:sz w:val="20"/>
          <w:szCs w:val="20"/>
          <w:lang w:val="en-US"/>
        </w:rPr>
        <w:t>, Jiwon (online)</w:t>
      </w:r>
    </w:p>
    <w:p w14:paraId="7D5AB8AF" w14:textId="77777777" w:rsidR="009123AC" w:rsidRPr="00F912AA" w:rsidRDefault="009123AC" w:rsidP="009123AC">
      <w:pPr>
        <w:spacing w:after="0" w:line="240" w:lineRule="auto"/>
        <w:jc w:val="both"/>
        <w:rPr>
          <w:rFonts w:ascii="Cambria" w:eastAsia="Cambria" w:hAnsi="Cambria" w:cs="Cambria"/>
          <w:sz w:val="20"/>
          <w:szCs w:val="20"/>
          <w:lang w:val="it-IT"/>
        </w:rPr>
      </w:pPr>
      <w:r w:rsidRPr="00F0379B">
        <w:rPr>
          <w:rFonts w:ascii="Cambria" w:eastAsia="Cambria" w:hAnsi="Cambria" w:cs="Cambria"/>
          <w:sz w:val="20"/>
          <w:szCs w:val="20"/>
          <w:lang w:val="en-US"/>
        </w:rPr>
        <w:t xml:space="preserve">6th fl. </w:t>
      </w:r>
      <w:proofErr w:type="spellStart"/>
      <w:r w:rsidRPr="00F912AA">
        <w:rPr>
          <w:rFonts w:ascii="Cambria" w:eastAsia="Cambria" w:hAnsi="Cambria" w:cs="Cambria"/>
          <w:sz w:val="20"/>
          <w:szCs w:val="20"/>
          <w:lang w:val="it-IT"/>
        </w:rPr>
        <w:t>Samho</w:t>
      </w:r>
      <w:proofErr w:type="spellEnd"/>
      <w:r w:rsidRPr="00F912AA">
        <w:rPr>
          <w:rFonts w:ascii="Cambria" w:eastAsia="Cambria" w:hAnsi="Cambria" w:cs="Cambria"/>
          <w:sz w:val="20"/>
          <w:szCs w:val="20"/>
          <w:lang w:val="it-IT"/>
        </w:rPr>
        <w:t xml:space="preserve"> Center </w:t>
      </w:r>
      <w:proofErr w:type="spellStart"/>
      <w:r w:rsidRPr="00F912AA">
        <w:rPr>
          <w:rFonts w:ascii="Cambria" w:eastAsia="Cambria" w:hAnsi="Cambria" w:cs="Cambria"/>
          <w:sz w:val="20"/>
          <w:szCs w:val="20"/>
          <w:lang w:val="it-IT"/>
        </w:rPr>
        <w:t>Bldg</w:t>
      </w:r>
      <w:proofErr w:type="spellEnd"/>
      <w:r w:rsidRPr="00F912AA">
        <w:rPr>
          <w:rFonts w:ascii="Cambria" w:eastAsia="Cambria" w:hAnsi="Cambria" w:cs="Cambria"/>
          <w:sz w:val="20"/>
          <w:szCs w:val="20"/>
          <w:lang w:val="it-IT"/>
        </w:rPr>
        <w:t xml:space="preserve"> "A" 83, </w:t>
      </w:r>
      <w:proofErr w:type="spellStart"/>
      <w:r w:rsidRPr="00F912AA">
        <w:rPr>
          <w:rFonts w:ascii="Cambria" w:eastAsia="Cambria" w:hAnsi="Cambria" w:cs="Cambria"/>
          <w:sz w:val="20"/>
          <w:szCs w:val="20"/>
          <w:lang w:val="it-IT"/>
        </w:rPr>
        <w:t>Nonhyeon</w:t>
      </w:r>
      <w:proofErr w:type="spellEnd"/>
      <w:r w:rsidRPr="00F912AA">
        <w:rPr>
          <w:rFonts w:ascii="Cambria" w:eastAsia="Cambria" w:hAnsi="Cambria" w:cs="Cambria"/>
          <w:sz w:val="20"/>
          <w:szCs w:val="20"/>
          <w:lang w:val="it-IT"/>
        </w:rPr>
        <w:t>-ro, Seochog-</w:t>
      </w:r>
      <w:proofErr w:type="spellStart"/>
      <w:r w:rsidRPr="00F912AA">
        <w:rPr>
          <w:rFonts w:ascii="Cambria" w:eastAsia="Cambria" w:hAnsi="Cambria" w:cs="Cambria"/>
          <w:sz w:val="20"/>
          <w:szCs w:val="20"/>
          <w:lang w:val="it-IT"/>
        </w:rPr>
        <w:t>gu</w:t>
      </w:r>
      <w:proofErr w:type="spellEnd"/>
      <w:r w:rsidRPr="00F912AA">
        <w:rPr>
          <w:rFonts w:ascii="Cambria" w:eastAsia="Cambria" w:hAnsi="Cambria" w:cs="Cambria"/>
          <w:sz w:val="20"/>
          <w:szCs w:val="20"/>
          <w:lang w:val="it-IT"/>
        </w:rPr>
        <w:t>, 06775 Seoul</w:t>
      </w:r>
    </w:p>
    <w:p w14:paraId="1C6C1201" w14:textId="77777777" w:rsidR="009123AC" w:rsidRPr="00F912AA" w:rsidRDefault="009123AC" w:rsidP="009123AC">
      <w:pPr>
        <w:spacing w:after="0" w:line="240" w:lineRule="auto"/>
        <w:jc w:val="both"/>
        <w:rPr>
          <w:rFonts w:ascii="Cambria" w:eastAsia="Cambria" w:hAnsi="Cambria" w:cs="Cambria"/>
          <w:sz w:val="20"/>
          <w:szCs w:val="20"/>
          <w:lang w:val="it-IT"/>
        </w:rPr>
      </w:pPr>
      <w:r w:rsidRPr="00F912AA">
        <w:rPr>
          <w:rFonts w:ascii="Cambria" w:eastAsia="Cambria" w:hAnsi="Cambria" w:cs="Cambria"/>
          <w:sz w:val="20"/>
          <w:szCs w:val="20"/>
          <w:lang w:val="it-IT"/>
        </w:rPr>
        <w:t>Tel: +82 2 589 1615, E-Mail: jwkim@kosfa.org</w:t>
      </w:r>
    </w:p>
    <w:p w14:paraId="78FB70B9" w14:textId="77777777" w:rsidR="009123AC" w:rsidRPr="00F912AA" w:rsidRDefault="009123AC" w:rsidP="009123AC">
      <w:pPr>
        <w:spacing w:after="0" w:line="240" w:lineRule="auto"/>
        <w:jc w:val="both"/>
        <w:rPr>
          <w:rFonts w:ascii="Cambria" w:eastAsia="Cambria" w:hAnsi="Cambria" w:cs="Cambria"/>
          <w:sz w:val="20"/>
          <w:szCs w:val="20"/>
          <w:lang w:val="it-IT"/>
        </w:rPr>
      </w:pPr>
    </w:p>
    <w:p w14:paraId="61206A88" w14:textId="77777777" w:rsidR="009123AC" w:rsidRPr="00F912AA" w:rsidRDefault="009123AC" w:rsidP="009123AC">
      <w:pPr>
        <w:spacing w:after="0" w:line="240" w:lineRule="auto"/>
        <w:rPr>
          <w:rFonts w:ascii="Cambria" w:eastAsia="Cambria" w:hAnsi="Cambria" w:cs="Cambria"/>
          <w:sz w:val="20"/>
          <w:szCs w:val="20"/>
          <w:lang w:val="it-IT"/>
        </w:rPr>
      </w:pPr>
      <w:r w:rsidRPr="00F912AA">
        <w:rPr>
          <w:rFonts w:ascii="Cambria" w:eastAsia="Cambria" w:hAnsi="Cambria" w:cs="Cambria"/>
          <w:b/>
          <w:sz w:val="20"/>
          <w:szCs w:val="20"/>
          <w:lang w:val="it-IT"/>
        </w:rPr>
        <w:t>EGIPTO</w:t>
      </w:r>
    </w:p>
    <w:p w14:paraId="33A3D107" w14:textId="77777777" w:rsidR="009123AC" w:rsidRPr="00F912AA" w:rsidRDefault="009123AC" w:rsidP="009123AC">
      <w:pPr>
        <w:spacing w:after="0" w:line="240" w:lineRule="auto"/>
        <w:rPr>
          <w:rFonts w:ascii="Cambria" w:eastAsia="Cambria" w:hAnsi="Cambria" w:cs="Cambria"/>
          <w:sz w:val="20"/>
          <w:szCs w:val="20"/>
          <w:lang w:val="it-IT"/>
        </w:rPr>
      </w:pPr>
      <w:r w:rsidRPr="00F912AA">
        <w:rPr>
          <w:rFonts w:ascii="Cambria" w:eastAsia="Cambria" w:hAnsi="Cambria" w:cs="Cambria"/>
          <w:b/>
          <w:sz w:val="20"/>
          <w:szCs w:val="20"/>
          <w:lang w:val="it-IT"/>
        </w:rPr>
        <w:t>Hammam</w:t>
      </w:r>
      <w:r w:rsidRPr="00F912AA">
        <w:rPr>
          <w:rFonts w:ascii="Cambria" w:eastAsia="Cambria" w:hAnsi="Cambria" w:cs="Cambria"/>
          <w:sz w:val="20"/>
          <w:szCs w:val="20"/>
          <w:lang w:val="it-IT"/>
        </w:rPr>
        <w:t>, Doaa</w:t>
      </w:r>
    </w:p>
    <w:p w14:paraId="2E96C96B"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Lakes and Fish Resources Protection and Development Agency, 210, area B - City, 5th District Road 90, 11311 New Cairo</w:t>
      </w:r>
    </w:p>
    <w:p w14:paraId="69B9D979" w14:textId="77777777" w:rsidR="009123AC" w:rsidRPr="00F912AA" w:rsidRDefault="009123AC" w:rsidP="009123AC">
      <w:pPr>
        <w:spacing w:after="0" w:line="240" w:lineRule="auto"/>
        <w:jc w:val="both"/>
        <w:rPr>
          <w:rFonts w:ascii="Cambria" w:eastAsia="Cambria" w:hAnsi="Cambria" w:cs="Cambria"/>
          <w:sz w:val="20"/>
          <w:szCs w:val="20"/>
          <w:lang w:val="it-IT"/>
        </w:rPr>
      </w:pPr>
      <w:r w:rsidRPr="00F912AA">
        <w:rPr>
          <w:rFonts w:ascii="Cambria" w:eastAsia="Cambria" w:hAnsi="Cambria" w:cs="Cambria"/>
          <w:sz w:val="20"/>
          <w:szCs w:val="20"/>
          <w:lang w:val="it-IT"/>
        </w:rPr>
        <w:t>Tel: +201 117 507 513, Fax: +202 281 17007, E-Mail: gafrd_eg@hotmail.com</w:t>
      </w:r>
    </w:p>
    <w:p w14:paraId="19D8DB5D" w14:textId="77777777" w:rsidR="009123AC" w:rsidRPr="00F912AA" w:rsidRDefault="009123AC" w:rsidP="009123AC">
      <w:pPr>
        <w:spacing w:after="0" w:line="240" w:lineRule="auto"/>
        <w:rPr>
          <w:rFonts w:ascii="Cambria" w:eastAsia="Cambria" w:hAnsi="Cambria" w:cs="Cambria"/>
          <w:b/>
          <w:sz w:val="20"/>
          <w:szCs w:val="20"/>
          <w:lang w:val="it-IT"/>
        </w:rPr>
      </w:pPr>
    </w:p>
    <w:p w14:paraId="2F64418C" w14:textId="77777777" w:rsidR="009123AC" w:rsidRPr="00F912AA" w:rsidRDefault="009123AC" w:rsidP="009123AC">
      <w:pPr>
        <w:spacing w:after="0" w:line="240" w:lineRule="auto"/>
        <w:rPr>
          <w:rFonts w:ascii="Cambria" w:eastAsia="Cambria" w:hAnsi="Cambria" w:cs="Cambria"/>
          <w:sz w:val="20"/>
          <w:szCs w:val="20"/>
          <w:lang w:val="it-IT"/>
        </w:rPr>
      </w:pPr>
      <w:r w:rsidRPr="00F912AA">
        <w:rPr>
          <w:rFonts w:ascii="Cambria" w:eastAsia="Cambria" w:hAnsi="Cambria" w:cs="Cambria"/>
          <w:b/>
          <w:sz w:val="20"/>
          <w:szCs w:val="20"/>
          <w:lang w:val="it-IT"/>
        </w:rPr>
        <w:t>Abdelaziz</w:t>
      </w:r>
      <w:r w:rsidRPr="00F912AA">
        <w:rPr>
          <w:rFonts w:ascii="Cambria" w:eastAsia="Cambria" w:hAnsi="Cambria" w:cs="Cambria"/>
          <w:sz w:val="20"/>
          <w:szCs w:val="20"/>
          <w:lang w:val="it-IT"/>
        </w:rPr>
        <w:t>, Mai Atia Mostafa (online)</w:t>
      </w:r>
    </w:p>
    <w:p w14:paraId="34336BA1"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Production Research Specialist, Manager of Bilateral Agreements Department, 210, area B - City, 5th District Road 90, 11311 New Cairo</w:t>
      </w:r>
    </w:p>
    <w:p w14:paraId="33B4DC2D"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Tel: +201 003 878 312, Fax: +202 281 117 007, E-Mail: janahesham08@gmail.com</w:t>
      </w:r>
    </w:p>
    <w:p w14:paraId="3C6F7846" w14:textId="77777777" w:rsidR="009123AC" w:rsidRPr="00F0379B" w:rsidRDefault="009123AC" w:rsidP="009123AC">
      <w:pPr>
        <w:spacing w:after="0" w:line="240" w:lineRule="auto"/>
        <w:rPr>
          <w:rFonts w:ascii="Cambria" w:eastAsia="Cambria" w:hAnsi="Cambria" w:cs="Cambria"/>
          <w:sz w:val="20"/>
          <w:szCs w:val="20"/>
          <w:lang w:val="en-US"/>
        </w:rPr>
      </w:pPr>
    </w:p>
    <w:p w14:paraId="1B65EBAD"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Badr</w:t>
      </w:r>
      <w:r w:rsidRPr="00F0379B">
        <w:rPr>
          <w:rFonts w:ascii="Cambria" w:eastAsia="Cambria" w:hAnsi="Cambria" w:cs="Cambria"/>
          <w:sz w:val="20"/>
          <w:szCs w:val="20"/>
          <w:lang w:val="en-US"/>
        </w:rPr>
        <w:t>, Fatma Elzahraa (online)</w:t>
      </w:r>
    </w:p>
    <w:p w14:paraId="300F01F2"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Fish Production Specialist, Agreements Administration, Lakes and Fish Resources Protection and Development Agency, 210, area B - City, 5th District Road 90, 11311 New Cairo</w:t>
      </w:r>
    </w:p>
    <w:p w14:paraId="4ACA804C"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Tel: +201 092 348 338, Fax: +202 228 117 008, E-Mail: fatima.elzahraa.medo@gmail.com</w:t>
      </w:r>
    </w:p>
    <w:p w14:paraId="55A8C637" w14:textId="77777777" w:rsidR="009123AC" w:rsidRPr="00F0379B" w:rsidRDefault="009123AC" w:rsidP="009123AC">
      <w:pPr>
        <w:spacing w:after="0" w:line="240" w:lineRule="auto"/>
        <w:rPr>
          <w:rFonts w:ascii="Cambria" w:eastAsia="Cambria" w:hAnsi="Cambria" w:cs="Cambria"/>
          <w:sz w:val="20"/>
          <w:szCs w:val="20"/>
        </w:rPr>
      </w:pPr>
    </w:p>
    <w:p w14:paraId="46C90751"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Montaser</w:t>
      </w:r>
      <w:r w:rsidRPr="00F0379B">
        <w:rPr>
          <w:rFonts w:ascii="Cambria" w:eastAsia="Cambria" w:hAnsi="Cambria" w:cs="Cambria"/>
          <w:sz w:val="20"/>
          <w:szCs w:val="20"/>
        </w:rPr>
        <w:t>, Aly</w:t>
      </w:r>
    </w:p>
    <w:p w14:paraId="292A9860"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 xml:space="preserve">Embajada de Egipto, Calle Velázquez, 69, 28006 Madrid, España; </w:t>
      </w:r>
    </w:p>
    <w:p w14:paraId="62246E91"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+34 689 566 858, E-Mail: ali.montaser2011@gmail.com</w:t>
      </w:r>
    </w:p>
    <w:p w14:paraId="2AB2ACC2" w14:textId="77777777" w:rsidR="009123AC" w:rsidRPr="00F0379B" w:rsidRDefault="009123AC" w:rsidP="009123AC">
      <w:pPr>
        <w:spacing w:after="0" w:line="240" w:lineRule="auto"/>
        <w:rPr>
          <w:rFonts w:ascii="Cambria" w:eastAsia="Cambria" w:hAnsi="Cambria" w:cs="Cambria"/>
          <w:sz w:val="20"/>
          <w:szCs w:val="20"/>
          <w:lang w:val="pt-PT"/>
        </w:rPr>
      </w:pPr>
    </w:p>
    <w:p w14:paraId="239A6086"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Nasr</w:t>
      </w:r>
      <w:r w:rsidRPr="00F0379B">
        <w:rPr>
          <w:rFonts w:ascii="Cambria" w:eastAsia="Cambria" w:hAnsi="Cambria" w:cs="Cambria"/>
          <w:sz w:val="20"/>
          <w:szCs w:val="20"/>
          <w:lang w:val="en-US"/>
        </w:rPr>
        <w:t>, Marwa Abdelfatah (online)</w:t>
      </w:r>
    </w:p>
    <w:p w14:paraId="7475CA8B"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Lakes &amp; Fish Resources Protection &amp; Development Agency Plot No, 210 Second Sector, City Center, Northern 90 </w:t>
      </w:r>
      <w:proofErr w:type="spellStart"/>
      <w:r w:rsidRPr="00F0379B">
        <w:rPr>
          <w:rFonts w:ascii="Cambria" w:eastAsia="Cambria" w:hAnsi="Cambria" w:cs="Cambria"/>
          <w:sz w:val="20"/>
          <w:szCs w:val="20"/>
          <w:lang w:val="en-US"/>
        </w:rPr>
        <w:t>th</w:t>
      </w:r>
      <w:proofErr w:type="spellEnd"/>
      <w:r w:rsidRPr="00F0379B">
        <w:rPr>
          <w:rFonts w:ascii="Cambria" w:eastAsia="Cambria" w:hAnsi="Cambria" w:cs="Cambria"/>
          <w:sz w:val="20"/>
          <w:szCs w:val="20"/>
          <w:lang w:val="en-US"/>
        </w:rPr>
        <w:t xml:space="preserve"> St., Fifth Settlement, New Cairo</w:t>
      </w:r>
    </w:p>
    <w:p w14:paraId="65E83CD7" w14:textId="77777777" w:rsidR="009123AC" w:rsidRPr="00F0379B" w:rsidRDefault="009123AC" w:rsidP="009123AC">
      <w:pPr>
        <w:spacing w:after="0" w:line="240" w:lineRule="auto"/>
        <w:jc w:val="both"/>
        <w:rPr>
          <w:rFonts w:ascii="Cambria" w:eastAsia="Cambria" w:hAnsi="Cambria" w:cs="Cambria"/>
          <w:color w:val="000000" w:themeColor="text1"/>
          <w:sz w:val="20"/>
          <w:szCs w:val="20"/>
          <w:lang w:val="pt-PT"/>
        </w:rPr>
      </w:pPr>
      <w:r w:rsidRPr="00F0379B">
        <w:rPr>
          <w:rFonts w:ascii="Cambria" w:eastAsia="Cambria" w:hAnsi="Cambria" w:cs="Cambria"/>
          <w:sz w:val="20"/>
          <w:szCs w:val="20"/>
          <w:lang w:val="pt-PT"/>
        </w:rPr>
        <w:t>Tel: +20 111 500 1400, E-</w:t>
      </w:r>
      <w:r w:rsidRPr="00F0379B">
        <w:rPr>
          <w:rFonts w:ascii="Cambria" w:eastAsia="Cambria" w:hAnsi="Cambria" w:cs="Cambria"/>
          <w:color w:val="000000" w:themeColor="text1"/>
          <w:sz w:val="20"/>
          <w:szCs w:val="20"/>
          <w:lang w:val="pt-PT"/>
        </w:rPr>
        <w:t xml:space="preserve">Mail: </w:t>
      </w:r>
      <w:hyperlink r:id="rId61" w:history="1">
        <w:r w:rsidRPr="00F0379B">
          <w:rPr>
            <w:rFonts w:ascii="Cambria" w:eastAsia="Cambria" w:hAnsi="Cambria" w:cs="Cambria"/>
            <w:color w:val="000000" w:themeColor="text1"/>
            <w:sz w:val="20"/>
            <w:szCs w:val="20"/>
            <w:lang w:val="pt-PT"/>
          </w:rPr>
          <w:t>marwanasr899@gmail.com</w:t>
        </w:r>
      </w:hyperlink>
    </w:p>
    <w:p w14:paraId="1972F82C" w14:textId="77777777" w:rsidR="009123AC" w:rsidRPr="00F0379B" w:rsidRDefault="009123AC" w:rsidP="009123AC">
      <w:pPr>
        <w:spacing w:after="0" w:line="240" w:lineRule="auto"/>
        <w:jc w:val="both"/>
        <w:rPr>
          <w:rFonts w:ascii="Cambria" w:eastAsia="Cambria" w:hAnsi="Cambria" w:cs="Cambria"/>
          <w:sz w:val="20"/>
          <w:szCs w:val="20"/>
          <w:lang w:val="pt-PT"/>
        </w:rPr>
      </w:pPr>
    </w:p>
    <w:p w14:paraId="6AA77152"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lastRenderedPageBreak/>
        <w:t>Yussri</w:t>
      </w:r>
      <w:proofErr w:type="spellEnd"/>
      <w:r w:rsidRPr="00F0379B">
        <w:rPr>
          <w:rFonts w:ascii="Cambria" w:eastAsia="Cambria" w:hAnsi="Cambria" w:cs="Cambria"/>
          <w:b/>
          <w:sz w:val="20"/>
          <w:szCs w:val="20"/>
          <w:lang w:val="en-US"/>
        </w:rPr>
        <w:t xml:space="preserve"> Mohamed</w:t>
      </w:r>
      <w:r w:rsidRPr="00F0379B">
        <w:rPr>
          <w:rFonts w:ascii="Cambria" w:eastAsia="Cambria" w:hAnsi="Cambria" w:cs="Cambria"/>
          <w:sz w:val="20"/>
          <w:szCs w:val="20"/>
          <w:lang w:val="en-US"/>
        </w:rPr>
        <w:t>, Bassam</w:t>
      </w:r>
    </w:p>
    <w:p w14:paraId="34B33F9D"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Head of Planning and Follow-Up Branch, National Company for Fisheries and Aquaculture, 6 A, Al-Khalifa Al-Ma'mun Street, Heliopolis, Cairo</w:t>
      </w:r>
    </w:p>
    <w:p w14:paraId="5B9C484B"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+20 122 484 2868, E-Mail: bassam.f22.1982@gmail.com</w:t>
      </w:r>
    </w:p>
    <w:p w14:paraId="158E526B" w14:textId="77777777" w:rsidR="009123AC" w:rsidRPr="00F0379B" w:rsidRDefault="009123AC" w:rsidP="009123AC">
      <w:pPr>
        <w:spacing w:after="0" w:line="240" w:lineRule="auto"/>
        <w:rPr>
          <w:rFonts w:ascii="Cambria" w:eastAsia="Cambria" w:hAnsi="Cambria" w:cs="Cambria"/>
          <w:sz w:val="20"/>
          <w:szCs w:val="20"/>
          <w:lang w:val="pt-PT"/>
        </w:rPr>
      </w:pPr>
    </w:p>
    <w:p w14:paraId="0FFC9F4D" w14:textId="77777777" w:rsidR="009123AC" w:rsidRPr="00F912AA" w:rsidRDefault="009123AC" w:rsidP="009123AC">
      <w:pPr>
        <w:spacing w:after="0" w:line="240" w:lineRule="auto"/>
        <w:rPr>
          <w:rFonts w:ascii="Cambria" w:eastAsia="Cambria" w:hAnsi="Cambria" w:cs="Cambria"/>
          <w:sz w:val="20"/>
          <w:szCs w:val="20"/>
        </w:rPr>
      </w:pPr>
      <w:r w:rsidRPr="00F912AA">
        <w:rPr>
          <w:rFonts w:ascii="Cambria" w:eastAsia="Cambria" w:hAnsi="Cambria" w:cs="Cambria"/>
          <w:b/>
          <w:sz w:val="20"/>
          <w:szCs w:val="20"/>
        </w:rPr>
        <w:t>ESTADOS UNIDOS</w:t>
      </w:r>
    </w:p>
    <w:p w14:paraId="69780AF0"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Lawler</w:t>
      </w:r>
      <w:r w:rsidRPr="00F0379B">
        <w:rPr>
          <w:rFonts w:ascii="Cambria" w:eastAsia="Cambria" w:hAnsi="Cambria" w:cs="Cambria"/>
          <w:sz w:val="20"/>
          <w:szCs w:val="20"/>
          <w:lang w:val="en-US"/>
        </w:rPr>
        <w:t>, Andrew *</w:t>
      </w:r>
    </w:p>
    <w:p w14:paraId="3D487B58"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Principal Deputy Assistant Secretary for International Fisheries, National Oceanic and Atmospheric Administration - NOAA, U.S. Department of Commerce, 1401 Constitution Ave, NW., Washington DC 20230</w:t>
      </w:r>
    </w:p>
    <w:p w14:paraId="20B0B6DD"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+1 202 569 2010, E-Mail: andrew.lawler@noaa.gov</w:t>
      </w:r>
    </w:p>
    <w:p w14:paraId="3663F23C" w14:textId="77777777" w:rsidR="009123AC" w:rsidRPr="00F0379B" w:rsidRDefault="009123AC" w:rsidP="009123AC">
      <w:pPr>
        <w:spacing w:after="0" w:line="240" w:lineRule="auto"/>
        <w:rPr>
          <w:rFonts w:ascii="Cambria" w:eastAsia="Cambria" w:hAnsi="Cambria" w:cs="Cambria"/>
          <w:sz w:val="20"/>
          <w:szCs w:val="20"/>
          <w:lang w:val="pt-PT"/>
        </w:rPr>
      </w:pPr>
    </w:p>
    <w:p w14:paraId="3350B93F"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Baker</w:t>
      </w:r>
      <w:r w:rsidRPr="00F0379B">
        <w:rPr>
          <w:rFonts w:ascii="Cambria" w:eastAsia="Cambria" w:hAnsi="Cambria" w:cs="Cambria"/>
          <w:sz w:val="20"/>
          <w:szCs w:val="20"/>
          <w:lang w:val="en-US"/>
        </w:rPr>
        <w:t>, Colleen (online)</w:t>
      </w:r>
    </w:p>
    <w:p w14:paraId="3ADF6A5F"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Foreign Affairs Officer, Office of Marine Conservation (OES/OMC), Bureau of Oceans and International Environmental and Scientific Affairs, U.S. Department of State, Washington DC 20520</w:t>
      </w:r>
    </w:p>
    <w:p w14:paraId="2800991A"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+1 609 206 9830; +1 202 538 1070, E-Mail: bakerca2@fan.gov</w:t>
      </w:r>
    </w:p>
    <w:p w14:paraId="39FE4513" w14:textId="77777777" w:rsidR="009123AC" w:rsidRPr="00F0379B" w:rsidRDefault="009123AC" w:rsidP="009123AC">
      <w:pPr>
        <w:spacing w:after="0" w:line="240" w:lineRule="auto"/>
        <w:rPr>
          <w:rFonts w:ascii="Cambria" w:eastAsia="Cambria" w:hAnsi="Cambria" w:cs="Cambria"/>
          <w:sz w:val="20"/>
          <w:szCs w:val="20"/>
          <w:lang w:val="pt-PT"/>
        </w:rPr>
      </w:pPr>
    </w:p>
    <w:p w14:paraId="6AACC071"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Bogan</w:t>
      </w:r>
      <w:r w:rsidRPr="00F0379B">
        <w:rPr>
          <w:rFonts w:ascii="Cambria" w:eastAsia="Cambria" w:hAnsi="Cambria" w:cs="Cambria"/>
          <w:sz w:val="20"/>
          <w:szCs w:val="20"/>
          <w:lang w:val="en-US"/>
        </w:rPr>
        <w:t xml:space="preserve">, Raymond D. </w:t>
      </w:r>
      <w:r w:rsidRPr="00F0379B">
        <w:rPr>
          <w:rFonts w:ascii="Cambria" w:eastAsia="Cambria" w:hAnsi="Cambria" w:cs="Cambria"/>
          <w:sz w:val="20"/>
          <w:szCs w:val="20"/>
          <w:vertAlign w:val="superscript"/>
          <w:lang w:val="en-US"/>
        </w:rPr>
        <w:t xml:space="preserve">1 </w:t>
      </w:r>
      <w:r w:rsidRPr="00F0379B">
        <w:rPr>
          <w:rFonts w:ascii="Cambria" w:eastAsia="Cambria" w:hAnsi="Cambria" w:cs="Cambria"/>
          <w:sz w:val="20"/>
          <w:szCs w:val="20"/>
          <w:lang w:val="en-US"/>
        </w:rPr>
        <w:t>(online)</w:t>
      </w:r>
    </w:p>
    <w:p w14:paraId="005FA764"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Partner, Sinn, Fitzsimmons, </w:t>
      </w:r>
      <w:proofErr w:type="spellStart"/>
      <w:r w:rsidRPr="00F0379B">
        <w:rPr>
          <w:rFonts w:ascii="Cambria" w:eastAsia="Cambria" w:hAnsi="Cambria" w:cs="Cambria"/>
          <w:sz w:val="20"/>
          <w:szCs w:val="20"/>
          <w:lang w:val="en-US"/>
        </w:rPr>
        <w:t>Cantoli</w:t>
      </w:r>
      <w:proofErr w:type="spellEnd"/>
      <w:r w:rsidRPr="00F0379B">
        <w:rPr>
          <w:rFonts w:ascii="Cambria" w:eastAsia="Cambria" w:hAnsi="Cambria" w:cs="Cambria"/>
          <w:sz w:val="20"/>
          <w:szCs w:val="20"/>
          <w:lang w:val="en-US"/>
        </w:rPr>
        <w:t>, Bogan &amp; West, Sea Girt New Jersey 08750</w:t>
      </w:r>
    </w:p>
    <w:p w14:paraId="70A54FDD" w14:textId="77777777" w:rsidR="009123AC" w:rsidRPr="00F0379B" w:rsidRDefault="009123AC" w:rsidP="009123AC">
      <w:pPr>
        <w:spacing w:after="0" w:line="240" w:lineRule="auto"/>
        <w:rPr>
          <w:rFonts w:ascii="Cambria" w:eastAsia="Cambria" w:hAnsi="Cambria" w:cs="Cambria"/>
          <w:sz w:val="20"/>
          <w:szCs w:val="20"/>
          <w:lang w:val="en-US"/>
        </w:rPr>
      </w:pPr>
    </w:p>
    <w:p w14:paraId="10F5B565"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Díaz</w:t>
      </w:r>
      <w:r w:rsidRPr="00F0379B">
        <w:rPr>
          <w:rFonts w:ascii="Cambria" w:eastAsia="Cambria" w:hAnsi="Cambria" w:cs="Cambria"/>
          <w:sz w:val="20"/>
          <w:szCs w:val="20"/>
          <w:lang w:val="en-US"/>
        </w:rPr>
        <w:t>, Guillermo (online)</w:t>
      </w:r>
    </w:p>
    <w:p w14:paraId="3D3C98F7"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NOAA-Fisheries, Southeast Fisheries Science Center, 75 Virginia Beach Drive, Miami, Florida 33149</w:t>
      </w:r>
    </w:p>
    <w:p w14:paraId="58C51B30"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+1 305 361 4227; +1 305 898 4035, E-Mail: guillermo.diaz@noaa.gov</w:t>
      </w:r>
    </w:p>
    <w:p w14:paraId="1CB0EA04" w14:textId="77777777" w:rsidR="009123AC" w:rsidRPr="00F0379B" w:rsidRDefault="009123AC" w:rsidP="009123AC">
      <w:pPr>
        <w:spacing w:after="0" w:line="240" w:lineRule="auto"/>
        <w:rPr>
          <w:rFonts w:ascii="Cambria" w:eastAsia="Cambria" w:hAnsi="Cambria" w:cs="Cambria"/>
          <w:sz w:val="20"/>
          <w:szCs w:val="20"/>
          <w:lang w:val="pt-PT"/>
        </w:rPr>
      </w:pPr>
    </w:p>
    <w:p w14:paraId="4A0E4C4E"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Golet</w:t>
      </w:r>
      <w:proofErr w:type="spellEnd"/>
      <w:r w:rsidRPr="00F0379B">
        <w:rPr>
          <w:rFonts w:ascii="Cambria" w:eastAsia="Cambria" w:hAnsi="Cambria" w:cs="Cambria"/>
          <w:sz w:val="20"/>
          <w:szCs w:val="20"/>
          <w:lang w:val="en-US"/>
        </w:rPr>
        <w:t>, Walter (online)</w:t>
      </w:r>
    </w:p>
    <w:p w14:paraId="219236A9"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Research Assistant Professor, University of Maine School of Marine Sciences, 360 Aubert Hall, Orono, ME 04469-5706</w:t>
      </w:r>
    </w:p>
    <w:p w14:paraId="0147C192"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+1 207 581 4383, E-Mail: walter.golet@maine.edu</w:t>
      </w:r>
    </w:p>
    <w:p w14:paraId="38D9BF27" w14:textId="77777777" w:rsidR="009123AC" w:rsidRPr="00F0379B" w:rsidRDefault="009123AC" w:rsidP="009123AC">
      <w:pPr>
        <w:spacing w:after="0" w:line="240" w:lineRule="auto"/>
        <w:rPr>
          <w:rFonts w:ascii="Cambria" w:eastAsia="Cambria" w:hAnsi="Cambria" w:cs="Cambria"/>
          <w:sz w:val="20"/>
          <w:szCs w:val="20"/>
          <w:lang w:val="pt-PT"/>
        </w:rPr>
      </w:pPr>
    </w:p>
    <w:p w14:paraId="14870F18"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Harris</w:t>
      </w:r>
      <w:r w:rsidRPr="00F0379B">
        <w:rPr>
          <w:rFonts w:ascii="Cambria" w:eastAsia="Cambria" w:hAnsi="Cambria" w:cs="Cambria"/>
          <w:sz w:val="20"/>
          <w:szCs w:val="20"/>
          <w:lang w:val="en-US"/>
        </w:rPr>
        <w:t>, Madison</w:t>
      </w:r>
    </w:p>
    <w:p w14:paraId="1C5AB515"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Foreign Affairs Specialist, Office of International Affairs, Trade, and Commerce (F/IATC), NOAA, National Marine Fisheries Service, National Oceanic and Atmospheric Administration, U.S. Department of Commerce, 1315 East-West Highway, Silver Spring, Maryland 20910</w:t>
      </w:r>
    </w:p>
    <w:p w14:paraId="5EE1A44B"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+1 202 480 4592, E-Mail: madison.harris@noaa.gov</w:t>
      </w:r>
    </w:p>
    <w:p w14:paraId="1168BDE5" w14:textId="77777777" w:rsidR="009123AC" w:rsidRPr="00F0379B" w:rsidRDefault="009123AC" w:rsidP="009123AC">
      <w:pPr>
        <w:spacing w:after="0" w:line="240" w:lineRule="auto"/>
        <w:rPr>
          <w:rFonts w:ascii="Cambria" w:eastAsia="Cambria" w:hAnsi="Cambria" w:cs="Cambria"/>
          <w:sz w:val="20"/>
          <w:szCs w:val="20"/>
          <w:lang w:val="pt-PT"/>
        </w:rPr>
      </w:pPr>
    </w:p>
    <w:p w14:paraId="7A49BC33"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Hemilright</w:t>
      </w:r>
      <w:proofErr w:type="spellEnd"/>
      <w:r w:rsidRPr="00F0379B">
        <w:rPr>
          <w:rFonts w:ascii="Cambria" w:eastAsia="Cambria" w:hAnsi="Cambria" w:cs="Cambria"/>
          <w:sz w:val="20"/>
          <w:szCs w:val="20"/>
          <w:lang w:val="en-US"/>
        </w:rPr>
        <w:t>, Francis Dewey (online)</w:t>
      </w:r>
    </w:p>
    <w:p w14:paraId="79C5F1B3"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Owner/Operator, F/V TARBABY, P.O. Box 667, Wanchese, North Carolina 27981</w:t>
      </w:r>
    </w:p>
    <w:p w14:paraId="39D665ED"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+1 252 473 0135, E-Mail: dewey.hemilright@gmail.com</w:t>
      </w:r>
    </w:p>
    <w:p w14:paraId="7110FF59" w14:textId="77777777" w:rsidR="009123AC" w:rsidRPr="00F0379B" w:rsidRDefault="009123AC" w:rsidP="009123AC">
      <w:pPr>
        <w:spacing w:after="0" w:line="240" w:lineRule="auto"/>
        <w:rPr>
          <w:rFonts w:ascii="Cambria" w:eastAsia="Cambria" w:hAnsi="Cambria" w:cs="Cambria"/>
          <w:sz w:val="20"/>
          <w:szCs w:val="20"/>
          <w:lang w:val="pt-PT"/>
        </w:rPr>
      </w:pPr>
    </w:p>
    <w:p w14:paraId="3420F9C3" w14:textId="77777777" w:rsidR="009123AC" w:rsidRPr="00F912AA" w:rsidRDefault="009123AC" w:rsidP="009123AC">
      <w:pPr>
        <w:spacing w:after="0" w:line="240" w:lineRule="auto"/>
        <w:rPr>
          <w:rFonts w:ascii="Cambria" w:eastAsia="Cambria" w:hAnsi="Cambria" w:cs="Cambria"/>
          <w:sz w:val="20"/>
          <w:szCs w:val="20"/>
          <w:lang w:val="it-IT"/>
        </w:rPr>
      </w:pPr>
      <w:r w:rsidRPr="00F912AA">
        <w:rPr>
          <w:rFonts w:ascii="Cambria" w:eastAsia="Cambria" w:hAnsi="Cambria" w:cs="Cambria"/>
          <w:b/>
          <w:sz w:val="20"/>
          <w:szCs w:val="20"/>
          <w:lang w:val="it-IT"/>
        </w:rPr>
        <w:t>Htun</w:t>
      </w:r>
      <w:r w:rsidRPr="00F912AA">
        <w:rPr>
          <w:rFonts w:ascii="Cambria" w:eastAsia="Cambria" w:hAnsi="Cambria" w:cs="Cambria"/>
          <w:sz w:val="20"/>
          <w:szCs w:val="20"/>
          <w:lang w:val="it-IT"/>
        </w:rPr>
        <w:t>, Emma (online)</w:t>
      </w:r>
    </w:p>
    <w:p w14:paraId="701A6E33"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Attorney-Advisor, Office of the General Counsel for Fisheries, National Oceanic and Atmospheric Administration, U.S. Department of Commerce, MD 20910</w:t>
      </w:r>
    </w:p>
    <w:p w14:paraId="41029BDB" w14:textId="77777777" w:rsidR="009123AC" w:rsidRPr="00F0379B" w:rsidRDefault="009123AC" w:rsidP="009123AC">
      <w:pPr>
        <w:spacing w:after="0" w:line="240" w:lineRule="auto"/>
        <w:rPr>
          <w:rFonts w:ascii="Cambria" w:eastAsia="Cambria" w:hAnsi="Cambria" w:cs="Cambria"/>
          <w:sz w:val="20"/>
          <w:szCs w:val="20"/>
          <w:lang w:val="en-US"/>
        </w:rPr>
      </w:pPr>
    </w:p>
    <w:p w14:paraId="1C21E7D1"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Keller</w:t>
      </w:r>
      <w:r w:rsidRPr="00F0379B">
        <w:rPr>
          <w:rFonts w:ascii="Cambria" w:eastAsia="Cambria" w:hAnsi="Cambria" w:cs="Cambria"/>
          <w:sz w:val="20"/>
          <w:szCs w:val="20"/>
          <w:lang w:val="en-US"/>
        </w:rPr>
        <w:t>, Bryan (online)</w:t>
      </w:r>
    </w:p>
    <w:p w14:paraId="5BC70CCC"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Foreign Affairs Specialist, Office of International Affairs, Trade and Commerce (F/IATC), NOAA, National Marine Fisheries Service, 1315 East-West Highway, Silver Spring, Maryland 20910</w:t>
      </w:r>
    </w:p>
    <w:p w14:paraId="7E42E012"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+1 202 897 9208; +1 301 427 7725, E-Mail: bryan.keller@noaa.gov</w:t>
      </w:r>
    </w:p>
    <w:p w14:paraId="669B1D4E" w14:textId="77777777" w:rsidR="009123AC" w:rsidRPr="00F0379B" w:rsidRDefault="009123AC" w:rsidP="009123AC">
      <w:pPr>
        <w:spacing w:after="0" w:line="240" w:lineRule="auto"/>
        <w:rPr>
          <w:rFonts w:ascii="Cambria" w:eastAsia="Cambria" w:hAnsi="Cambria" w:cs="Cambria"/>
          <w:sz w:val="20"/>
          <w:szCs w:val="20"/>
          <w:lang w:val="pt-PT"/>
        </w:rPr>
      </w:pPr>
    </w:p>
    <w:p w14:paraId="67C02275" w14:textId="77777777" w:rsidR="009123AC" w:rsidRPr="00F912AA" w:rsidRDefault="009123AC" w:rsidP="009123AC">
      <w:pPr>
        <w:spacing w:after="0" w:line="240" w:lineRule="auto"/>
        <w:rPr>
          <w:rFonts w:ascii="Cambria" w:eastAsia="Cambria" w:hAnsi="Cambria" w:cs="Cambria"/>
          <w:sz w:val="20"/>
          <w:szCs w:val="20"/>
          <w:lang w:val="it-IT"/>
        </w:rPr>
      </w:pPr>
      <w:r w:rsidRPr="00F912AA">
        <w:rPr>
          <w:rFonts w:ascii="Cambria" w:eastAsia="Cambria" w:hAnsi="Cambria" w:cs="Cambria"/>
          <w:b/>
          <w:sz w:val="20"/>
          <w:szCs w:val="20"/>
          <w:lang w:val="it-IT"/>
        </w:rPr>
        <w:t>McLaughlin</w:t>
      </w:r>
      <w:r w:rsidRPr="00F912AA">
        <w:rPr>
          <w:rFonts w:ascii="Cambria" w:eastAsia="Cambria" w:hAnsi="Cambria" w:cs="Cambria"/>
          <w:sz w:val="20"/>
          <w:szCs w:val="20"/>
          <w:lang w:val="it-IT"/>
        </w:rPr>
        <w:t>, Sarah</w:t>
      </w:r>
    </w:p>
    <w:p w14:paraId="50F6DCA3"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Senior Highly Migratory Species Policy Advisor, Management Division, Greater Atlantic Regional Office, NOAA - National Marine Fisheries Service (NMFS), National Oceanic and Atmospheric Administration, U.S. Department of Commerce, 55 Great Republic Drive, Gloucester, Massachusetts 01930</w:t>
      </w:r>
    </w:p>
    <w:p w14:paraId="297B35E7"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+978 281 9260, E-Mail: sarah.mclaughlin@noaa.gov</w:t>
      </w:r>
    </w:p>
    <w:p w14:paraId="76CFACD7" w14:textId="77777777" w:rsidR="009123AC" w:rsidRPr="00F0379B" w:rsidRDefault="009123AC" w:rsidP="009123AC">
      <w:pPr>
        <w:spacing w:after="0" w:line="240" w:lineRule="auto"/>
        <w:rPr>
          <w:rFonts w:ascii="Cambria" w:eastAsia="Cambria" w:hAnsi="Cambria" w:cs="Cambria"/>
          <w:sz w:val="20"/>
          <w:szCs w:val="20"/>
          <w:lang w:val="pt-PT"/>
        </w:rPr>
      </w:pPr>
    </w:p>
    <w:p w14:paraId="1826B0B7"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Perry</w:t>
      </w:r>
      <w:r w:rsidRPr="00F0379B">
        <w:rPr>
          <w:rFonts w:ascii="Cambria" w:eastAsia="Cambria" w:hAnsi="Cambria" w:cs="Cambria"/>
          <w:sz w:val="20"/>
          <w:szCs w:val="20"/>
          <w:lang w:val="en-US"/>
        </w:rPr>
        <w:t>, Ruth (online)</w:t>
      </w:r>
    </w:p>
    <w:p w14:paraId="1F5612A8"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2201 C. St NW, Washington DC 20520</w:t>
      </w:r>
    </w:p>
    <w:p w14:paraId="44167705"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+1 703 785 7023, E-Mail: PerryRL@state.gov</w:t>
      </w:r>
    </w:p>
    <w:p w14:paraId="2CE0D94D" w14:textId="77777777" w:rsidR="009123AC" w:rsidRPr="00F0379B" w:rsidRDefault="009123AC" w:rsidP="009123AC">
      <w:pPr>
        <w:spacing w:after="0" w:line="240" w:lineRule="auto"/>
        <w:rPr>
          <w:rFonts w:ascii="Cambria" w:eastAsia="Cambria" w:hAnsi="Cambria" w:cs="Cambria"/>
          <w:sz w:val="20"/>
          <w:szCs w:val="20"/>
          <w:lang w:val="pt-PT"/>
        </w:rPr>
      </w:pPr>
    </w:p>
    <w:p w14:paraId="48FD3AAF" w14:textId="77777777" w:rsidR="009123AC" w:rsidRPr="00F0379B" w:rsidRDefault="009123AC" w:rsidP="009123AC">
      <w:pPr>
        <w:spacing w:line="259" w:lineRule="auto"/>
        <w:rPr>
          <w:rFonts w:ascii="Cambria" w:eastAsia="Cambria" w:hAnsi="Cambria" w:cs="Cambria"/>
          <w:b/>
          <w:sz w:val="20"/>
          <w:szCs w:val="20"/>
          <w:lang w:val="pt-BR"/>
        </w:rPr>
      </w:pPr>
      <w:r w:rsidRPr="00F0379B">
        <w:rPr>
          <w:rFonts w:ascii="Cambria" w:eastAsia="Cambria" w:hAnsi="Cambria" w:cs="Cambria"/>
          <w:b/>
          <w:sz w:val="20"/>
          <w:szCs w:val="20"/>
          <w:lang w:val="pt-BR"/>
        </w:rPr>
        <w:br w:type="page"/>
      </w:r>
    </w:p>
    <w:p w14:paraId="35C13201"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lastRenderedPageBreak/>
        <w:t>Schalit</w:t>
      </w:r>
      <w:proofErr w:type="spellEnd"/>
      <w:r w:rsidRPr="00F0379B">
        <w:rPr>
          <w:rFonts w:ascii="Cambria" w:eastAsia="Cambria" w:hAnsi="Cambria" w:cs="Cambria"/>
          <w:sz w:val="20"/>
          <w:szCs w:val="20"/>
          <w:lang w:val="en-US"/>
        </w:rPr>
        <w:t>, David (online)</w:t>
      </w:r>
    </w:p>
    <w:p w14:paraId="4FA80F74"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President, American Bluefin Tuna Association, P.O. Box 854, Norwell, Massachusetts 02061</w:t>
      </w:r>
    </w:p>
    <w:p w14:paraId="7D65ACBA"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+1 917 573 7922, E-Mail: dschalit@gmail.com</w:t>
      </w:r>
    </w:p>
    <w:p w14:paraId="40A068BC" w14:textId="77777777" w:rsidR="009123AC" w:rsidRPr="00F0379B" w:rsidRDefault="009123AC" w:rsidP="009123AC">
      <w:pPr>
        <w:spacing w:after="0" w:line="240" w:lineRule="auto"/>
        <w:rPr>
          <w:rFonts w:ascii="Cambria" w:eastAsia="Cambria" w:hAnsi="Cambria" w:cs="Cambria"/>
          <w:sz w:val="20"/>
          <w:szCs w:val="20"/>
          <w:lang w:val="pt-PT"/>
        </w:rPr>
      </w:pPr>
    </w:p>
    <w:p w14:paraId="64DED63A"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Sissenwine</w:t>
      </w:r>
      <w:proofErr w:type="spellEnd"/>
      <w:r w:rsidRPr="00F0379B">
        <w:rPr>
          <w:rFonts w:ascii="Cambria" w:eastAsia="Cambria" w:hAnsi="Cambria" w:cs="Cambria"/>
          <w:sz w:val="20"/>
          <w:szCs w:val="20"/>
          <w:lang w:val="en-US"/>
        </w:rPr>
        <w:t>, Michael P. (online)</w:t>
      </w:r>
    </w:p>
    <w:p w14:paraId="53CD586B"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Visiting Scholar, Marine Policy Center, Woods Hole Oceanographic Institution, 39 Mill Pond Way, East Falmouth Massachusetts 02536</w:t>
      </w:r>
    </w:p>
    <w:p w14:paraId="07C5E98D"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+1 508 566 3144, E-Mail: m.sissenwine@gmail.com</w:t>
      </w:r>
    </w:p>
    <w:p w14:paraId="4E9D702F" w14:textId="77777777" w:rsidR="009123AC" w:rsidRPr="00F0379B" w:rsidRDefault="009123AC" w:rsidP="009123AC">
      <w:pPr>
        <w:spacing w:after="0" w:line="240" w:lineRule="auto"/>
        <w:rPr>
          <w:rFonts w:ascii="Cambria" w:eastAsia="Cambria" w:hAnsi="Cambria" w:cs="Cambria"/>
          <w:sz w:val="20"/>
          <w:szCs w:val="20"/>
          <w:lang w:val="pt-PT"/>
        </w:rPr>
      </w:pPr>
    </w:p>
    <w:p w14:paraId="08E58A21"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Walter</w:t>
      </w:r>
      <w:r w:rsidRPr="00F0379B">
        <w:rPr>
          <w:rFonts w:ascii="Cambria" w:eastAsia="Cambria" w:hAnsi="Cambria" w:cs="Cambria"/>
          <w:sz w:val="20"/>
          <w:szCs w:val="20"/>
          <w:lang w:val="en-US"/>
        </w:rPr>
        <w:t>, John</w:t>
      </w:r>
    </w:p>
    <w:p w14:paraId="68F0B94D"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Deputy Director, Southeast Fisheries Science Center, National Marine Fisheries Service, National Oceanic and Atmospheric Administration, U.S. Department of Commerce, 75 Virginia Beach Drive, Miami, Florida 33149</w:t>
      </w:r>
    </w:p>
    <w:p w14:paraId="7601AA58"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Tel: +305 365 4114; +1 804 815 0881, Fax: +1 305 361 4562, E-Mail: john.f.walter@noaa.gov</w:t>
      </w:r>
    </w:p>
    <w:p w14:paraId="38F0D6F9" w14:textId="77777777" w:rsidR="009123AC" w:rsidRPr="00F0379B" w:rsidRDefault="009123AC" w:rsidP="009123AC">
      <w:pPr>
        <w:spacing w:after="0" w:line="240" w:lineRule="auto"/>
        <w:rPr>
          <w:rFonts w:ascii="Cambria" w:eastAsia="Cambria" w:hAnsi="Cambria" w:cs="Cambria"/>
          <w:b/>
          <w:sz w:val="20"/>
          <w:szCs w:val="20"/>
        </w:rPr>
      </w:pPr>
    </w:p>
    <w:p w14:paraId="0A73E29B"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FRANCIA (S. PEDRO Y MIQUELON)</w:t>
      </w:r>
    </w:p>
    <w:p w14:paraId="1AC9071D"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Couston</w:t>
      </w:r>
      <w:r w:rsidRPr="00F0379B">
        <w:rPr>
          <w:rFonts w:ascii="Cambria" w:eastAsia="Cambria" w:hAnsi="Cambria" w:cs="Cambria"/>
          <w:sz w:val="20"/>
          <w:szCs w:val="20"/>
          <w:lang w:val="fr-FR"/>
        </w:rPr>
        <w:t>, Constance (online)</w:t>
      </w:r>
    </w:p>
    <w:p w14:paraId="2D229CDB"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 xml:space="preserve">Deputy Head of Maritime </w:t>
      </w:r>
      <w:proofErr w:type="spellStart"/>
      <w:r w:rsidRPr="00F0379B">
        <w:rPr>
          <w:rFonts w:ascii="Cambria" w:eastAsia="Cambria" w:hAnsi="Cambria" w:cs="Cambria"/>
          <w:sz w:val="20"/>
          <w:szCs w:val="20"/>
          <w:lang w:val="fr-FR"/>
        </w:rPr>
        <w:t>Affairs</w:t>
      </w:r>
      <w:proofErr w:type="spellEnd"/>
      <w:r w:rsidRPr="00F0379B">
        <w:rPr>
          <w:rFonts w:ascii="Cambria" w:eastAsia="Cambria" w:hAnsi="Cambria" w:cs="Cambria"/>
          <w:sz w:val="20"/>
          <w:szCs w:val="20"/>
          <w:lang w:val="fr-FR"/>
        </w:rPr>
        <w:t xml:space="preserve">, Direction des Territoires, de l'Alimentation et de la Mer, 1, rue </w:t>
      </w:r>
      <w:proofErr w:type="spellStart"/>
      <w:r w:rsidRPr="00F0379B">
        <w:rPr>
          <w:rFonts w:ascii="Cambria" w:eastAsia="Cambria" w:hAnsi="Cambria" w:cs="Cambria"/>
          <w:sz w:val="20"/>
          <w:szCs w:val="20"/>
          <w:lang w:val="fr-FR"/>
        </w:rPr>
        <w:t>Gloanec</w:t>
      </w:r>
      <w:proofErr w:type="spellEnd"/>
      <w:r w:rsidRPr="00F0379B">
        <w:rPr>
          <w:rFonts w:ascii="Cambria" w:eastAsia="Cambria" w:hAnsi="Cambria" w:cs="Cambria"/>
          <w:sz w:val="20"/>
          <w:szCs w:val="20"/>
          <w:lang w:val="fr-FR"/>
        </w:rPr>
        <w:t xml:space="preserve"> BP 4217, 97500 Saint-Pierre et Miquelon</w:t>
      </w:r>
    </w:p>
    <w:p w14:paraId="23E855AD"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+33 508 411 530, E-Mail: constance.couston@equipement-agriculture.gouv.fr</w:t>
      </w:r>
    </w:p>
    <w:p w14:paraId="232B98B4" w14:textId="77777777" w:rsidR="009123AC" w:rsidRPr="00F0379B" w:rsidRDefault="009123AC" w:rsidP="009123AC">
      <w:pPr>
        <w:spacing w:after="0" w:line="240" w:lineRule="auto"/>
        <w:rPr>
          <w:rFonts w:ascii="Cambria" w:eastAsia="Cambria" w:hAnsi="Cambria" w:cs="Cambria"/>
          <w:sz w:val="20"/>
          <w:szCs w:val="20"/>
          <w:lang w:val="pt-PT"/>
        </w:rPr>
      </w:pPr>
    </w:p>
    <w:p w14:paraId="5A8DF679"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REP. DE GUINEA</w:t>
      </w:r>
    </w:p>
    <w:p w14:paraId="13356BEF"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Soumah</w:t>
      </w:r>
      <w:r w:rsidRPr="00F0379B">
        <w:rPr>
          <w:rFonts w:ascii="Cambria" w:eastAsia="Cambria" w:hAnsi="Cambria" w:cs="Cambria"/>
          <w:sz w:val="20"/>
          <w:szCs w:val="20"/>
          <w:lang w:val="en-US"/>
        </w:rPr>
        <w:t>, Mohamed (online)</w:t>
      </w:r>
    </w:p>
    <w:p w14:paraId="037A597D" w14:textId="29CAC894"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 xml:space="preserve">Responsable de Système d'Information Halieutique, Chef de Service Informatique du Centre National des Sciences Halieutiques de </w:t>
      </w:r>
      <w:proofErr w:type="spellStart"/>
      <w:r w:rsidRPr="00F0379B">
        <w:rPr>
          <w:rFonts w:ascii="Cambria" w:eastAsia="Cambria" w:hAnsi="Cambria" w:cs="Cambria"/>
          <w:sz w:val="20"/>
          <w:szCs w:val="20"/>
          <w:lang w:val="fr-FR"/>
        </w:rPr>
        <w:t>Boussoura</w:t>
      </w:r>
      <w:proofErr w:type="spellEnd"/>
      <w:r w:rsidRPr="00F0379B">
        <w:rPr>
          <w:rFonts w:ascii="Cambria" w:eastAsia="Cambria" w:hAnsi="Cambria" w:cs="Cambria"/>
          <w:sz w:val="20"/>
          <w:szCs w:val="20"/>
          <w:lang w:val="fr-FR"/>
        </w:rPr>
        <w:t xml:space="preserve"> (CNSHB), 814, Rue MA 500, Corniche Sud </w:t>
      </w:r>
      <w:proofErr w:type="spellStart"/>
      <w:r w:rsidRPr="00F0379B">
        <w:rPr>
          <w:rFonts w:ascii="Cambria" w:eastAsia="Cambria" w:hAnsi="Cambria" w:cs="Cambria"/>
          <w:sz w:val="20"/>
          <w:szCs w:val="20"/>
          <w:lang w:val="fr-FR"/>
        </w:rPr>
        <w:t>Madina</w:t>
      </w:r>
      <w:proofErr w:type="spellEnd"/>
      <w:r w:rsidRPr="00F0379B">
        <w:rPr>
          <w:rFonts w:ascii="Cambria" w:eastAsia="Cambria" w:hAnsi="Cambria" w:cs="Cambria"/>
          <w:sz w:val="20"/>
          <w:szCs w:val="20"/>
          <w:lang w:val="fr-FR"/>
        </w:rPr>
        <w:t xml:space="preserve">, </w:t>
      </w:r>
      <w:proofErr w:type="spellStart"/>
      <w:r w:rsidRPr="00F0379B">
        <w:rPr>
          <w:rFonts w:ascii="Cambria" w:eastAsia="Cambria" w:hAnsi="Cambria" w:cs="Cambria"/>
          <w:sz w:val="20"/>
          <w:szCs w:val="20"/>
          <w:lang w:val="fr-FR"/>
        </w:rPr>
        <w:t>Boussoura</w:t>
      </w:r>
      <w:proofErr w:type="spellEnd"/>
      <w:r w:rsidRPr="00F0379B">
        <w:rPr>
          <w:rFonts w:ascii="Cambria" w:eastAsia="Cambria" w:hAnsi="Cambria" w:cs="Cambria"/>
          <w:sz w:val="20"/>
          <w:szCs w:val="20"/>
          <w:lang w:val="fr-FR"/>
        </w:rPr>
        <w:t xml:space="preserve">, </w:t>
      </w:r>
      <w:proofErr w:type="gramStart"/>
      <w:r w:rsidRPr="00F0379B">
        <w:rPr>
          <w:rFonts w:ascii="Cambria" w:eastAsia="Cambria" w:hAnsi="Cambria" w:cs="Cambria"/>
          <w:sz w:val="20"/>
          <w:szCs w:val="20"/>
          <w:lang w:val="fr-FR"/>
        </w:rPr>
        <w:t>BP:</w:t>
      </w:r>
      <w:proofErr w:type="gramEnd"/>
      <w:r w:rsidRPr="00F0379B">
        <w:rPr>
          <w:rFonts w:ascii="Cambria" w:eastAsia="Cambria" w:hAnsi="Cambria" w:cs="Cambria"/>
          <w:sz w:val="20"/>
          <w:szCs w:val="20"/>
          <w:lang w:val="fr-FR"/>
        </w:rPr>
        <w:t xml:space="preserve"> 3738 Conakry</w:t>
      </w:r>
    </w:p>
    <w:p w14:paraId="07C7C397"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+224 622 01 70 85, E-Mail: soumahmohamed2009@gmail.com</w:t>
      </w:r>
    </w:p>
    <w:p w14:paraId="15A72DA8" w14:textId="77777777" w:rsidR="009123AC" w:rsidRPr="00F0379B" w:rsidRDefault="009123AC" w:rsidP="009123AC">
      <w:pPr>
        <w:spacing w:after="0" w:line="240" w:lineRule="auto"/>
        <w:rPr>
          <w:rFonts w:ascii="Cambria" w:eastAsia="Cambria" w:hAnsi="Cambria" w:cs="Cambria"/>
          <w:sz w:val="20"/>
          <w:szCs w:val="20"/>
          <w:lang w:val="pt-PT"/>
        </w:rPr>
      </w:pPr>
    </w:p>
    <w:p w14:paraId="498F498B" w14:textId="77777777" w:rsidR="009123AC" w:rsidRPr="00F912AA" w:rsidRDefault="009123AC" w:rsidP="009123AC">
      <w:pPr>
        <w:spacing w:after="0" w:line="240" w:lineRule="auto"/>
        <w:rPr>
          <w:rFonts w:ascii="Cambria" w:eastAsia="Cambria" w:hAnsi="Cambria" w:cs="Cambria"/>
          <w:sz w:val="20"/>
          <w:szCs w:val="20"/>
          <w:lang w:val="it-IT"/>
        </w:rPr>
      </w:pPr>
      <w:r w:rsidRPr="00F912AA">
        <w:rPr>
          <w:rFonts w:ascii="Cambria" w:eastAsia="Cambria" w:hAnsi="Cambria" w:cs="Cambria"/>
          <w:b/>
          <w:sz w:val="20"/>
          <w:szCs w:val="20"/>
          <w:lang w:val="it-IT"/>
        </w:rPr>
        <w:t>ISLANDIA</w:t>
      </w:r>
    </w:p>
    <w:p w14:paraId="1905263A" w14:textId="77777777" w:rsidR="009123AC" w:rsidRPr="00F912AA" w:rsidRDefault="009123AC" w:rsidP="009123AC">
      <w:pPr>
        <w:spacing w:after="0" w:line="240" w:lineRule="auto"/>
        <w:rPr>
          <w:rFonts w:ascii="Cambria" w:eastAsia="Cambria" w:hAnsi="Cambria" w:cs="Cambria"/>
          <w:sz w:val="20"/>
          <w:szCs w:val="20"/>
          <w:lang w:val="it-IT"/>
        </w:rPr>
      </w:pPr>
      <w:r w:rsidRPr="00F912AA">
        <w:rPr>
          <w:rFonts w:ascii="Cambria" w:eastAsia="Cambria" w:hAnsi="Cambria" w:cs="Cambria"/>
          <w:b/>
          <w:sz w:val="20"/>
          <w:szCs w:val="20"/>
          <w:lang w:val="it-IT"/>
        </w:rPr>
        <w:t>Bragi Bragason</w:t>
      </w:r>
      <w:r w:rsidRPr="00F912AA">
        <w:rPr>
          <w:rFonts w:ascii="Cambria" w:eastAsia="Cambria" w:hAnsi="Cambria" w:cs="Cambria"/>
          <w:sz w:val="20"/>
          <w:szCs w:val="20"/>
          <w:lang w:val="it-IT"/>
        </w:rPr>
        <w:t>, Agnar *</w:t>
      </w:r>
    </w:p>
    <w:p w14:paraId="7598328B"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Ministry of Industries, Department of Resources, </w:t>
      </w:r>
      <w:proofErr w:type="spellStart"/>
      <w:r w:rsidRPr="00F0379B">
        <w:rPr>
          <w:rFonts w:ascii="Cambria" w:eastAsia="Cambria" w:hAnsi="Cambria" w:cs="Cambria"/>
          <w:sz w:val="20"/>
          <w:szCs w:val="20"/>
          <w:lang w:val="en-US"/>
        </w:rPr>
        <w:t>Skúlagata</w:t>
      </w:r>
      <w:proofErr w:type="spellEnd"/>
      <w:r w:rsidRPr="00F0379B">
        <w:rPr>
          <w:rFonts w:ascii="Cambria" w:eastAsia="Cambria" w:hAnsi="Cambria" w:cs="Cambria"/>
          <w:sz w:val="20"/>
          <w:szCs w:val="20"/>
          <w:lang w:val="en-US"/>
        </w:rPr>
        <w:t xml:space="preserve"> 4, IS-101 Reykjavík</w:t>
      </w:r>
    </w:p>
    <w:p w14:paraId="6AD7F687"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+354 8461977; +354 545 9700, E-Mail: agnar.bragi.bragason@atrn.is</w:t>
      </w:r>
    </w:p>
    <w:p w14:paraId="7A1998F1" w14:textId="77777777" w:rsidR="009123AC" w:rsidRPr="00F0379B" w:rsidRDefault="009123AC" w:rsidP="009123AC">
      <w:pPr>
        <w:spacing w:after="0" w:line="240" w:lineRule="auto"/>
        <w:rPr>
          <w:rFonts w:ascii="Cambria" w:eastAsia="Cambria" w:hAnsi="Cambria" w:cs="Cambria"/>
          <w:sz w:val="20"/>
          <w:szCs w:val="20"/>
          <w:lang w:val="pt-PT"/>
        </w:rPr>
      </w:pPr>
    </w:p>
    <w:p w14:paraId="430D5827"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JAPÓN</w:t>
      </w:r>
    </w:p>
    <w:p w14:paraId="71FB9AB8"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Ota</w:t>
      </w:r>
      <w:r w:rsidRPr="00F0379B">
        <w:rPr>
          <w:rFonts w:ascii="Cambria" w:eastAsia="Cambria" w:hAnsi="Cambria" w:cs="Cambria"/>
          <w:sz w:val="20"/>
          <w:szCs w:val="20"/>
          <w:lang w:val="en-US"/>
        </w:rPr>
        <w:t>, Shingo *</w:t>
      </w:r>
    </w:p>
    <w:p w14:paraId="5C6B7AC8"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Japan's Commissioner to ICCAT, Special Advisor to the Minister of Agriculture, Forestry and Fisheries, 1-2-1 Kasumigaseki, Chiyoda-Ku, Tokyo 100-8907</w:t>
      </w:r>
    </w:p>
    <w:p w14:paraId="225220E7"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Tel: +81 3 3502 8460, Fax: +81 3 3504 2649, E-Mail: shingo_ota810@maff.go.jp</w:t>
      </w:r>
    </w:p>
    <w:p w14:paraId="43C4F404" w14:textId="77777777" w:rsidR="009123AC" w:rsidRPr="00F0379B" w:rsidRDefault="009123AC" w:rsidP="009123AC">
      <w:pPr>
        <w:spacing w:after="0" w:line="240" w:lineRule="auto"/>
        <w:rPr>
          <w:rFonts w:ascii="Cambria" w:eastAsia="Cambria" w:hAnsi="Cambria" w:cs="Cambria"/>
          <w:sz w:val="20"/>
          <w:szCs w:val="20"/>
          <w:lang w:val="en-US"/>
        </w:rPr>
      </w:pPr>
    </w:p>
    <w:p w14:paraId="75D21CD5"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Butterworth</w:t>
      </w:r>
      <w:r w:rsidRPr="00F0379B">
        <w:rPr>
          <w:rFonts w:ascii="Cambria" w:eastAsia="Cambria" w:hAnsi="Cambria" w:cs="Cambria"/>
          <w:sz w:val="20"/>
          <w:szCs w:val="20"/>
          <w:lang w:val="en-US"/>
        </w:rPr>
        <w:t>, Douglas S. (online)</w:t>
      </w:r>
    </w:p>
    <w:p w14:paraId="18A9205A"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Emeritus Professor, Department of Mathematics and Applied Mathematics, University of Cape Town, Rondebosch, 7701 Cape Town, South </w:t>
      </w:r>
      <w:proofErr w:type="spellStart"/>
      <w:r w:rsidRPr="00F0379B">
        <w:rPr>
          <w:rFonts w:ascii="Cambria" w:eastAsia="Cambria" w:hAnsi="Cambria" w:cs="Cambria"/>
          <w:sz w:val="20"/>
          <w:szCs w:val="20"/>
          <w:lang w:val="en-US"/>
        </w:rPr>
        <w:t>Afric</w:t>
      </w:r>
      <w:proofErr w:type="spellEnd"/>
      <w:r w:rsidRPr="00F0379B">
        <w:rPr>
          <w:rFonts w:ascii="Cambria" w:eastAsia="Cambria" w:hAnsi="Cambria" w:cs="Cambria"/>
          <w:sz w:val="20"/>
          <w:szCs w:val="20"/>
          <w:lang w:val="en-US"/>
        </w:rPr>
        <w:t>; Tel: +27 21 650 2343, E-Mail: doug.butterworth@uct.ac.za</w:t>
      </w:r>
    </w:p>
    <w:p w14:paraId="2B4AD1AC" w14:textId="77777777" w:rsidR="009123AC" w:rsidRPr="00F0379B" w:rsidRDefault="009123AC" w:rsidP="009123AC">
      <w:pPr>
        <w:spacing w:after="0" w:line="240" w:lineRule="auto"/>
        <w:rPr>
          <w:rFonts w:ascii="Cambria" w:eastAsia="Cambria" w:hAnsi="Cambria" w:cs="Cambria"/>
          <w:sz w:val="20"/>
          <w:szCs w:val="20"/>
          <w:lang w:val="en-US"/>
        </w:rPr>
      </w:pPr>
    </w:p>
    <w:p w14:paraId="705A7711"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Fukugama</w:t>
      </w:r>
      <w:proofErr w:type="spellEnd"/>
      <w:r w:rsidRPr="00F0379B">
        <w:rPr>
          <w:rFonts w:ascii="Cambria" w:eastAsia="Cambria" w:hAnsi="Cambria" w:cs="Cambria"/>
          <w:sz w:val="20"/>
          <w:szCs w:val="20"/>
          <w:lang w:val="en-US"/>
        </w:rPr>
        <w:t>, Chika</w:t>
      </w:r>
    </w:p>
    <w:p w14:paraId="5996C13C"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Assistant Director, International Affairs Division, Fisheries Agency of Japan, Ministry of Agriculture, Forestry and Fisheries, 1-2-1, Kasumigaseki, Chiyoda-</w:t>
      </w:r>
      <w:proofErr w:type="spellStart"/>
      <w:r w:rsidRPr="00F0379B">
        <w:rPr>
          <w:rFonts w:ascii="Cambria" w:eastAsia="Cambria" w:hAnsi="Cambria" w:cs="Cambria"/>
          <w:sz w:val="20"/>
          <w:szCs w:val="20"/>
          <w:lang w:val="en-US"/>
        </w:rPr>
        <w:t>ku</w:t>
      </w:r>
      <w:proofErr w:type="spellEnd"/>
      <w:r w:rsidRPr="00F0379B">
        <w:rPr>
          <w:rFonts w:ascii="Cambria" w:eastAsia="Cambria" w:hAnsi="Cambria" w:cs="Cambria"/>
          <w:sz w:val="20"/>
          <w:szCs w:val="20"/>
          <w:lang w:val="en-US"/>
        </w:rPr>
        <w:t>, Tokyo 100-8907</w:t>
      </w:r>
    </w:p>
    <w:p w14:paraId="077FF098" w14:textId="77777777" w:rsidR="009123AC" w:rsidRPr="00F912AA" w:rsidRDefault="009123AC" w:rsidP="009123AC">
      <w:pPr>
        <w:spacing w:after="0" w:line="240" w:lineRule="auto"/>
        <w:jc w:val="both"/>
        <w:rPr>
          <w:rFonts w:ascii="Cambria" w:eastAsia="Cambria" w:hAnsi="Cambria" w:cs="Cambria"/>
          <w:sz w:val="20"/>
          <w:szCs w:val="20"/>
          <w:lang w:val="it-IT"/>
        </w:rPr>
      </w:pPr>
      <w:r w:rsidRPr="00F912AA">
        <w:rPr>
          <w:rFonts w:ascii="Cambria" w:eastAsia="Cambria" w:hAnsi="Cambria" w:cs="Cambria"/>
          <w:sz w:val="20"/>
          <w:szCs w:val="20"/>
          <w:lang w:val="it-IT"/>
        </w:rPr>
        <w:t>Tel: +81 3 3502 8460, Fax: +81 3 3504 2649, E-Mail: chika_fukugama740@maff.go.jp</w:t>
      </w:r>
    </w:p>
    <w:p w14:paraId="523DA9DF" w14:textId="77777777" w:rsidR="009123AC" w:rsidRPr="00F912AA" w:rsidRDefault="009123AC" w:rsidP="009123AC">
      <w:pPr>
        <w:spacing w:after="0" w:line="240" w:lineRule="auto"/>
        <w:rPr>
          <w:rFonts w:ascii="Cambria" w:eastAsia="Cambria" w:hAnsi="Cambria" w:cs="Cambria"/>
          <w:sz w:val="14"/>
          <w:szCs w:val="14"/>
          <w:lang w:val="it-IT"/>
        </w:rPr>
      </w:pPr>
    </w:p>
    <w:p w14:paraId="22AAA1C3" w14:textId="77777777" w:rsidR="009123AC" w:rsidRPr="00F912AA" w:rsidRDefault="009123AC" w:rsidP="009123AC">
      <w:pPr>
        <w:spacing w:after="0" w:line="240" w:lineRule="auto"/>
        <w:rPr>
          <w:rFonts w:ascii="Cambria" w:eastAsia="Cambria" w:hAnsi="Cambria" w:cs="Cambria"/>
          <w:sz w:val="20"/>
          <w:szCs w:val="20"/>
          <w:lang w:val="it-IT"/>
        </w:rPr>
      </w:pPr>
      <w:proofErr w:type="spellStart"/>
      <w:r w:rsidRPr="00F912AA">
        <w:rPr>
          <w:rFonts w:ascii="Cambria" w:eastAsia="Cambria" w:hAnsi="Cambria" w:cs="Cambria"/>
          <w:b/>
          <w:sz w:val="20"/>
          <w:szCs w:val="20"/>
          <w:lang w:val="it-IT"/>
        </w:rPr>
        <w:t>Iioka</w:t>
      </w:r>
      <w:proofErr w:type="spellEnd"/>
      <w:r w:rsidRPr="00F912AA">
        <w:rPr>
          <w:rFonts w:ascii="Cambria" w:eastAsia="Cambria" w:hAnsi="Cambria" w:cs="Cambria"/>
          <w:b/>
          <w:sz w:val="20"/>
          <w:szCs w:val="20"/>
          <w:lang w:val="it-IT"/>
        </w:rPr>
        <w:t xml:space="preserve"> (Yokoyama)</w:t>
      </w:r>
      <w:r w:rsidRPr="00F912AA">
        <w:rPr>
          <w:rFonts w:ascii="Cambria" w:eastAsia="Cambria" w:hAnsi="Cambria" w:cs="Cambria"/>
          <w:sz w:val="20"/>
          <w:szCs w:val="20"/>
          <w:lang w:val="it-IT"/>
        </w:rPr>
        <w:t>, Mako</w:t>
      </w:r>
    </w:p>
    <w:p w14:paraId="070C6FD7"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Assistant Director, International Affairs Division, Fisheries Agency of Japan, Ministry of Agriculture, Forestry and Fisheries, 1-2-1 Kasumigaseki, Chiyoda-Ku, Tokyo 100-8907; Tel: +81 3 3502 8204, Fax: +81 3 3504 2649, E-Mail: mako_iioka540@maff.go.jp</w:t>
      </w:r>
    </w:p>
    <w:p w14:paraId="032B2EDA" w14:textId="77777777" w:rsidR="009123AC" w:rsidRPr="00F0379B" w:rsidRDefault="009123AC" w:rsidP="009123AC">
      <w:pPr>
        <w:spacing w:after="0" w:line="240" w:lineRule="auto"/>
        <w:rPr>
          <w:rFonts w:ascii="Cambria" w:eastAsia="Cambria" w:hAnsi="Cambria" w:cs="Cambria"/>
          <w:sz w:val="20"/>
          <w:szCs w:val="20"/>
          <w:lang w:val="en-US"/>
        </w:rPr>
      </w:pPr>
    </w:p>
    <w:p w14:paraId="2AB106F6"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Katsuyama</w:t>
      </w:r>
      <w:proofErr w:type="spellEnd"/>
      <w:r w:rsidRPr="00F0379B">
        <w:rPr>
          <w:rFonts w:ascii="Cambria" w:eastAsia="Cambria" w:hAnsi="Cambria" w:cs="Cambria"/>
          <w:sz w:val="20"/>
          <w:szCs w:val="20"/>
          <w:lang w:val="en-US"/>
        </w:rPr>
        <w:t xml:space="preserve">, Kiyoshi </w:t>
      </w:r>
      <w:r w:rsidRPr="00F0379B">
        <w:rPr>
          <w:rFonts w:ascii="Cambria" w:eastAsia="Cambria" w:hAnsi="Cambria" w:cs="Cambria"/>
          <w:sz w:val="20"/>
          <w:szCs w:val="20"/>
          <w:vertAlign w:val="superscript"/>
          <w:lang w:val="en-US"/>
        </w:rPr>
        <w:t>1</w:t>
      </w:r>
    </w:p>
    <w:p w14:paraId="6464D3D3"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Adviser, Japan Tuna Fisheries Co-operative Association, Tokyo 135-0034</w:t>
      </w:r>
    </w:p>
    <w:p w14:paraId="0B1F28F0" w14:textId="77777777" w:rsidR="009123AC" w:rsidRPr="00F0379B" w:rsidRDefault="009123AC" w:rsidP="009123AC">
      <w:pPr>
        <w:spacing w:after="0" w:line="240" w:lineRule="auto"/>
        <w:rPr>
          <w:rFonts w:ascii="Cambria" w:eastAsia="Cambria" w:hAnsi="Cambria" w:cs="Cambria"/>
          <w:b/>
          <w:sz w:val="20"/>
          <w:szCs w:val="20"/>
          <w:lang w:val="en-US"/>
        </w:rPr>
      </w:pPr>
    </w:p>
    <w:p w14:paraId="45722626"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Kawano</w:t>
      </w:r>
      <w:r w:rsidRPr="00F0379B">
        <w:rPr>
          <w:rFonts w:ascii="Cambria" w:eastAsia="Cambria" w:hAnsi="Cambria" w:cs="Cambria"/>
          <w:sz w:val="20"/>
          <w:szCs w:val="20"/>
          <w:lang w:val="en-US"/>
        </w:rPr>
        <w:t>, Masataka</w:t>
      </w:r>
    </w:p>
    <w:p w14:paraId="472E6B07"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Technical Official, International Affairs Division, Fisheries Agency of Japan, Ministry of Agriculture, Forestry and Fisheries, 1-2-1, Kasumigaseki, Chiyoda-</w:t>
      </w:r>
      <w:proofErr w:type="spellStart"/>
      <w:r w:rsidRPr="00F0379B">
        <w:rPr>
          <w:rFonts w:ascii="Cambria" w:eastAsia="Cambria" w:hAnsi="Cambria" w:cs="Cambria"/>
          <w:sz w:val="20"/>
          <w:szCs w:val="20"/>
          <w:lang w:val="en-US"/>
        </w:rPr>
        <w:t>ku</w:t>
      </w:r>
      <w:proofErr w:type="spellEnd"/>
      <w:r w:rsidRPr="00F0379B">
        <w:rPr>
          <w:rFonts w:ascii="Cambria" w:eastAsia="Cambria" w:hAnsi="Cambria" w:cs="Cambria"/>
          <w:sz w:val="20"/>
          <w:szCs w:val="20"/>
          <w:lang w:val="en-US"/>
        </w:rPr>
        <w:t>, Tokyo 100-8907</w:t>
      </w:r>
    </w:p>
    <w:p w14:paraId="5ACCC29C" w14:textId="77777777" w:rsidR="009123AC" w:rsidRPr="00F0379B" w:rsidRDefault="009123AC" w:rsidP="009123AC">
      <w:pPr>
        <w:spacing w:after="0" w:line="240" w:lineRule="auto"/>
        <w:jc w:val="both"/>
        <w:rPr>
          <w:rFonts w:ascii="Cambria" w:eastAsia="Cambria" w:hAnsi="Cambria" w:cs="Cambria"/>
          <w:sz w:val="20"/>
          <w:szCs w:val="20"/>
          <w:lang w:val="fr-FR"/>
        </w:rPr>
      </w:pPr>
      <w:proofErr w:type="gramStart"/>
      <w:r w:rsidRPr="00F0379B">
        <w:rPr>
          <w:rFonts w:ascii="Cambria" w:eastAsia="Cambria" w:hAnsi="Cambria" w:cs="Cambria"/>
          <w:sz w:val="20"/>
          <w:szCs w:val="20"/>
          <w:lang w:val="fr-FR"/>
        </w:rPr>
        <w:t>Tel:</w:t>
      </w:r>
      <w:proofErr w:type="gramEnd"/>
      <w:r w:rsidRPr="00F0379B">
        <w:rPr>
          <w:rFonts w:ascii="Cambria" w:eastAsia="Cambria" w:hAnsi="Cambria" w:cs="Cambria"/>
          <w:sz w:val="20"/>
          <w:szCs w:val="20"/>
          <w:lang w:val="fr-FR"/>
        </w:rPr>
        <w:t xml:space="preserve"> +81 3 3502 8460, </w:t>
      </w:r>
      <w:proofErr w:type="gramStart"/>
      <w:r w:rsidRPr="00F0379B">
        <w:rPr>
          <w:rFonts w:ascii="Cambria" w:eastAsia="Cambria" w:hAnsi="Cambria" w:cs="Cambria"/>
          <w:sz w:val="20"/>
          <w:szCs w:val="20"/>
          <w:lang w:val="fr-FR"/>
        </w:rPr>
        <w:t>Fax:</w:t>
      </w:r>
      <w:proofErr w:type="gramEnd"/>
      <w:r w:rsidRPr="00F0379B">
        <w:rPr>
          <w:rFonts w:ascii="Cambria" w:eastAsia="Cambria" w:hAnsi="Cambria" w:cs="Cambria"/>
          <w:sz w:val="20"/>
          <w:szCs w:val="20"/>
          <w:lang w:val="fr-FR"/>
        </w:rPr>
        <w:t xml:space="preserve"> +81 3 3504 2649, </w:t>
      </w:r>
      <w:proofErr w:type="gramStart"/>
      <w:r w:rsidRPr="00F0379B">
        <w:rPr>
          <w:rFonts w:ascii="Cambria" w:eastAsia="Cambria" w:hAnsi="Cambria" w:cs="Cambria"/>
          <w:sz w:val="20"/>
          <w:szCs w:val="20"/>
          <w:lang w:val="fr-FR"/>
        </w:rPr>
        <w:t>E-Mail:</w:t>
      </w:r>
      <w:proofErr w:type="gramEnd"/>
      <w:r w:rsidRPr="00F0379B">
        <w:rPr>
          <w:rFonts w:ascii="Cambria" w:eastAsia="Cambria" w:hAnsi="Cambria" w:cs="Cambria"/>
          <w:sz w:val="20"/>
          <w:szCs w:val="20"/>
          <w:lang w:val="fr-FR"/>
        </w:rPr>
        <w:t xml:space="preserve"> masataka_kawano320@maff.go.jp</w:t>
      </w:r>
    </w:p>
    <w:p w14:paraId="7C52B70E"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lastRenderedPageBreak/>
        <w:t>Meyer</w:t>
      </w:r>
      <w:r w:rsidRPr="00F0379B">
        <w:rPr>
          <w:rFonts w:ascii="Cambria" w:eastAsia="Cambria" w:hAnsi="Cambria" w:cs="Cambria"/>
          <w:sz w:val="20"/>
          <w:szCs w:val="20"/>
          <w:lang w:val="fr-FR"/>
        </w:rPr>
        <w:t>, Alex (online)</w:t>
      </w:r>
    </w:p>
    <w:p w14:paraId="0C4592DE"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Communication Consultant &amp; Rapporteur, Shinagawa-</w:t>
      </w:r>
      <w:proofErr w:type="spellStart"/>
      <w:r w:rsidRPr="00F0379B">
        <w:rPr>
          <w:rFonts w:ascii="Cambria" w:eastAsia="Cambria" w:hAnsi="Cambria" w:cs="Cambria"/>
          <w:sz w:val="20"/>
          <w:szCs w:val="20"/>
          <w:lang w:val="fr-FR"/>
        </w:rPr>
        <w:t>ku</w:t>
      </w:r>
      <w:proofErr w:type="spellEnd"/>
      <w:r w:rsidRPr="00F0379B">
        <w:rPr>
          <w:rFonts w:ascii="Cambria" w:eastAsia="Cambria" w:hAnsi="Cambria" w:cs="Cambria"/>
          <w:sz w:val="20"/>
          <w:szCs w:val="20"/>
          <w:lang w:val="fr-FR"/>
        </w:rPr>
        <w:t>, Tokyo 1410001</w:t>
      </w:r>
    </w:p>
    <w:p w14:paraId="64200F03"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+81 336 432 5691, E-Mail: meyer@urbanconnections.jp</w:t>
      </w:r>
    </w:p>
    <w:p w14:paraId="3CECC10E" w14:textId="77777777" w:rsidR="009123AC" w:rsidRPr="00F0379B" w:rsidRDefault="009123AC" w:rsidP="009123AC">
      <w:pPr>
        <w:spacing w:after="0" w:line="240" w:lineRule="auto"/>
        <w:rPr>
          <w:rFonts w:ascii="Cambria" w:eastAsia="Cambria" w:hAnsi="Cambria" w:cs="Cambria"/>
          <w:sz w:val="20"/>
          <w:szCs w:val="20"/>
          <w:lang w:val="pt-PT"/>
        </w:rPr>
      </w:pPr>
    </w:p>
    <w:p w14:paraId="61B6FD31" w14:textId="77777777" w:rsidR="009123AC" w:rsidRPr="00F0379B" w:rsidRDefault="009123AC" w:rsidP="009123AC">
      <w:pPr>
        <w:spacing w:after="0" w:line="240" w:lineRule="auto"/>
        <w:rPr>
          <w:rFonts w:ascii="Cambria" w:eastAsia="Cambria" w:hAnsi="Cambria" w:cs="Cambria"/>
          <w:sz w:val="20"/>
          <w:szCs w:val="20"/>
          <w:lang w:val="pt-PT"/>
        </w:rPr>
      </w:pPr>
      <w:r w:rsidRPr="00F0379B">
        <w:rPr>
          <w:rFonts w:ascii="Cambria" w:eastAsia="Cambria" w:hAnsi="Cambria" w:cs="Cambria"/>
          <w:b/>
          <w:sz w:val="20"/>
          <w:szCs w:val="20"/>
          <w:lang w:val="pt-PT"/>
        </w:rPr>
        <w:t>Miura</w:t>
      </w:r>
      <w:r w:rsidRPr="00F0379B">
        <w:rPr>
          <w:rFonts w:ascii="Cambria" w:eastAsia="Cambria" w:hAnsi="Cambria" w:cs="Cambria"/>
          <w:sz w:val="20"/>
          <w:szCs w:val="20"/>
          <w:lang w:val="pt-PT"/>
        </w:rPr>
        <w:t>, Nozomu (online)</w:t>
      </w:r>
    </w:p>
    <w:p w14:paraId="441C291A"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Assistant Director, International Division, Japan Tuna Fisheries Co-operative Association, 2-31-1 Eitai Koto-ku, Tokyo 135-0034</w:t>
      </w:r>
    </w:p>
    <w:p w14:paraId="07619E4B"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+81 3 5646 2382, Fax: +81 3 5646 2652, E-Mail: miura@japantuna.or.jp; gyojyo@japantuna.or.jp</w:t>
      </w:r>
    </w:p>
    <w:p w14:paraId="4702608A" w14:textId="77777777" w:rsidR="009123AC" w:rsidRPr="00F0379B" w:rsidRDefault="009123AC" w:rsidP="009123AC">
      <w:pPr>
        <w:spacing w:after="0" w:line="240" w:lineRule="auto"/>
        <w:rPr>
          <w:rFonts w:ascii="Cambria" w:eastAsia="Cambria" w:hAnsi="Cambria" w:cs="Cambria"/>
          <w:sz w:val="20"/>
          <w:szCs w:val="20"/>
          <w:lang w:val="pt-PT"/>
        </w:rPr>
      </w:pPr>
    </w:p>
    <w:p w14:paraId="413E57F0"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Nakatsuka</w:t>
      </w:r>
      <w:r w:rsidRPr="00F0379B">
        <w:rPr>
          <w:rFonts w:ascii="Cambria" w:eastAsia="Cambria" w:hAnsi="Cambria" w:cs="Cambria"/>
          <w:sz w:val="20"/>
          <w:szCs w:val="20"/>
          <w:lang w:val="en-US"/>
        </w:rPr>
        <w:t>, Shuya (online)</w:t>
      </w:r>
    </w:p>
    <w:p w14:paraId="0FC068CF"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Deputy Director, Highly Migratory Resources Division, Fisheries Resources Institute, Japan Fisheries Research and Education Agency, 2-12-4, </w:t>
      </w:r>
      <w:proofErr w:type="spellStart"/>
      <w:r w:rsidRPr="00F0379B">
        <w:rPr>
          <w:rFonts w:ascii="Cambria" w:eastAsia="Cambria" w:hAnsi="Cambria" w:cs="Cambria"/>
          <w:sz w:val="20"/>
          <w:szCs w:val="20"/>
          <w:lang w:val="en-US"/>
        </w:rPr>
        <w:t>Fukuura</w:t>
      </w:r>
      <w:proofErr w:type="spellEnd"/>
      <w:r w:rsidRPr="00F0379B">
        <w:rPr>
          <w:rFonts w:ascii="Cambria" w:eastAsia="Cambria" w:hAnsi="Cambria" w:cs="Cambria"/>
          <w:sz w:val="20"/>
          <w:szCs w:val="20"/>
          <w:lang w:val="en-US"/>
        </w:rPr>
        <w:t>, Kanazawa Kanagawa, 236-8648</w:t>
      </w:r>
    </w:p>
    <w:p w14:paraId="63817FC6"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+81 45 788 7950, E-Mail: nakatsuka_shuya49@fra.go.jp</w:t>
      </w:r>
    </w:p>
    <w:p w14:paraId="7A0FC011" w14:textId="77777777" w:rsidR="009123AC" w:rsidRPr="00F0379B" w:rsidRDefault="009123AC" w:rsidP="009123AC">
      <w:pPr>
        <w:spacing w:after="0" w:line="240" w:lineRule="auto"/>
        <w:rPr>
          <w:rFonts w:ascii="Cambria" w:eastAsia="Cambria" w:hAnsi="Cambria" w:cs="Cambria"/>
          <w:sz w:val="20"/>
          <w:szCs w:val="20"/>
          <w:lang w:val="pt-PT"/>
        </w:rPr>
      </w:pPr>
    </w:p>
    <w:p w14:paraId="49485705"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Tominaga</w:t>
      </w:r>
      <w:r w:rsidRPr="00F0379B">
        <w:rPr>
          <w:rFonts w:ascii="Cambria" w:eastAsia="Cambria" w:hAnsi="Cambria" w:cs="Cambria"/>
          <w:sz w:val="20"/>
          <w:szCs w:val="20"/>
          <w:lang w:val="en-US"/>
        </w:rPr>
        <w:t>, Haruo</w:t>
      </w:r>
    </w:p>
    <w:p w14:paraId="773F249E"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Director, International Fisheries Coordination, International Affairs Division, Fisheries Agency of Japan, Ministry of Agriculture, Forestry and Fisheries, 1-2-1 Kasumigaseki, Chiyoda-</w:t>
      </w:r>
      <w:proofErr w:type="spellStart"/>
      <w:r w:rsidRPr="00F0379B">
        <w:rPr>
          <w:rFonts w:ascii="Cambria" w:eastAsia="Cambria" w:hAnsi="Cambria" w:cs="Cambria"/>
          <w:sz w:val="20"/>
          <w:szCs w:val="20"/>
          <w:lang w:val="en-US"/>
        </w:rPr>
        <w:t>ku</w:t>
      </w:r>
      <w:proofErr w:type="spellEnd"/>
      <w:r w:rsidRPr="00F0379B">
        <w:rPr>
          <w:rFonts w:ascii="Cambria" w:eastAsia="Cambria" w:hAnsi="Cambria" w:cs="Cambria"/>
          <w:sz w:val="20"/>
          <w:szCs w:val="20"/>
          <w:lang w:val="en-US"/>
        </w:rPr>
        <w:t>, Tokyo 100-8907</w:t>
      </w:r>
    </w:p>
    <w:p w14:paraId="4C6CBE61"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Tel: +81 3 3591 1086, Fax: +81 3 3504 2649, E-Mail: haruo_tominaga170@maff.go.jp</w:t>
      </w:r>
    </w:p>
    <w:p w14:paraId="02D0682F" w14:textId="77777777" w:rsidR="009123AC" w:rsidRPr="00F0379B" w:rsidRDefault="009123AC" w:rsidP="009123AC">
      <w:pPr>
        <w:spacing w:after="0" w:line="240" w:lineRule="auto"/>
        <w:rPr>
          <w:rFonts w:ascii="Cambria" w:eastAsia="Cambria" w:hAnsi="Cambria" w:cs="Cambria"/>
          <w:b/>
          <w:sz w:val="20"/>
          <w:szCs w:val="20"/>
          <w:lang w:val="en-US"/>
        </w:rPr>
      </w:pPr>
    </w:p>
    <w:p w14:paraId="1039777E"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LIBIA</w:t>
      </w:r>
    </w:p>
    <w:p w14:paraId="07A9DAE5"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Gafari</w:t>
      </w:r>
      <w:proofErr w:type="spellEnd"/>
      <w:r w:rsidRPr="00F0379B">
        <w:rPr>
          <w:rFonts w:ascii="Cambria" w:eastAsia="Cambria" w:hAnsi="Cambria" w:cs="Cambria"/>
          <w:sz w:val="20"/>
          <w:szCs w:val="20"/>
          <w:lang w:val="en-US"/>
        </w:rPr>
        <w:t>, Hasan Fouzi * (online)</w:t>
      </w:r>
    </w:p>
    <w:p w14:paraId="1A3F3D90"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Director - Libyan Commissioner to ICCAT, Ministry of Marine Wealth, </w:t>
      </w:r>
      <w:proofErr w:type="spellStart"/>
      <w:r w:rsidRPr="00F0379B">
        <w:rPr>
          <w:rFonts w:ascii="Cambria" w:eastAsia="Cambria" w:hAnsi="Cambria" w:cs="Cambria"/>
          <w:sz w:val="20"/>
          <w:szCs w:val="20"/>
          <w:lang w:val="en-US"/>
        </w:rPr>
        <w:t>Adminstration</w:t>
      </w:r>
      <w:proofErr w:type="spellEnd"/>
      <w:r w:rsidRPr="00F0379B">
        <w:rPr>
          <w:rFonts w:ascii="Cambria" w:eastAsia="Cambria" w:hAnsi="Cambria" w:cs="Cambria"/>
          <w:sz w:val="20"/>
          <w:szCs w:val="20"/>
          <w:lang w:val="en-US"/>
        </w:rPr>
        <w:t xml:space="preserve"> of Fishing Ports, </w:t>
      </w:r>
      <w:proofErr w:type="spellStart"/>
      <w:r w:rsidRPr="00F0379B">
        <w:rPr>
          <w:rFonts w:ascii="Cambria" w:eastAsia="Cambria" w:hAnsi="Cambria" w:cs="Cambria"/>
          <w:sz w:val="20"/>
          <w:szCs w:val="20"/>
          <w:lang w:val="en-US"/>
        </w:rPr>
        <w:t>Aldahra</w:t>
      </w:r>
      <w:proofErr w:type="spellEnd"/>
      <w:r w:rsidRPr="00F0379B">
        <w:rPr>
          <w:rFonts w:ascii="Cambria" w:eastAsia="Cambria" w:hAnsi="Cambria" w:cs="Cambria"/>
          <w:sz w:val="20"/>
          <w:szCs w:val="20"/>
          <w:lang w:val="en-US"/>
        </w:rPr>
        <w:t xml:space="preserve"> Street, P.O. Box 80876, </w:t>
      </w:r>
      <w:proofErr w:type="spellStart"/>
      <w:r w:rsidRPr="00F0379B">
        <w:rPr>
          <w:rFonts w:ascii="Cambria" w:eastAsia="Cambria" w:hAnsi="Cambria" w:cs="Cambria"/>
          <w:sz w:val="20"/>
          <w:szCs w:val="20"/>
          <w:lang w:val="en-US"/>
        </w:rPr>
        <w:t>Tajura</w:t>
      </w:r>
      <w:proofErr w:type="spellEnd"/>
      <w:r w:rsidRPr="00F0379B">
        <w:rPr>
          <w:rFonts w:ascii="Cambria" w:eastAsia="Cambria" w:hAnsi="Cambria" w:cs="Cambria"/>
          <w:sz w:val="20"/>
          <w:szCs w:val="20"/>
          <w:lang w:val="en-US"/>
        </w:rPr>
        <w:t>, Tripoli</w:t>
      </w:r>
    </w:p>
    <w:p w14:paraId="072983E6"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+218 916 274 377, E-Mail: gafrihasan@gmail.com</w:t>
      </w:r>
    </w:p>
    <w:p w14:paraId="5EB5C613" w14:textId="77777777" w:rsidR="009123AC" w:rsidRPr="00F0379B" w:rsidRDefault="009123AC" w:rsidP="009123AC">
      <w:pPr>
        <w:spacing w:after="0" w:line="240" w:lineRule="auto"/>
        <w:rPr>
          <w:rFonts w:ascii="Cambria" w:eastAsia="Cambria" w:hAnsi="Cambria" w:cs="Cambria"/>
          <w:sz w:val="20"/>
          <w:szCs w:val="20"/>
          <w:lang w:val="pt-PT"/>
        </w:rPr>
      </w:pPr>
    </w:p>
    <w:p w14:paraId="7E7CB797"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El Rabeie</w:t>
      </w:r>
      <w:r w:rsidRPr="00F0379B">
        <w:rPr>
          <w:rFonts w:ascii="Cambria" w:eastAsia="Cambria" w:hAnsi="Cambria" w:cs="Cambria"/>
          <w:sz w:val="20"/>
          <w:szCs w:val="20"/>
          <w:lang w:val="en-US"/>
        </w:rPr>
        <w:t>, Mohamed Noor Hilal M. (online)</w:t>
      </w:r>
    </w:p>
    <w:p w14:paraId="119C2341"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Libyan Vice </w:t>
      </w:r>
      <w:proofErr w:type="spellStart"/>
      <w:r w:rsidRPr="00F0379B">
        <w:rPr>
          <w:rFonts w:ascii="Cambria" w:eastAsia="Cambria" w:hAnsi="Cambria" w:cs="Cambria"/>
          <w:sz w:val="20"/>
          <w:szCs w:val="20"/>
          <w:lang w:val="en-US"/>
        </w:rPr>
        <w:t>commisioner</w:t>
      </w:r>
      <w:proofErr w:type="spellEnd"/>
      <w:r w:rsidRPr="00F0379B">
        <w:rPr>
          <w:rFonts w:ascii="Cambria" w:eastAsia="Cambria" w:hAnsi="Cambria" w:cs="Cambria"/>
          <w:sz w:val="20"/>
          <w:szCs w:val="20"/>
          <w:lang w:val="en-US"/>
        </w:rPr>
        <w:t xml:space="preserve"> to ICCAT, Ministry of Marine Wealth, </w:t>
      </w:r>
      <w:proofErr w:type="spellStart"/>
      <w:r w:rsidRPr="00F0379B">
        <w:rPr>
          <w:rFonts w:ascii="Cambria" w:eastAsia="Cambria" w:hAnsi="Cambria" w:cs="Cambria"/>
          <w:sz w:val="20"/>
          <w:szCs w:val="20"/>
          <w:lang w:val="en-US"/>
        </w:rPr>
        <w:t>Adminstration</w:t>
      </w:r>
      <w:proofErr w:type="spellEnd"/>
      <w:r w:rsidRPr="00F0379B">
        <w:rPr>
          <w:rFonts w:ascii="Cambria" w:eastAsia="Cambria" w:hAnsi="Cambria" w:cs="Cambria"/>
          <w:sz w:val="20"/>
          <w:szCs w:val="20"/>
          <w:lang w:val="en-US"/>
        </w:rPr>
        <w:t xml:space="preserve"> of Fishing Ports, </w:t>
      </w:r>
      <w:proofErr w:type="spellStart"/>
      <w:r w:rsidRPr="00F0379B">
        <w:rPr>
          <w:rFonts w:ascii="Cambria" w:eastAsia="Cambria" w:hAnsi="Cambria" w:cs="Cambria"/>
          <w:sz w:val="20"/>
          <w:szCs w:val="20"/>
          <w:lang w:val="en-US"/>
        </w:rPr>
        <w:t>Aldahra</w:t>
      </w:r>
      <w:proofErr w:type="spellEnd"/>
      <w:r w:rsidRPr="00F0379B">
        <w:rPr>
          <w:rFonts w:ascii="Cambria" w:eastAsia="Cambria" w:hAnsi="Cambria" w:cs="Cambria"/>
          <w:sz w:val="20"/>
          <w:szCs w:val="20"/>
          <w:lang w:val="en-US"/>
        </w:rPr>
        <w:t xml:space="preserve"> Street, Tripoli</w:t>
      </w:r>
    </w:p>
    <w:p w14:paraId="2E0130C8"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+218 913 462 440, E-Mail: elrabeie.mohamed@gmail.com</w:t>
      </w:r>
    </w:p>
    <w:p w14:paraId="7EB93D06" w14:textId="77777777" w:rsidR="009123AC" w:rsidRPr="00F0379B" w:rsidRDefault="009123AC" w:rsidP="009123AC">
      <w:pPr>
        <w:spacing w:after="0" w:line="240" w:lineRule="auto"/>
        <w:rPr>
          <w:rFonts w:ascii="Cambria" w:eastAsia="Cambria" w:hAnsi="Cambria" w:cs="Cambria"/>
          <w:sz w:val="20"/>
          <w:szCs w:val="20"/>
          <w:lang w:val="pt-PT"/>
        </w:rPr>
      </w:pPr>
    </w:p>
    <w:p w14:paraId="2366FD40"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MAURITANIA</w:t>
      </w:r>
    </w:p>
    <w:p w14:paraId="410E53A5"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Camara</w:t>
      </w:r>
      <w:r w:rsidRPr="00F0379B">
        <w:rPr>
          <w:rFonts w:ascii="Cambria" w:eastAsia="Cambria" w:hAnsi="Cambria" w:cs="Cambria"/>
          <w:sz w:val="20"/>
          <w:szCs w:val="20"/>
          <w:lang w:val="fr-FR"/>
        </w:rPr>
        <w:t>, Lamine * (online)</w:t>
      </w:r>
    </w:p>
    <w:p w14:paraId="5DABC126"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Directeur/DARE/MPEM, Direction de l'Aménagement des Ressources et des Études, ministère des Pêches et de l'Economie Maritime, BP : 137, NKTT/R.I., Nouakchott</w:t>
      </w:r>
    </w:p>
    <w:p w14:paraId="211DB156"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+222 45 29 54 41; +222 46 41 54 98, E-Mail: laminecam2000@yahoo.fr</w:t>
      </w:r>
    </w:p>
    <w:p w14:paraId="0B29049D" w14:textId="77777777" w:rsidR="009123AC" w:rsidRPr="00F0379B" w:rsidRDefault="009123AC" w:rsidP="009123AC">
      <w:pPr>
        <w:spacing w:after="0" w:line="240" w:lineRule="auto"/>
        <w:rPr>
          <w:rFonts w:ascii="Cambria" w:eastAsia="Cambria" w:hAnsi="Cambria" w:cs="Cambria"/>
          <w:sz w:val="20"/>
          <w:szCs w:val="20"/>
          <w:lang w:val="pt-PT"/>
        </w:rPr>
      </w:pPr>
    </w:p>
    <w:p w14:paraId="3FA2C2BE"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Ndeilla</w:t>
      </w:r>
      <w:r w:rsidRPr="00F0379B">
        <w:rPr>
          <w:rFonts w:ascii="Cambria" w:eastAsia="Cambria" w:hAnsi="Cambria" w:cs="Cambria"/>
          <w:sz w:val="20"/>
          <w:szCs w:val="20"/>
          <w:lang w:val="fr-FR"/>
        </w:rPr>
        <w:t>, Sidi Mohamed</w:t>
      </w:r>
    </w:p>
    <w:p w14:paraId="6215C658"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 xml:space="preserve">Chef Service Statistiques et des Etudes, ministère de la pêche, des infrastructures maritimes et portuaires (MPIMP), Direction de l'Aménagement des Ressources et des Etudes (DARE), </w:t>
      </w:r>
      <w:proofErr w:type="gramStart"/>
      <w:r w:rsidRPr="00F0379B">
        <w:rPr>
          <w:rFonts w:ascii="Cambria" w:eastAsia="Cambria" w:hAnsi="Cambria" w:cs="Cambria"/>
          <w:sz w:val="20"/>
          <w:szCs w:val="20"/>
          <w:lang w:val="fr-FR"/>
        </w:rPr>
        <w:t>BP:</w:t>
      </w:r>
      <w:proofErr w:type="gramEnd"/>
      <w:r w:rsidRPr="00F0379B">
        <w:rPr>
          <w:rFonts w:ascii="Cambria" w:eastAsia="Cambria" w:hAnsi="Cambria" w:cs="Cambria"/>
          <w:sz w:val="20"/>
          <w:szCs w:val="20"/>
          <w:lang w:val="fr-FR"/>
        </w:rPr>
        <w:t xml:space="preserve"> 137, Nouakchott</w:t>
      </w:r>
    </w:p>
    <w:p w14:paraId="7866F735"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+222 362 25863, E-Mail: sidimedndeila@gmail.com</w:t>
      </w:r>
    </w:p>
    <w:p w14:paraId="212692E8" w14:textId="77777777" w:rsidR="009123AC" w:rsidRPr="00F0379B" w:rsidRDefault="009123AC" w:rsidP="009123AC">
      <w:pPr>
        <w:spacing w:after="0" w:line="240" w:lineRule="auto"/>
        <w:rPr>
          <w:rFonts w:ascii="Cambria" w:eastAsia="Cambria" w:hAnsi="Cambria" w:cs="Cambria"/>
          <w:sz w:val="20"/>
          <w:szCs w:val="20"/>
          <w:lang w:val="pt-PT"/>
        </w:rPr>
      </w:pPr>
    </w:p>
    <w:p w14:paraId="5FDEA26D"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MÉXICO</w:t>
      </w:r>
    </w:p>
    <w:p w14:paraId="7B0A08C2"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Mestas Rodríguez</w:t>
      </w:r>
      <w:r w:rsidRPr="00F0379B">
        <w:rPr>
          <w:rFonts w:ascii="Cambria" w:eastAsia="Cambria" w:hAnsi="Cambria" w:cs="Cambria"/>
          <w:sz w:val="20"/>
          <w:szCs w:val="20"/>
        </w:rPr>
        <w:t xml:space="preserve">, Jessica María </w:t>
      </w:r>
      <w:r w:rsidRPr="00F0379B">
        <w:rPr>
          <w:rFonts w:ascii="Cambria" w:eastAsia="Cambria" w:hAnsi="Cambria" w:cs="Cambria"/>
          <w:sz w:val="20"/>
          <w:szCs w:val="20"/>
          <w:vertAlign w:val="superscript"/>
        </w:rPr>
        <w:t xml:space="preserve">1 </w:t>
      </w:r>
      <w:r w:rsidRPr="00F0379B">
        <w:rPr>
          <w:rFonts w:ascii="Cambria" w:eastAsia="Cambria" w:hAnsi="Cambria" w:cs="Cambria"/>
          <w:sz w:val="20"/>
          <w:szCs w:val="20"/>
        </w:rPr>
        <w:t>(online)</w:t>
      </w:r>
    </w:p>
    <w:p w14:paraId="4AFF0086"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Jefe de Departamento de Negocios Comerciales Internacionales, CONAPESCA, 82100 Mazatlán, Sinaloa</w:t>
      </w:r>
    </w:p>
    <w:p w14:paraId="33C3ECDF" w14:textId="77777777" w:rsidR="009123AC" w:rsidRPr="00F0379B" w:rsidRDefault="009123AC" w:rsidP="009123AC">
      <w:pPr>
        <w:spacing w:after="0" w:line="240" w:lineRule="auto"/>
        <w:rPr>
          <w:rFonts w:ascii="Cambria" w:eastAsia="Cambria" w:hAnsi="Cambria" w:cs="Cambria"/>
          <w:sz w:val="20"/>
          <w:szCs w:val="20"/>
        </w:rPr>
      </w:pPr>
    </w:p>
    <w:p w14:paraId="7E62F8D4"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Soler Benítez</w:t>
      </w:r>
      <w:r w:rsidRPr="00F0379B">
        <w:rPr>
          <w:rFonts w:ascii="Cambria" w:eastAsia="Cambria" w:hAnsi="Cambria" w:cs="Cambria"/>
          <w:sz w:val="20"/>
          <w:szCs w:val="20"/>
        </w:rPr>
        <w:t xml:space="preserve">, Bertha Alicia </w:t>
      </w:r>
      <w:r w:rsidRPr="00F0379B">
        <w:rPr>
          <w:rFonts w:ascii="Cambria" w:eastAsia="Cambria" w:hAnsi="Cambria" w:cs="Cambria"/>
          <w:sz w:val="20"/>
          <w:szCs w:val="20"/>
          <w:vertAlign w:val="superscript"/>
        </w:rPr>
        <w:t xml:space="preserve">1 </w:t>
      </w:r>
      <w:r w:rsidRPr="00F0379B">
        <w:rPr>
          <w:rFonts w:ascii="Cambria" w:eastAsia="Cambria" w:hAnsi="Cambria" w:cs="Cambria"/>
          <w:sz w:val="20"/>
          <w:szCs w:val="20"/>
        </w:rPr>
        <w:t>(online)</w:t>
      </w:r>
    </w:p>
    <w:p w14:paraId="35F0EAB5"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Comisión Nacional de Acuacultura y Pesca (CONAPESCA), 82100 Mazatlán, Sinaloa</w:t>
      </w:r>
    </w:p>
    <w:p w14:paraId="7668E7CF" w14:textId="77777777" w:rsidR="009123AC" w:rsidRPr="00F0379B" w:rsidRDefault="009123AC" w:rsidP="009123AC">
      <w:pPr>
        <w:spacing w:after="0" w:line="240" w:lineRule="auto"/>
        <w:rPr>
          <w:rFonts w:ascii="Cambria" w:eastAsia="Cambria" w:hAnsi="Cambria" w:cs="Cambria"/>
          <w:b/>
          <w:sz w:val="20"/>
          <w:szCs w:val="20"/>
        </w:rPr>
      </w:pPr>
    </w:p>
    <w:p w14:paraId="3191EA09"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MARRUECOS</w:t>
      </w:r>
    </w:p>
    <w:p w14:paraId="45CC1C3B" w14:textId="77777777" w:rsidR="009123AC" w:rsidRPr="00F0379B" w:rsidRDefault="009123AC" w:rsidP="009123AC">
      <w:pPr>
        <w:spacing w:after="0" w:line="240" w:lineRule="auto"/>
        <w:rPr>
          <w:rFonts w:ascii="Cambria" w:eastAsia="Cambria" w:hAnsi="Cambria" w:cs="Cambria"/>
          <w:sz w:val="20"/>
          <w:szCs w:val="20"/>
          <w:lang w:val="fr-FR"/>
        </w:rPr>
      </w:pPr>
      <w:proofErr w:type="spellStart"/>
      <w:r w:rsidRPr="00F0379B">
        <w:rPr>
          <w:rFonts w:ascii="Cambria" w:eastAsia="Cambria" w:hAnsi="Cambria" w:cs="Cambria"/>
          <w:b/>
          <w:sz w:val="20"/>
          <w:szCs w:val="20"/>
          <w:lang w:val="fr-FR"/>
        </w:rPr>
        <w:t>Aouraghe</w:t>
      </w:r>
      <w:proofErr w:type="spellEnd"/>
      <w:r w:rsidRPr="00F0379B">
        <w:rPr>
          <w:rFonts w:ascii="Cambria" w:eastAsia="Cambria" w:hAnsi="Cambria" w:cs="Cambria"/>
          <w:sz w:val="20"/>
          <w:szCs w:val="20"/>
          <w:lang w:val="fr-FR"/>
        </w:rPr>
        <w:t>, Abdelhakim</w:t>
      </w:r>
    </w:p>
    <w:p w14:paraId="4263EFC8"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 xml:space="preserve">Directeur de contrôle des activités de la pêche Maritime (DCAPM), Secrétariat d’Etat chargé de la Pêche Maritime, Nouveau Quartier </w:t>
      </w:r>
      <w:proofErr w:type="gramStart"/>
      <w:r w:rsidRPr="00F0379B">
        <w:rPr>
          <w:rFonts w:ascii="Cambria" w:eastAsia="Cambria" w:hAnsi="Cambria" w:cs="Cambria"/>
          <w:sz w:val="20"/>
          <w:szCs w:val="20"/>
          <w:lang w:val="fr-FR"/>
        </w:rPr>
        <w:t>Administratif;</w:t>
      </w:r>
      <w:proofErr w:type="gramEnd"/>
      <w:r w:rsidRPr="00F0379B">
        <w:rPr>
          <w:rFonts w:ascii="Cambria" w:eastAsia="Cambria" w:hAnsi="Cambria" w:cs="Cambria"/>
          <w:sz w:val="20"/>
          <w:szCs w:val="20"/>
          <w:lang w:val="fr-FR"/>
        </w:rPr>
        <w:t xml:space="preserve"> BP 476, 10090 Haut Agdal Rabat</w:t>
      </w:r>
    </w:p>
    <w:p w14:paraId="0EF29829" w14:textId="77777777" w:rsidR="009123AC" w:rsidRPr="00F0379B" w:rsidRDefault="009123AC" w:rsidP="009123AC">
      <w:pPr>
        <w:spacing w:after="0" w:line="240" w:lineRule="auto"/>
        <w:rPr>
          <w:rFonts w:ascii="Cambria" w:eastAsia="Cambria" w:hAnsi="Cambria" w:cs="Cambria"/>
          <w:b/>
          <w:sz w:val="20"/>
          <w:szCs w:val="20"/>
          <w:lang w:val="pt-PT"/>
        </w:rPr>
      </w:pPr>
      <w:r w:rsidRPr="00F0379B">
        <w:rPr>
          <w:rFonts w:ascii="Cambria" w:eastAsia="Cambria" w:hAnsi="Cambria" w:cs="Cambria"/>
          <w:sz w:val="20"/>
          <w:szCs w:val="20"/>
          <w:lang w:val="pt-PT"/>
        </w:rPr>
        <w:t>Tel: +212 661 296 395, E-Mail: aouraghe@mpm.gov.ma</w:t>
      </w:r>
    </w:p>
    <w:p w14:paraId="0BC421D5" w14:textId="77777777" w:rsidR="009123AC" w:rsidRPr="00F0379B" w:rsidRDefault="009123AC" w:rsidP="009123AC">
      <w:pPr>
        <w:spacing w:after="0" w:line="240" w:lineRule="auto"/>
        <w:rPr>
          <w:rFonts w:ascii="Cambria" w:eastAsia="Cambria" w:hAnsi="Cambria" w:cs="Cambria"/>
          <w:b/>
          <w:sz w:val="20"/>
          <w:szCs w:val="20"/>
          <w:lang w:val="pt-BR"/>
        </w:rPr>
      </w:pPr>
    </w:p>
    <w:p w14:paraId="7E52A00C"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Abid</w:t>
      </w:r>
      <w:r w:rsidRPr="00F0379B">
        <w:rPr>
          <w:rFonts w:ascii="Cambria" w:eastAsia="Cambria" w:hAnsi="Cambria" w:cs="Cambria"/>
          <w:sz w:val="20"/>
          <w:szCs w:val="20"/>
          <w:lang w:val="fr-FR"/>
        </w:rPr>
        <w:t>, Noureddine</w:t>
      </w:r>
    </w:p>
    <w:p w14:paraId="42D2EAFD"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Chercheur et ingénieur halieute au Centre régional de recherche halieutique de Tanger, Responsable du programme de suivi et d'étude des ressources des grands pélagiques, Centre régional de l'INRH à Tanger/M'</w:t>
      </w:r>
      <w:proofErr w:type="spellStart"/>
      <w:r w:rsidRPr="00F0379B">
        <w:rPr>
          <w:rFonts w:ascii="Cambria" w:eastAsia="Cambria" w:hAnsi="Cambria" w:cs="Cambria"/>
          <w:sz w:val="20"/>
          <w:szCs w:val="20"/>
          <w:lang w:val="fr-FR"/>
        </w:rPr>
        <w:t>dig</w:t>
      </w:r>
      <w:proofErr w:type="spellEnd"/>
      <w:r w:rsidRPr="00F0379B">
        <w:rPr>
          <w:rFonts w:ascii="Cambria" w:eastAsia="Cambria" w:hAnsi="Cambria" w:cs="Cambria"/>
          <w:sz w:val="20"/>
          <w:szCs w:val="20"/>
          <w:lang w:val="fr-FR"/>
        </w:rPr>
        <w:t xml:space="preserve">, B.P. 5268, 90000 </w:t>
      </w:r>
      <w:proofErr w:type="spellStart"/>
      <w:r w:rsidRPr="00F0379B">
        <w:rPr>
          <w:rFonts w:ascii="Cambria" w:eastAsia="Cambria" w:hAnsi="Cambria" w:cs="Cambria"/>
          <w:sz w:val="20"/>
          <w:szCs w:val="20"/>
          <w:lang w:val="fr-FR"/>
        </w:rPr>
        <w:t>Drabed</w:t>
      </w:r>
      <w:proofErr w:type="spellEnd"/>
      <w:r w:rsidRPr="00F0379B">
        <w:rPr>
          <w:rFonts w:ascii="Cambria" w:eastAsia="Cambria" w:hAnsi="Cambria" w:cs="Cambria"/>
          <w:sz w:val="20"/>
          <w:szCs w:val="20"/>
          <w:lang w:val="fr-FR"/>
        </w:rPr>
        <w:t>, Tanger</w:t>
      </w:r>
    </w:p>
    <w:p w14:paraId="308DC4DA" w14:textId="77777777" w:rsidR="009123AC" w:rsidRPr="00F0379B" w:rsidRDefault="009123AC" w:rsidP="009123AC">
      <w:pPr>
        <w:spacing w:after="0" w:line="240" w:lineRule="auto"/>
        <w:jc w:val="both"/>
        <w:rPr>
          <w:rFonts w:ascii="Cambria" w:eastAsia="Cambria" w:hAnsi="Cambria" w:cs="Cambria"/>
          <w:sz w:val="20"/>
          <w:szCs w:val="20"/>
          <w:lang w:val="fr-FR"/>
        </w:rPr>
      </w:pPr>
      <w:proofErr w:type="gramStart"/>
      <w:r w:rsidRPr="00F0379B">
        <w:rPr>
          <w:rFonts w:ascii="Cambria" w:eastAsia="Cambria" w:hAnsi="Cambria" w:cs="Cambria"/>
          <w:sz w:val="20"/>
          <w:szCs w:val="20"/>
          <w:lang w:val="fr-FR"/>
        </w:rPr>
        <w:t>Tel:</w:t>
      </w:r>
      <w:proofErr w:type="gramEnd"/>
      <w:r w:rsidRPr="00F0379B">
        <w:rPr>
          <w:rFonts w:ascii="Cambria" w:eastAsia="Cambria" w:hAnsi="Cambria" w:cs="Cambria"/>
          <w:sz w:val="20"/>
          <w:szCs w:val="20"/>
          <w:lang w:val="fr-FR"/>
        </w:rPr>
        <w:t xml:space="preserve"> +212 53932 </w:t>
      </w:r>
      <w:proofErr w:type="gramStart"/>
      <w:r w:rsidRPr="00F0379B">
        <w:rPr>
          <w:rFonts w:ascii="Cambria" w:eastAsia="Cambria" w:hAnsi="Cambria" w:cs="Cambria"/>
          <w:sz w:val="20"/>
          <w:szCs w:val="20"/>
          <w:lang w:val="fr-FR"/>
        </w:rPr>
        <w:t>5134;</w:t>
      </w:r>
      <w:proofErr w:type="gramEnd"/>
      <w:r w:rsidRPr="00F0379B">
        <w:rPr>
          <w:rFonts w:ascii="Cambria" w:eastAsia="Cambria" w:hAnsi="Cambria" w:cs="Cambria"/>
          <w:sz w:val="20"/>
          <w:szCs w:val="20"/>
          <w:lang w:val="fr-FR"/>
        </w:rPr>
        <w:t xml:space="preserve"> +212 663 708 819, </w:t>
      </w:r>
      <w:proofErr w:type="gramStart"/>
      <w:r w:rsidRPr="00F0379B">
        <w:rPr>
          <w:rFonts w:ascii="Cambria" w:eastAsia="Cambria" w:hAnsi="Cambria" w:cs="Cambria"/>
          <w:sz w:val="20"/>
          <w:szCs w:val="20"/>
          <w:lang w:val="fr-FR"/>
        </w:rPr>
        <w:t>Fax:</w:t>
      </w:r>
      <w:proofErr w:type="gramEnd"/>
      <w:r w:rsidRPr="00F0379B">
        <w:rPr>
          <w:rFonts w:ascii="Cambria" w:eastAsia="Cambria" w:hAnsi="Cambria" w:cs="Cambria"/>
          <w:sz w:val="20"/>
          <w:szCs w:val="20"/>
          <w:lang w:val="fr-FR"/>
        </w:rPr>
        <w:t xml:space="preserve"> +212 53932 5139, </w:t>
      </w:r>
      <w:proofErr w:type="gramStart"/>
      <w:r w:rsidRPr="00F0379B">
        <w:rPr>
          <w:rFonts w:ascii="Cambria" w:eastAsia="Cambria" w:hAnsi="Cambria" w:cs="Cambria"/>
          <w:sz w:val="20"/>
          <w:szCs w:val="20"/>
          <w:lang w:val="fr-FR"/>
        </w:rPr>
        <w:t>E-Mail:</w:t>
      </w:r>
      <w:proofErr w:type="gramEnd"/>
      <w:r w:rsidRPr="00F0379B">
        <w:rPr>
          <w:rFonts w:ascii="Cambria" w:eastAsia="Cambria" w:hAnsi="Cambria" w:cs="Cambria"/>
          <w:sz w:val="20"/>
          <w:szCs w:val="20"/>
          <w:lang w:val="fr-FR"/>
        </w:rPr>
        <w:t xml:space="preserve"> nabid@inrh.ma</w:t>
      </w:r>
    </w:p>
    <w:p w14:paraId="3F1699F0"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lastRenderedPageBreak/>
        <w:t>Ben Bari</w:t>
      </w:r>
      <w:r w:rsidRPr="00F0379B">
        <w:rPr>
          <w:rFonts w:ascii="Cambria" w:eastAsia="Cambria" w:hAnsi="Cambria" w:cs="Cambria"/>
          <w:sz w:val="20"/>
          <w:szCs w:val="20"/>
          <w:lang w:val="fr-FR"/>
        </w:rPr>
        <w:t>, Mohamed (online)</w:t>
      </w:r>
    </w:p>
    <w:p w14:paraId="611C55EA"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 xml:space="preserve">Expert MCS Auprès du Secrétariat d'Etat chargé de la Pêche Maritime, Nouveau Quartier </w:t>
      </w:r>
      <w:proofErr w:type="gramStart"/>
      <w:r w:rsidRPr="00F0379B">
        <w:rPr>
          <w:rFonts w:ascii="Cambria" w:eastAsia="Cambria" w:hAnsi="Cambria" w:cs="Cambria"/>
          <w:sz w:val="20"/>
          <w:szCs w:val="20"/>
          <w:lang w:val="fr-FR"/>
        </w:rPr>
        <w:t>Administratif;</w:t>
      </w:r>
      <w:proofErr w:type="gramEnd"/>
      <w:r w:rsidRPr="00F0379B">
        <w:rPr>
          <w:rFonts w:ascii="Cambria" w:eastAsia="Cambria" w:hAnsi="Cambria" w:cs="Cambria"/>
          <w:sz w:val="20"/>
          <w:szCs w:val="20"/>
          <w:lang w:val="fr-FR"/>
        </w:rPr>
        <w:t xml:space="preserve"> BP 476, 10090 Haut Agdal Rabat</w:t>
      </w:r>
    </w:p>
    <w:p w14:paraId="1718E806" w14:textId="77777777" w:rsidR="009123AC" w:rsidRPr="00F0379B" w:rsidRDefault="009123AC" w:rsidP="009123AC">
      <w:pPr>
        <w:spacing w:after="0" w:line="240" w:lineRule="auto"/>
        <w:jc w:val="both"/>
        <w:rPr>
          <w:rFonts w:ascii="Cambria" w:eastAsia="Cambria" w:hAnsi="Cambria" w:cs="Cambria"/>
          <w:sz w:val="20"/>
          <w:szCs w:val="20"/>
          <w:lang w:val="fr-FR"/>
        </w:rPr>
      </w:pPr>
      <w:proofErr w:type="gramStart"/>
      <w:r w:rsidRPr="00F0379B">
        <w:rPr>
          <w:rFonts w:ascii="Cambria" w:eastAsia="Cambria" w:hAnsi="Cambria" w:cs="Cambria"/>
          <w:sz w:val="20"/>
          <w:szCs w:val="20"/>
          <w:lang w:val="fr-FR"/>
        </w:rPr>
        <w:t>Tel:</w:t>
      </w:r>
      <w:proofErr w:type="gramEnd"/>
      <w:r w:rsidRPr="00F0379B">
        <w:rPr>
          <w:rFonts w:ascii="Cambria" w:eastAsia="Cambria" w:hAnsi="Cambria" w:cs="Cambria"/>
          <w:sz w:val="20"/>
          <w:szCs w:val="20"/>
          <w:lang w:val="fr-FR"/>
        </w:rPr>
        <w:t xml:space="preserve"> +212 537 688 196, </w:t>
      </w:r>
      <w:proofErr w:type="gramStart"/>
      <w:r w:rsidRPr="00F0379B">
        <w:rPr>
          <w:rFonts w:ascii="Cambria" w:eastAsia="Cambria" w:hAnsi="Cambria" w:cs="Cambria"/>
          <w:sz w:val="20"/>
          <w:szCs w:val="20"/>
          <w:lang w:val="fr-FR"/>
        </w:rPr>
        <w:t>Fax:</w:t>
      </w:r>
      <w:proofErr w:type="gramEnd"/>
      <w:r w:rsidRPr="00F0379B">
        <w:rPr>
          <w:rFonts w:ascii="Cambria" w:eastAsia="Cambria" w:hAnsi="Cambria" w:cs="Cambria"/>
          <w:sz w:val="20"/>
          <w:szCs w:val="20"/>
          <w:lang w:val="fr-FR"/>
        </w:rPr>
        <w:t xml:space="preserve"> +212 537 688 382, </w:t>
      </w:r>
      <w:proofErr w:type="gramStart"/>
      <w:r w:rsidRPr="00F0379B">
        <w:rPr>
          <w:rFonts w:ascii="Cambria" w:eastAsia="Cambria" w:hAnsi="Cambria" w:cs="Cambria"/>
          <w:sz w:val="20"/>
          <w:szCs w:val="20"/>
          <w:lang w:val="fr-FR"/>
        </w:rPr>
        <w:t>E-Mail:</w:t>
      </w:r>
      <w:proofErr w:type="gramEnd"/>
      <w:r w:rsidRPr="00F0379B">
        <w:rPr>
          <w:rFonts w:ascii="Cambria" w:eastAsia="Cambria" w:hAnsi="Cambria" w:cs="Cambria"/>
          <w:sz w:val="20"/>
          <w:szCs w:val="20"/>
          <w:lang w:val="fr-FR"/>
        </w:rPr>
        <w:t xml:space="preserve"> benbari@mpm.gov.ma</w:t>
      </w:r>
    </w:p>
    <w:p w14:paraId="3189E4E1" w14:textId="77777777" w:rsidR="009123AC" w:rsidRPr="00F0379B" w:rsidRDefault="009123AC" w:rsidP="009123AC">
      <w:pPr>
        <w:spacing w:after="0" w:line="240" w:lineRule="auto"/>
        <w:rPr>
          <w:rFonts w:ascii="Cambria" w:eastAsia="Cambria" w:hAnsi="Cambria" w:cs="Cambria"/>
          <w:sz w:val="20"/>
          <w:szCs w:val="20"/>
          <w:lang w:val="fr-FR"/>
        </w:rPr>
      </w:pPr>
    </w:p>
    <w:p w14:paraId="121E5625"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Fernández Oualit</w:t>
      </w:r>
      <w:r w:rsidRPr="00F0379B">
        <w:rPr>
          <w:rFonts w:ascii="Cambria" w:eastAsia="Cambria" w:hAnsi="Cambria" w:cs="Cambria"/>
          <w:sz w:val="20"/>
          <w:szCs w:val="20"/>
          <w:lang w:val="fr-FR"/>
        </w:rPr>
        <w:t xml:space="preserve">, Dina </w:t>
      </w:r>
      <w:r w:rsidRPr="00F0379B">
        <w:rPr>
          <w:rFonts w:ascii="Cambria" w:eastAsia="Cambria" w:hAnsi="Cambria" w:cs="Cambria"/>
          <w:sz w:val="20"/>
          <w:szCs w:val="20"/>
          <w:vertAlign w:val="superscript"/>
          <w:lang w:val="fr-FR"/>
        </w:rPr>
        <w:t>1</w:t>
      </w:r>
    </w:p>
    <w:p w14:paraId="30DB8B14"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Représentante du groupe YLARAHOLDING</w:t>
      </w:r>
    </w:p>
    <w:p w14:paraId="71735C99" w14:textId="77777777" w:rsidR="009123AC" w:rsidRPr="00F0379B" w:rsidRDefault="009123AC" w:rsidP="009123AC">
      <w:pPr>
        <w:spacing w:after="0" w:line="240" w:lineRule="auto"/>
        <w:rPr>
          <w:rFonts w:ascii="Cambria" w:eastAsia="Cambria" w:hAnsi="Cambria" w:cs="Cambria"/>
          <w:sz w:val="20"/>
          <w:szCs w:val="20"/>
          <w:lang w:val="fr-FR"/>
        </w:rPr>
      </w:pPr>
    </w:p>
    <w:p w14:paraId="71B44DB8" w14:textId="77777777" w:rsidR="009123AC" w:rsidRPr="00F0379B" w:rsidRDefault="009123AC" w:rsidP="009123AC">
      <w:pPr>
        <w:spacing w:after="0" w:line="240" w:lineRule="auto"/>
        <w:rPr>
          <w:rFonts w:ascii="Cambria" w:eastAsia="Cambria" w:hAnsi="Cambria" w:cs="Cambria"/>
          <w:sz w:val="20"/>
          <w:szCs w:val="20"/>
          <w:lang w:val="fr-FR"/>
        </w:rPr>
      </w:pPr>
      <w:proofErr w:type="spellStart"/>
      <w:r w:rsidRPr="00F0379B">
        <w:rPr>
          <w:rFonts w:ascii="Cambria" w:eastAsia="Cambria" w:hAnsi="Cambria" w:cs="Cambria"/>
          <w:b/>
          <w:sz w:val="20"/>
          <w:szCs w:val="20"/>
          <w:lang w:val="fr-FR"/>
        </w:rPr>
        <w:t>Haoujar</w:t>
      </w:r>
      <w:proofErr w:type="spellEnd"/>
      <w:r w:rsidRPr="00F0379B">
        <w:rPr>
          <w:rFonts w:ascii="Cambria" w:eastAsia="Cambria" w:hAnsi="Cambria" w:cs="Cambria"/>
          <w:sz w:val="20"/>
          <w:szCs w:val="20"/>
          <w:lang w:val="fr-FR"/>
        </w:rPr>
        <w:t>, Bouchra</w:t>
      </w:r>
    </w:p>
    <w:p w14:paraId="2D167AAA"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Cheffe de Service des Espèces Marines Migratrices et des Espaces Protégés, Secrétariat d’Etat chargé de la Pêche Maritime, Nouveau Quartier Administratif, BP 476, 10150 Haut Agdal, Rabat</w:t>
      </w:r>
    </w:p>
    <w:p w14:paraId="526C981C" w14:textId="77777777" w:rsidR="009123AC" w:rsidRPr="00F0379B" w:rsidRDefault="009123AC" w:rsidP="009123AC">
      <w:pPr>
        <w:spacing w:after="0" w:line="240" w:lineRule="auto"/>
        <w:jc w:val="both"/>
        <w:rPr>
          <w:rFonts w:ascii="Cambria" w:eastAsia="Cambria" w:hAnsi="Cambria" w:cs="Cambria"/>
          <w:sz w:val="20"/>
          <w:szCs w:val="20"/>
          <w:lang w:val="it-IT"/>
        </w:rPr>
      </w:pPr>
      <w:r w:rsidRPr="00F0379B">
        <w:rPr>
          <w:rFonts w:ascii="Cambria" w:eastAsia="Cambria" w:hAnsi="Cambria" w:cs="Cambria"/>
          <w:sz w:val="20"/>
          <w:szCs w:val="20"/>
          <w:lang w:val="it-IT"/>
        </w:rPr>
        <w:t>Tel: +212 253 768 8115, Fax: +212 537 688 089, E-Mail: haoujar@mpm.gov.ma</w:t>
      </w:r>
    </w:p>
    <w:p w14:paraId="2B144789" w14:textId="77777777" w:rsidR="009123AC" w:rsidRPr="00F0379B" w:rsidRDefault="009123AC" w:rsidP="009123AC">
      <w:pPr>
        <w:spacing w:after="0" w:line="240" w:lineRule="auto"/>
        <w:rPr>
          <w:rFonts w:ascii="Cambria" w:eastAsia="Cambria" w:hAnsi="Cambria" w:cs="Cambria"/>
          <w:sz w:val="20"/>
          <w:szCs w:val="20"/>
          <w:lang w:val="it-IT"/>
        </w:rPr>
      </w:pPr>
    </w:p>
    <w:p w14:paraId="440912AF" w14:textId="77777777" w:rsidR="009123AC" w:rsidRPr="00F0379B" w:rsidRDefault="009123AC" w:rsidP="009123AC">
      <w:pPr>
        <w:spacing w:after="0" w:line="240" w:lineRule="auto"/>
        <w:rPr>
          <w:rFonts w:ascii="Cambria" w:eastAsia="Cambria" w:hAnsi="Cambria" w:cs="Cambria"/>
          <w:sz w:val="20"/>
          <w:szCs w:val="20"/>
          <w:lang w:val="it-IT"/>
        </w:rPr>
      </w:pPr>
      <w:r w:rsidRPr="00F0379B">
        <w:rPr>
          <w:rFonts w:ascii="Cambria" w:eastAsia="Cambria" w:hAnsi="Cambria" w:cs="Cambria"/>
          <w:b/>
          <w:sz w:val="20"/>
          <w:szCs w:val="20"/>
          <w:lang w:val="it-IT"/>
        </w:rPr>
        <w:t>Hassouni</w:t>
      </w:r>
      <w:r w:rsidRPr="00F0379B">
        <w:rPr>
          <w:rFonts w:ascii="Cambria" w:eastAsia="Cambria" w:hAnsi="Cambria" w:cs="Cambria"/>
          <w:sz w:val="20"/>
          <w:szCs w:val="20"/>
          <w:lang w:val="it-IT"/>
        </w:rPr>
        <w:t>, Fatima Zohra</w:t>
      </w:r>
    </w:p>
    <w:p w14:paraId="2B1E9B18"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 xml:space="preserve">Cheffe de la Division de Durabilité et d'Aménagement des Ressources Halieutiques, Secrétariat d’Etat chargé de la Pêche Maritime, Nouveau Quartier Administratif, </w:t>
      </w:r>
      <w:proofErr w:type="gramStart"/>
      <w:r w:rsidRPr="00F0379B">
        <w:rPr>
          <w:rFonts w:ascii="Cambria" w:eastAsia="Cambria" w:hAnsi="Cambria" w:cs="Cambria"/>
          <w:sz w:val="20"/>
          <w:szCs w:val="20"/>
          <w:lang w:val="fr-FR"/>
        </w:rPr>
        <w:t>B.P.:</w:t>
      </w:r>
      <w:proofErr w:type="gramEnd"/>
      <w:r w:rsidRPr="00F0379B">
        <w:rPr>
          <w:rFonts w:ascii="Cambria" w:eastAsia="Cambria" w:hAnsi="Cambria" w:cs="Cambria"/>
          <w:sz w:val="20"/>
          <w:szCs w:val="20"/>
          <w:lang w:val="fr-FR"/>
        </w:rPr>
        <w:t xml:space="preserve"> 476, 10150 Haut Agdal Rabat</w:t>
      </w:r>
    </w:p>
    <w:p w14:paraId="5030A130" w14:textId="77777777" w:rsidR="009123AC" w:rsidRPr="00F0379B" w:rsidRDefault="009123AC" w:rsidP="009123AC">
      <w:pPr>
        <w:spacing w:after="0" w:line="240" w:lineRule="auto"/>
        <w:jc w:val="both"/>
        <w:rPr>
          <w:rFonts w:ascii="Cambria" w:eastAsia="Cambria" w:hAnsi="Cambria" w:cs="Cambria"/>
          <w:sz w:val="20"/>
          <w:szCs w:val="20"/>
          <w:lang w:val="fr-FR"/>
        </w:rPr>
      </w:pPr>
      <w:proofErr w:type="gramStart"/>
      <w:r w:rsidRPr="00F0379B">
        <w:rPr>
          <w:rFonts w:ascii="Cambria" w:eastAsia="Cambria" w:hAnsi="Cambria" w:cs="Cambria"/>
          <w:sz w:val="20"/>
          <w:szCs w:val="20"/>
          <w:lang w:val="fr-FR"/>
        </w:rPr>
        <w:t>Tel:</w:t>
      </w:r>
      <w:proofErr w:type="gramEnd"/>
      <w:r w:rsidRPr="00F0379B">
        <w:rPr>
          <w:rFonts w:ascii="Cambria" w:eastAsia="Cambria" w:hAnsi="Cambria" w:cs="Cambria"/>
          <w:sz w:val="20"/>
          <w:szCs w:val="20"/>
          <w:lang w:val="fr-FR"/>
        </w:rPr>
        <w:t xml:space="preserve"> +212 537 688 122/21, </w:t>
      </w:r>
      <w:proofErr w:type="gramStart"/>
      <w:r w:rsidRPr="00F0379B">
        <w:rPr>
          <w:rFonts w:ascii="Cambria" w:eastAsia="Cambria" w:hAnsi="Cambria" w:cs="Cambria"/>
          <w:sz w:val="20"/>
          <w:szCs w:val="20"/>
          <w:lang w:val="fr-FR"/>
        </w:rPr>
        <w:t>Fax:</w:t>
      </w:r>
      <w:proofErr w:type="gramEnd"/>
      <w:r w:rsidRPr="00F0379B">
        <w:rPr>
          <w:rFonts w:ascii="Cambria" w:eastAsia="Cambria" w:hAnsi="Cambria" w:cs="Cambria"/>
          <w:sz w:val="20"/>
          <w:szCs w:val="20"/>
          <w:lang w:val="fr-FR"/>
        </w:rPr>
        <w:t xml:space="preserve"> +212 537 688 089, </w:t>
      </w:r>
      <w:proofErr w:type="gramStart"/>
      <w:r w:rsidRPr="00F0379B">
        <w:rPr>
          <w:rFonts w:ascii="Cambria" w:eastAsia="Cambria" w:hAnsi="Cambria" w:cs="Cambria"/>
          <w:sz w:val="20"/>
          <w:szCs w:val="20"/>
          <w:lang w:val="fr-FR"/>
        </w:rPr>
        <w:t>E-Mail:</w:t>
      </w:r>
      <w:proofErr w:type="gramEnd"/>
      <w:r w:rsidRPr="00F0379B">
        <w:rPr>
          <w:rFonts w:ascii="Cambria" w:eastAsia="Cambria" w:hAnsi="Cambria" w:cs="Cambria"/>
          <w:sz w:val="20"/>
          <w:szCs w:val="20"/>
          <w:lang w:val="fr-FR"/>
        </w:rPr>
        <w:t xml:space="preserve"> hassouni@mpm.gov.ma</w:t>
      </w:r>
    </w:p>
    <w:p w14:paraId="74A4947D" w14:textId="77777777" w:rsidR="009123AC" w:rsidRPr="00F0379B" w:rsidRDefault="009123AC" w:rsidP="009123AC">
      <w:pPr>
        <w:spacing w:after="0" w:line="240" w:lineRule="auto"/>
        <w:rPr>
          <w:rFonts w:ascii="Cambria" w:eastAsia="Cambria" w:hAnsi="Cambria" w:cs="Cambria"/>
          <w:sz w:val="20"/>
          <w:szCs w:val="20"/>
          <w:lang w:val="fr-FR"/>
        </w:rPr>
      </w:pPr>
    </w:p>
    <w:p w14:paraId="68E16862" w14:textId="77777777" w:rsidR="009123AC" w:rsidRPr="00F0379B" w:rsidRDefault="009123AC" w:rsidP="009123AC">
      <w:pPr>
        <w:spacing w:after="0" w:line="240" w:lineRule="auto"/>
        <w:rPr>
          <w:rFonts w:ascii="Cambria" w:eastAsia="Cambria" w:hAnsi="Cambria" w:cs="Cambria"/>
          <w:sz w:val="20"/>
          <w:szCs w:val="20"/>
          <w:lang w:val="fr-FR"/>
        </w:rPr>
      </w:pPr>
      <w:proofErr w:type="spellStart"/>
      <w:r w:rsidRPr="00F0379B">
        <w:rPr>
          <w:rFonts w:ascii="Cambria" w:eastAsia="Cambria" w:hAnsi="Cambria" w:cs="Cambria"/>
          <w:b/>
          <w:sz w:val="20"/>
          <w:szCs w:val="20"/>
          <w:lang w:val="fr-FR"/>
        </w:rPr>
        <w:t>Hmidane</w:t>
      </w:r>
      <w:proofErr w:type="spellEnd"/>
      <w:r w:rsidRPr="00F0379B">
        <w:rPr>
          <w:rFonts w:ascii="Cambria" w:eastAsia="Cambria" w:hAnsi="Cambria" w:cs="Cambria"/>
          <w:sz w:val="20"/>
          <w:szCs w:val="20"/>
          <w:lang w:val="fr-FR"/>
        </w:rPr>
        <w:t>, Abdellatif</w:t>
      </w:r>
    </w:p>
    <w:p w14:paraId="2A6E63E0"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 xml:space="preserve">Chef du Service de la Coordination de la Lutte contre la Pêche INN / DCAPM, Secrétariat d’Etat chargé de la Pêche Maritime, Nouveau Quartier </w:t>
      </w:r>
      <w:proofErr w:type="gramStart"/>
      <w:r w:rsidRPr="00F0379B">
        <w:rPr>
          <w:rFonts w:ascii="Cambria" w:eastAsia="Cambria" w:hAnsi="Cambria" w:cs="Cambria"/>
          <w:sz w:val="20"/>
          <w:szCs w:val="20"/>
          <w:lang w:val="fr-FR"/>
        </w:rPr>
        <w:t>Administratif;</w:t>
      </w:r>
      <w:proofErr w:type="gramEnd"/>
      <w:r w:rsidRPr="00F0379B">
        <w:rPr>
          <w:rFonts w:ascii="Cambria" w:eastAsia="Cambria" w:hAnsi="Cambria" w:cs="Cambria"/>
          <w:sz w:val="20"/>
          <w:szCs w:val="20"/>
          <w:lang w:val="fr-FR"/>
        </w:rPr>
        <w:t xml:space="preserve"> BP 476, 10090 Haut Agdal Rabat</w:t>
      </w:r>
    </w:p>
    <w:p w14:paraId="67FA4DE8" w14:textId="77777777" w:rsidR="009123AC" w:rsidRPr="00F0379B" w:rsidRDefault="009123AC" w:rsidP="009123AC">
      <w:pPr>
        <w:spacing w:after="0" w:line="240" w:lineRule="auto"/>
        <w:jc w:val="both"/>
        <w:rPr>
          <w:rFonts w:ascii="Cambria" w:eastAsia="Cambria" w:hAnsi="Cambria" w:cs="Cambria"/>
          <w:sz w:val="20"/>
          <w:szCs w:val="20"/>
          <w:lang w:val="it-IT"/>
        </w:rPr>
      </w:pPr>
      <w:r w:rsidRPr="00F0379B">
        <w:rPr>
          <w:rFonts w:ascii="Cambria" w:eastAsia="Cambria" w:hAnsi="Cambria" w:cs="Cambria"/>
          <w:sz w:val="20"/>
          <w:szCs w:val="20"/>
          <w:lang w:val="it-IT"/>
        </w:rPr>
        <w:t>Tel: +212 537 688 356, Fax: +212 537 688 382, E-Mail: hmidane@mpm.gov.ma</w:t>
      </w:r>
    </w:p>
    <w:p w14:paraId="088BACB4" w14:textId="77777777" w:rsidR="009123AC" w:rsidRPr="00F0379B" w:rsidRDefault="009123AC" w:rsidP="009123AC">
      <w:pPr>
        <w:spacing w:after="0" w:line="240" w:lineRule="auto"/>
        <w:rPr>
          <w:rFonts w:ascii="Cambria" w:eastAsia="Cambria" w:hAnsi="Cambria" w:cs="Cambria"/>
          <w:sz w:val="20"/>
          <w:szCs w:val="20"/>
          <w:lang w:val="it-IT"/>
        </w:rPr>
      </w:pPr>
    </w:p>
    <w:p w14:paraId="716D2CAF" w14:textId="77777777" w:rsidR="009123AC" w:rsidRPr="00F0379B" w:rsidRDefault="009123AC" w:rsidP="009123AC">
      <w:pPr>
        <w:spacing w:after="0" w:line="240" w:lineRule="auto"/>
        <w:rPr>
          <w:rFonts w:ascii="Cambria" w:eastAsia="Cambria" w:hAnsi="Cambria" w:cs="Cambria"/>
          <w:sz w:val="20"/>
          <w:szCs w:val="20"/>
          <w:lang w:val="it-IT"/>
        </w:rPr>
      </w:pPr>
      <w:proofErr w:type="spellStart"/>
      <w:r w:rsidRPr="00F0379B">
        <w:rPr>
          <w:rFonts w:ascii="Cambria" w:eastAsia="Cambria" w:hAnsi="Cambria" w:cs="Cambria"/>
          <w:b/>
          <w:sz w:val="20"/>
          <w:szCs w:val="20"/>
          <w:lang w:val="it-IT"/>
        </w:rPr>
        <w:t>Moustatir</w:t>
      </w:r>
      <w:proofErr w:type="spellEnd"/>
      <w:r w:rsidRPr="00F0379B">
        <w:rPr>
          <w:rFonts w:ascii="Cambria" w:eastAsia="Cambria" w:hAnsi="Cambria" w:cs="Cambria"/>
          <w:sz w:val="20"/>
          <w:szCs w:val="20"/>
          <w:lang w:val="it-IT"/>
        </w:rPr>
        <w:t>, Abdellah</w:t>
      </w:r>
    </w:p>
    <w:p w14:paraId="045837BB"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 xml:space="preserve">Directeur des Pêches Maritimes, Secrétariat d’Etat chargé de la Pêche Maritime, Nouveau Quartier </w:t>
      </w:r>
      <w:proofErr w:type="gramStart"/>
      <w:r w:rsidRPr="00F0379B">
        <w:rPr>
          <w:rFonts w:ascii="Cambria" w:eastAsia="Cambria" w:hAnsi="Cambria" w:cs="Cambria"/>
          <w:sz w:val="20"/>
          <w:szCs w:val="20"/>
          <w:lang w:val="fr-FR"/>
        </w:rPr>
        <w:t>Administratif;</w:t>
      </w:r>
      <w:proofErr w:type="gramEnd"/>
      <w:r w:rsidRPr="00F0379B">
        <w:rPr>
          <w:rFonts w:ascii="Cambria" w:eastAsia="Cambria" w:hAnsi="Cambria" w:cs="Cambria"/>
          <w:sz w:val="20"/>
          <w:szCs w:val="20"/>
          <w:lang w:val="fr-FR"/>
        </w:rPr>
        <w:t xml:space="preserve"> B.P. 476, Haut Agdal Rabat</w:t>
      </w:r>
    </w:p>
    <w:p w14:paraId="475EA1AD"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+212 537 688 244-46, E-Mail: a.moustatir@mpm.gov.ma</w:t>
      </w:r>
    </w:p>
    <w:p w14:paraId="146D5227" w14:textId="77777777" w:rsidR="009123AC" w:rsidRPr="00F0379B" w:rsidRDefault="009123AC" w:rsidP="009123AC">
      <w:pPr>
        <w:spacing w:after="0" w:line="240" w:lineRule="auto"/>
        <w:rPr>
          <w:rFonts w:ascii="Cambria" w:eastAsia="Cambria" w:hAnsi="Cambria" w:cs="Cambria"/>
          <w:sz w:val="20"/>
          <w:szCs w:val="20"/>
          <w:lang w:val="pt-PT"/>
        </w:rPr>
      </w:pPr>
    </w:p>
    <w:p w14:paraId="40F54FA6" w14:textId="77777777" w:rsidR="009123AC" w:rsidRPr="00F0379B" w:rsidRDefault="009123AC" w:rsidP="009123AC">
      <w:pPr>
        <w:spacing w:after="0" w:line="240" w:lineRule="auto"/>
        <w:rPr>
          <w:rFonts w:ascii="Cambria" w:eastAsia="Cambria" w:hAnsi="Cambria" w:cs="Cambria"/>
          <w:sz w:val="20"/>
          <w:szCs w:val="20"/>
          <w:lang w:val="fr-FR"/>
        </w:rPr>
      </w:pPr>
      <w:proofErr w:type="spellStart"/>
      <w:r w:rsidRPr="00F0379B">
        <w:rPr>
          <w:rFonts w:ascii="Cambria" w:eastAsia="Cambria" w:hAnsi="Cambria" w:cs="Cambria"/>
          <w:b/>
          <w:sz w:val="20"/>
          <w:szCs w:val="20"/>
          <w:lang w:val="fr-FR"/>
        </w:rPr>
        <w:t>Sabbane</w:t>
      </w:r>
      <w:proofErr w:type="spellEnd"/>
      <w:r w:rsidRPr="00F0379B">
        <w:rPr>
          <w:rFonts w:ascii="Cambria" w:eastAsia="Cambria" w:hAnsi="Cambria" w:cs="Cambria"/>
          <w:sz w:val="20"/>
          <w:szCs w:val="20"/>
          <w:lang w:val="fr-FR"/>
        </w:rPr>
        <w:t>, Kamal</w:t>
      </w:r>
    </w:p>
    <w:p w14:paraId="1DFD76F6"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 xml:space="preserve">Chef du Service du Suivi et du Contrôle par Outil informatique / DCAPM, Secrétariat d’Etat chargé de la Pêche Maritime, Département de la Pêche Maritime, Nouveau Quartier </w:t>
      </w:r>
      <w:proofErr w:type="gramStart"/>
      <w:r w:rsidRPr="00F0379B">
        <w:rPr>
          <w:rFonts w:ascii="Cambria" w:eastAsia="Cambria" w:hAnsi="Cambria" w:cs="Cambria"/>
          <w:sz w:val="20"/>
          <w:szCs w:val="20"/>
          <w:lang w:val="fr-FR"/>
        </w:rPr>
        <w:t>Administratif;</w:t>
      </w:r>
      <w:proofErr w:type="gramEnd"/>
      <w:r w:rsidRPr="00F0379B">
        <w:rPr>
          <w:rFonts w:ascii="Cambria" w:eastAsia="Cambria" w:hAnsi="Cambria" w:cs="Cambria"/>
          <w:sz w:val="20"/>
          <w:szCs w:val="20"/>
          <w:lang w:val="fr-FR"/>
        </w:rPr>
        <w:t xml:space="preserve"> BP 476, 10090 Haut Agdal, Rabat</w:t>
      </w:r>
    </w:p>
    <w:p w14:paraId="1FC9852D"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+212 537 688 528, Fax: +212 537 688 382, E-Mail: sabbane@mpm.gov.ma</w:t>
      </w:r>
    </w:p>
    <w:p w14:paraId="1106BF9B" w14:textId="77777777" w:rsidR="009123AC" w:rsidRPr="00F0379B" w:rsidRDefault="009123AC" w:rsidP="009123AC">
      <w:pPr>
        <w:spacing w:after="0" w:line="240" w:lineRule="auto"/>
        <w:rPr>
          <w:rFonts w:ascii="Cambria" w:eastAsia="Cambria" w:hAnsi="Cambria" w:cs="Cambria"/>
          <w:sz w:val="20"/>
          <w:szCs w:val="20"/>
          <w:lang w:val="pt-PT"/>
        </w:rPr>
      </w:pPr>
    </w:p>
    <w:p w14:paraId="4AF14FE3" w14:textId="77777777" w:rsidR="009123AC" w:rsidRPr="00F0379B" w:rsidRDefault="009123AC" w:rsidP="009123AC">
      <w:pPr>
        <w:spacing w:after="0" w:line="240" w:lineRule="auto"/>
        <w:rPr>
          <w:rFonts w:ascii="Cambria" w:eastAsia="Cambria" w:hAnsi="Cambria" w:cs="Cambria"/>
          <w:sz w:val="20"/>
          <w:szCs w:val="20"/>
          <w:lang w:val="pt-PT"/>
        </w:rPr>
      </w:pPr>
      <w:r w:rsidRPr="00F0379B">
        <w:rPr>
          <w:rFonts w:ascii="Cambria" w:eastAsia="Cambria" w:hAnsi="Cambria" w:cs="Cambria"/>
          <w:b/>
          <w:sz w:val="20"/>
          <w:szCs w:val="20"/>
          <w:lang w:val="pt-PT"/>
        </w:rPr>
        <w:t>NORUEGA</w:t>
      </w:r>
    </w:p>
    <w:p w14:paraId="2692823F" w14:textId="77777777" w:rsidR="009123AC" w:rsidRPr="00F0379B" w:rsidRDefault="009123AC" w:rsidP="009123AC">
      <w:pPr>
        <w:spacing w:after="0" w:line="240" w:lineRule="auto"/>
        <w:rPr>
          <w:rFonts w:ascii="Cambria" w:eastAsia="Cambria" w:hAnsi="Cambria" w:cs="Cambria"/>
          <w:sz w:val="20"/>
          <w:szCs w:val="20"/>
          <w:lang w:val="pt-PT"/>
        </w:rPr>
      </w:pPr>
      <w:r w:rsidRPr="00F0379B">
        <w:rPr>
          <w:rFonts w:ascii="Cambria" w:eastAsia="Cambria" w:hAnsi="Cambria" w:cs="Cambria"/>
          <w:b/>
          <w:sz w:val="20"/>
          <w:szCs w:val="20"/>
          <w:lang w:val="pt-PT"/>
        </w:rPr>
        <w:t>Sørdahl</w:t>
      </w:r>
      <w:r w:rsidRPr="00F0379B">
        <w:rPr>
          <w:rFonts w:ascii="Cambria" w:eastAsia="Cambria" w:hAnsi="Cambria" w:cs="Cambria"/>
          <w:sz w:val="20"/>
          <w:szCs w:val="20"/>
          <w:lang w:val="pt-PT"/>
        </w:rPr>
        <w:t xml:space="preserve">, Elisabeth * </w:t>
      </w:r>
      <w:r w:rsidRPr="00F0379B">
        <w:rPr>
          <w:rFonts w:ascii="Cambria" w:eastAsia="Cambria" w:hAnsi="Cambria" w:cs="Cambria"/>
          <w:sz w:val="20"/>
          <w:szCs w:val="20"/>
          <w:vertAlign w:val="superscript"/>
          <w:lang w:val="pt-PT"/>
        </w:rPr>
        <w:t>1</w:t>
      </w:r>
    </w:p>
    <w:p w14:paraId="5D9B6900"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Senior Adviser, Ministry of Trade, Industry and Fisheries, Department for Fisheries, 0032 Oslo</w:t>
      </w:r>
    </w:p>
    <w:p w14:paraId="2E181518" w14:textId="77777777" w:rsidR="009123AC" w:rsidRPr="00F0379B" w:rsidRDefault="009123AC" w:rsidP="009123AC">
      <w:pPr>
        <w:spacing w:after="0" w:line="240" w:lineRule="auto"/>
        <w:rPr>
          <w:rFonts w:ascii="Cambria" w:eastAsia="Cambria" w:hAnsi="Cambria" w:cs="Cambria"/>
          <w:sz w:val="20"/>
          <w:szCs w:val="20"/>
          <w:lang w:val="en-US"/>
        </w:rPr>
      </w:pPr>
    </w:p>
    <w:p w14:paraId="6CEE095D"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Dingsør</w:t>
      </w:r>
      <w:proofErr w:type="spellEnd"/>
      <w:r w:rsidRPr="00F0379B">
        <w:rPr>
          <w:rFonts w:ascii="Cambria" w:eastAsia="Cambria" w:hAnsi="Cambria" w:cs="Cambria"/>
          <w:sz w:val="20"/>
          <w:szCs w:val="20"/>
          <w:lang w:val="en-US"/>
        </w:rPr>
        <w:t>, Gjert Endre (online)</w:t>
      </w:r>
    </w:p>
    <w:p w14:paraId="02EA3837" w14:textId="77777777" w:rsidR="009123AC" w:rsidRPr="00F0379B" w:rsidRDefault="009123AC" w:rsidP="009123AC">
      <w:pPr>
        <w:spacing w:after="0" w:line="240" w:lineRule="auto"/>
        <w:jc w:val="both"/>
        <w:rPr>
          <w:rFonts w:ascii="Cambria" w:eastAsia="Cambria" w:hAnsi="Cambria" w:cs="Cambria"/>
          <w:sz w:val="20"/>
          <w:szCs w:val="20"/>
          <w:lang w:val="en-US"/>
        </w:rPr>
      </w:pPr>
      <w:proofErr w:type="spellStart"/>
      <w:r w:rsidRPr="00F0379B">
        <w:rPr>
          <w:rFonts w:ascii="Cambria" w:eastAsia="Cambria" w:hAnsi="Cambria" w:cs="Cambria"/>
          <w:sz w:val="20"/>
          <w:szCs w:val="20"/>
          <w:lang w:val="en-US"/>
        </w:rPr>
        <w:t>Bradbenken</w:t>
      </w:r>
      <w:proofErr w:type="spellEnd"/>
      <w:r w:rsidRPr="00F0379B">
        <w:rPr>
          <w:rFonts w:ascii="Cambria" w:eastAsia="Cambria" w:hAnsi="Cambria" w:cs="Cambria"/>
          <w:sz w:val="20"/>
          <w:szCs w:val="20"/>
          <w:lang w:val="en-US"/>
        </w:rPr>
        <w:t xml:space="preserve"> 1, 5003 Bergen Vestland</w:t>
      </w:r>
    </w:p>
    <w:p w14:paraId="6E7B3A2B"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+47 474 15494, E-Mail: gjert@fiskebat.no</w:t>
      </w:r>
    </w:p>
    <w:p w14:paraId="08737990" w14:textId="77777777" w:rsidR="009123AC" w:rsidRPr="00F0379B" w:rsidRDefault="009123AC" w:rsidP="009123AC">
      <w:pPr>
        <w:spacing w:after="0" w:line="240" w:lineRule="auto"/>
        <w:rPr>
          <w:rFonts w:ascii="Cambria" w:eastAsia="Cambria" w:hAnsi="Cambria" w:cs="Cambria"/>
          <w:sz w:val="20"/>
          <w:szCs w:val="20"/>
          <w:lang w:val="pt-PT"/>
        </w:rPr>
      </w:pPr>
    </w:p>
    <w:p w14:paraId="510B501E" w14:textId="77777777" w:rsidR="009123AC" w:rsidRPr="00F0379B" w:rsidRDefault="009123AC" w:rsidP="009123AC">
      <w:pPr>
        <w:spacing w:after="0" w:line="240" w:lineRule="auto"/>
        <w:rPr>
          <w:rFonts w:ascii="Cambria" w:eastAsia="Cambria" w:hAnsi="Cambria" w:cs="Cambria"/>
          <w:sz w:val="20"/>
          <w:szCs w:val="20"/>
          <w:lang w:val="pt-PT"/>
        </w:rPr>
      </w:pPr>
      <w:r w:rsidRPr="00F0379B">
        <w:rPr>
          <w:rFonts w:ascii="Cambria" w:eastAsia="Cambria" w:hAnsi="Cambria" w:cs="Cambria"/>
          <w:b/>
          <w:sz w:val="20"/>
          <w:szCs w:val="20"/>
          <w:lang w:val="pt-PT"/>
        </w:rPr>
        <w:t>Holte-Nilssen</w:t>
      </w:r>
      <w:r w:rsidRPr="00F0379B">
        <w:rPr>
          <w:rFonts w:ascii="Cambria" w:eastAsia="Cambria" w:hAnsi="Cambria" w:cs="Cambria"/>
          <w:sz w:val="20"/>
          <w:szCs w:val="20"/>
          <w:lang w:val="pt-PT"/>
        </w:rPr>
        <w:t>, Victor Fuglaas</w:t>
      </w:r>
    </w:p>
    <w:p w14:paraId="3A0D81B0"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FISKERIDIREKTORATET, Seksjon fiskeriregulering, 5121 Ulset Vestland</w:t>
      </w:r>
    </w:p>
    <w:p w14:paraId="33352145"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+47 55 23 80 00; +47 495 913, E-Mail: vihni@fiskeridir.no</w:t>
      </w:r>
    </w:p>
    <w:p w14:paraId="184A0FDD" w14:textId="77777777" w:rsidR="009123AC" w:rsidRPr="00F0379B" w:rsidRDefault="009123AC" w:rsidP="009123AC">
      <w:pPr>
        <w:spacing w:after="0" w:line="240" w:lineRule="auto"/>
        <w:rPr>
          <w:rFonts w:ascii="Cambria" w:eastAsia="Cambria" w:hAnsi="Cambria" w:cs="Cambria"/>
          <w:sz w:val="20"/>
          <w:szCs w:val="20"/>
          <w:lang w:val="pt-PT"/>
        </w:rPr>
      </w:pPr>
    </w:p>
    <w:p w14:paraId="6C4F42CF"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Humborstad</w:t>
      </w:r>
      <w:proofErr w:type="spellEnd"/>
      <w:r w:rsidRPr="00F0379B">
        <w:rPr>
          <w:rFonts w:ascii="Cambria" w:eastAsia="Cambria" w:hAnsi="Cambria" w:cs="Cambria"/>
          <w:sz w:val="20"/>
          <w:szCs w:val="20"/>
          <w:lang w:val="en-US"/>
        </w:rPr>
        <w:t>, Odd-Børre (online)</w:t>
      </w:r>
    </w:p>
    <w:p w14:paraId="37C301E0"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Institute of Marine Research, P.O. Box 1870 Nordnes, NO-5817 Bergen</w:t>
      </w:r>
    </w:p>
    <w:p w14:paraId="4F2BBFD2"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+47 924 60009, E-Mail: oddb@hi.no</w:t>
      </w:r>
    </w:p>
    <w:p w14:paraId="5C6AC623" w14:textId="77777777" w:rsidR="009123AC" w:rsidRPr="00F0379B" w:rsidRDefault="009123AC" w:rsidP="009123AC">
      <w:pPr>
        <w:spacing w:after="0" w:line="240" w:lineRule="auto"/>
        <w:rPr>
          <w:rFonts w:ascii="Cambria" w:eastAsia="Cambria" w:hAnsi="Cambria" w:cs="Cambria"/>
          <w:sz w:val="20"/>
          <w:szCs w:val="20"/>
          <w:lang w:val="pt-PT"/>
        </w:rPr>
      </w:pPr>
    </w:p>
    <w:p w14:paraId="0740074F"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Mjorlund</w:t>
      </w:r>
      <w:proofErr w:type="spellEnd"/>
      <w:r w:rsidRPr="00F0379B">
        <w:rPr>
          <w:rFonts w:ascii="Cambria" w:eastAsia="Cambria" w:hAnsi="Cambria" w:cs="Cambria"/>
          <w:sz w:val="20"/>
          <w:szCs w:val="20"/>
          <w:lang w:val="en-US"/>
        </w:rPr>
        <w:t xml:space="preserve">, Rune </w:t>
      </w:r>
      <w:r w:rsidRPr="00F0379B">
        <w:rPr>
          <w:rFonts w:ascii="Cambria" w:eastAsia="Cambria" w:hAnsi="Cambria" w:cs="Cambria"/>
          <w:sz w:val="20"/>
          <w:szCs w:val="20"/>
          <w:vertAlign w:val="superscript"/>
          <w:lang w:val="en-US"/>
        </w:rPr>
        <w:t>1</w:t>
      </w:r>
    </w:p>
    <w:p w14:paraId="3E6505F7"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Senior Adviser, Directorate of Fisheries, Department of Coastal Management, Environment and Statistics, 5804 Bergen</w:t>
      </w:r>
    </w:p>
    <w:p w14:paraId="44A2AB46" w14:textId="77777777" w:rsidR="009123AC" w:rsidRPr="00F0379B" w:rsidRDefault="009123AC" w:rsidP="009123AC">
      <w:pPr>
        <w:spacing w:after="0" w:line="240" w:lineRule="auto"/>
        <w:rPr>
          <w:rFonts w:ascii="Cambria" w:eastAsia="Cambria" w:hAnsi="Cambria" w:cs="Cambria"/>
          <w:sz w:val="20"/>
          <w:szCs w:val="20"/>
          <w:lang w:val="en-US"/>
        </w:rPr>
      </w:pPr>
    </w:p>
    <w:p w14:paraId="2F916E67"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Munch-Ellingsen</w:t>
      </w:r>
      <w:r w:rsidRPr="00F0379B">
        <w:rPr>
          <w:rFonts w:ascii="Cambria" w:eastAsia="Cambria" w:hAnsi="Cambria" w:cs="Cambria"/>
          <w:sz w:val="20"/>
          <w:szCs w:val="20"/>
          <w:lang w:val="en-US"/>
        </w:rPr>
        <w:t>, Sofie</w:t>
      </w:r>
    </w:p>
    <w:p w14:paraId="79453450"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Higher Executive Officer, Ministry of Trade, Industry and Fisheries, Department for Fisheries, Kongens gate 8, 0153, (P.O. Box 8090 Dep), 0032 Oslo</w:t>
      </w:r>
    </w:p>
    <w:p w14:paraId="6EF4EB87"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+47 950 05084, E-Mail: sofie.munch-ellingsen@nfd.dep.no</w:t>
      </w:r>
    </w:p>
    <w:p w14:paraId="6D1F3DEE" w14:textId="77777777" w:rsidR="00D54DA2" w:rsidRPr="00F0379B" w:rsidRDefault="00D54DA2" w:rsidP="009123AC">
      <w:pPr>
        <w:spacing w:after="0" w:line="240" w:lineRule="auto"/>
        <w:rPr>
          <w:rFonts w:ascii="Cambria" w:eastAsia="Cambria" w:hAnsi="Cambria" w:cs="Cambria"/>
          <w:b/>
          <w:sz w:val="20"/>
          <w:szCs w:val="20"/>
          <w:lang w:val="pt-PT"/>
        </w:rPr>
      </w:pPr>
    </w:p>
    <w:p w14:paraId="27D34A5D" w14:textId="612BEC90"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lastRenderedPageBreak/>
        <w:t>PANAMÁ</w:t>
      </w:r>
    </w:p>
    <w:p w14:paraId="6FD88D93"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Vergara</w:t>
      </w:r>
      <w:r w:rsidRPr="00F0379B">
        <w:rPr>
          <w:rFonts w:ascii="Cambria" w:eastAsia="Cambria" w:hAnsi="Cambria" w:cs="Cambria"/>
          <w:sz w:val="20"/>
          <w:szCs w:val="20"/>
        </w:rPr>
        <w:t>, Yarkelia</w:t>
      </w:r>
    </w:p>
    <w:p w14:paraId="61BC3EA8"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0DBC8F6C"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Tel: +507 511 6008 (ext. 359), E-Mail: yvergara@arap.gob.pa; hsfs@arap.gob.pa</w:t>
      </w:r>
    </w:p>
    <w:p w14:paraId="15D6D44A" w14:textId="77777777" w:rsidR="009123AC" w:rsidRPr="00F0379B" w:rsidRDefault="009123AC" w:rsidP="009123AC">
      <w:pPr>
        <w:spacing w:after="0" w:line="240" w:lineRule="auto"/>
        <w:rPr>
          <w:rFonts w:ascii="Cambria" w:eastAsia="Cambria" w:hAnsi="Cambria" w:cs="Cambria"/>
          <w:b/>
          <w:sz w:val="20"/>
          <w:szCs w:val="20"/>
        </w:rPr>
      </w:pPr>
    </w:p>
    <w:p w14:paraId="6D9ADB3E"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Díaz de Santamaría</w:t>
      </w:r>
      <w:r w:rsidRPr="00F0379B">
        <w:rPr>
          <w:rFonts w:ascii="Cambria" w:eastAsia="Cambria" w:hAnsi="Cambria" w:cs="Cambria"/>
          <w:sz w:val="20"/>
          <w:szCs w:val="20"/>
        </w:rPr>
        <w:t>, María Patricia</w:t>
      </w:r>
    </w:p>
    <w:p w14:paraId="68D9DAD9"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Delegada representante de la Industria, FIPESCA - Fundación Internacional de Pesca, Zona de Libre Proceso de Corozal, Edificio 297, Corozal</w:t>
      </w:r>
    </w:p>
    <w:p w14:paraId="08ADA475"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+507 378 6640; +507 657 32047, E-Mail: mpdiaz@fipesca.com</w:t>
      </w:r>
    </w:p>
    <w:p w14:paraId="088AC605" w14:textId="77777777" w:rsidR="009123AC" w:rsidRPr="00F0379B" w:rsidRDefault="009123AC" w:rsidP="009123AC">
      <w:pPr>
        <w:spacing w:after="0" w:line="240" w:lineRule="auto"/>
        <w:rPr>
          <w:rFonts w:ascii="Cambria" w:eastAsia="Cambria" w:hAnsi="Cambria" w:cs="Cambria"/>
          <w:sz w:val="20"/>
          <w:szCs w:val="20"/>
          <w:lang w:val="pt-PT"/>
        </w:rPr>
      </w:pPr>
    </w:p>
    <w:p w14:paraId="4EDB530E" w14:textId="77777777" w:rsidR="009123AC" w:rsidRPr="00F0379B" w:rsidRDefault="009123AC" w:rsidP="009123AC">
      <w:pPr>
        <w:spacing w:after="0" w:line="240" w:lineRule="auto"/>
        <w:rPr>
          <w:rFonts w:ascii="Cambria" w:eastAsia="Cambria" w:hAnsi="Cambria" w:cs="Cambria"/>
          <w:sz w:val="20"/>
          <w:szCs w:val="20"/>
          <w:lang w:val="pt-PT"/>
        </w:rPr>
      </w:pPr>
      <w:r w:rsidRPr="00F0379B">
        <w:rPr>
          <w:rFonts w:ascii="Cambria" w:eastAsia="Cambria" w:hAnsi="Cambria" w:cs="Cambria"/>
          <w:b/>
          <w:sz w:val="20"/>
          <w:szCs w:val="20"/>
          <w:lang w:val="pt-PT"/>
        </w:rPr>
        <w:t>Peña</w:t>
      </w:r>
      <w:r w:rsidRPr="00F0379B">
        <w:rPr>
          <w:rFonts w:ascii="Cambria" w:eastAsia="Cambria" w:hAnsi="Cambria" w:cs="Cambria"/>
          <w:sz w:val="20"/>
          <w:szCs w:val="20"/>
          <w:lang w:val="pt-PT"/>
        </w:rPr>
        <w:t>, Alexis (online)</w:t>
      </w:r>
    </w:p>
    <w:p w14:paraId="4F0E247D"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Secretario General, Autoridad de los Recursos Acuáticos de Panamá - ARAP, Edificio Riviera, Ave, Justo Arosemena, Calle 45 Bella Vista</w:t>
      </w:r>
    </w:p>
    <w:p w14:paraId="6C9AB888" w14:textId="77777777" w:rsidR="009123AC" w:rsidRPr="00F0379B" w:rsidRDefault="009123AC" w:rsidP="009123AC">
      <w:pPr>
        <w:spacing w:after="0" w:line="240" w:lineRule="auto"/>
        <w:jc w:val="both"/>
        <w:rPr>
          <w:rFonts w:ascii="Cambria" w:eastAsia="Cambria" w:hAnsi="Cambria" w:cs="Cambria"/>
          <w:color w:val="000000" w:themeColor="text1"/>
          <w:sz w:val="20"/>
          <w:szCs w:val="20"/>
          <w:lang w:val="pt-PT"/>
        </w:rPr>
      </w:pPr>
      <w:r w:rsidRPr="00F0379B">
        <w:rPr>
          <w:rFonts w:ascii="Cambria" w:eastAsia="Cambria" w:hAnsi="Cambria" w:cs="Cambria"/>
          <w:sz w:val="20"/>
          <w:szCs w:val="20"/>
          <w:lang w:val="pt-PT"/>
        </w:rPr>
        <w:t>Tel: + 507 5116006, E-Mai</w:t>
      </w:r>
      <w:r w:rsidRPr="00F0379B">
        <w:rPr>
          <w:rFonts w:ascii="Cambria" w:eastAsia="Cambria" w:hAnsi="Cambria" w:cs="Cambria"/>
          <w:color w:val="000000" w:themeColor="text1"/>
          <w:sz w:val="20"/>
          <w:szCs w:val="20"/>
          <w:lang w:val="pt-PT"/>
        </w:rPr>
        <w:t xml:space="preserve">l: </w:t>
      </w:r>
      <w:hyperlink r:id="rId62" w:history="1">
        <w:r w:rsidRPr="00F0379B">
          <w:rPr>
            <w:rFonts w:eastAsia="Cambria" w:cs="Cambria"/>
            <w:color w:val="000000" w:themeColor="text1"/>
            <w:kern w:val="2"/>
            <w:sz w:val="20"/>
            <w:szCs w:val="20"/>
            <w:lang w:val="pt-PT" w:eastAsia="ja-JP"/>
            <w14:ligatures w14:val="standardContextual"/>
          </w:rPr>
          <w:t>alexisp@arap.gob.pa</w:t>
        </w:r>
      </w:hyperlink>
    </w:p>
    <w:p w14:paraId="06A6338B" w14:textId="77777777" w:rsidR="009123AC" w:rsidRPr="00F0379B" w:rsidRDefault="009123AC" w:rsidP="009123AC">
      <w:pPr>
        <w:spacing w:after="0" w:line="240" w:lineRule="auto"/>
        <w:jc w:val="both"/>
        <w:rPr>
          <w:rFonts w:ascii="Cambria" w:eastAsia="Cambria" w:hAnsi="Cambria" w:cs="Cambria"/>
          <w:sz w:val="20"/>
          <w:szCs w:val="20"/>
          <w:lang w:val="pt-PT"/>
        </w:rPr>
      </w:pPr>
    </w:p>
    <w:p w14:paraId="311411F8"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REINO UNIDO DE GRAN BRETAÑA E IRLANDA DEL NORTE</w:t>
      </w:r>
    </w:p>
    <w:p w14:paraId="6A0232F4" w14:textId="77777777" w:rsidR="009123AC" w:rsidRPr="00F912AA" w:rsidRDefault="009123AC" w:rsidP="009123AC">
      <w:pPr>
        <w:spacing w:after="0" w:line="240" w:lineRule="auto"/>
        <w:rPr>
          <w:rFonts w:ascii="Cambria" w:eastAsia="Cambria" w:hAnsi="Cambria" w:cs="Cambria"/>
          <w:sz w:val="20"/>
          <w:szCs w:val="20"/>
          <w:lang w:val="en-US"/>
        </w:rPr>
      </w:pPr>
      <w:r w:rsidRPr="00F912AA">
        <w:rPr>
          <w:rFonts w:ascii="Cambria" w:eastAsia="Cambria" w:hAnsi="Cambria" w:cs="Cambria"/>
          <w:b/>
          <w:sz w:val="20"/>
          <w:szCs w:val="20"/>
          <w:lang w:val="en-US"/>
        </w:rPr>
        <w:t>Owen</w:t>
      </w:r>
      <w:r w:rsidRPr="00F912AA">
        <w:rPr>
          <w:rFonts w:ascii="Cambria" w:eastAsia="Cambria" w:hAnsi="Cambria" w:cs="Cambria"/>
          <w:sz w:val="20"/>
          <w:szCs w:val="20"/>
          <w:lang w:val="en-US"/>
        </w:rPr>
        <w:t>, Marc *</w:t>
      </w:r>
    </w:p>
    <w:p w14:paraId="7169AF00"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Team Lead, International Fisheries, Department for Environment, Food and Rural Affairs, Defra, First Floor, Seacole Wing, 2 </w:t>
      </w:r>
      <w:proofErr w:type="spellStart"/>
      <w:r w:rsidRPr="00F0379B">
        <w:rPr>
          <w:rFonts w:ascii="Cambria" w:eastAsia="Cambria" w:hAnsi="Cambria" w:cs="Cambria"/>
          <w:sz w:val="20"/>
          <w:szCs w:val="20"/>
          <w:lang w:val="en-US"/>
        </w:rPr>
        <w:t>Marsham</w:t>
      </w:r>
      <w:proofErr w:type="spellEnd"/>
      <w:r w:rsidRPr="00F0379B">
        <w:rPr>
          <w:rFonts w:ascii="Cambria" w:eastAsia="Cambria" w:hAnsi="Cambria" w:cs="Cambria"/>
          <w:sz w:val="20"/>
          <w:szCs w:val="20"/>
          <w:lang w:val="en-US"/>
        </w:rPr>
        <w:t xml:space="preserve"> Street, London SW1P 4DF</w:t>
      </w:r>
    </w:p>
    <w:p w14:paraId="7E6B9692"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+44 755 732 5524, E-Mail: marc.owen@defra.gov.uk</w:t>
      </w:r>
    </w:p>
    <w:p w14:paraId="007C5DBF" w14:textId="77777777" w:rsidR="009123AC" w:rsidRPr="00F0379B" w:rsidRDefault="009123AC" w:rsidP="009123AC">
      <w:pPr>
        <w:spacing w:after="0" w:line="240" w:lineRule="auto"/>
        <w:rPr>
          <w:rFonts w:ascii="Cambria" w:eastAsia="Cambria" w:hAnsi="Cambria" w:cs="Cambria"/>
          <w:sz w:val="20"/>
          <w:szCs w:val="20"/>
          <w:lang w:val="pt-PT"/>
        </w:rPr>
      </w:pPr>
    </w:p>
    <w:p w14:paraId="3E2521DB"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Fischer</w:t>
      </w:r>
      <w:r w:rsidRPr="00F0379B">
        <w:rPr>
          <w:rFonts w:ascii="Cambria" w:eastAsia="Cambria" w:hAnsi="Cambria" w:cs="Cambria"/>
          <w:sz w:val="20"/>
          <w:szCs w:val="20"/>
          <w:lang w:val="en-US"/>
        </w:rPr>
        <w:t>, Simon (online)</w:t>
      </w:r>
    </w:p>
    <w:p w14:paraId="3190B49D"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Centre for Environment, Fisheries and Aquaculture Science (CEFAS), Lowestoft Laboratory, Pakefield Road, Lowestoft, Suffolk NR33 0HT</w:t>
      </w:r>
    </w:p>
    <w:p w14:paraId="176DB91D"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+44 757 893 1960, E-Mail: simon.fischer@cefas.co.uk</w:t>
      </w:r>
    </w:p>
    <w:p w14:paraId="67634B59" w14:textId="77777777" w:rsidR="009123AC" w:rsidRPr="00F0379B" w:rsidRDefault="009123AC" w:rsidP="009123AC">
      <w:pPr>
        <w:spacing w:after="0" w:line="240" w:lineRule="auto"/>
        <w:rPr>
          <w:rFonts w:ascii="Cambria" w:eastAsia="Cambria" w:hAnsi="Cambria" w:cs="Cambria"/>
          <w:sz w:val="20"/>
          <w:szCs w:val="20"/>
          <w:lang w:val="pt-PT"/>
        </w:rPr>
      </w:pPr>
    </w:p>
    <w:p w14:paraId="674E8FEA"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Floyd</w:t>
      </w:r>
      <w:r w:rsidRPr="00F0379B">
        <w:rPr>
          <w:rFonts w:ascii="Cambria" w:eastAsia="Cambria" w:hAnsi="Cambria" w:cs="Cambria"/>
          <w:sz w:val="20"/>
          <w:szCs w:val="20"/>
          <w:lang w:val="en-US"/>
        </w:rPr>
        <w:t>, Robert James (online)</w:t>
      </w:r>
    </w:p>
    <w:p w14:paraId="4BF3E424"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Welsh Government, CP2, Cardiff, Wales CF10 3NQ</w:t>
      </w:r>
    </w:p>
    <w:p w14:paraId="668414A3" w14:textId="378F1434" w:rsidR="009123AC" w:rsidRPr="00F0379B" w:rsidRDefault="009123AC" w:rsidP="009123AC">
      <w:pPr>
        <w:spacing w:after="0" w:line="240" w:lineRule="auto"/>
        <w:jc w:val="both"/>
        <w:rPr>
          <w:rFonts w:ascii="Cambria" w:eastAsia="Cambria" w:hAnsi="Cambria" w:cs="Cambria"/>
          <w:color w:val="000000" w:themeColor="text1"/>
          <w:sz w:val="20"/>
          <w:szCs w:val="20"/>
          <w:lang w:val="pt-PT"/>
        </w:rPr>
      </w:pPr>
      <w:r w:rsidRPr="00F0379B">
        <w:rPr>
          <w:rFonts w:ascii="Cambria" w:eastAsia="Cambria" w:hAnsi="Cambria" w:cs="Cambria"/>
          <w:sz w:val="20"/>
          <w:szCs w:val="20"/>
          <w:lang w:val="pt-PT"/>
        </w:rPr>
        <w:t>Tel: +44 300 062 5019, E-</w:t>
      </w:r>
      <w:r w:rsidRPr="00F0379B">
        <w:rPr>
          <w:rFonts w:ascii="Cambria" w:eastAsia="Cambria" w:hAnsi="Cambria" w:cs="Cambria"/>
          <w:color w:val="000000" w:themeColor="text1"/>
          <w:sz w:val="20"/>
          <w:szCs w:val="20"/>
          <w:lang w:val="pt-PT"/>
        </w:rPr>
        <w:t xml:space="preserve">Mail: </w:t>
      </w:r>
      <w:hyperlink r:id="rId63" w:history="1">
        <w:r w:rsidR="0069349E" w:rsidRPr="00F0379B">
          <w:rPr>
            <w:rStyle w:val="Hyperlink"/>
            <w:rFonts w:ascii="Cambria" w:eastAsia="Cambria" w:hAnsi="Cambria" w:cs="Cambria"/>
            <w:color w:val="000000" w:themeColor="text1"/>
            <w:sz w:val="20"/>
            <w:szCs w:val="20"/>
            <w:u w:val="none"/>
            <w:lang w:val="pt-PT"/>
          </w:rPr>
          <w:t>Robert.Floyd@gov.wales</w:t>
        </w:r>
      </w:hyperlink>
    </w:p>
    <w:p w14:paraId="31E1E35D" w14:textId="77777777" w:rsidR="0069349E" w:rsidRPr="00F0379B" w:rsidRDefault="0069349E" w:rsidP="009123AC">
      <w:pPr>
        <w:spacing w:after="0" w:line="240" w:lineRule="auto"/>
        <w:jc w:val="both"/>
        <w:rPr>
          <w:rFonts w:ascii="Cambria" w:eastAsia="Cambria" w:hAnsi="Cambria" w:cs="Cambria"/>
          <w:sz w:val="20"/>
          <w:szCs w:val="20"/>
          <w:lang w:val="pt-PT"/>
        </w:rPr>
      </w:pPr>
    </w:p>
    <w:p w14:paraId="7418B011"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Keedy</w:t>
      </w:r>
      <w:r w:rsidRPr="00F0379B">
        <w:rPr>
          <w:rFonts w:ascii="Cambria" w:eastAsia="Cambria" w:hAnsi="Cambria" w:cs="Cambria"/>
          <w:sz w:val="20"/>
          <w:szCs w:val="20"/>
          <w:lang w:val="en-US"/>
        </w:rPr>
        <w:t>, Jess (online)</w:t>
      </w:r>
    </w:p>
    <w:p w14:paraId="722769DE"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Joint Head, International Fisheries, Marine &amp; Fisheries, Department for Environment, Food and Rural Affairs (Defra), Marine &amp; Fisheries Directorate, First Floor, Seacole Wing, 2 </w:t>
      </w:r>
      <w:proofErr w:type="spellStart"/>
      <w:r w:rsidRPr="00F0379B">
        <w:rPr>
          <w:rFonts w:ascii="Cambria" w:eastAsia="Cambria" w:hAnsi="Cambria" w:cs="Cambria"/>
          <w:sz w:val="20"/>
          <w:szCs w:val="20"/>
          <w:lang w:val="en-US"/>
        </w:rPr>
        <w:t>Marsham</w:t>
      </w:r>
      <w:proofErr w:type="spellEnd"/>
      <w:r w:rsidRPr="00F0379B">
        <w:rPr>
          <w:rFonts w:ascii="Cambria" w:eastAsia="Cambria" w:hAnsi="Cambria" w:cs="Cambria"/>
          <w:sz w:val="20"/>
          <w:szCs w:val="20"/>
          <w:lang w:val="en-US"/>
        </w:rPr>
        <w:t xml:space="preserve"> Street, London SW1P 3JR</w:t>
      </w:r>
    </w:p>
    <w:p w14:paraId="6D1566DA"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+44 755 724 5171; +44 208 026 63350, E-Mail: jess.keedy@defra.gov.uk</w:t>
      </w:r>
    </w:p>
    <w:p w14:paraId="6917A71D" w14:textId="77777777" w:rsidR="009123AC" w:rsidRPr="00F0379B" w:rsidRDefault="009123AC" w:rsidP="009123AC">
      <w:pPr>
        <w:spacing w:after="0" w:line="240" w:lineRule="auto"/>
        <w:rPr>
          <w:rFonts w:ascii="Cambria" w:eastAsia="Cambria" w:hAnsi="Cambria" w:cs="Cambria"/>
          <w:sz w:val="20"/>
          <w:szCs w:val="20"/>
          <w:lang w:val="pt-PT"/>
        </w:rPr>
      </w:pPr>
    </w:p>
    <w:p w14:paraId="4B72EF5B"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Kirby</w:t>
      </w:r>
      <w:r w:rsidRPr="00F0379B">
        <w:rPr>
          <w:rFonts w:ascii="Cambria" w:eastAsia="Cambria" w:hAnsi="Cambria" w:cs="Cambria"/>
          <w:sz w:val="20"/>
          <w:szCs w:val="20"/>
          <w:lang w:val="en-US"/>
        </w:rPr>
        <w:t>, Edward (online)</w:t>
      </w:r>
    </w:p>
    <w:p w14:paraId="13555E83"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Department for Environment, Food and Rural Affairs, Defra, 2 </w:t>
      </w:r>
      <w:proofErr w:type="spellStart"/>
      <w:r w:rsidRPr="00F0379B">
        <w:rPr>
          <w:rFonts w:ascii="Cambria" w:eastAsia="Cambria" w:hAnsi="Cambria" w:cs="Cambria"/>
          <w:sz w:val="20"/>
          <w:szCs w:val="20"/>
          <w:lang w:val="en-US"/>
        </w:rPr>
        <w:t>Marsham</w:t>
      </w:r>
      <w:proofErr w:type="spellEnd"/>
      <w:r w:rsidRPr="00F0379B">
        <w:rPr>
          <w:rFonts w:ascii="Cambria" w:eastAsia="Cambria" w:hAnsi="Cambria" w:cs="Cambria"/>
          <w:sz w:val="20"/>
          <w:szCs w:val="20"/>
          <w:lang w:val="en-US"/>
        </w:rPr>
        <w:t xml:space="preserve"> Street, London SW1P 4DF</w:t>
      </w:r>
    </w:p>
    <w:p w14:paraId="4D178302"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+44 747 162 7545, E-Mail: edward.kirby@defra.gov.uk</w:t>
      </w:r>
    </w:p>
    <w:p w14:paraId="1A09BF24" w14:textId="77777777" w:rsidR="009123AC" w:rsidRPr="00F0379B" w:rsidRDefault="009123AC" w:rsidP="009123AC">
      <w:pPr>
        <w:spacing w:after="0" w:line="240" w:lineRule="auto"/>
        <w:rPr>
          <w:rFonts w:ascii="Cambria" w:eastAsia="Cambria" w:hAnsi="Cambria" w:cs="Cambria"/>
          <w:sz w:val="20"/>
          <w:szCs w:val="20"/>
          <w:lang w:val="pt-PT"/>
        </w:rPr>
      </w:pPr>
    </w:p>
    <w:p w14:paraId="02F692A3" w14:textId="77777777" w:rsidR="009123AC" w:rsidRPr="00F0379B" w:rsidRDefault="009123AC" w:rsidP="009123AC">
      <w:pPr>
        <w:spacing w:after="0" w:line="240" w:lineRule="auto"/>
        <w:rPr>
          <w:rFonts w:ascii="Cambria" w:eastAsia="Cambria" w:hAnsi="Cambria" w:cs="Cambria"/>
          <w:sz w:val="20"/>
          <w:szCs w:val="20"/>
          <w:lang w:val="pt-PT"/>
        </w:rPr>
      </w:pPr>
      <w:r w:rsidRPr="00F0379B">
        <w:rPr>
          <w:rFonts w:ascii="Cambria" w:eastAsia="Cambria" w:hAnsi="Cambria" w:cs="Cambria"/>
          <w:b/>
          <w:sz w:val="20"/>
          <w:szCs w:val="20"/>
          <w:lang w:val="pt-PT"/>
        </w:rPr>
        <w:t>Murphy</w:t>
      </w:r>
      <w:r w:rsidRPr="00F0379B">
        <w:rPr>
          <w:rFonts w:ascii="Cambria" w:eastAsia="Cambria" w:hAnsi="Cambria" w:cs="Cambria"/>
          <w:sz w:val="20"/>
          <w:szCs w:val="20"/>
          <w:lang w:val="pt-PT"/>
        </w:rPr>
        <w:t>, Paul (online)</w:t>
      </w:r>
    </w:p>
    <w:p w14:paraId="4864206D"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Principal Fisheries Manager, Marine Management Organisation (MMO) Chi Gallos Hayle Marine Renewables Business Park, Lancaster House, Hampshire Court, London NE4 7YH</w:t>
      </w:r>
    </w:p>
    <w:p w14:paraId="443CCBB1"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+44 208 720 3844, E-Mail: paul.murphy@marinemanagement.org.uk</w:t>
      </w:r>
    </w:p>
    <w:p w14:paraId="6B5F2AD4" w14:textId="77777777" w:rsidR="009123AC" w:rsidRPr="00F0379B" w:rsidRDefault="009123AC" w:rsidP="009123AC">
      <w:pPr>
        <w:spacing w:after="0" w:line="240" w:lineRule="auto"/>
        <w:rPr>
          <w:rFonts w:ascii="Cambria" w:eastAsia="Cambria" w:hAnsi="Cambria" w:cs="Cambria"/>
          <w:sz w:val="20"/>
          <w:szCs w:val="20"/>
          <w:lang w:val="pt-PT"/>
        </w:rPr>
      </w:pPr>
    </w:p>
    <w:p w14:paraId="3CFAE593"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Peel</w:t>
      </w:r>
      <w:r w:rsidRPr="00F0379B">
        <w:rPr>
          <w:rFonts w:ascii="Cambria" w:eastAsia="Cambria" w:hAnsi="Cambria" w:cs="Cambria"/>
          <w:sz w:val="20"/>
          <w:szCs w:val="20"/>
          <w:lang w:val="en-US"/>
        </w:rPr>
        <w:t>, Michael</w:t>
      </w:r>
    </w:p>
    <w:p w14:paraId="00461B3D"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Department for Environment, Food and Rural Affairs - Defra, 2 </w:t>
      </w:r>
      <w:proofErr w:type="spellStart"/>
      <w:r w:rsidRPr="00F0379B">
        <w:rPr>
          <w:rFonts w:ascii="Cambria" w:eastAsia="Cambria" w:hAnsi="Cambria" w:cs="Cambria"/>
          <w:sz w:val="20"/>
          <w:szCs w:val="20"/>
          <w:lang w:val="en-US"/>
        </w:rPr>
        <w:t>Marsham</w:t>
      </w:r>
      <w:proofErr w:type="spellEnd"/>
      <w:r w:rsidRPr="00F0379B">
        <w:rPr>
          <w:rFonts w:ascii="Cambria" w:eastAsia="Cambria" w:hAnsi="Cambria" w:cs="Cambria"/>
          <w:sz w:val="20"/>
          <w:szCs w:val="20"/>
          <w:lang w:val="en-US"/>
        </w:rPr>
        <w:t xml:space="preserve"> Street, London SW1P 4DF</w:t>
      </w:r>
    </w:p>
    <w:p w14:paraId="1C8F96AE"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+44 798 418 9608, E-Mail: michael.peel@defra.gov.uk</w:t>
      </w:r>
    </w:p>
    <w:p w14:paraId="4B94486F" w14:textId="77777777" w:rsidR="009123AC" w:rsidRPr="00F0379B" w:rsidRDefault="009123AC" w:rsidP="009123AC">
      <w:pPr>
        <w:spacing w:after="0" w:line="240" w:lineRule="auto"/>
        <w:rPr>
          <w:rFonts w:ascii="Cambria" w:eastAsia="Cambria" w:hAnsi="Cambria" w:cs="Cambria"/>
          <w:sz w:val="20"/>
          <w:szCs w:val="20"/>
          <w:lang w:val="pt-PT"/>
        </w:rPr>
      </w:pPr>
    </w:p>
    <w:p w14:paraId="12ABAD88"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Reeves</w:t>
      </w:r>
      <w:r w:rsidRPr="00F0379B">
        <w:rPr>
          <w:rFonts w:ascii="Cambria" w:eastAsia="Cambria" w:hAnsi="Cambria" w:cs="Cambria"/>
          <w:sz w:val="20"/>
          <w:szCs w:val="20"/>
          <w:lang w:val="en-US"/>
        </w:rPr>
        <w:t>, Stuart (online)</w:t>
      </w:r>
    </w:p>
    <w:p w14:paraId="5F2D00C3"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Principal fisheries scientist &amp; advisor, Centre for Environment, Fisheries and Aquaculture Science (Cefas), Pakefield Road, Lowestoft Suffolk NR33 0HT</w:t>
      </w:r>
    </w:p>
    <w:p w14:paraId="5C83282F"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+44 150 252 4251, E-Mail: stuart.reeves@cefas.gov.uk; stuart.reeves@cefas.co.uk</w:t>
      </w:r>
    </w:p>
    <w:p w14:paraId="2EA969C5" w14:textId="77777777" w:rsidR="009123AC" w:rsidRPr="00F0379B" w:rsidRDefault="009123AC" w:rsidP="009123AC">
      <w:pPr>
        <w:spacing w:after="0" w:line="240" w:lineRule="auto"/>
        <w:rPr>
          <w:rFonts w:ascii="Cambria" w:eastAsia="Cambria" w:hAnsi="Cambria" w:cs="Cambria"/>
          <w:sz w:val="20"/>
          <w:szCs w:val="20"/>
          <w:lang w:val="pt-PT"/>
        </w:rPr>
      </w:pPr>
    </w:p>
    <w:p w14:paraId="344B641D"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Sampson</w:t>
      </w:r>
      <w:r w:rsidRPr="00F0379B">
        <w:rPr>
          <w:rFonts w:ascii="Cambria" w:eastAsia="Cambria" w:hAnsi="Cambria" w:cs="Cambria"/>
          <w:sz w:val="20"/>
          <w:szCs w:val="20"/>
          <w:lang w:val="en-US"/>
        </w:rPr>
        <w:t>, Harry (online)</w:t>
      </w:r>
    </w:p>
    <w:p w14:paraId="4B4C7331"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Senior International Fisheries Policy Officer, Department for Environment, Food and Rural Affairs (Defra), Marine &amp; Fisheries Directorate, Nobel House 17 Smith Square, London SW1P 3JR</w:t>
      </w:r>
    </w:p>
    <w:p w14:paraId="4EEC03A7"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+44 208 026 4403; +44 755 742 8543, E-Mail: harry.sampson@defra.gov.uk; trfmo@defra.gov.uk</w:t>
      </w:r>
    </w:p>
    <w:p w14:paraId="0C76A792" w14:textId="77777777" w:rsidR="009123AC" w:rsidRPr="00F912AA" w:rsidRDefault="009123AC" w:rsidP="009123AC">
      <w:pPr>
        <w:spacing w:after="0" w:line="240" w:lineRule="auto"/>
        <w:rPr>
          <w:rFonts w:ascii="Cambria" w:eastAsia="Cambria" w:hAnsi="Cambria" w:cs="Cambria"/>
          <w:sz w:val="20"/>
          <w:szCs w:val="20"/>
          <w:lang w:val="it-IT"/>
        </w:rPr>
      </w:pPr>
      <w:r w:rsidRPr="00F912AA">
        <w:rPr>
          <w:rFonts w:ascii="Cambria" w:eastAsia="Cambria" w:hAnsi="Cambria" w:cs="Cambria"/>
          <w:b/>
          <w:sz w:val="20"/>
          <w:szCs w:val="20"/>
          <w:lang w:val="it-IT"/>
        </w:rPr>
        <w:lastRenderedPageBreak/>
        <w:t>Wright</w:t>
      </w:r>
      <w:r w:rsidRPr="00F912AA">
        <w:rPr>
          <w:rFonts w:ascii="Cambria" w:eastAsia="Cambria" w:hAnsi="Cambria" w:cs="Cambria"/>
          <w:sz w:val="20"/>
          <w:szCs w:val="20"/>
          <w:lang w:val="it-IT"/>
        </w:rPr>
        <w:t>, Serena (online)</w:t>
      </w:r>
    </w:p>
    <w:p w14:paraId="3F07449C"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Fisheries Scientist, Centre for Environment, Fisheries and Aquaculture Science (Cefas), ICCAT Tagging </w:t>
      </w:r>
      <w:proofErr w:type="spellStart"/>
      <w:r w:rsidRPr="00F0379B">
        <w:rPr>
          <w:rFonts w:ascii="Cambria" w:eastAsia="Cambria" w:hAnsi="Cambria" w:cs="Cambria"/>
          <w:sz w:val="20"/>
          <w:szCs w:val="20"/>
          <w:lang w:val="en-US"/>
        </w:rPr>
        <w:t>Programme</w:t>
      </w:r>
      <w:proofErr w:type="spellEnd"/>
      <w:r w:rsidRPr="00F0379B">
        <w:rPr>
          <w:rFonts w:ascii="Cambria" w:eastAsia="Cambria" w:hAnsi="Cambria" w:cs="Cambria"/>
          <w:sz w:val="20"/>
          <w:szCs w:val="20"/>
          <w:lang w:val="en-US"/>
        </w:rPr>
        <w:t>, St. Helena, Pakefield Road, Lowestoft NR33 0NG</w:t>
      </w:r>
    </w:p>
    <w:p w14:paraId="14DFF3D5"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+44 1502 52 1338; +44 797 593 0487, E-Mail: serena.wright@cefas.co.uk</w:t>
      </w:r>
    </w:p>
    <w:p w14:paraId="6E9A0014" w14:textId="77777777" w:rsidR="009123AC" w:rsidRPr="00F0379B" w:rsidRDefault="009123AC" w:rsidP="009123AC">
      <w:pPr>
        <w:spacing w:after="0" w:line="240" w:lineRule="auto"/>
        <w:jc w:val="both"/>
        <w:rPr>
          <w:rFonts w:ascii="Cambria" w:eastAsia="Cambria" w:hAnsi="Cambria" w:cs="Cambria"/>
          <w:sz w:val="20"/>
          <w:szCs w:val="20"/>
          <w:lang w:val="pt-PT"/>
        </w:rPr>
      </w:pPr>
    </w:p>
    <w:p w14:paraId="2501E6F8"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SENEGAL</w:t>
      </w:r>
    </w:p>
    <w:p w14:paraId="55067A8E"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Diouf</w:t>
      </w:r>
      <w:r w:rsidRPr="00F0379B">
        <w:rPr>
          <w:rFonts w:ascii="Cambria" w:eastAsia="Cambria" w:hAnsi="Cambria" w:cs="Cambria"/>
          <w:sz w:val="20"/>
          <w:szCs w:val="20"/>
          <w:lang w:val="fr-FR"/>
        </w:rPr>
        <w:t>, Ibrahima</w:t>
      </w:r>
    </w:p>
    <w:p w14:paraId="749877D8"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Ingénieur des Pêches, Direction des Pêches Maritimes, Chef de la Division de la pêche industrielle, Sphère ministérielle Ousmane Tanor DIENG, Immeuble D, 2e étage, Diamniadio, BP 289 Dakar</w:t>
      </w:r>
    </w:p>
    <w:p w14:paraId="183A86A4"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Tel: +221 541 4764, Fax: +221 338 602 465, E-Mail: ivesdiouf@gmail.com</w:t>
      </w:r>
    </w:p>
    <w:p w14:paraId="184C0E15" w14:textId="77777777" w:rsidR="009123AC" w:rsidRPr="00F0379B" w:rsidRDefault="009123AC" w:rsidP="009123AC">
      <w:pPr>
        <w:spacing w:after="0" w:line="240" w:lineRule="auto"/>
        <w:rPr>
          <w:rFonts w:ascii="Cambria" w:eastAsia="Cambria" w:hAnsi="Cambria" w:cs="Cambria"/>
          <w:sz w:val="20"/>
          <w:szCs w:val="20"/>
          <w:lang w:val="en-US"/>
        </w:rPr>
      </w:pPr>
    </w:p>
    <w:p w14:paraId="38C50090"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Kwabena</w:t>
      </w:r>
      <w:r w:rsidRPr="00F0379B">
        <w:rPr>
          <w:rFonts w:ascii="Cambria" w:eastAsia="Cambria" w:hAnsi="Cambria" w:cs="Cambria"/>
          <w:sz w:val="20"/>
          <w:szCs w:val="20"/>
          <w:lang w:val="en-US"/>
        </w:rPr>
        <w:t xml:space="preserve">, Adams Blegnan </w:t>
      </w:r>
      <w:r w:rsidRPr="00F0379B">
        <w:rPr>
          <w:rFonts w:ascii="Cambria" w:eastAsia="Cambria" w:hAnsi="Cambria" w:cs="Cambria"/>
          <w:sz w:val="20"/>
          <w:szCs w:val="20"/>
          <w:vertAlign w:val="superscript"/>
          <w:lang w:val="en-US"/>
        </w:rPr>
        <w:t xml:space="preserve">1 </w:t>
      </w:r>
      <w:r w:rsidRPr="00F0379B">
        <w:rPr>
          <w:rFonts w:ascii="Cambria" w:eastAsia="Cambria" w:hAnsi="Cambria" w:cs="Cambria"/>
          <w:sz w:val="20"/>
          <w:szCs w:val="20"/>
          <w:lang w:val="en-US"/>
        </w:rPr>
        <w:t>(online)</w:t>
      </w:r>
    </w:p>
    <w:p w14:paraId="78B37258"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Responsable des opérations, CAPSEN SA, 10200</w:t>
      </w:r>
    </w:p>
    <w:p w14:paraId="1736989A" w14:textId="77777777" w:rsidR="009123AC" w:rsidRPr="00F0379B" w:rsidRDefault="009123AC" w:rsidP="009123AC">
      <w:pPr>
        <w:spacing w:after="0" w:line="240" w:lineRule="auto"/>
        <w:rPr>
          <w:rFonts w:ascii="Cambria" w:eastAsia="Cambria" w:hAnsi="Cambria" w:cs="Cambria"/>
          <w:sz w:val="20"/>
          <w:szCs w:val="20"/>
          <w:lang w:val="fr-FR"/>
        </w:rPr>
      </w:pPr>
    </w:p>
    <w:p w14:paraId="2488FE86"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Niang</w:t>
      </w:r>
      <w:r w:rsidRPr="00F0379B">
        <w:rPr>
          <w:rFonts w:ascii="Cambria" w:eastAsia="Cambria" w:hAnsi="Cambria" w:cs="Cambria"/>
          <w:sz w:val="20"/>
          <w:szCs w:val="20"/>
          <w:lang w:val="fr-FR"/>
        </w:rPr>
        <w:t xml:space="preserve">, </w:t>
      </w:r>
      <w:proofErr w:type="spellStart"/>
      <w:r w:rsidRPr="00F0379B">
        <w:rPr>
          <w:rFonts w:ascii="Cambria" w:eastAsia="Cambria" w:hAnsi="Cambria" w:cs="Cambria"/>
          <w:sz w:val="20"/>
          <w:szCs w:val="20"/>
          <w:lang w:val="fr-FR"/>
        </w:rPr>
        <w:t>Magatte</w:t>
      </w:r>
      <w:proofErr w:type="spellEnd"/>
      <w:r w:rsidRPr="00F0379B">
        <w:rPr>
          <w:rFonts w:ascii="Cambria" w:eastAsia="Cambria" w:hAnsi="Cambria" w:cs="Cambria"/>
          <w:sz w:val="20"/>
          <w:szCs w:val="20"/>
          <w:lang w:val="fr-FR"/>
        </w:rPr>
        <w:t xml:space="preserve"> (online)</w:t>
      </w:r>
    </w:p>
    <w:p w14:paraId="36992576"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 xml:space="preserve">Chef du Bureau des observateurs de la Direction de la Protection et de Ia Surveillance des Pêches (DPSP), Fenêtre Mermoz, Corniche Ouest, </w:t>
      </w:r>
      <w:proofErr w:type="gramStart"/>
      <w:r w:rsidRPr="00F0379B">
        <w:rPr>
          <w:rFonts w:ascii="Cambria" w:eastAsia="Cambria" w:hAnsi="Cambria" w:cs="Cambria"/>
          <w:sz w:val="20"/>
          <w:szCs w:val="20"/>
          <w:lang w:val="fr-FR"/>
        </w:rPr>
        <w:t>BP:</w:t>
      </w:r>
      <w:proofErr w:type="gramEnd"/>
      <w:r w:rsidRPr="00F0379B">
        <w:rPr>
          <w:rFonts w:ascii="Cambria" w:eastAsia="Cambria" w:hAnsi="Cambria" w:cs="Cambria"/>
          <w:sz w:val="20"/>
          <w:szCs w:val="20"/>
          <w:lang w:val="fr-FR"/>
        </w:rPr>
        <w:t xml:space="preserve"> 3656 Dakar</w:t>
      </w:r>
    </w:p>
    <w:p w14:paraId="2C3EDDFC"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+221 775 854 440, E-Mail: niangmagatte966@gmail.com</w:t>
      </w:r>
    </w:p>
    <w:p w14:paraId="02D6D648" w14:textId="77777777" w:rsidR="009123AC" w:rsidRPr="00F0379B" w:rsidRDefault="009123AC" w:rsidP="009123AC">
      <w:pPr>
        <w:spacing w:after="0" w:line="240" w:lineRule="auto"/>
        <w:rPr>
          <w:rFonts w:ascii="Cambria" w:eastAsia="Cambria" w:hAnsi="Cambria" w:cs="Cambria"/>
          <w:sz w:val="20"/>
          <w:szCs w:val="20"/>
          <w:lang w:val="pt-PT"/>
        </w:rPr>
      </w:pPr>
    </w:p>
    <w:p w14:paraId="06E73172" w14:textId="77777777" w:rsidR="009123AC" w:rsidRPr="00F912AA" w:rsidRDefault="009123AC" w:rsidP="009123AC">
      <w:pPr>
        <w:spacing w:after="0" w:line="240" w:lineRule="auto"/>
        <w:rPr>
          <w:rFonts w:ascii="Cambria" w:eastAsia="Cambria" w:hAnsi="Cambria" w:cs="Cambria"/>
          <w:sz w:val="20"/>
          <w:szCs w:val="20"/>
        </w:rPr>
      </w:pPr>
      <w:proofErr w:type="spellStart"/>
      <w:r w:rsidRPr="00F912AA">
        <w:rPr>
          <w:rFonts w:ascii="Cambria" w:eastAsia="Cambria" w:hAnsi="Cambria" w:cs="Cambria"/>
          <w:b/>
          <w:sz w:val="20"/>
          <w:szCs w:val="20"/>
        </w:rPr>
        <w:t>Sèye</w:t>
      </w:r>
      <w:proofErr w:type="spellEnd"/>
      <w:r w:rsidRPr="00F912AA">
        <w:rPr>
          <w:rFonts w:ascii="Cambria" w:eastAsia="Cambria" w:hAnsi="Cambria" w:cs="Cambria"/>
          <w:sz w:val="20"/>
          <w:szCs w:val="20"/>
        </w:rPr>
        <w:t>, Mamadou</w:t>
      </w:r>
    </w:p>
    <w:p w14:paraId="6E60991D"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Ingénieur des Pêches, Chef de la Division Gestion et Aménagement des Pêcheries, Direction des Pêches maritimes, Sphère ministérielle Ousmane Tanor Dieng, Bâtiment D, 2è étage, Diamniadio, BP 289 Dakar</w:t>
      </w:r>
    </w:p>
    <w:p w14:paraId="0ADECEF0" w14:textId="77777777" w:rsidR="009123AC" w:rsidRPr="00F0379B" w:rsidRDefault="009123AC" w:rsidP="009123AC">
      <w:pPr>
        <w:spacing w:after="0" w:line="240" w:lineRule="auto"/>
        <w:jc w:val="both"/>
        <w:rPr>
          <w:rFonts w:ascii="Cambria" w:eastAsia="Cambria" w:hAnsi="Cambria" w:cs="Cambria"/>
          <w:sz w:val="20"/>
          <w:szCs w:val="20"/>
          <w:lang w:val="fr-FR"/>
        </w:rPr>
      </w:pPr>
      <w:proofErr w:type="gramStart"/>
      <w:r w:rsidRPr="00F0379B">
        <w:rPr>
          <w:rFonts w:ascii="Cambria" w:eastAsia="Cambria" w:hAnsi="Cambria" w:cs="Cambria"/>
          <w:sz w:val="20"/>
          <w:szCs w:val="20"/>
          <w:lang w:val="fr-FR"/>
        </w:rPr>
        <w:t>Tel:</w:t>
      </w:r>
      <w:proofErr w:type="gramEnd"/>
      <w:r w:rsidRPr="00F0379B">
        <w:rPr>
          <w:rFonts w:ascii="Cambria" w:eastAsia="Cambria" w:hAnsi="Cambria" w:cs="Cambria"/>
          <w:sz w:val="20"/>
          <w:szCs w:val="20"/>
          <w:lang w:val="fr-FR"/>
        </w:rPr>
        <w:t xml:space="preserve"> +221 77 841 83 94, </w:t>
      </w:r>
      <w:proofErr w:type="gramStart"/>
      <w:r w:rsidRPr="00F0379B">
        <w:rPr>
          <w:rFonts w:ascii="Cambria" w:eastAsia="Cambria" w:hAnsi="Cambria" w:cs="Cambria"/>
          <w:sz w:val="20"/>
          <w:szCs w:val="20"/>
          <w:lang w:val="fr-FR"/>
        </w:rPr>
        <w:t>Fax:</w:t>
      </w:r>
      <w:proofErr w:type="gramEnd"/>
      <w:r w:rsidRPr="00F0379B">
        <w:rPr>
          <w:rFonts w:ascii="Cambria" w:eastAsia="Cambria" w:hAnsi="Cambria" w:cs="Cambria"/>
          <w:sz w:val="20"/>
          <w:szCs w:val="20"/>
          <w:lang w:val="fr-FR"/>
        </w:rPr>
        <w:t xml:space="preserve"> +221 821 47 58, </w:t>
      </w:r>
      <w:proofErr w:type="gramStart"/>
      <w:r w:rsidRPr="00F0379B">
        <w:rPr>
          <w:rFonts w:ascii="Cambria" w:eastAsia="Cambria" w:hAnsi="Cambria" w:cs="Cambria"/>
          <w:sz w:val="20"/>
          <w:szCs w:val="20"/>
          <w:lang w:val="fr-FR"/>
        </w:rPr>
        <w:t>E-Mail:</w:t>
      </w:r>
      <w:proofErr w:type="gramEnd"/>
      <w:r w:rsidRPr="00F0379B">
        <w:rPr>
          <w:rFonts w:ascii="Cambria" w:eastAsia="Cambria" w:hAnsi="Cambria" w:cs="Cambria"/>
          <w:sz w:val="20"/>
          <w:szCs w:val="20"/>
          <w:lang w:val="fr-FR"/>
        </w:rPr>
        <w:t xml:space="preserve"> </w:t>
      </w:r>
      <w:proofErr w:type="gramStart"/>
      <w:r w:rsidRPr="00F0379B">
        <w:rPr>
          <w:rFonts w:ascii="Cambria" w:eastAsia="Cambria" w:hAnsi="Cambria" w:cs="Cambria"/>
          <w:sz w:val="20"/>
          <w:szCs w:val="20"/>
          <w:lang w:val="fr-FR"/>
        </w:rPr>
        <w:t>mdseye@gmail.com;</w:t>
      </w:r>
      <w:proofErr w:type="gramEnd"/>
      <w:r w:rsidRPr="00F0379B">
        <w:rPr>
          <w:rFonts w:ascii="Cambria" w:eastAsia="Cambria" w:hAnsi="Cambria" w:cs="Cambria"/>
          <w:sz w:val="20"/>
          <w:szCs w:val="20"/>
          <w:lang w:val="fr-FR"/>
        </w:rPr>
        <w:t xml:space="preserve"> </w:t>
      </w:r>
      <w:proofErr w:type="gramStart"/>
      <w:r w:rsidRPr="00F0379B">
        <w:rPr>
          <w:rFonts w:ascii="Cambria" w:eastAsia="Cambria" w:hAnsi="Cambria" w:cs="Cambria"/>
          <w:sz w:val="20"/>
          <w:szCs w:val="20"/>
          <w:lang w:val="fr-FR"/>
        </w:rPr>
        <w:t>mdseye1@gmail.com;</w:t>
      </w:r>
      <w:proofErr w:type="gramEnd"/>
      <w:r w:rsidRPr="00F0379B">
        <w:rPr>
          <w:rFonts w:ascii="Cambria" w:eastAsia="Cambria" w:hAnsi="Cambria" w:cs="Cambria"/>
          <w:sz w:val="20"/>
          <w:szCs w:val="20"/>
          <w:lang w:val="fr-FR"/>
        </w:rPr>
        <w:t xml:space="preserve"> mdouseye@yahoo.fr</w:t>
      </w:r>
    </w:p>
    <w:p w14:paraId="20B576A0" w14:textId="77777777" w:rsidR="009123AC" w:rsidRPr="00F0379B" w:rsidRDefault="009123AC" w:rsidP="009123AC">
      <w:pPr>
        <w:spacing w:after="0" w:line="240" w:lineRule="auto"/>
        <w:rPr>
          <w:rFonts w:ascii="Cambria" w:eastAsia="Cambria" w:hAnsi="Cambria" w:cs="Cambria"/>
          <w:sz w:val="20"/>
          <w:szCs w:val="20"/>
          <w:lang w:val="fr-FR"/>
        </w:rPr>
      </w:pPr>
    </w:p>
    <w:p w14:paraId="6C949CC2"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Sow</w:t>
      </w:r>
      <w:r w:rsidRPr="00F0379B">
        <w:rPr>
          <w:rFonts w:ascii="Cambria" w:eastAsia="Cambria" w:hAnsi="Cambria" w:cs="Cambria"/>
          <w:sz w:val="20"/>
          <w:szCs w:val="20"/>
          <w:lang w:val="fr-FR"/>
        </w:rPr>
        <w:t xml:space="preserve">, </w:t>
      </w:r>
      <w:proofErr w:type="spellStart"/>
      <w:r w:rsidRPr="00F0379B">
        <w:rPr>
          <w:rFonts w:ascii="Cambria" w:eastAsia="Cambria" w:hAnsi="Cambria" w:cs="Cambria"/>
          <w:sz w:val="20"/>
          <w:szCs w:val="20"/>
          <w:lang w:val="fr-FR"/>
        </w:rPr>
        <w:t>Fambaye</w:t>
      </w:r>
      <w:proofErr w:type="spellEnd"/>
      <w:r w:rsidRPr="00F0379B">
        <w:rPr>
          <w:rFonts w:ascii="Cambria" w:eastAsia="Cambria" w:hAnsi="Cambria" w:cs="Cambria"/>
          <w:sz w:val="20"/>
          <w:szCs w:val="20"/>
          <w:lang w:val="fr-FR"/>
        </w:rPr>
        <w:t xml:space="preserve"> Ngom</w:t>
      </w:r>
    </w:p>
    <w:p w14:paraId="1C4EA701"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Chercheur Biologiste des Pêches, Centre de Recherches Océanographiques de Dakar Thiaroye, CRODT/ISRA, LNERV - Route du Front de Terre - BP 2241, Dakar</w:t>
      </w:r>
    </w:p>
    <w:p w14:paraId="106993D4"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Tel: +221 3 0108 1104; +221 77 502 67 79, Fax: +221 33 832 8262, E-Mail: ngomfambaye2015@gmail.com</w:t>
      </w:r>
    </w:p>
    <w:p w14:paraId="3D58E3EA" w14:textId="77777777" w:rsidR="009123AC" w:rsidRPr="00F0379B" w:rsidRDefault="009123AC" w:rsidP="009123AC">
      <w:pPr>
        <w:spacing w:after="0" w:line="240" w:lineRule="auto"/>
        <w:rPr>
          <w:rFonts w:ascii="Cambria" w:eastAsia="Cambria" w:hAnsi="Cambria" w:cs="Cambria"/>
          <w:b/>
          <w:sz w:val="20"/>
          <w:szCs w:val="20"/>
        </w:rPr>
      </w:pPr>
    </w:p>
    <w:p w14:paraId="162C4ED1"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REPÚBLICA ÁRABE SIRIA</w:t>
      </w:r>
    </w:p>
    <w:p w14:paraId="3CD8745A" w14:textId="77777777" w:rsidR="009123AC" w:rsidRPr="00F912AA" w:rsidRDefault="009123AC" w:rsidP="009123AC">
      <w:pPr>
        <w:spacing w:after="0" w:line="240" w:lineRule="auto"/>
        <w:rPr>
          <w:rFonts w:ascii="Cambria" w:eastAsia="Cambria" w:hAnsi="Cambria" w:cs="Cambria"/>
          <w:sz w:val="20"/>
          <w:szCs w:val="20"/>
          <w:lang w:val="en-US"/>
        </w:rPr>
      </w:pPr>
      <w:proofErr w:type="spellStart"/>
      <w:r w:rsidRPr="00F912AA">
        <w:rPr>
          <w:rFonts w:ascii="Cambria" w:eastAsia="Cambria" w:hAnsi="Cambria" w:cs="Cambria"/>
          <w:b/>
          <w:sz w:val="20"/>
          <w:szCs w:val="20"/>
          <w:lang w:val="en-US"/>
        </w:rPr>
        <w:t>Gharqan</w:t>
      </w:r>
      <w:proofErr w:type="spellEnd"/>
      <w:r w:rsidRPr="00F912AA">
        <w:rPr>
          <w:rFonts w:ascii="Cambria" w:eastAsia="Cambria" w:hAnsi="Cambria" w:cs="Cambria"/>
          <w:sz w:val="20"/>
          <w:szCs w:val="20"/>
          <w:lang w:val="en-US"/>
        </w:rPr>
        <w:t>, Ziyad</w:t>
      </w:r>
    </w:p>
    <w:p w14:paraId="56F48506"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Representative of the Director General, Director of International Cooperation, Al Salam ST, </w:t>
      </w:r>
      <w:proofErr w:type="spellStart"/>
      <w:r w:rsidRPr="00F0379B">
        <w:rPr>
          <w:rFonts w:ascii="Cambria" w:eastAsia="Cambria" w:hAnsi="Cambria" w:cs="Cambria"/>
          <w:sz w:val="20"/>
          <w:szCs w:val="20"/>
          <w:lang w:val="en-US"/>
        </w:rPr>
        <w:t>Binnish</w:t>
      </w:r>
      <w:proofErr w:type="spellEnd"/>
      <w:r w:rsidRPr="00F0379B">
        <w:rPr>
          <w:rFonts w:ascii="Cambria" w:eastAsia="Cambria" w:hAnsi="Cambria" w:cs="Cambria"/>
          <w:sz w:val="20"/>
          <w:szCs w:val="20"/>
          <w:lang w:val="en-US"/>
        </w:rPr>
        <w:t>, Idleb</w:t>
      </w:r>
    </w:p>
    <w:p w14:paraId="7DA01955"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+963 968 059 005, E-Mail: ziadgharqan@gmail.com</w:t>
      </w:r>
    </w:p>
    <w:p w14:paraId="01F8D023" w14:textId="77777777" w:rsidR="009123AC" w:rsidRPr="00F0379B" w:rsidRDefault="009123AC" w:rsidP="009123AC">
      <w:pPr>
        <w:spacing w:after="0" w:line="240" w:lineRule="auto"/>
        <w:rPr>
          <w:rFonts w:ascii="Cambria" w:eastAsia="Cambria" w:hAnsi="Cambria" w:cs="Cambria"/>
          <w:sz w:val="20"/>
          <w:szCs w:val="20"/>
          <w:lang w:val="pt-PT"/>
        </w:rPr>
      </w:pPr>
    </w:p>
    <w:p w14:paraId="415584BD"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Hamwi</w:t>
      </w:r>
      <w:r w:rsidRPr="00F0379B">
        <w:rPr>
          <w:rFonts w:ascii="Cambria" w:eastAsia="Cambria" w:hAnsi="Cambria" w:cs="Cambria"/>
          <w:sz w:val="20"/>
          <w:szCs w:val="20"/>
          <w:lang w:val="en-US"/>
        </w:rPr>
        <w:t>, Ahmed Fadel</w:t>
      </w:r>
    </w:p>
    <w:p w14:paraId="08D21F15"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E-Mail: ahmadfadl333777@gmail.com</w:t>
      </w:r>
    </w:p>
    <w:p w14:paraId="095099D7" w14:textId="77777777" w:rsidR="000B5464" w:rsidRDefault="000B5464" w:rsidP="009123AC">
      <w:pPr>
        <w:spacing w:after="0" w:line="240" w:lineRule="auto"/>
        <w:rPr>
          <w:rFonts w:ascii="Cambria" w:eastAsia="Cambria" w:hAnsi="Cambria" w:cs="Cambria"/>
          <w:b/>
          <w:sz w:val="20"/>
          <w:szCs w:val="20"/>
          <w:lang w:val="en-US"/>
        </w:rPr>
      </w:pPr>
    </w:p>
    <w:p w14:paraId="7FFF19A1" w14:textId="3A311DCA"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Jablawi</w:t>
      </w:r>
      <w:proofErr w:type="spellEnd"/>
      <w:r w:rsidRPr="00F0379B">
        <w:rPr>
          <w:rFonts w:ascii="Cambria" w:eastAsia="Cambria" w:hAnsi="Cambria" w:cs="Cambria"/>
          <w:sz w:val="20"/>
          <w:szCs w:val="20"/>
          <w:lang w:val="en-US"/>
        </w:rPr>
        <w:t>, Samer</w:t>
      </w:r>
    </w:p>
    <w:p w14:paraId="78872DBF"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Deputy Director-General</w:t>
      </w:r>
    </w:p>
    <w:p w14:paraId="74F2E6C1" w14:textId="77777777" w:rsidR="009123AC" w:rsidRPr="00F912AA" w:rsidRDefault="009123AC" w:rsidP="009123AC">
      <w:pPr>
        <w:spacing w:after="0" w:line="240" w:lineRule="auto"/>
        <w:jc w:val="both"/>
        <w:rPr>
          <w:rFonts w:ascii="Cambria" w:eastAsia="Cambria" w:hAnsi="Cambria" w:cs="Cambria"/>
          <w:sz w:val="20"/>
          <w:szCs w:val="20"/>
          <w:lang w:val="it-IT"/>
        </w:rPr>
      </w:pPr>
      <w:r w:rsidRPr="00F912AA">
        <w:rPr>
          <w:rFonts w:ascii="Cambria" w:eastAsia="Cambria" w:hAnsi="Cambria" w:cs="Cambria"/>
          <w:sz w:val="20"/>
          <w:szCs w:val="20"/>
          <w:lang w:val="it-IT"/>
        </w:rPr>
        <w:t>E-Mail: samerjablawi@gmail.com</w:t>
      </w:r>
    </w:p>
    <w:p w14:paraId="258B6962" w14:textId="77777777" w:rsidR="009123AC" w:rsidRPr="00F912AA" w:rsidRDefault="009123AC" w:rsidP="009123AC">
      <w:pPr>
        <w:spacing w:after="0" w:line="240" w:lineRule="auto"/>
        <w:rPr>
          <w:rFonts w:ascii="Cambria" w:eastAsia="Cambria" w:hAnsi="Cambria" w:cs="Cambria"/>
          <w:b/>
          <w:sz w:val="20"/>
          <w:szCs w:val="20"/>
          <w:lang w:val="it-IT"/>
        </w:rPr>
      </w:pPr>
    </w:p>
    <w:p w14:paraId="7056A466" w14:textId="77777777" w:rsidR="009123AC" w:rsidRPr="00F912AA" w:rsidRDefault="009123AC" w:rsidP="009123AC">
      <w:pPr>
        <w:spacing w:after="0" w:line="240" w:lineRule="auto"/>
        <w:rPr>
          <w:rFonts w:ascii="Cambria" w:eastAsia="Cambria" w:hAnsi="Cambria" w:cs="Cambria"/>
          <w:sz w:val="20"/>
          <w:szCs w:val="20"/>
          <w:lang w:val="it-IT"/>
        </w:rPr>
      </w:pPr>
      <w:proofErr w:type="spellStart"/>
      <w:r w:rsidRPr="00F912AA">
        <w:rPr>
          <w:rFonts w:ascii="Cambria" w:eastAsia="Cambria" w:hAnsi="Cambria" w:cs="Cambria"/>
          <w:b/>
          <w:sz w:val="20"/>
          <w:szCs w:val="20"/>
          <w:lang w:val="it-IT"/>
        </w:rPr>
        <w:t>Saood</w:t>
      </w:r>
      <w:proofErr w:type="spellEnd"/>
      <w:r w:rsidRPr="00F912AA">
        <w:rPr>
          <w:rFonts w:ascii="Cambria" w:eastAsia="Cambria" w:hAnsi="Cambria" w:cs="Cambria"/>
          <w:sz w:val="20"/>
          <w:szCs w:val="20"/>
          <w:lang w:val="it-IT"/>
        </w:rPr>
        <w:t>, Ahmad</w:t>
      </w:r>
    </w:p>
    <w:p w14:paraId="46EDC80D"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Administration Accountant, The General Commission for Fisheries and Aquaculture</w:t>
      </w:r>
    </w:p>
    <w:p w14:paraId="2B208340"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E-Mail: ahmaddsa948@gmail.com</w:t>
      </w:r>
    </w:p>
    <w:p w14:paraId="1957F0A4" w14:textId="77777777" w:rsidR="009123AC" w:rsidRPr="00F0379B" w:rsidRDefault="009123AC" w:rsidP="009123AC">
      <w:pPr>
        <w:spacing w:after="0" w:line="240" w:lineRule="auto"/>
        <w:rPr>
          <w:rFonts w:ascii="Cambria" w:eastAsia="Cambria" w:hAnsi="Cambria" w:cs="Cambria"/>
          <w:sz w:val="20"/>
          <w:szCs w:val="20"/>
          <w:lang w:val="pt-PT"/>
        </w:rPr>
      </w:pPr>
    </w:p>
    <w:p w14:paraId="5DB77481" w14:textId="77777777" w:rsidR="009123AC" w:rsidRPr="00F0379B" w:rsidRDefault="009123AC" w:rsidP="009123AC">
      <w:pPr>
        <w:spacing w:after="0" w:line="240" w:lineRule="auto"/>
        <w:rPr>
          <w:rFonts w:ascii="Cambria" w:eastAsia="Cambria" w:hAnsi="Cambria" w:cs="Cambria"/>
          <w:sz w:val="20"/>
          <w:szCs w:val="20"/>
          <w:lang w:val="pt-PT"/>
        </w:rPr>
      </w:pPr>
      <w:r w:rsidRPr="00F0379B">
        <w:rPr>
          <w:rFonts w:ascii="Cambria" w:eastAsia="Cambria" w:hAnsi="Cambria" w:cs="Cambria"/>
          <w:b/>
          <w:sz w:val="20"/>
          <w:szCs w:val="20"/>
          <w:lang w:val="pt-PT"/>
        </w:rPr>
        <w:t>TÚNEZ</w:t>
      </w:r>
    </w:p>
    <w:p w14:paraId="61FD6A27" w14:textId="77777777" w:rsidR="009123AC" w:rsidRPr="00F0379B" w:rsidRDefault="009123AC" w:rsidP="009123AC">
      <w:pPr>
        <w:spacing w:after="0" w:line="240" w:lineRule="auto"/>
        <w:rPr>
          <w:rFonts w:ascii="Cambria" w:eastAsia="Cambria" w:hAnsi="Cambria" w:cs="Cambria"/>
          <w:sz w:val="20"/>
          <w:szCs w:val="20"/>
          <w:lang w:val="pt-PT"/>
        </w:rPr>
      </w:pPr>
      <w:r w:rsidRPr="00F0379B">
        <w:rPr>
          <w:rFonts w:ascii="Cambria" w:eastAsia="Cambria" w:hAnsi="Cambria" w:cs="Cambria"/>
          <w:b/>
          <w:sz w:val="20"/>
          <w:szCs w:val="20"/>
          <w:lang w:val="pt-PT"/>
        </w:rPr>
        <w:t>Cheikhsboui</w:t>
      </w:r>
      <w:r w:rsidRPr="00F0379B">
        <w:rPr>
          <w:rFonts w:ascii="Cambria" w:eastAsia="Cambria" w:hAnsi="Cambria" w:cs="Cambria"/>
          <w:sz w:val="20"/>
          <w:szCs w:val="20"/>
          <w:lang w:val="pt-PT"/>
        </w:rPr>
        <w:t>, Ali *</w:t>
      </w:r>
    </w:p>
    <w:p w14:paraId="51DE4C95"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Directeur Général de la Pêche et de l'Aquaculture - DGPA, ministère de l'Agriculture, des Ressources Hydrauliques et de la Pêche, Direction Générale de la Pêche et de l'Aquaculture, 30 Rue Alain Savary, 1002 Tunis</w:t>
      </w:r>
    </w:p>
    <w:p w14:paraId="582CD7FA"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+216 71 892 253, E-Mail: ali.cheikhsboui@gmail.com; bft@iresa.agrinet.tn; ali.cheikhsboui@iresa.agrinet.tn</w:t>
      </w:r>
    </w:p>
    <w:p w14:paraId="4B668895" w14:textId="77777777" w:rsidR="009123AC" w:rsidRPr="00F0379B" w:rsidRDefault="009123AC" w:rsidP="009123AC">
      <w:pPr>
        <w:spacing w:after="0" w:line="240" w:lineRule="auto"/>
        <w:rPr>
          <w:rFonts w:ascii="Cambria" w:eastAsia="Cambria" w:hAnsi="Cambria" w:cs="Cambria"/>
          <w:sz w:val="20"/>
          <w:szCs w:val="20"/>
          <w:lang w:val="pt-PT"/>
        </w:rPr>
      </w:pPr>
    </w:p>
    <w:p w14:paraId="37929226"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Ben Hmida</w:t>
      </w:r>
      <w:r w:rsidRPr="00F0379B">
        <w:rPr>
          <w:rFonts w:ascii="Cambria" w:eastAsia="Cambria" w:hAnsi="Cambria" w:cs="Cambria"/>
          <w:sz w:val="20"/>
          <w:szCs w:val="20"/>
          <w:lang w:val="fr-FR"/>
        </w:rPr>
        <w:t xml:space="preserve">, </w:t>
      </w:r>
      <w:proofErr w:type="spellStart"/>
      <w:r w:rsidRPr="00F0379B">
        <w:rPr>
          <w:rFonts w:ascii="Cambria" w:eastAsia="Cambria" w:hAnsi="Cambria" w:cs="Cambria"/>
          <w:sz w:val="20"/>
          <w:szCs w:val="20"/>
          <w:lang w:val="fr-FR"/>
        </w:rPr>
        <w:t>Jaouhar</w:t>
      </w:r>
      <w:proofErr w:type="spellEnd"/>
      <w:r w:rsidRPr="00F0379B">
        <w:rPr>
          <w:rFonts w:ascii="Cambria" w:eastAsia="Cambria" w:hAnsi="Cambria" w:cs="Cambria"/>
          <w:sz w:val="20"/>
          <w:szCs w:val="20"/>
          <w:lang w:val="fr-FR"/>
        </w:rPr>
        <w:t xml:space="preserve"> </w:t>
      </w:r>
      <w:r w:rsidRPr="00F0379B">
        <w:rPr>
          <w:rFonts w:ascii="Cambria" w:eastAsia="Cambria" w:hAnsi="Cambria" w:cs="Cambria"/>
          <w:sz w:val="20"/>
          <w:szCs w:val="20"/>
          <w:vertAlign w:val="superscript"/>
          <w:lang w:val="fr-FR"/>
        </w:rPr>
        <w:t>1</w:t>
      </w:r>
    </w:p>
    <w:p w14:paraId="0CFD835D"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Fédération de la Pêche du Thon en Tunisie, 3065 Sfax</w:t>
      </w:r>
    </w:p>
    <w:p w14:paraId="74A54C2A" w14:textId="77777777" w:rsidR="009123AC" w:rsidRPr="00F0379B" w:rsidRDefault="009123AC" w:rsidP="009123AC">
      <w:pPr>
        <w:spacing w:after="0" w:line="240" w:lineRule="auto"/>
        <w:rPr>
          <w:rFonts w:ascii="Cambria" w:eastAsia="Cambria" w:hAnsi="Cambria" w:cs="Cambria"/>
          <w:sz w:val="20"/>
          <w:szCs w:val="20"/>
          <w:lang w:val="fr-FR"/>
        </w:rPr>
      </w:pPr>
    </w:p>
    <w:p w14:paraId="0467EF1B"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Gargouri</w:t>
      </w:r>
      <w:r w:rsidRPr="00F0379B">
        <w:rPr>
          <w:rFonts w:ascii="Cambria" w:eastAsia="Cambria" w:hAnsi="Cambria" w:cs="Cambria"/>
          <w:sz w:val="20"/>
          <w:szCs w:val="20"/>
          <w:lang w:val="fr-FR"/>
        </w:rPr>
        <w:t xml:space="preserve">, Molka </w:t>
      </w:r>
      <w:r w:rsidRPr="00F0379B">
        <w:rPr>
          <w:rFonts w:ascii="Cambria" w:eastAsia="Cambria" w:hAnsi="Cambria" w:cs="Cambria"/>
          <w:sz w:val="20"/>
          <w:szCs w:val="20"/>
          <w:vertAlign w:val="superscript"/>
          <w:lang w:val="fr-FR"/>
        </w:rPr>
        <w:t>1</w:t>
      </w:r>
    </w:p>
    <w:p w14:paraId="224C9E6D"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Société Tunisia Tuna, 5121 Mahdia</w:t>
      </w:r>
    </w:p>
    <w:p w14:paraId="25F94F7B" w14:textId="77777777" w:rsidR="009123AC" w:rsidRPr="00F912AA" w:rsidRDefault="009123AC" w:rsidP="009123AC">
      <w:pPr>
        <w:spacing w:after="0" w:line="240" w:lineRule="auto"/>
        <w:rPr>
          <w:rFonts w:ascii="Cambria" w:eastAsia="Cambria" w:hAnsi="Cambria" w:cs="Cambria"/>
          <w:sz w:val="20"/>
          <w:szCs w:val="20"/>
          <w:lang w:val="fr-FR"/>
        </w:rPr>
      </w:pPr>
      <w:r w:rsidRPr="00F912AA">
        <w:rPr>
          <w:rFonts w:ascii="Cambria" w:eastAsia="Cambria" w:hAnsi="Cambria" w:cs="Cambria"/>
          <w:b/>
          <w:sz w:val="20"/>
          <w:szCs w:val="20"/>
          <w:lang w:val="fr-FR"/>
        </w:rPr>
        <w:lastRenderedPageBreak/>
        <w:t xml:space="preserve">Hayouni </w:t>
      </w:r>
      <w:proofErr w:type="spellStart"/>
      <w:r w:rsidRPr="00F912AA">
        <w:rPr>
          <w:rFonts w:ascii="Cambria" w:eastAsia="Cambria" w:hAnsi="Cambria" w:cs="Cambria"/>
          <w:b/>
          <w:sz w:val="20"/>
          <w:szCs w:val="20"/>
          <w:lang w:val="fr-FR"/>
        </w:rPr>
        <w:t>ep</w:t>
      </w:r>
      <w:proofErr w:type="spellEnd"/>
      <w:r w:rsidRPr="00F912AA">
        <w:rPr>
          <w:rFonts w:ascii="Cambria" w:eastAsia="Cambria" w:hAnsi="Cambria" w:cs="Cambria"/>
          <w:b/>
          <w:sz w:val="20"/>
          <w:szCs w:val="20"/>
          <w:lang w:val="fr-FR"/>
        </w:rPr>
        <w:t xml:space="preserve"> Habbassi</w:t>
      </w:r>
      <w:r w:rsidRPr="00F912AA">
        <w:rPr>
          <w:rFonts w:ascii="Cambria" w:eastAsia="Cambria" w:hAnsi="Cambria" w:cs="Cambria"/>
          <w:sz w:val="20"/>
          <w:szCs w:val="20"/>
          <w:lang w:val="fr-FR"/>
        </w:rPr>
        <w:t>, Dhekra (online)</w:t>
      </w:r>
    </w:p>
    <w:p w14:paraId="686ADFF2"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Ingénieur en chef, Direction de la préservation des ressources halieutiques, Direction Générale de la Pêche et de l'Aquaculture, 32 Rue Alain Savary, 1002 Tunis</w:t>
      </w:r>
    </w:p>
    <w:p w14:paraId="671E44F1" w14:textId="77777777" w:rsidR="009123AC" w:rsidRPr="00F912AA" w:rsidRDefault="009123AC" w:rsidP="009123AC">
      <w:pPr>
        <w:spacing w:after="0" w:line="240" w:lineRule="auto"/>
        <w:jc w:val="both"/>
        <w:rPr>
          <w:rFonts w:ascii="Cambria" w:eastAsia="Cambria" w:hAnsi="Cambria" w:cs="Cambria"/>
          <w:sz w:val="20"/>
          <w:szCs w:val="20"/>
          <w:lang w:val="en-US"/>
        </w:rPr>
      </w:pPr>
      <w:r w:rsidRPr="00F912AA">
        <w:rPr>
          <w:rFonts w:ascii="Cambria" w:eastAsia="Cambria" w:hAnsi="Cambria" w:cs="Cambria"/>
          <w:sz w:val="20"/>
          <w:szCs w:val="20"/>
          <w:lang w:val="en-US"/>
        </w:rPr>
        <w:t>Tel: +216 718 90784; +216 201 08565, Fax: +216 717 99401, E-Mail: hayouni.dhekra@gmail.com</w:t>
      </w:r>
    </w:p>
    <w:p w14:paraId="0F47BF53" w14:textId="77777777" w:rsidR="009123AC" w:rsidRPr="00F912AA" w:rsidRDefault="009123AC" w:rsidP="009123AC">
      <w:pPr>
        <w:spacing w:after="0" w:line="240" w:lineRule="auto"/>
        <w:rPr>
          <w:rFonts w:ascii="Cambria" w:eastAsia="Cambria" w:hAnsi="Cambria" w:cs="Cambria"/>
          <w:sz w:val="20"/>
          <w:szCs w:val="20"/>
          <w:lang w:val="en-US"/>
        </w:rPr>
      </w:pPr>
    </w:p>
    <w:p w14:paraId="4E838A99" w14:textId="77777777" w:rsidR="009123AC" w:rsidRPr="00F912AA" w:rsidRDefault="009123AC" w:rsidP="009123AC">
      <w:pPr>
        <w:spacing w:after="0" w:line="240" w:lineRule="auto"/>
        <w:rPr>
          <w:rFonts w:ascii="Cambria" w:eastAsia="Cambria" w:hAnsi="Cambria" w:cs="Cambria"/>
          <w:sz w:val="20"/>
          <w:szCs w:val="20"/>
          <w:lang w:val="en-US"/>
        </w:rPr>
      </w:pPr>
      <w:r w:rsidRPr="00F912AA">
        <w:rPr>
          <w:rFonts w:ascii="Cambria" w:eastAsia="Cambria" w:hAnsi="Cambria" w:cs="Cambria"/>
          <w:b/>
          <w:sz w:val="20"/>
          <w:szCs w:val="20"/>
          <w:lang w:val="en-US"/>
        </w:rPr>
        <w:t>Samet</w:t>
      </w:r>
      <w:r w:rsidRPr="00F912AA">
        <w:rPr>
          <w:rFonts w:ascii="Cambria" w:eastAsia="Cambria" w:hAnsi="Cambria" w:cs="Cambria"/>
          <w:sz w:val="20"/>
          <w:szCs w:val="20"/>
          <w:lang w:val="en-US"/>
        </w:rPr>
        <w:t xml:space="preserve">, Amor </w:t>
      </w:r>
      <w:r w:rsidRPr="00F912AA">
        <w:rPr>
          <w:rFonts w:ascii="Cambria" w:eastAsia="Cambria" w:hAnsi="Cambria" w:cs="Cambria"/>
          <w:sz w:val="20"/>
          <w:szCs w:val="20"/>
          <w:vertAlign w:val="superscript"/>
          <w:lang w:val="en-US"/>
        </w:rPr>
        <w:t xml:space="preserve">1 </w:t>
      </w:r>
      <w:r w:rsidRPr="00F912AA">
        <w:rPr>
          <w:rFonts w:ascii="Cambria" w:eastAsia="Cambria" w:hAnsi="Cambria" w:cs="Cambria"/>
          <w:sz w:val="20"/>
          <w:szCs w:val="20"/>
          <w:lang w:val="en-US"/>
        </w:rPr>
        <w:t>(online)</w:t>
      </w:r>
    </w:p>
    <w:p w14:paraId="2768F94F"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Directeur de Tunisia Tuna, 3041 Sfax</w:t>
      </w:r>
    </w:p>
    <w:p w14:paraId="01310A7E" w14:textId="77777777" w:rsidR="009123AC" w:rsidRPr="00F0379B" w:rsidRDefault="009123AC" w:rsidP="009123AC">
      <w:pPr>
        <w:spacing w:after="0" w:line="240" w:lineRule="auto"/>
        <w:rPr>
          <w:rFonts w:ascii="Cambria" w:eastAsia="Cambria" w:hAnsi="Cambria" w:cs="Cambria"/>
          <w:sz w:val="20"/>
          <w:szCs w:val="20"/>
          <w:lang w:val="fr-FR"/>
        </w:rPr>
      </w:pPr>
    </w:p>
    <w:p w14:paraId="516C3F7E"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Samet</w:t>
      </w:r>
      <w:r w:rsidRPr="00F0379B">
        <w:rPr>
          <w:rFonts w:ascii="Cambria" w:eastAsia="Cambria" w:hAnsi="Cambria" w:cs="Cambria"/>
          <w:sz w:val="20"/>
          <w:szCs w:val="20"/>
          <w:lang w:val="fr-FR"/>
        </w:rPr>
        <w:t xml:space="preserve">, Ahmed </w:t>
      </w:r>
      <w:r w:rsidRPr="00F0379B">
        <w:rPr>
          <w:rFonts w:ascii="Cambria" w:eastAsia="Cambria" w:hAnsi="Cambria" w:cs="Cambria"/>
          <w:sz w:val="20"/>
          <w:szCs w:val="20"/>
          <w:vertAlign w:val="superscript"/>
          <w:lang w:val="fr-FR"/>
        </w:rPr>
        <w:t>1</w:t>
      </w:r>
    </w:p>
    <w:p w14:paraId="40CC95B3"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Société Tunisia Tuna, 5121 Mahdia</w:t>
      </w:r>
    </w:p>
    <w:p w14:paraId="0397B991" w14:textId="77777777" w:rsidR="009123AC" w:rsidRPr="00F0379B" w:rsidRDefault="009123AC" w:rsidP="009123AC">
      <w:pPr>
        <w:spacing w:after="0" w:line="240" w:lineRule="auto"/>
        <w:rPr>
          <w:rFonts w:ascii="Cambria" w:eastAsia="Cambria" w:hAnsi="Cambria" w:cs="Cambria"/>
          <w:sz w:val="20"/>
          <w:szCs w:val="20"/>
          <w:lang w:val="fr-FR"/>
        </w:rPr>
      </w:pPr>
    </w:p>
    <w:p w14:paraId="6EB6925D"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Toumi</w:t>
      </w:r>
      <w:r w:rsidRPr="00F0379B">
        <w:rPr>
          <w:rFonts w:ascii="Cambria" w:eastAsia="Cambria" w:hAnsi="Cambria" w:cs="Cambria"/>
          <w:sz w:val="20"/>
          <w:szCs w:val="20"/>
          <w:lang w:val="fr-FR"/>
        </w:rPr>
        <w:t xml:space="preserve">, </w:t>
      </w:r>
      <w:proofErr w:type="spellStart"/>
      <w:r w:rsidRPr="00F0379B">
        <w:rPr>
          <w:rFonts w:ascii="Cambria" w:eastAsia="Cambria" w:hAnsi="Cambria" w:cs="Cambria"/>
          <w:sz w:val="20"/>
          <w:szCs w:val="20"/>
          <w:lang w:val="fr-FR"/>
        </w:rPr>
        <w:t>Néji</w:t>
      </w:r>
      <w:proofErr w:type="spellEnd"/>
    </w:p>
    <w:p w14:paraId="6D19FDCE"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 xml:space="preserve">Directeur de la Ste TUNA FARMS of Tunisia, Port de pêche de </w:t>
      </w:r>
      <w:proofErr w:type="spellStart"/>
      <w:r w:rsidRPr="00F0379B">
        <w:rPr>
          <w:rFonts w:ascii="Cambria" w:eastAsia="Cambria" w:hAnsi="Cambria" w:cs="Cambria"/>
          <w:sz w:val="20"/>
          <w:szCs w:val="20"/>
          <w:lang w:val="fr-FR"/>
        </w:rPr>
        <w:t>Hergla</w:t>
      </w:r>
      <w:proofErr w:type="spellEnd"/>
      <w:r w:rsidRPr="00F0379B">
        <w:rPr>
          <w:rFonts w:ascii="Cambria" w:eastAsia="Cambria" w:hAnsi="Cambria" w:cs="Cambria"/>
          <w:sz w:val="20"/>
          <w:szCs w:val="20"/>
          <w:lang w:val="fr-FR"/>
        </w:rPr>
        <w:t xml:space="preserve">, 4012, 4012 </w:t>
      </w:r>
      <w:proofErr w:type="spellStart"/>
      <w:r w:rsidRPr="00F0379B">
        <w:rPr>
          <w:rFonts w:ascii="Cambria" w:eastAsia="Cambria" w:hAnsi="Cambria" w:cs="Cambria"/>
          <w:sz w:val="20"/>
          <w:szCs w:val="20"/>
          <w:lang w:val="fr-FR"/>
        </w:rPr>
        <w:t>Hergla</w:t>
      </w:r>
      <w:proofErr w:type="spellEnd"/>
      <w:r w:rsidRPr="00F0379B">
        <w:rPr>
          <w:rFonts w:ascii="Cambria" w:eastAsia="Cambria" w:hAnsi="Cambria" w:cs="Cambria"/>
          <w:sz w:val="20"/>
          <w:szCs w:val="20"/>
          <w:lang w:val="fr-FR"/>
        </w:rPr>
        <w:t>, Sousse</w:t>
      </w:r>
    </w:p>
    <w:p w14:paraId="192ACA24" w14:textId="77777777" w:rsidR="009123AC" w:rsidRPr="00F0379B" w:rsidRDefault="009123AC" w:rsidP="009123AC">
      <w:pPr>
        <w:spacing w:after="0" w:line="240" w:lineRule="auto"/>
        <w:jc w:val="both"/>
        <w:rPr>
          <w:rFonts w:ascii="Cambria" w:eastAsia="Cambria" w:hAnsi="Cambria" w:cs="Cambria"/>
          <w:sz w:val="20"/>
          <w:szCs w:val="20"/>
          <w:lang w:val="it-IT"/>
        </w:rPr>
      </w:pPr>
      <w:r w:rsidRPr="00F0379B">
        <w:rPr>
          <w:rFonts w:ascii="Cambria" w:eastAsia="Cambria" w:hAnsi="Cambria" w:cs="Cambria"/>
          <w:sz w:val="20"/>
          <w:szCs w:val="20"/>
          <w:lang w:val="it-IT"/>
        </w:rPr>
        <w:t>Tel: + 216 22 25 32 83, Fax: + 216 73 251 800, E-Mail: neji.tft@planet.tn; ntoumi@ebcon.com.mt</w:t>
      </w:r>
    </w:p>
    <w:p w14:paraId="199975C3" w14:textId="77777777" w:rsidR="009123AC" w:rsidRPr="00F0379B" w:rsidRDefault="009123AC" w:rsidP="009123AC">
      <w:pPr>
        <w:spacing w:after="0" w:line="240" w:lineRule="auto"/>
        <w:rPr>
          <w:rFonts w:ascii="Cambria" w:eastAsia="Cambria" w:hAnsi="Cambria" w:cs="Cambria"/>
          <w:sz w:val="20"/>
          <w:szCs w:val="20"/>
          <w:lang w:val="it-IT"/>
        </w:rPr>
      </w:pPr>
    </w:p>
    <w:p w14:paraId="2F477389" w14:textId="77777777" w:rsidR="009123AC" w:rsidRPr="00F0379B" w:rsidRDefault="009123AC" w:rsidP="009123AC">
      <w:pPr>
        <w:spacing w:after="0" w:line="240" w:lineRule="auto"/>
        <w:rPr>
          <w:rFonts w:ascii="Cambria" w:eastAsia="Cambria" w:hAnsi="Cambria" w:cs="Cambria"/>
          <w:sz w:val="20"/>
          <w:szCs w:val="20"/>
          <w:lang w:val="it-IT"/>
        </w:rPr>
      </w:pPr>
      <w:proofErr w:type="spellStart"/>
      <w:r w:rsidRPr="00F0379B">
        <w:rPr>
          <w:rFonts w:ascii="Cambria" w:eastAsia="Cambria" w:hAnsi="Cambria" w:cs="Cambria"/>
          <w:b/>
          <w:sz w:val="20"/>
          <w:szCs w:val="20"/>
          <w:lang w:val="it-IT"/>
        </w:rPr>
        <w:t>Zarrad</w:t>
      </w:r>
      <w:proofErr w:type="spellEnd"/>
      <w:r w:rsidRPr="00F0379B">
        <w:rPr>
          <w:rFonts w:ascii="Cambria" w:eastAsia="Cambria" w:hAnsi="Cambria" w:cs="Cambria"/>
          <w:sz w:val="20"/>
          <w:szCs w:val="20"/>
          <w:lang w:val="it-IT"/>
        </w:rPr>
        <w:t>, Rafik (online)</w:t>
      </w:r>
    </w:p>
    <w:p w14:paraId="6328235D"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Maître de Conférences, Coordinateur du groupe Grands pélagiques, Laboratoire Sciences Halieutiques-Institut National des Sciences et Technologies de la Mer-INSTM, Centre Mahdia</w:t>
      </w:r>
    </w:p>
    <w:p w14:paraId="15E18366"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+216 73 688 604, E-Mail: rafik.zarrad@gmail.com; rafik.zarrad@instm.rnrt.tn</w:t>
      </w:r>
    </w:p>
    <w:p w14:paraId="077AA704" w14:textId="77777777" w:rsidR="009123AC" w:rsidRPr="00F0379B" w:rsidRDefault="009123AC" w:rsidP="009123AC">
      <w:pPr>
        <w:spacing w:after="0" w:line="240" w:lineRule="auto"/>
        <w:rPr>
          <w:rFonts w:ascii="Cambria" w:eastAsia="Cambria" w:hAnsi="Cambria" w:cs="Cambria"/>
          <w:sz w:val="20"/>
          <w:szCs w:val="20"/>
          <w:lang w:val="pt-PT"/>
        </w:rPr>
      </w:pPr>
    </w:p>
    <w:p w14:paraId="0765F875"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TÜRKIYE</w:t>
      </w:r>
    </w:p>
    <w:p w14:paraId="6DF9563A"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Günes</w:t>
      </w:r>
      <w:r w:rsidRPr="00F0379B">
        <w:rPr>
          <w:rFonts w:ascii="Cambria" w:eastAsia="Cambria" w:hAnsi="Cambria" w:cs="Cambria"/>
          <w:sz w:val="20"/>
          <w:szCs w:val="20"/>
          <w:lang w:val="en-US"/>
        </w:rPr>
        <w:t>, Erdinç * (online)</w:t>
      </w:r>
    </w:p>
    <w:p w14:paraId="116DD1FB"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en-US"/>
        </w:rPr>
        <w:t xml:space="preserve">Deputy Director General, Ministry of Agriculture and Forestry (MoAF), General Directorate of Fisheries and Aquaculture, </w:t>
      </w:r>
      <w:proofErr w:type="spellStart"/>
      <w:r w:rsidRPr="00F0379B">
        <w:rPr>
          <w:rFonts w:ascii="Cambria" w:eastAsia="Cambria" w:hAnsi="Cambria" w:cs="Cambria"/>
          <w:sz w:val="20"/>
          <w:szCs w:val="20"/>
          <w:lang w:val="en-US"/>
        </w:rPr>
        <w:t>Üniversiteler</w:t>
      </w:r>
      <w:proofErr w:type="spellEnd"/>
      <w:r w:rsidRPr="00F0379B">
        <w:rPr>
          <w:rFonts w:ascii="Cambria" w:eastAsia="Cambria" w:hAnsi="Cambria" w:cs="Cambria"/>
          <w:sz w:val="20"/>
          <w:szCs w:val="20"/>
          <w:lang w:val="en-US"/>
        </w:rPr>
        <w:t xml:space="preserve"> Mah. </w:t>
      </w:r>
      <w:r w:rsidRPr="00F0379B">
        <w:rPr>
          <w:rFonts w:ascii="Cambria" w:eastAsia="Cambria" w:hAnsi="Cambria" w:cs="Cambria"/>
          <w:sz w:val="20"/>
          <w:szCs w:val="20"/>
          <w:lang w:val="pt-PT"/>
        </w:rPr>
        <w:t>Dumlupınar Bulvarı, No: 161 / 1-0, 06100 Lodumlu, Ankara</w:t>
      </w:r>
    </w:p>
    <w:p w14:paraId="3D1D34AB"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+90 312 258 3017, E-Mail: erdinc.gunes@tarimorman.gov.tr; erdincgunes67@gmail.com</w:t>
      </w:r>
    </w:p>
    <w:p w14:paraId="247A5D96" w14:textId="77777777" w:rsidR="009123AC" w:rsidRPr="00F0379B" w:rsidRDefault="009123AC" w:rsidP="009123AC">
      <w:pPr>
        <w:spacing w:after="0" w:line="240" w:lineRule="auto"/>
        <w:rPr>
          <w:rFonts w:ascii="Cambria" w:eastAsia="Cambria" w:hAnsi="Cambria" w:cs="Cambria"/>
          <w:sz w:val="20"/>
          <w:szCs w:val="20"/>
          <w:lang w:val="pt-PT"/>
        </w:rPr>
      </w:pPr>
    </w:p>
    <w:p w14:paraId="056518B1"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Gökçinar</w:t>
      </w:r>
      <w:proofErr w:type="spellEnd"/>
      <w:r w:rsidRPr="00F0379B">
        <w:rPr>
          <w:rFonts w:ascii="Cambria" w:eastAsia="Cambria" w:hAnsi="Cambria" w:cs="Cambria"/>
          <w:sz w:val="20"/>
          <w:szCs w:val="20"/>
          <w:lang w:val="en-US"/>
        </w:rPr>
        <w:t>, Niyazi Can</w:t>
      </w:r>
    </w:p>
    <w:p w14:paraId="1270DF92"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en-US"/>
        </w:rPr>
        <w:t xml:space="preserve">Senior Fisheries Officer, Ministry of Agriculture and Forestry, General Directorate of Fisheries and Aquaculture, </w:t>
      </w:r>
      <w:proofErr w:type="spellStart"/>
      <w:r w:rsidRPr="00F0379B">
        <w:rPr>
          <w:rFonts w:ascii="Cambria" w:eastAsia="Cambria" w:hAnsi="Cambria" w:cs="Cambria"/>
          <w:sz w:val="20"/>
          <w:szCs w:val="20"/>
          <w:lang w:val="en-US"/>
        </w:rPr>
        <w:t>Üniversiteler</w:t>
      </w:r>
      <w:proofErr w:type="spellEnd"/>
      <w:r w:rsidRPr="00F0379B">
        <w:rPr>
          <w:rFonts w:ascii="Cambria" w:eastAsia="Cambria" w:hAnsi="Cambria" w:cs="Cambria"/>
          <w:sz w:val="20"/>
          <w:szCs w:val="20"/>
          <w:lang w:val="en-US"/>
        </w:rPr>
        <w:t xml:space="preserve"> Mah. </w:t>
      </w:r>
      <w:r w:rsidRPr="00F0379B">
        <w:rPr>
          <w:rFonts w:ascii="Cambria" w:eastAsia="Cambria" w:hAnsi="Cambria" w:cs="Cambria"/>
          <w:sz w:val="20"/>
          <w:szCs w:val="20"/>
          <w:lang w:val="pt-PT"/>
        </w:rPr>
        <w:t>Dumlupınar Bulvarı, No: 161 / 1-0, 06800 Lodumlu, Ankara</w:t>
      </w:r>
    </w:p>
    <w:p w14:paraId="0F3DB065"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+90 312 258 3077, Fax: +90 312 258 3039, E-Mail: niyazican.gokcinar@tarimorman.gov.tr; niyazicangokcinar@hotmail.com</w:t>
      </w:r>
    </w:p>
    <w:p w14:paraId="4CA4C9B0" w14:textId="77777777" w:rsidR="009123AC" w:rsidRPr="00F0379B" w:rsidRDefault="009123AC" w:rsidP="009123AC">
      <w:pPr>
        <w:spacing w:after="0" w:line="240" w:lineRule="auto"/>
        <w:rPr>
          <w:rFonts w:ascii="Cambria" w:eastAsia="Cambria" w:hAnsi="Cambria" w:cs="Cambria"/>
          <w:sz w:val="20"/>
          <w:szCs w:val="20"/>
          <w:lang w:val="pt-PT"/>
        </w:rPr>
      </w:pPr>
    </w:p>
    <w:p w14:paraId="68DA4B36"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Mavruk</w:t>
      </w:r>
      <w:r w:rsidRPr="00F0379B">
        <w:rPr>
          <w:rFonts w:ascii="Cambria" w:eastAsia="Cambria" w:hAnsi="Cambria" w:cs="Cambria"/>
          <w:sz w:val="20"/>
          <w:szCs w:val="20"/>
          <w:lang w:val="en-US"/>
        </w:rPr>
        <w:t>, Sinan (online)</w:t>
      </w:r>
    </w:p>
    <w:p w14:paraId="19845480" w14:textId="77777777" w:rsidR="009123AC" w:rsidRPr="00F0379B" w:rsidRDefault="009123AC" w:rsidP="009123AC">
      <w:pPr>
        <w:spacing w:after="0" w:line="240" w:lineRule="auto"/>
        <w:jc w:val="both"/>
        <w:rPr>
          <w:rFonts w:ascii="Cambria" w:eastAsia="Cambria" w:hAnsi="Cambria" w:cs="Cambria"/>
          <w:sz w:val="20"/>
          <w:szCs w:val="20"/>
          <w:lang w:val="en-US"/>
        </w:rPr>
      </w:pPr>
      <w:proofErr w:type="spellStart"/>
      <w:r w:rsidRPr="00F0379B">
        <w:rPr>
          <w:rFonts w:ascii="Cambria" w:eastAsia="Cambria" w:hAnsi="Cambria" w:cs="Cambria"/>
          <w:sz w:val="20"/>
          <w:szCs w:val="20"/>
          <w:lang w:val="en-US"/>
        </w:rPr>
        <w:t>Cukurova</w:t>
      </w:r>
      <w:proofErr w:type="spellEnd"/>
      <w:r w:rsidRPr="00F0379B">
        <w:rPr>
          <w:rFonts w:ascii="Cambria" w:eastAsia="Cambria" w:hAnsi="Cambria" w:cs="Cambria"/>
          <w:sz w:val="20"/>
          <w:szCs w:val="20"/>
          <w:lang w:val="en-US"/>
        </w:rPr>
        <w:t xml:space="preserve"> </w:t>
      </w:r>
      <w:proofErr w:type="spellStart"/>
      <w:r w:rsidRPr="00F0379B">
        <w:rPr>
          <w:rFonts w:ascii="Cambria" w:eastAsia="Cambria" w:hAnsi="Cambria" w:cs="Cambria"/>
          <w:sz w:val="20"/>
          <w:szCs w:val="20"/>
          <w:lang w:val="en-US"/>
        </w:rPr>
        <w:t>Universiity</w:t>
      </w:r>
      <w:proofErr w:type="spellEnd"/>
      <w:r w:rsidRPr="00F0379B">
        <w:rPr>
          <w:rFonts w:ascii="Cambria" w:eastAsia="Cambria" w:hAnsi="Cambria" w:cs="Cambria"/>
          <w:sz w:val="20"/>
          <w:szCs w:val="20"/>
          <w:lang w:val="en-US"/>
        </w:rPr>
        <w:t>, Fisheries Faculty, 01330 Adana</w:t>
      </w:r>
    </w:p>
    <w:p w14:paraId="04AA6BF9"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+90 530 441 9904, E-Mail: smavruk@cu.edu.tr; sinan.mavruk@gmail.com</w:t>
      </w:r>
    </w:p>
    <w:p w14:paraId="18FCEF26" w14:textId="77777777" w:rsidR="009123AC" w:rsidRPr="00F0379B" w:rsidRDefault="009123AC" w:rsidP="009123AC">
      <w:pPr>
        <w:spacing w:after="0" w:line="240" w:lineRule="auto"/>
        <w:rPr>
          <w:rFonts w:ascii="Cambria" w:eastAsia="Cambria" w:hAnsi="Cambria" w:cs="Cambria"/>
          <w:sz w:val="20"/>
          <w:szCs w:val="20"/>
          <w:lang w:val="pt-PT"/>
        </w:rPr>
      </w:pPr>
    </w:p>
    <w:p w14:paraId="3A6F476B"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Topçu</w:t>
      </w:r>
      <w:r w:rsidRPr="00F0379B">
        <w:rPr>
          <w:rFonts w:ascii="Cambria" w:eastAsia="Cambria" w:hAnsi="Cambria" w:cs="Cambria"/>
          <w:sz w:val="20"/>
          <w:szCs w:val="20"/>
          <w:lang w:val="en-US"/>
        </w:rPr>
        <w:t>, Burcu Bilgin</w:t>
      </w:r>
    </w:p>
    <w:p w14:paraId="5A1399B4"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en-US"/>
        </w:rPr>
        <w:t xml:space="preserve">Senior Fisheries Officer, Ministry of Agriculture and Forestry, General Directorate of Fisheries and Aquaculture, </w:t>
      </w:r>
      <w:proofErr w:type="spellStart"/>
      <w:r w:rsidRPr="00F0379B">
        <w:rPr>
          <w:rFonts w:ascii="Cambria" w:eastAsia="Cambria" w:hAnsi="Cambria" w:cs="Cambria"/>
          <w:sz w:val="20"/>
          <w:szCs w:val="20"/>
          <w:lang w:val="en-US"/>
        </w:rPr>
        <w:t>Üniversiteler</w:t>
      </w:r>
      <w:proofErr w:type="spellEnd"/>
      <w:r w:rsidRPr="00F0379B">
        <w:rPr>
          <w:rFonts w:ascii="Cambria" w:eastAsia="Cambria" w:hAnsi="Cambria" w:cs="Cambria"/>
          <w:sz w:val="20"/>
          <w:szCs w:val="20"/>
          <w:lang w:val="en-US"/>
        </w:rPr>
        <w:t xml:space="preserve"> Mah. </w:t>
      </w:r>
      <w:r w:rsidRPr="00F0379B">
        <w:rPr>
          <w:rFonts w:ascii="Cambria" w:eastAsia="Cambria" w:hAnsi="Cambria" w:cs="Cambria"/>
          <w:sz w:val="20"/>
          <w:szCs w:val="20"/>
          <w:lang w:val="pt-PT"/>
        </w:rPr>
        <w:t>Dumlupınar Bulvarı, No: 161 / 1-6, 06800 Lodumlu, Ankara</w:t>
      </w:r>
    </w:p>
    <w:p w14:paraId="3CFC7352"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+90 532 207 0632; +90 312 258 3077, Fax: +90 312 258 30 39, E-Mail: burcu.bilgin@tarimorman.gov.tr; bilginburcu@gmail.com</w:t>
      </w:r>
    </w:p>
    <w:p w14:paraId="3BE0DDF7" w14:textId="77777777" w:rsidR="009123AC" w:rsidRPr="00F0379B" w:rsidRDefault="009123AC" w:rsidP="009123AC">
      <w:pPr>
        <w:spacing w:after="0" w:line="240" w:lineRule="auto"/>
        <w:rPr>
          <w:rFonts w:ascii="Cambria" w:eastAsia="Cambria" w:hAnsi="Cambria" w:cs="Cambria"/>
          <w:sz w:val="20"/>
          <w:szCs w:val="20"/>
          <w:lang w:val="pt-PT"/>
        </w:rPr>
      </w:pPr>
    </w:p>
    <w:p w14:paraId="3CB02A04"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Yalim</w:t>
      </w:r>
      <w:r w:rsidRPr="00F0379B">
        <w:rPr>
          <w:rFonts w:ascii="Cambria" w:eastAsia="Cambria" w:hAnsi="Cambria" w:cs="Cambria"/>
          <w:sz w:val="20"/>
          <w:szCs w:val="20"/>
          <w:lang w:val="en-US"/>
        </w:rPr>
        <w:t>, Fatma Banu (online)</w:t>
      </w:r>
    </w:p>
    <w:p w14:paraId="4D48BAC3"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Ministry of </w:t>
      </w:r>
      <w:proofErr w:type="spellStart"/>
      <w:r w:rsidRPr="00F0379B">
        <w:rPr>
          <w:rFonts w:ascii="Cambria" w:eastAsia="Cambria" w:hAnsi="Cambria" w:cs="Cambria"/>
          <w:sz w:val="20"/>
          <w:szCs w:val="20"/>
          <w:lang w:val="en-US"/>
        </w:rPr>
        <w:t>Agrıculture</w:t>
      </w:r>
      <w:proofErr w:type="spellEnd"/>
      <w:r w:rsidRPr="00F0379B">
        <w:rPr>
          <w:rFonts w:ascii="Cambria" w:eastAsia="Cambria" w:hAnsi="Cambria" w:cs="Cambria"/>
          <w:sz w:val="20"/>
          <w:szCs w:val="20"/>
          <w:lang w:val="en-US"/>
        </w:rPr>
        <w:t xml:space="preserve"> and Forestry Mediterranean Fisheries Research Production and Training Institute, 07190 Antalya</w:t>
      </w:r>
    </w:p>
    <w:p w14:paraId="7A31A679" w14:textId="77777777" w:rsidR="009123AC" w:rsidRPr="00F912AA" w:rsidRDefault="009123AC" w:rsidP="009123AC">
      <w:pPr>
        <w:spacing w:after="0" w:line="240" w:lineRule="auto"/>
        <w:jc w:val="both"/>
        <w:rPr>
          <w:rFonts w:ascii="Cambria" w:eastAsia="Cambria" w:hAnsi="Cambria" w:cs="Cambria"/>
          <w:sz w:val="20"/>
          <w:szCs w:val="20"/>
          <w:lang w:val="it-IT"/>
        </w:rPr>
      </w:pPr>
      <w:r w:rsidRPr="00F912AA">
        <w:rPr>
          <w:rFonts w:ascii="Cambria" w:eastAsia="Cambria" w:hAnsi="Cambria" w:cs="Cambria"/>
          <w:sz w:val="20"/>
          <w:szCs w:val="20"/>
          <w:lang w:val="it-IT"/>
        </w:rPr>
        <w:t>Tel: +90 533 633 0801; +90 242 251 0585, Fax: +90 242 251 0584, E-Mail: banuyalim@yahoo.com; fatmabanu.yalim@tarimorman.gov.tr</w:t>
      </w:r>
    </w:p>
    <w:p w14:paraId="5DCC75C7" w14:textId="77777777" w:rsidR="009123AC" w:rsidRPr="00F912AA" w:rsidRDefault="009123AC" w:rsidP="009123AC">
      <w:pPr>
        <w:spacing w:after="0" w:line="240" w:lineRule="auto"/>
        <w:rPr>
          <w:rFonts w:ascii="Cambria" w:eastAsia="Cambria" w:hAnsi="Cambria" w:cs="Cambria"/>
          <w:sz w:val="20"/>
          <w:szCs w:val="20"/>
          <w:lang w:val="it-IT"/>
        </w:rPr>
      </w:pPr>
    </w:p>
    <w:p w14:paraId="07CF3D05" w14:textId="77777777" w:rsidR="009123AC" w:rsidRPr="00F912AA" w:rsidRDefault="009123AC" w:rsidP="009123AC">
      <w:pPr>
        <w:spacing w:after="0" w:line="240" w:lineRule="auto"/>
        <w:rPr>
          <w:rFonts w:ascii="Cambria" w:eastAsia="Cambria" w:hAnsi="Cambria" w:cs="Cambria"/>
          <w:sz w:val="20"/>
          <w:szCs w:val="20"/>
          <w:lang w:val="it-IT"/>
        </w:rPr>
      </w:pPr>
      <w:r w:rsidRPr="00F912AA">
        <w:rPr>
          <w:rFonts w:ascii="Cambria" w:eastAsia="Cambria" w:hAnsi="Cambria" w:cs="Cambria"/>
          <w:b/>
          <w:sz w:val="20"/>
          <w:szCs w:val="20"/>
          <w:lang w:val="it-IT"/>
        </w:rPr>
        <w:t>Yildirim</w:t>
      </w:r>
      <w:r w:rsidRPr="00F912AA">
        <w:rPr>
          <w:rFonts w:ascii="Cambria" w:eastAsia="Cambria" w:hAnsi="Cambria" w:cs="Cambria"/>
          <w:sz w:val="20"/>
          <w:szCs w:val="20"/>
          <w:lang w:val="it-IT"/>
        </w:rPr>
        <w:t>, Burak Rahmi</w:t>
      </w:r>
    </w:p>
    <w:p w14:paraId="3464A79B" w14:textId="77777777" w:rsidR="009123AC" w:rsidRPr="00F0379B" w:rsidRDefault="009123AC" w:rsidP="009123AC">
      <w:pPr>
        <w:spacing w:after="0" w:line="240" w:lineRule="auto"/>
        <w:jc w:val="both"/>
        <w:rPr>
          <w:rFonts w:ascii="Cambria" w:eastAsia="Cambria" w:hAnsi="Cambria" w:cs="Cambria"/>
          <w:color w:val="000000" w:themeColor="text1"/>
          <w:sz w:val="20"/>
          <w:szCs w:val="20"/>
          <w:lang w:val="en-US"/>
        </w:rPr>
      </w:pPr>
      <w:r w:rsidRPr="00F0379B">
        <w:rPr>
          <w:rFonts w:ascii="Cambria" w:eastAsia="Cambria" w:hAnsi="Cambria" w:cs="Cambria"/>
          <w:color w:val="000000" w:themeColor="text1"/>
          <w:sz w:val="20"/>
          <w:szCs w:val="20"/>
          <w:lang w:val="en-US"/>
        </w:rPr>
        <w:t>Ministry of Agriculture and Forestry, General Directorate of EU and External Relations</w:t>
      </w:r>
    </w:p>
    <w:p w14:paraId="147EC765" w14:textId="77777777" w:rsidR="009123AC" w:rsidRPr="00F0379B" w:rsidRDefault="009123AC" w:rsidP="009123AC">
      <w:pPr>
        <w:spacing w:after="0" w:line="240" w:lineRule="auto"/>
        <w:jc w:val="both"/>
        <w:rPr>
          <w:rFonts w:ascii="Cambria" w:eastAsia="Cambria" w:hAnsi="Cambria" w:cs="Cambria"/>
          <w:color w:val="000000" w:themeColor="text1"/>
          <w:sz w:val="20"/>
          <w:szCs w:val="20"/>
          <w:lang w:val="it-IT"/>
        </w:rPr>
      </w:pPr>
      <w:r w:rsidRPr="00F0379B">
        <w:rPr>
          <w:rFonts w:ascii="Cambria" w:eastAsia="Cambria" w:hAnsi="Cambria" w:cs="Cambria"/>
          <w:color w:val="000000" w:themeColor="text1"/>
          <w:sz w:val="20"/>
          <w:szCs w:val="20"/>
          <w:lang w:val="it-IT"/>
        </w:rPr>
        <w:t xml:space="preserve">E-Mail: </w:t>
      </w:r>
      <w:hyperlink r:id="rId64" w:history="1">
        <w:r w:rsidRPr="00F0379B">
          <w:rPr>
            <w:rFonts w:eastAsia="Cambria" w:cs="Cambria"/>
            <w:color w:val="000000" w:themeColor="text1"/>
            <w:kern w:val="2"/>
            <w:sz w:val="20"/>
            <w:szCs w:val="20"/>
            <w:lang w:val="it-IT" w:eastAsia="ja-JP"/>
            <w14:ligatures w14:val="standardContextual"/>
          </w:rPr>
          <w:t>burak.yildirim@tarimorman.gov.tr</w:t>
        </w:r>
      </w:hyperlink>
    </w:p>
    <w:p w14:paraId="5EB41840" w14:textId="77777777" w:rsidR="009123AC" w:rsidRPr="00F0379B" w:rsidRDefault="009123AC" w:rsidP="009123AC">
      <w:pPr>
        <w:spacing w:after="0" w:line="240" w:lineRule="auto"/>
        <w:jc w:val="both"/>
        <w:rPr>
          <w:rFonts w:ascii="Cambria" w:eastAsia="Cambria" w:hAnsi="Cambria" w:cs="Cambria"/>
          <w:color w:val="000000" w:themeColor="text1"/>
          <w:sz w:val="20"/>
          <w:szCs w:val="20"/>
          <w:lang w:val="it-IT"/>
        </w:rPr>
      </w:pPr>
    </w:p>
    <w:p w14:paraId="3E132FAF" w14:textId="77777777" w:rsidR="009123AC" w:rsidRPr="00F912AA" w:rsidRDefault="009123AC" w:rsidP="009123AC">
      <w:pPr>
        <w:spacing w:after="0" w:line="240" w:lineRule="auto"/>
        <w:rPr>
          <w:rFonts w:ascii="Cambria" w:eastAsia="Cambria" w:hAnsi="Cambria" w:cs="Cambria"/>
          <w:sz w:val="20"/>
          <w:szCs w:val="20"/>
          <w:lang w:val="en-US"/>
        </w:rPr>
      </w:pPr>
      <w:r w:rsidRPr="00F912AA">
        <w:rPr>
          <w:rFonts w:ascii="Cambria" w:eastAsia="Cambria" w:hAnsi="Cambria" w:cs="Cambria"/>
          <w:b/>
          <w:sz w:val="20"/>
          <w:szCs w:val="20"/>
          <w:lang w:val="en-US"/>
        </w:rPr>
        <w:t>UNIÓN EUROPEA</w:t>
      </w:r>
    </w:p>
    <w:p w14:paraId="01191DA7"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Billiet</w:t>
      </w:r>
      <w:r w:rsidRPr="00F0379B">
        <w:rPr>
          <w:rFonts w:ascii="Cambria" w:eastAsia="Cambria" w:hAnsi="Cambria" w:cs="Cambria"/>
          <w:sz w:val="20"/>
          <w:szCs w:val="20"/>
          <w:lang w:val="en-US"/>
        </w:rPr>
        <w:t>, Stijn * (online)</w:t>
      </w:r>
    </w:p>
    <w:p w14:paraId="3B933150"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Head of EU Unit, European Commission, DG Mare B 2, Rue Joseph II - 99, 1049 Brussels, Belgium</w:t>
      </w:r>
    </w:p>
    <w:p w14:paraId="18D792E6" w14:textId="77777777" w:rsidR="009123AC" w:rsidRPr="00F0379B" w:rsidRDefault="009123AC" w:rsidP="009123AC">
      <w:pPr>
        <w:spacing w:after="0" w:line="240" w:lineRule="auto"/>
        <w:jc w:val="both"/>
        <w:rPr>
          <w:rFonts w:ascii="Cambria" w:eastAsia="Cambria" w:hAnsi="Cambria" w:cs="Cambria"/>
          <w:sz w:val="20"/>
          <w:szCs w:val="20"/>
          <w:lang w:val="pt-BR"/>
        </w:rPr>
      </w:pPr>
      <w:proofErr w:type="spellStart"/>
      <w:r w:rsidRPr="00F0379B">
        <w:rPr>
          <w:rFonts w:ascii="Cambria" w:eastAsia="Cambria" w:hAnsi="Cambria" w:cs="Cambria"/>
          <w:sz w:val="20"/>
          <w:szCs w:val="20"/>
          <w:lang w:val="pt-BR"/>
        </w:rPr>
        <w:t>Tel</w:t>
      </w:r>
      <w:proofErr w:type="spellEnd"/>
      <w:r w:rsidRPr="00F0379B">
        <w:rPr>
          <w:rFonts w:ascii="Cambria" w:eastAsia="Cambria" w:hAnsi="Cambria" w:cs="Cambria"/>
          <w:sz w:val="20"/>
          <w:szCs w:val="20"/>
          <w:lang w:val="pt-BR"/>
        </w:rPr>
        <w:t>: +32 229 57641, E-Mail: stijn.billiet@ec.europa.eu</w:t>
      </w:r>
    </w:p>
    <w:p w14:paraId="212B2F6A" w14:textId="77777777" w:rsidR="009123AC" w:rsidRPr="00F0379B" w:rsidRDefault="009123AC" w:rsidP="009123AC">
      <w:pPr>
        <w:spacing w:after="0" w:line="240" w:lineRule="auto"/>
        <w:rPr>
          <w:rFonts w:ascii="Cambria" w:eastAsia="Cambria" w:hAnsi="Cambria" w:cs="Cambria"/>
          <w:sz w:val="20"/>
          <w:szCs w:val="20"/>
          <w:lang w:val="pt-BR"/>
        </w:rPr>
      </w:pPr>
    </w:p>
    <w:p w14:paraId="10C6AF48" w14:textId="77777777" w:rsidR="009123AC" w:rsidRPr="00F0379B" w:rsidRDefault="009123AC" w:rsidP="009123AC">
      <w:pPr>
        <w:spacing w:line="259" w:lineRule="auto"/>
        <w:rPr>
          <w:rFonts w:ascii="Cambria" w:eastAsia="Cambria" w:hAnsi="Cambria" w:cs="Cambria"/>
          <w:b/>
          <w:sz w:val="20"/>
          <w:szCs w:val="20"/>
          <w:lang w:val="pt-BR"/>
        </w:rPr>
      </w:pPr>
      <w:r w:rsidRPr="00F0379B">
        <w:rPr>
          <w:rFonts w:ascii="Cambria" w:eastAsia="Cambria" w:hAnsi="Cambria" w:cs="Cambria"/>
          <w:b/>
          <w:sz w:val="20"/>
          <w:szCs w:val="20"/>
          <w:lang w:val="pt-BR"/>
        </w:rPr>
        <w:br w:type="page"/>
      </w:r>
    </w:p>
    <w:p w14:paraId="313F125B"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lastRenderedPageBreak/>
        <w:t>Bengyuzova</w:t>
      </w:r>
      <w:proofErr w:type="spellEnd"/>
      <w:r w:rsidRPr="00F0379B">
        <w:rPr>
          <w:rFonts w:ascii="Cambria" w:eastAsia="Cambria" w:hAnsi="Cambria" w:cs="Cambria"/>
          <w:sz w:val="20"/>
          <w:szCs w:val="20"/>
          <w:lang w:val="en-US"/>
        </w:rPr>
        <w:t>, Anjelina</w:t>
      </w:r>
    </w:p>
    <w:p w14:paraId="5BB0058C"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Council of the European Union, General Secretariat Directorate-General Agriculture, Fisheries, Social Affairs and Health - LIFE Fisheries - LIFE, 1048 Brussels, Belgium</w:t>
      </w:r>
    </w:p>
    <w:p w14:paraId="0AD1B98F" w14:textId="77777777" w:rsidR="009123AC" w:rsidRPr="00F0379B" w:rsidRDefault="009123AC" w:rsidP="009123AC">
      <w:pPr>
        <w:spacing w:after="0" w:line="240" w:lineRule="auto"/>
        <w:rPr>
          <w:rFonts w:ascii="Cambria" w:eastAsia="Cambria" w:hAnsi="Cambria" w:cs="Cambria"/>
          <w:sz w:val="20"/>
          <w:szCs w:val="20"/>
          <w:lang w:val="en-US"/>
        </w:rPr>
      </w:pPr>
    </w:p>
    <w:p w14:paraId="2AC8536E" w14:textId="27096101"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Demaille</w:t>
      </w:r>
      <w:proofErr w:type="spellEnd"/>
      <w:r w:rsidRPr="00F0379B">
        <w:rPr>
          <w:rFonts w:ascii="Cambria" w:eastAsia="Cambria" w:hAnsi="Cambria" w:cs="Cambria"/>
          <w:sz w:val="20"/>
          <w:szCs w:val="20"/>
          <w:lang w:val="en-US"/>
        </w:rPr>
        <w:t>, Ana</w:t>
      </w:r>
      <w:r w:rsidR="00533635" w:rsidRPr="00F0379B">
        <w:rPr>
          <w:rFonts w:ascii="Cambria" w:eastAsia="Cambria" w:hAnsi="Cambria" w:cs="Cambria"/>
          <w:sz w:val="20"/>
          <w:szCs w:val="20"/>
          <w:lang w:val="en-US"/>
        </w:rPr>
        <w:t>ï</w:t>
      </w:r>
      <w:r w:rsidRPr="00F0379B">
        <w:rPr>
          <w:rFonts w:ascii="Cambria" w:eastAsia="Cambria" w:hAnsi="Cambria" w:cs="Cambria"/>
          <w:sz w:val="20"/>
          <w:szCs w:val="20"/>
          <w:lang w:val="en-US"/>
        </w:rPr>
        <w:t>s</w:t>
      </w:r>
    </w:p>
    <w:p w14:paraId="62356A71"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Directorate-General for Maritime Affairs and Fisheries - DG MARE, Fisheries Control and Inspections, Rue Joseph II 99, 1000 Brussels, Belgium</w:t>
      </w:r>
    </w:p>
    <w:p w14:paraId="364155D5" w14:textId="77777777" w:rsidR="009123AC" w:rsidRPr="00F912AA" w:rsidRDefault="009123AC" w:rsidP="009123AC">
      <w:pPr>
        <w:spacing w:after="0" w:line="240" w:lineRule="auto"/>
        <w:jc w:val="both"/>
        <w:rPr>
          <w:rFonts w:ascii="Cambria" w:eastAsia="Cambria" w:hAnsi="Cambria" w:cs="Cambria"/>
          <w:sz w:val="20"/>
          <w:szCs w:val="20"/>
          <w:lang w:val="it-IT"/>
        </w:rPr>
      </w:pPr>
      <w:r w:rsidRPr="00F912AA">
        <w:rPr>
          <w:rFonts w:ascii="Cambria" w:eastAsia="Cambria" w:hAnsi="Cambria" w:cs="Cambria"/>
          <w:sz w:val="20"/>
          <w:szCs w:val="20"/>
          <w:lang w:val="it-IT"/>
        </w:rPr>
        <w:t>E-Mail: Anais.DEMAILLE@ec.europa.eu</w:t>
      </w:r>
    </w:p>
    <w:p w14:paraId="03868B9F" w14:textId="77777777" w:rsidR="009123AC" w:rsidRPr="00F912AA" w:rsidRDefault="009123AC" w:rsidP="009123AC">
      <w:pPr>
        <w:spacing w:after="0" w:line="240" w:lineRule="auto"/>
        <w:rPr>
          <w:rFonts w:ascii="Cambria" w:eastAsia="Cambria" w:hAnsi="Cambria" w:cs="Cambria"/>
          <w:sz w:val="20"/>
          <w:szCs w:val="20"/>
          <w:lang w:val="it-IT"/>
        </w:rPr>
      </w:pPr>
    </w:p>
    <w:p w14:paraId="5BA711ED" w14:textId="77777777" w:rsidR="009123AC" w:rsidRPr="00F912AA" w:rsidRDefault="009123AC" w:rsidP="009123AC">
      <w:pPr>
        <w:spacing w:after="0" w:line="240" w:lineRule="auto"/>
        <w:rPr>
          <w:rFonts w:ascii="Cambria" w:eastAsia="Cambria" w:hAnsi="Cambria" w:cs="Cambria"/>
          <w:sz w:val="20"/>
          <w:szCs w:val="20"/>
          <w:lang w:val="it-IT"/>
        </w:rPr>
      </w:pPr>
      <w:r w:rsidRPr="00F912AA">
        <w:rPr>
          <w:rFonts w:ascii="Cambria" w:eastAsia="Cambria" w:hAnsi="Cambria" w:cs="Cambria"/>
          <w:b/>
          <w:sz w:val="20"/>
          <w:szCs w:val="20"/>
          <w:lang w:val="it-IT"/>
        </w:rPr>
        <w:t>Howard</w:t>
      </w:r>
      <w:r w:rsidRPr="00F912AA">
        <w:rPr>
          <w:rFonts w:ascii="Cambria" w:eastAsia="Cambria" w:hAnsi="Cambria" w:cs="Cambria"/>
          <w:sz w:val="20"/>
          <w:szCs w:val="20"/>
          <w:lang w:val="it-IT"/>
        </w:rPr>
        <w:t>, Séamus (online)</w:t>
      </w:r>
    </w:p>
    <w:p w14:paraId="33678FA9" w14:textId="77777777" w:rsidR="009123AC" w:rsidRPr="00F912AA" w:rsidRDefault="009123AC" w:rsidP="009123AC">
      <w:pPr>
        <w:spacing w:after="0" w:line="240" w:lineRule="auto"/>
        <w:jc w:val="both"/>
        <w:rPr>
          <w:rFonts w:ascii="Cambria" w:eastAsia="Cambria" w:hAnsi="Cambria" w:cs="Cambria"/>
          <w:sz w:val="20"/>
          <w:szCs w:val="20"/>
          <w:lang w:val="it-IT"/>
        </w:rPr>
      </w:pPr>
      <w:proofErr w:type="spellStart"/>
      <w:r w:rsidRPr="00F912AA">
        <w:rPr>
          <w:rFonts w:ascii="Cambria" w:eastAsia="Cambria" w:hAnsi="Cambria" w:cs="Cambria"/>
          <w:sz w:val="20"/>
          <w:szCs w:val="20"/>
          <w:lang w:val="it-IT"/>
        </w:rPr>
        <w:t>European</w:t>
      </w:r>
      <w:proofErr w:type="spellEnd"/>
      <w:r w:rsidRPr="00F912AA">
        <w:rPr>
          <w:rFonts w:ascii="Cambria" w:eastAsia="Cambria" w:hAnsi="Cambria" w:cs="Cambria"/>
          <w:sz w:val="20"/>
          <w:szCs w:val="20"/>
          <w:lang w:val="it-IT"/>
        </w:rPr>
        <w:t xml:space="preserve"> Commission, DG MARE, Rue Joseph II 99, 1000 </w:t>
      </w:r>
      <w:proofErr w:type="spellStart"/>
      <w:r w:rsidRPr="00F912AA">
        <w:rPr>
          <w:rFonts w:ascii="Cambria" w:eastAsia="Cambria" w:hAnsi="Cambria" w:cs="Cambria"/>
          <w:sz w:val="20"/>
          <w:szCs w:val="20"/>
          <w:lang w:val="it-IT"/>
        </w:rPr>
        <w:t>Brussels</w:t>
      </w:r>
      <w:proofErr w:type="spellEnd"/>
      <w:r w:rsidRPr="00F912AA">
        <w:rPr>
          <w:rFonts w:ascii="Cambria" w:eastAsia="Cambria" w:hAnsi="Cambria" w:cs="Cambria"/>
          <w:sz w:val="20"/>
          <w:szCs w:val="20"/>
          <w:lang w:val="it-IT"/>
        </w:rPr>
        <w:t xml:space="preserve">, </w:t>
      </w:r>
      <w:proofErr w:type="spellStart"/>
      <w:r w:rsidRPr="00F912AA">
        <w:rPr>
          <w:rFonts w:ascii="Cambria" w:eastAsia="Cambria" w:hAnsi="Cambria" w:cs="Cambria"/>
          <w:sz w:val="20"/>
          <w:szCs w:val="20"/>
          <w:lang w:val="it-IT"/>
        </w:rPr>
        <w:t>Belgium</w:t>
      </w:r>
      <w:proofErr w:type="spellEnd"/>
    </w:p>
    <w:p w14:paraId="26FF02B7" w14:textId="77777777" w:rsidR="009123AC" w:rsidRPr="00F912AA" w:rsidRDefault="009123AC" w:rsidP="009123AC">
      <w:pPr>
        <w:spacing w:after="0" w:line="240" w:lineRule="auto"/>
        <w:jc w:val="both"/>
        <w:rPr>
          <w:rFonts w:ascii="Cambria" w:eastAsia="Cambria" w:hAnsi="Cambria" w:cs="Cambria"/>
          <w:sz w:val="20"/>
          <w:szCs w:val="20"/>
          <w:lang w:val="it-IT"/>
        </w:rPr>
      </w:pPr>
      <w:r w:rsidRPr="00F912AA">
        <w:rPr>
          <w:rFonts w:ascii="Cambria" w:eastAsia="Cambria" w:hAnsi="Cambria" w:cs="Cambria"/>
          <w:sz w:val="20"/>
          <w:szCs w:val="20"/>
          <w:lang w:val="it-IT"/>
        </w:rPr>
        <w:t>Tel: +32 229 50083; +32 488 258 038, E-Mail: seamus.howard@ec.europa.eu</w:t>
      </w:r>
    </w:p>
    <w:p w14:paraId="2017E26D" w14:textId="77777777" w:rsidR="009123AC" w:rsidRPr="00F912AA" w:rsidRDefault="009123AC" w:rsidP="009123AC">
      <w:pPr>
        <w:spacing w:after="0" w:line="240" w:lineRule="auto"/>
        <w:rPr>
          <w:rFonts w:ascii="Cambria" w:eastAsia="Cambria" w:hAnsi="Cambria" w:cs="Cambria"/>
          <w:sz w:val="20"/>
          <w:szCs w:val="20"/>
          <w:lang w:val="it-IT"/>
        </w:rPr>
      </w:pPr>
    </w:p>
    <w:p w14:paraId="4F562F10" w14:textId="77777777" w:rsidR="009123AC" w:rsidRPr="00F912AA" w:rsidRDefault="009123AC" w:rsidP="009123AC">
      <w:pPr>
        <w:spacing w:after="0" w:line="240" w:lineRule="auto"/>
        <w:rPr>
          <w:rFonts w:ascii="Cambria" w:eastAsia="Cambria" w:hAnsi="Cambria" w:cs="Cambria"/>
          <w:sz w:val="20"/>
          <w:szCs w:val="20"/>
          <w:lang w:val="it-IT"/>
        </w:rPr>
      </w:pPr>
      <w:proofErr w:type="spellStart"/>
      <w:r w:rsidRPr="00F912AA">
        <w:rPr>
          <w:rFonts w:ascii="Cambria" w:eastAsia="Cambria" w:hAnsi="Cambria" w:cs="Cambria"/>
          <w:b/>
          <w:sz w:val="20"/>
          <w:szCs w:val="20"/>
          <w:lang w:val="it-IT"/>
        </w:rPr>
        <w:t>Jonusas</w:t>
      </w:r>
      <w:proofErr w:type="spellEnd"/>
      <w:r w:rsidRPr="00F912AA">
        <w:rPr>
          <w:rFonts w:ascii="Cambria" w:eastAsia="Cambria" w:hAnsi="Cambria" w:cs="Cambria"/>
          <w:sz w:val="20"/>
          <w:szCs w:val="20"/>
          <w:lang w:val="it-IT"/>
        </w:rPr>
        <w:t>, Stanislovas (online)</w:t>
      </w:r>
    </w:p>
    <w:p w14:paraId="38584CE2"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Unit C3: Scientific Advice and Data Collection DG MARE - Fisheries Policy Atlantic, North Sea, Baltic and Outermost Regions European Commission, J-99 02/38 Rue Joseph II, 99, 1049 Brussels, Belgium</w:t>
      </w:r>
    </w:p>
    <w:p w14:paraId="2E8A4C4D"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+3222 980 155, E-Mail: Stanislovas.Jonusas@ec.europa.eu</w:t>
      </w:r>
    </w:p>
    <w:p w14:paraId="0A9DE36B" w14:textId="77777777" w:rsidR="009123AC" w:rsidRPr="00F0379B" w:rsidRDefault="009123AC" w:rsidP="009123AC">
      <w:pPr>
        <w:spacing w:after="0" w:line="240" w:lineRule="auto"/>
        <w:rPr>
          <w:rFonts w:ascii="Cambria" w:eastAsia="Cambria" w:hAnsi="Cambria" w:cs="Cambria"/>
          <w:sz w:val="20"/>
          <w:szCs w:val="20"/>
          <w:lang w:val="pt-PT"/>
        </w:rPr>
      </w:pPr>
    </w:p>
    <w:p w14:paraId="662A313F"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Khalil</w:t>
      </w:r>
      <w:r w:rsidRPr="00F0379B">
        <w:rPr>
          <w:rFonts w:ascii="Cambria" w:eastAsia="Cambria" w:hAnsi="Cambria" w:cs="Cambria"/>
          <w:sz w:val="20"/>
          <w:szCs w:val="20"/>
          <w:lang w:val="en-US"/>
        </w:rPr>
        <w:t>, Samira (online)</w:t>
      </w:r>
    </w:p>
    <w:p w14:paraId="7BB0329F"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European Commission, DG Maritime Affairs and Fisheries, Unit B-1 "International Affairs, Law of the Sea and RFOs", Joseph II - 99 3/74, 1049 Brussels, Belgium</w:t>
      </w:r>
    </w:p>
    <w:p w14:paraId="3192FDD1"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+32 2 298 03 39; +32 229 11111, E-Mail: samira.khalil@ec.europa.eu</w:t>
      </w:r>
    </w:p>
    <w:p w14:paraId="6F1FFEBC" w14:textId="77777777" w:rsidR="009123AC" w:rsidRPr="00F0379B" w:rsidRDefault="009123AC" w:rsidP="009123AC">
      <w:pPr>
        <w:spacing w:after="0" w:line="240" w:lineRule="auto"/>
        <w:rPr>
          <w:rFonts w:ascii="Cambria" w:eastAsia="Cambria" w:hAnsi="Cambria" w:cs="Cambria"/>
          <w:sz w:val="20"/>
          <w:szCs w:val="20"/>
          <w:lang w:val="pt-PT"/>
        </w:rPr>
      </w:pPr>
    </w:p>
    <w:p w14:paraId="397C5AE6" w14:textId="77777777" w:rsidR="009123AC" w:rsidRPr="00F912AA" w:rsidRDefault="009123AC" w:rsidP="009123AC">
      <w:pPr>
        <w:spacing w:after="0" w:line="240" w:lineRule="auto"/>
        <w:rPr>
          <w:rFonts w:ascii="Cambria" w:eastAsia="Cambria" w:hAnsi="Cambria" w:cs="Cambria"/>
          <w:sz w:val="20"/>
          <w:szCs w:val="20"/>
          <w:lang w:val="it-IT"/>
        </w:rPr>
      </w:pPr>
      <w:r w:rsidRPr="00F912AA">
        <w:rPr>
          <w:rFonts w:ascii="Cambria" w:eastAsia="Cambria" w:hAnsi="Cambria" w:cs="Cambria"/>
          <w:b/>
          <w:sz w:val="20"/>
          <w:szCs w:val="20"/>
          <w:lang w:val="it-IT"/>
        </w:rPr>
        <w:t>Miranda</w:t>
      </w:r>
      <w:r w:rsidRPr="00F912AA">
        <w:rPr>
          <w:rFonts w:ascii="Cambria" w:eastAsia="Cambria" w:hAnsi="Cambria" w:cs="Cambria"/>
          <w:sz w:val="20"/>
          <w:szCs w:val="20"/>
          <w:lang w:val="it-IT"/>
        </w:rPr>
        <w:t>, Fernando (online)</w:t>
      </w:r>
    </w:p>
    <w:p w14:paraId="72B7F2E8"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Directorate-General for Maritime Affairs and Fisheries - DG MARE, Fisheries Control and Inspections, Rue Joseph II St, 99 01/090, B-1049 Brussels, Belgium</w:t>
      </w:r>
    </w:p>
    <w:p w14:paraId="15EEA7D1"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+322 299 3922, E-Mail: fernando.miranda@ec.europa.eu</w:t>
      </w:r>
    </w:p>
    <w:p w14:paraId="7FA8C860" w14:textId="77777777" w:rsidR="009123AC" w:rsidRPr="00F0379B" w:rsidRDefault="009123AC" w:rsidP="009123AC">
      <w:pPr>
        <w:spacing w:after="0" w:line="240" w:lineRule="auto"/>
        <w:rPr>
          <w:rFonts w:ascii="Cambria" w:eastAsia="Cambria" w:hAnsi="Cambria" w:cs="Cambria"/>
          <w:sz w:val="20"/>
          <w:szCs w:val="20"/>
          <w:lang w:val="pt-PT"/>
        </w:rPr>
      </w:pPr>
    </w:p>
    <w:p w14:paraId="091C07B6" w14:textId="77777777" w:rsidR="009123AC" w:rsidRPr="00F912AA" w:rsidRDefault="009123AC" w:rsidP="009123AC">
      <w:pPr>
        <w:spacing w:after="0" w:line="240" w:lineRule="auto"/>
        <w:rPr>
          <w:rFonts w:ascii="Cambria" w:eastAsia="Cambria" w:hAnsi="Cambria" w:cs="Cambria"/>
          <w:sz w:val="20"/>
          <w:szCs w:val="20"/>
          <w:lang w:val="it-IT"/>
        </w:rPr>
      </w:pPr>
      <w:proofErr w:type="spellStart"/>
      <w:r w:rsidRPr="00F912AA">
        <w:rPr>
          <w:rFonts w:ascii="Cambria" w:eastAsia="Cambria" w:hAnsi="Cambria" w:cs="Cambria"/>
          <w:b/>
          <w:sz w:val="20"/>
          <w:szCs w:val="20"/>
          <w:lang w:val="it-IT"/>
        </w:rPr>
        <w:t>Rull</w:t>
      </w:r>
      <w:proofErr w:type="spellEnd"/>
      <w:r w:rsidRPr="00F912AA">
        <w:rPr>
          <w:rFonts w:ascii="Cambria" w:eastAsia="Cambria" w:hAnsi="Cambria" w:cs="Cambria"/>
          <w:b/>
          <w:sz w:val="20"/>
          <w:szCs w:val="20"/>
          <w:lang w:val="it-IT"/>
        </w:rPr>
        <w:t xml:space="preserve"> del Águila</w:t>
      </w:r>
      <w:r w:rsidRPr="00F912AA">
        <w:rPr>
          <w:rFonts w:ascii="Cambria" w:eastAsia="Cambria" w:hAnsi="Cambria" w:cs="Cambria"/>
          <w:sz w:val="20"/>
          <w:szCs w:val="20"/>
          <w:lang w:val="it-IT"/>
        </w:rPr>
        <w:t>, Laura</w:t>
      </w:r>
    </w:p>
    <w:p w14:paraId="136075E9"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Inspection Officer-Fisheries control, European Commission-DG MARE, Rue Joseph II 99, 1000 Brussels, Belgium</w:t>
      </w:r>
    </w:p>
    <w:p w14:paraId="7698263C"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+32 229 84599, E-Mail: Laura.RULL-DEL-AGUILA@ec.europa.eu</w:t>
      </w:r>
    </w:p>
    <w:p w14:paraId="45FFCDA6" w14:textId="77777777" w:rsidR="009123AC" w:rsidRPr="00F0379B" w:rsidRDefault="009123AC" w:rsidP="009123AC">
      <w:pPr>
        <w:spacing w:after="0" w:line="240" w:lineRule="auto"/>
        <w:rPr>
          <w:rFonts w:ascii="Cambria" w:eastAsia="Cambria" w:hAnsi="Cambria" w:cs="Cambria"/>
          <w:sz w:val="20"/>
          <w:szCs w:val="20"/>
          <w:lang w:val="pt-PT"/>
        </w:rPr>
      </w:pPr>
    </w:p>
    <w:p w14:paraId="01812AE8"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Van-Havre</w:t>
      </w:r>
      <w:r w:rsidRPr="00F0379B">
        <w:rPr>
          <w:rFonts w:ascii="Cambria" w:eastAsia="Cambria" w:hAnsi="Cambria" w:cs="Cambria"/>
          <w:sz w:val="20"/>
          <w:szCs w:val="20"/>
          <w:lang w:val="en-US"/>
        </w:rPr>
        <w:t>, Olivia (online)</w:t>
      </w:r>
    </w:p>
    <w:p w14:paraId="5357B257"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European Commission - DG MARE, Rue Joseph II 99, 1000 </w:t>
      </w:r>
      <w:proofErr w:type="gramStart"/>
      <w:r w:rsidRPr="00F0379B">
        <w:rPr>
          <w:rFonts w:ascii="Cambria" w:eastAsia="Cambria" w:hAnsi="Cambria" w:cs="Cambria"/>
          <w:sz w:val="20"/>
          <w:szCs w:val="20"/>
          <w:lang w:val="en-US"/>
        </w:rPr>
        <w:t>brussels</w:t>
      </w:r>
      <w:proofErr w:type="gramEnd"/>
      <w:r w:rsidRPr="00F0379B">
        <w:rPr>
          <w:rFonts w:ascii="Cambria" w:eastAsia="Cambria" w:hAnsi="Cambria" w:cs="Cambria"/>
          <w:sz w:val="20"/>
          <w:szCs w:val="20"/>
          <w:lang w:val="en-US"/>
        </w:rPr>
        <w:t>, Belgium</w:t>
      </w:r>
    </w:p>
    <w:p w14:paraId="666185F3" w14:textId="77777777" w:rsidR="009123AC" w:rsidRPr="000B5464" w:rsidRDefault="009123AC" w:rsidP="009123AC">
      <w:pPr>
        <w:spacing w:after="0" w:line="240" w:lineRule="auto"/>
        <w:jc w:val="both"/>
        <w:rPr>
          <w:rFonts w:ascii="Cambria" w:eastAsia="Cambria" w:hAnsi="Cambria" w:cs="Cambria"/>
          <w:sz w:val="20"/>
          <w:szCs w:val="20"/>
          <w:lang w:val="pt-PT"/>
        </w:rPr>
      </w:pPr>
      <w:r w:rsidRPr="000B5464">
        <w:rPr>
          <w:rFonts w:ascii="Cambria" w:eastAsia="Cambria" w:hAnsi="Cambria" w:cs="Cambria"/>
          <w:sz w:val="20"/>
          <w:szCs w:val="20"/>
          <w:lang w:val="pt-PT"/>
        </w:rPr>
        <w:t>Tel: +32 229 64766, E-Mail: olivia.van-havre@ec.europa.eu</w:t>
      </w:r>
    </w:p>
    <w:p w14:paraId="465CB87C" w14:textId="77777777" w:rsidR="009123AC" w:rsidRPr="000B5464" w:rsidRDefault="009123AC" w:rsidP="009123AC">
      <w:pPr>
        <w:spacing w:after="0" w:line="240" w:lineRule="auto"/>
        <w:rPr>
          <w:rFonts w:ascii="Cambria" w:eastAsia="Cambria" w:hAnsi="Cambria" w:cs="Cambria"/>
          <w:sz w:val="20"/>
          <w:szCs w:val="20"/>
          <w:lang w:val="pt-PT"/>
        </w:rPr>
      </w:pPr>
    </w:p>
    <w:p w14:paraId="6E1E3487" w14:textId="1FA54173"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Varsamos</w:t>
      </w:r>
      <w:proofErr w:type="spellEnd"/>
      <w:r w:rsidRPr="00F0379B">
        <w:rPr>
          <w:rFonts w:ascii="Cambria" w:eastAsia="Cambria" w:hAnsi="Cambria" w:cs="Cambria"/>
          <w:sz w:val="20"/>
          <w:szCs w:val="20"/>
          <w:lang w:val="en-US"/>
        </w:rPr>
        <w:t>, Stamatis (online)</w:t>
      </w:r>
    </w:p>
    <w:p w14:paraId="17D203D3"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Directorate-General for Maritime Affairs and Fisheries - DG MARE, Fisheries Control and Inspections, Rue Joseph II 99, B-1049 Brussels, Belgium</w:t>
      </w:r>
    </w:p>
    <w:p w14:paraId="6EE974F7"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+32 229 89465, E-Mail: stamatios.varsamos@ec.europa.eu</w:t>
      </w:r>
    </w:p>
    <w:p w14:paraId="0D39143B" w14:textId="77777777" w:rsidR="009123AC" w:rsidRPr="00F0379B" w:rsidRDefault="009123AC" w:rsidP="009123AC">
      <w:pPr>
        <w:spacing w:after="0" w:line="240" w:lineRule="auto"/>
        <w:rPr>
          <w:rFonts w:ascii="Cambria" w:eastAsia="Cambria" w:hAnsi="Cambria" w:cs="Cambria"/>
          <w:sz w:val="20"/>
          <w:szCs w:val="20"/>
          <w:lang w:val="pt-PT"/>
        </w:rPr>
      </w:pPr>
    </w:p>
    <w:p w14:paraId="61C9CF82"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Acacio Mañas</w:t>
      </w:r>
      <w:r w:rsidRPr="00F0379B">
        <w:rPr>
          <w:rFonts w:ascii="Cambria" w:eastAsia="Cambria" w:hAnsi="Cambria" w:cs="Cambria"/>
          <w:sz w:val="20"/>
          <w:szCs w:val="20"/>
        </w:rPr>
        <w:t>, Juan</w:t>
      </w:r>
    </w:p>
    <w:p w14:paraId="162A9149"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 xml:space="preserve">Head </w:t>
      </w:r>
      <w:proofErr w:type="spellStart"/>
      <w:r w:rsidRPr="00F0379B">
        <w:rPr>
          <w:rFonts w:ascii="Cambria" w:eastAsia="Cambria" w:hAnsi="Cambria" w:cs="Cambria"/>
          <w:sz w:val="20"/>
          <w:szCs w:val="20"/>
        </w:rPr>
        <w:t>of</w:t>
      </w:r>
      <w:proofErr w:type="spellEnd"/>
      <w:r w:rsidRPr="00F0379B">
        <w:rPr>
          <w:rFonts w:ascii="Cambria" w:eastAsia="Cambria" w:hAnsi="Cambria" w:cs="Cambria"/>
          <w:sz w:val="20"/>
          <w:szCs w:val="20"/>
        </w:rPr>
        <w:t xml:space="preserve"> </w:t>
      </w:r>
      <w:proofErr w:type="spellStart"/>
      <w:r w:rsidRPr="00F0379B">
        <w:rPr>
          <w:rFonts w:ascii="Cambria" w:eastAsia="Cambria" w:hAnsi="Cambria" w:cs="Cambria"/>
          <w:sz w:val="20"/>
          <w:szCs w:val="20"/>
        </w:rPr>
        <w:t>technical</w:t>
      </w:r>
      <w:proofErr w:type="spellEnd"/>
      <w:r w:rsidRPr="00F0379B">
        <w:rPr>
          <w:rFonts w:ascii="Cambria" w:eastAsia="Cambria" w:hAnsi="Cambria" w:cs="Cambria"/>
          <w:sz w:val="20"/>
          <w:szCs w:val="20"/>
        </w:rPr>
        <w:t xml:space="preserve"> </w:t>
      </w:r>
      <w:proofErr w:type="spellStart"/>
      <w:r w:rsidRPr="00F0379B">
        <w:rPr>
          <w:rFonts w:ascii="Cambria" w:eastAsia="Cambria" w:hAnsi="Cambria" w:cs="Cambria"/>
          <w:sz w:val="20"/>
          <w:szCs w:val="20"/>
        </w:rPr>
        <w:t>service</w:t>
      </w:r>
      <w:proofErr w:type="spellEnd"/>
      <w:r w:rsidRPr="00F0379B">
        <w:rPr>
          <w:rFonts w:ascii="Cambria" w:eastAsia="Cambria" w:hAnsi="Cambria" w:cs="Cambria"/>
          <w:sz w:val="20"/>
          <w:szCs w:val="20"/>
        </w:rPr>
        <w:t>, Secretaría General de Pesca, Ministerio de Agricultura, Pesca y Alimentación de España, Subdirección General de Acuerdos y Organizaciones Regionales de Pesca, 28008 Madrid, España</w:t>
      </w:r>
    </w:p>
    <w:p w14:paraId="7A1455F0" w14:textId="77777777" w:rsidR="009123AC" w:rsidRPr="00F0379B" w:rsidRDefault="009123AC" w:rsidP="009123AC">
      <w:pPr>
        <w:spacing w:after="0" w:line="240" w:lineRule="auto"/>
        <w:rPr>
          <w:rFonts w:ascii="Cambria" w:eastAsia="Cambria" w:hAnsi="Cambria" w:cs="Cambria"/>
          <w:sz w:val="20"/>
          <w:szCs w:val="20"/>
        </w:rPr>
      </w:pPr>
    </w:p>
    <w:p w14:paraId="7931CFC5"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Ansell</w:t>
      </w:r>
      <w:r w:rsidRPr="00F0379B">
        <w:rPr>
          <w:rFonts w:ascii="Cambria" w:eastAsia="Cambria" w:hAnsi="Cambria" w:cs="Cambria"/>
          <w:sz w:val="20"/>
          <w:szCs w:val="20"/>
        </w:rPr>
        <w:t xml:space="preserve">, Neil </w:t>
      </w:r>
      <w:r w:rsidRPr="00F0379B">
        <w:rPr>
          <w:rFonts w:ascii="Cambria" w:eastAsia="Cambria" w:hAnsi="Cambria" w:cs="Cambria"/>
          <w:sz w:val="20"/>
          <w:szCs w:val="20"/>
          <w:vertAlign w:val="superscript"/>
        </w:rPr>
        <w:t>1</w:t>
      </w:r>
    </w:p>
    <w:p w14:paraId="06FCB4E0" w14:textId="77777777" w:rsidR="009123AC" w:rsidRPr="00F0379B" w:rsidRDefault="009123AC" w:rsidP="009123AC">
      <w:pPr>
        <w:spacing w:after="0" w:line="240" w:lineRule="auto"/>
        <w:jc w:val="both"/>
        <w:rPr>
          <w:rFonts w:ascii="Cambria" w:eastAsia="Cambria" w:hAnsi="Cambria" w:cs="Cambria"/>
          <w:sz w:val="20"/>
          <w:szCs w:val="20"/>
        </w:rPr>
      </w:pPr>
      <w:proofErr w:type="spellStart"/>
      <w:r w:rsidRPr="00F0379B">
        <w:rPr>
          <w:rFonts w:ascii="Cambria" w:eastAsia="Cambria" w:hAnsi="Cambria" w:cs="Cambria"/>
          <w:sz w:val="20"/>
          <w:szCs w:val="20"/>
        </w:rPr>
        <w:t>European</w:t>
      </w:r>
      <w:proofErr w:type="spellEnd"/>
      <w:r w:rsidRPr="00F0379B">
        <w:rPr>
          <w:rFonts w:ascii="Cambria" w:eastAsia="Cambria" w:hAnsi="Cambria" w:cs="Cambria"/>
          <w:sz w:val="20"/>
          <w:szCs w:val="20"/>
        </w:rPr>
        <w:t xml:space="preserve"> Fisheries Control Agency, 36201 Vigo, España</w:t>
      </w:r>
    </w:p>
    <w:p w14:paraId="27B3B60A" w14:textId="77777777" w:rsidR="009123AC" w:rsidRPr="00F0379B" w:rsidRDefault="009123AC" w:rsidP="009123AC">
      <w:pPr>
        <w:spacing w:after="0" w:line="240" w:lineRule="auto"/>
        <w:rPr>
          <w:rFonts w:ascii="Cambria" w:eastAsia="Cambria" w:hAnsi="Cambria" w:cs="Cambria"/>
          <w:sz w:val="20"/>
          <w:szCs w:val="20"/>
        </w:rPr>
      </w:pPr>
    </w:p>
    <w:p w14:paraId="345B6E1B" w14:textId="77777777" w:rsidR="009123AC" w:rsidRPr="00F0379B" w:rsidRDefault="009123AC" w:rsidP="009123AC">
      <w:pPr>
        <w:spacing w:after="0" w:line="240" w:lineRule="auto"/>
        <w:rPr>
          <w:rFonts w:ascii="Cambria" w:eastAsia="Cambria" w:hAnsi="Cambria" w:cs="Cambria"/>
          <w:sz w:val="20"/>
          <w:szCs w:val="20"/>
        </w:rPr>
      </w:pPr>
      <w:proofErr w:type="spellStart"/>
      <w:r w:rsidRPr="00F0379B">
        <w:rPr>
          <w:rFonts w:ascii="Cambria" w:eastAsia="Cambria" w:hAnsi="Cambria" w:cs="Cambria"/>
          <w:b/>
          <w:sz w:val="20"/>
          <w:szCs w:val="20"/>
        </w:rPr>
        <w:t>Avignon</w:t>
      </w:r>
      <w:proofErr w:type="spellEnd"/>
      <w:r w:rsidRPr="00F0379B">
        <w:rPr>
          <w:rFonts w:ascii="Cambria" w:eastAsia="Cambria" w:hAnsi="Cambria" w:cs="Cambria"/>
          <w:sz w:val="20"/>
          <w:szCs w:val="20"/>
        </w:rPr>
        <w:t>, Frédérique</w:t>
      </w:r>
    </w:p>
    <w:p w14:paraId="329BDECC"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Direction générale des affaires maritimes, de la pêche et de l'aquaculture, 1 place Carpeaux, 92800 Ile de France, France</w:t>
      </w:r>
    </w:p>
    <w:p w14:paraId="20BEFB8C"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+33 660 883 604, E-Mail: frederique.avignon@mer.gouv.fr</w:t>
      </w:r>
    </w:p>
    <w:p w14:paraId="59C4EF9E" w14:textId="77777777" w:rsidR="009123AC" w:rsidRPr="00F0379B" w:rsidRDefault="009123AC" w:rsidP="009123AC">
      <w:pPr>
        <w:spacing w:after="0" w:line="240" w:lineRule="auto"/>
        <w:rPr>
          <w:rFonts w:ascii="Cambria" w:eastAsia="Cambria" w:hAnsi="Cambria" w:cs="Cambria"/>
          <w:sz w:val="20"/>
          <w:szCs w:val="20"/>
          <w:lang w:val="pt-PT"/>
        </w:rPr>
      </w:pPr>
    </w:p>
    <w:p w14:paraId="73295E5B"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Bošnjak</w:t>
      </w:r>
      <w:r w:rsidRPr="00F0379B">
        <w:rPr>
          <w:rFonts w:ascii="Cambria" w:eastAsia="Cambria" w:hAnsi="Cambria" w:cs="Cambria"/>
          <w:sz w:val="20"/>
          <w:szCs w:val="20"/>
          <w:lang w:val="en-US"/>
        </w:rPr>
        <w:t>, Marija (online)</w:t>
      </w:r>
    </w:p>
    <w:p w14:paraId="1515C0B9"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Head of Unit for Aquaculture, Ministry of Agriculture, Forestry and Fisheries, </w:t>
      </w:r>
      <w:proofErr w:type="spellStart"/>
      <w:r w:rsidRPr="00F0379B">
        <w:rPr>
          <w:rFonts w:ascii="Cambria" w:eastAsia="Cambria" w:hAnsi="Cambria" w:cs="Cambria"/>
          <w:sz w:val="20"/>
          <w:szCs w:val="20"/>
          <w:lang w:val="en-US"/>
        </w:rPr>
        <w:t>Trg</w:t>
      </w:r>
      <w:proofErr w:type="spellEnd"/>
      <w:r w:rsidRPr="00F0379B">
        <w:rPr>
          <w:rFonts w:ascii="Cambria" w:eastAsia="Cambria" w:hAnsi="Cambria" w:cs="Cambria"/>
          <w:sz w:val="20"/>
          <w:szCs w:val="20"/>
          <w:lang w:val="en-US"/>
        </w:rPr>
        <w:t xml:space="preserve"> </w:t>
      </w:r>
      <w:proofErr w:type="spellStart"/>
      <w:r w:rsidRPr="00F0379B">
        <w:rPr>
          <w:rFonts w:ascii="Cambria" w:eastAsia="Cambria" w:hAnsi="Cambria" w:cs="Cambria"/>
          <w:sz w:val="20"/>
          <w:szCs w:val="20"/>
          <w:lang w:val="en-US"/>
        </w:rPr>
        <w:t>hrvatske</w:t>
      </w:r>
      <w:proofErr w:type="spellEnd"/>
      <w:r w:rsidRPr="00F0379B">
        <w:rPr>
          <w:rFonts w:ascii="Cambria" w:eastAsia="Cambria" w:hAnsi="Cambria" w:cs="Cambria"/>
          <w:sz w:val="20"/>
          <w:szCs w:val="20"/>
          <w:lang w:val="en-US"/>
        </w:rPr>
        <w:t xml:space="preserve"> </w:t>
      </w:r>
      <w:proofErr w:type="spellStart"/>
      <w:r w:rsidRPr="00F0379B">
        <w:rPr>
          <w:rFonts w:ascii="Cambria" w:eastAsia="Cambria" w:hAnsi="Cambria" w:cs="Cambria"/>
          <w:sz w:val="20"/>
          <w:szCs w:val="20"/>
          <w:lang w:val="en-US"/>
        </w:rPr>
        <w:t>bratske</w:t>
      </w:r>
      <w:proofErr w:type="spellEnd"/>
      <w:r w:rsidRPr="00F0379B">
        <w:rPr>
          <w:rFonts w:ascii="Cambria" w:eastAsia="Cambria" w:hAnsi="Cambria" w:cs="Cambria"/>
          <w:sz w:val="20"/>
          <w:szCs w:val="20"/>
          <w:lang w:val="en-US"/>
        </w:rPr>
        <w:t xml:space="preserve"> </w:t>
      </w:r>
      <w:proofErr w:type="spellStart"/>
      <w:r w:rsidRPr="00F0379B">
        <w:rPr>
          <w:rFonts w:ascii="Cambria" w:eastAsia="Cambria" w:hAnsi="Cambria" w:cs="Cambria"/>
          <w:sz w:val="20"/>
          <w:szCs w:val="20"/>
          <w:lang w:val="en-US"/>
        </w:rPr>
        <w:t>zajednice</w:t>
      </w:r>
      <w:proofErr w:type="spellEnd"/>
      <w:r w:rsidRPr="00F0379B">
        <w:rPr>
          <w:rFonts w:ascii="Cambria" w:eastAsia="Cambria" w:hAnsi="Cambria" w:cs="Cambria"/>
          <w:sz w:val="20"/>
          <w:szCs w:val="20"/>
          <w:lang w:val="en-US"/>
        </w:rPr>
        <w:t xml:space="preserve"> 8, 21000 Split, Croatia</w:t>
      </w:r>
    </w:p>
    <w:p w14:paraId="7E8F2FD4" w14:textId="77777777" w:rsidR="009123AC" w:rsidRPr="00F0379B" w:rsidRDefault="009123AC" w:rsidP="009123AC">
      <w:pPr>
        <w:spacing w:after="0" w:line="240" w:lineRule="auto"/>
        <w:jc w:val="both"/>
        <w:rPr>
          <w:rFonts w:ascii="Cambria" w:eastAsia="Cambria" w:hAnsi="Cambria" w:cs="Cambria"/>
          <w:sz w:val="20"/>
          <w:szCs w:val="20"/>
          <w:lang w:val="fr-FR"/>
        </w:rPr>
      </w:pPr>
      <w:proofErr w:type="gramStart"/>
      <w:r w:rsidRPr="00F0379B">
        <w:rPr>
          <w:rFonts w:ascii="Cambria" w:eastAsia="Cambria" w:hAnsi="Cambria" w:cs="Cambria"/>
          <w:sz w:val="20"/>
          <w:szCs w:val="20"/>
          <w:lang w:val="fr-FR"/>
        </w:rPr>
        <w:t>Tel:</w:t>
      </w:r>
      <w:proofErr w:type="gramEnd"/>
      <w:r w:rsidRPr="00F0379B">
        <w:rPr>
          <w:rFonts w:ascii="Cambria" w:eastAsia="Cambria" w:hAnsi="Cambria" w:cs="Cambria"/>
          <w:sz w:val="20"/>
          <w:szCs w:val="20"/>
          <w:lang w:val="fr-FR"/>
        </w:rPr>
        <w:t xml:space="preserve"> +385 21 444 062, </w:t>
      </w:r>
      <w:proofErr w:type="gramStart"/>
      <w:r w:rsidRPr="00F0379B">
        <w:rPr>
          <w:rFonts w:ascii="Cambria" w:eastAsia="Cambria" w:hAnsi="Cambria" w:cs="Cambria"/>
          <w:sz w:val="20"/>
          <w:szCs w:val="20"/>
          <w:lang w:val="fr-FR"/>
        </w:rPr>
        <w:t>Fax:</w:t>
      </w:r>
      <w:proofErr w:type="gramEnd"/>
      <w:r w:rsidRPr="00F0379B">
        <w:rPr>
          <w:rFonts w:ascii="Cambria" w:eastAsia="Cambria" w:hAnsi="Cambria" w:cs="Cambria"/>
          <w:sz w:val="20"/>
          <w:szCs w:val="20"/>
          <w:lang w:val="fr-FR"/>
        </w:rPr>
        <w:t xml:space="preserve"> +385 21 444 027, </w:t>
      </w:r>
      <w:proofErr w:type="gramStart"/>
      <w:r w:rsidRPr="00F0379B">
        <w:rPr>
          <w:rFonts w:ascii="Cambria" w:eastAsia="Cambria" w:hAnsi="Cambria" w:cs="Cambria"/>
          <w:sz w:val="20"/>
          <w:szCs w:val="20"/>
          <w:lang w:val="fr-FR"/>
        </w:rPr>
        <w:t>E-Mail:</w:t>
      </w:r>
      <w:proofErr w:type="gramEnd"/>
      <w:r w:rsidRPr="00F0379B">
        <w:rPr>
          <w:rFonts w:ascii="Cambria" w:eastAsia="Cambria" w:hAnsi="Cambria" w:cs="Cambria"/>
          <w:sz w:val="20"/>
          <w:szCs w:val="20"/>
          <w:lang w:val="fr-FR"/>
        </w:rPr>
        <w:t xml:space="preserve"> marija.bosnjak@mps.hr</w:t>
      </w:r>
    </w:p>
    <w:p w14:paraId="562AC1D0" w14:textId="77777777" w:rsidR="009123AC" w:rsidRPr="00F0379B" w:rsidRDefault="009123AC" w:rsidP="009123AC">
      <w:pPr>
        <w:spacing w:after="0" w:line="240" w:lineRule="auto"/>
        <w:rPr>
          <w:rFonts w:ascii="Cambria" w:eastAsia="Cambria" w:hAnsi="Cambria" w:cs="Cambria"/>
          <w:sz w:val="20"/>
          <w:szCs w:val="20"/>
          <w:lang w:val="fr-FR"/>
        </w:rPr>
      </w:pPr>
    </w:p>
    <w:p w14:paraId="415A34AF" w14:textId="77777777" w:rsidR="009123AC" w:rsidRPr="00F0379B" w:rsidRDefault="009123AC" w:rsidP="009123AC">
      <w:pPr>
        <w:spacing w:after="0" w:line="240" w:lineRule="auto"/>
        <w:rPr>
          <w:rFonts w:ascii="Cambria" w:eastAsia="Cambria" w:hAnsi="Cambria" w:cs="Cambria"/>
          <w:sz w:val="20"/>
          <w:szCs w:val="20"/>
          <w:lang w:val="fr-FR"/>
        </w:rPr>
      </w:pPr>
      <w:proofErr w:type="spellStart"/>
      <w:r w:rsidRPr="00F0379B">
        <w:rPr>
          <w:rFonts w:ascii="Cambria" w:eastAsia="Cambria" w:hAnsi="Cambria" w:cs="Cambria"/>
          <w:b/>
          <w:sz w:val="20"/>
          <w:szCs w:val="20"/>
          <w:lang w:val="fr-FR"/>
        </w:rPr>
        <w:lastRenderedPageBreak/>
        <w:t>Brocquevieille</w:t>
      </w:r>
      <w:proofErr w:type="spellEnd"/>
      <w:r w:rsidRPr="00F0379B">
        <w:rPr>
          <w:rFonts w:ascii="Cambria" w:eastAsia="Cambria" w:hAnsi="Cambria" w:cs="Cambria"/>
          <w:sz w:val="20"/>
          <w:szCs w:val="20"/>
          <w:lang w:val="fr-FR"/>
        </w:rPr>
        <w:t>, Clarisse (online)</w:t>
      </w:r>
    </w:p>
    <w:p w14:paraId="3CA3FB89"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Op du Levant, France</w:t>
      </w:r>
    </w:p>
    <w:p w14:paraId="79F58810"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E-Mail: observatoire@opdulevant.fr</w:t>
      </w:r>
    </w:p>
    <w:p w14:paraId="5B71D116" w14:textId="77777777" w:rsidR="009123AC" w:rsidRPr="00F0379B" w:rsidRDefault="009123AC" w:rsidP="009123AC">
      <w:pPr>
        <w:spacing w:after="0" w:line="240" w:lineRule="auto"/>
        <w:rPr>
          <w:rFonts w:ascii="Cambria" w:eastAsia="Cambria" w:hAnsi="Cambria" w:cs="Cambria"/>
          <w:sz w:val="20"/>
          <w:szCs w:val="20"/>
        </w:rPr>
      </w:pPr>
    </w:p>
    <w:p w14:paraId="386F1BD3"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Brull Cuevas</w:t>
      </w:r>
      <w:r w:rsidRPr="00F0379B">
        <w:rPr>
          <w:rFonts w:ascii="Cambria" w:eastAsia="Cambria" w:hAnsi="Cambria" w:cs="Cambria"/>
          <w:sz w:val="20"/>
          <w:szCs w:val="20"/>
        </w:rPr>
        <w:t xml:space="preserve">, </w:t>
      </w:r>
      <w:proofErr w:type="spellStart"/>
      <w:r w:rsidRPr="00F0379B">
        <w:rPr>
          <w:rFonts w:ascii="Cambria" w:eastAsia="Cambria" w:hAnsi="Cambria" w:cs="Cambria"/>
          <w:sz w:val="20"/>
          <w:szCs w:val="20"/>
        </w:rPr>
        <w:t>Mª</w:t>
      </w:r>
      <w:proofErr w:type="spellEnd"/>
      <w:r w:rsidRPr="00F0379B">
        <w:rPr>
          <w:rFonts w:ascii="Cambria" w:eastAsia="Cambria" w:hAnsi="Cambria" w:cs="Cambria"/>
          <w:sz w:val="20"/>
          <w:szCs w:val="20"/>
        </w:rPr>
        <w:t xml:space="preserve"> Carmen</w:t>
      </w:r>
    </w:p>
    <w:p w14:paraId="198B3789"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Asociación de Armadores de Pesca de Atún con artes de Cerco - AAPAC, C/ Uruguay s/n parcela 8/27, nave 31 Polígono Industrial Oeste, 30820 Alcantarilla, Murcia, España</w:t>
      </w:r>
    </w:p>
    <w:p w14:paraId="0CDE39FF"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+34 639 185 342, E-Mail: mcarmen.brull@grfeh.com; carme@panchilleta.es</w:t>
      </w:r>
    </w:p>
    <w:p w14:paraId="44639A18" w14:textId="77777777" w:rsidR="009123AC" w:rsidRPr="00F0379B" w:rsidRDefault="009123AC" w:rsidP="009123AC">
      <w:pPr>
        <w:spacing w:after="0" w:line="240" w:lineRule="auto"/>
        <w:rPr>
          <w:rFonts w:ascii="Cambria" w:eastAsia="Cambria" w:hAnsi="Cambria" w:cs="Cambria"/>
          <w:sz w:val="20"/>
          <w:szCs w:val="20"/>
          <w:lang w:val="pt-PT"/>
        </w:rPr>
      </w:pPr>
    </w:p>
    <w:p w14:paraId="3C1B55DF" w14:textId="77777777" w:rsidR="009123AC" w:rsidRPr="00F0379B" w:rsidRDefault="009123AC" w:rsidP="009123AC">
      <w:pPr>
        <w:spacing w:after="0" w:line="240" w:lineRule="auto"/>
        <w:rPr>
          <w:rFonts w:ascii="Cambria" w:eastAsia="Cambria" w:hAnsi="Cambria" w:cs="Cambria"/>
          <w:sz w:val="20"/>
          <w:szCs w:val="20"/>
          <w:lang w:val="it-IT"/>
        </w:rPr>
      </w:pPr>
      <w:r w:rsidRPr="00F0379B">
        <w:rPr>
          <w:rFonts w:ascii="Cambria" w:eastAsia="Cambria" w:hAnsi="Cambria" w:cs="Cambria"/>
          <w:b/>
          <w:sz w:val="20"/>
          <w:szCs w:val="20"/>
          <w:lang w:val="it-IT"/>
        </w:rPr>
        <w:t>Conte</w:t>
      </w:r>
      <w:r w:rsidRPr="00F0379B">
        <w:rPr>
          <w:rFonts w:ascii="Cambria" w:eastAsia="Cambria" w:hAnsi="Cambria" w:cs="Cambria"/>
          <w:sz w:val="20"/>
          <w:szCs w:val="20"/>
          <w:lang w:val="it-IT"/>
        </w:rPr>
        <w:t>, Fabio</w:t>
      </w:r>
    </w:p>
    <w:p w14:paraId="7FBA2CF7" w14:textId="77777777" w:rsidR="009123AC" w:rsidRPr="00F0379B" w:rsidRDefault="009123AC" w:rsidP="009123AC">
      <w:pPr>
        <w:spacing w:after="0" w:line="240" w:lineRule="auto"/>
        <w:jc w:val="both"/>
        <w:rPr>
          <w:rFonts w:ascii="Cambria" w:eastAsia="Cambria" w:hAnsi="Cambria" w:cs="Cambria"/>
          <w:sz w:val="20"/>
          <w:szCs w:val="20"/>
          <w:lang w:val="it-IT"/>
        </w:rPr>
      </w:pPr>
      <w:r w:rsidRPr="00F0379B">
        <w:rPr>
          <w:rFonts w:ascii="Cambria" w:eastAsia="Cambria" w:hAnsi="Cambria" w:cs="Cambria"/>
          <w:sz w:val="20"/>
          <w:szCs w:val="20"/>
          <w:lang w:val="it-IT"/>
        </w:rPr>
        <w:t>Dipartimento delle Politiche Europee e Internazionali, Ministero dell’agricoltura, della sovranità alimentare e delle foreste - Dipartimento delle politiche competitive, della qualità agroalimentare, della pesca e dell’ippica, Direzione Generale della Pesca Marittima e dell'Acquacoltura - PEMAC III, Via XX Settembre, 20, 00187 Rome, Italy</w:t>
      </w:r>
    </w:p>
    <w:p w14:paraId="245C0195" w14:textId="77777777" w:rsidR="009123AC" w:rsidRPr="00F0379B" w:rsidRDefault="009123AC" w:rsidP="009123AC">
      <w:pPr>
        <w:spacing w:after="0" w:line="240" w:lineRule="auto"/>
        <w:jc w:val="both"/>
        <w:rPr>
          <w:rFonts w:ascii="Cambria" w:eastAsia="Cambria" w:hAnsi="Cambria" w:cs="Cambria"/>
          <w:sz w:val="20"/>
          <w:szCs w:val="20"/>
          <w:lang w:val="fr-FR"/>
        </w:rPr>
      </w:pPr>
      <w:proofErr w:type="gramStart"/>
      <w:r w:rsidRPr="00F0379B">
        <w:rPr>
          <w:rFonts w:ascii="Cambria" w:eastAsia="Cambria" w:hAnsi="Cambria" w:cs="Cambria"/>
          <w:sz w:val="20"/>
          <w:szCs w:val="20"/>
          <w:lang w:val="fr-FR"/>
        </w:rPr>
        <w:t>Tel:</w:t>
      </w:r>
      <w:proofErr w:type="gramEnd"/>
      <w:r w:rsidRPr="00F0379B">
        <w:rPr>
          <w:rFonts w:ascii="Cambria" w:eastAsia="Cambria" w:hAnsi="Cambria" w:cs="Cambria"/>
          <w:sz w:val="20"/>
          <w:szCs w:val="20"/>
          <w:lang w:val="fr-FR"/>
        </w:rPr>
        <w:t xml:space="preserve"> +39 06 4665 2838, </w:t>
      </w:r>
      <w:proofErr w:type="gramStart"/>
      <w:r w:rsidRPr="00F0379B">
        <w:rPr>
          <w:rFonts w:ascii="Cambria" w:eastAsia="Cambria" w:hAnsi="Cambria" w:cs="Cambria"/>
          <w:sz w:val="20"/>
          <w:szCs w:val="20"/>
          <w:lang w:val="fr-FR"/>
        </w:rPr>
        <w:t>Fax:</w:t>
      </w:r>
      <w:proofErr w:type="gramEnd"/>
      <w:r w:rsidRPr="00F0379B">
        <w:rPr>
          <w:rFonts w:ascii="Cambria" w:eastAsia="Cambria" w:hAnsi="Cambria" w:cs="Cambria"/>
          <w:sz w:val="20"/>
          <w:szCs w:val="20"/>
          <w:lang w:val="fr-FR"/>
        </w:rPr>
        <w:t xml:space="preserve"> +39 06 4665 2899, </w:t>
      </w:r>
      <w:proofErr w:type="gramStart"/>
      <w:r w:rsidRPr="00F0379B">
        <w:rPr>
          <w:rFonts w:ascii="Cambria" w:eastAsia="Cambria" w:hAnsi="Cambria" w:cs="Cambria"/>
          <w:sz w:val="20"/>
          <w:szCs w:val="20"/>
          <w:lang w:val="fr-FR"/>
        </w:rPr>
        <w:t>E-Mail:</w:t>
      </w:r>
      <w:proofErr w:type="gramEnd"/>
      <w:r w:rsidRPr="00F0379B">
        <w:rPr>
          <w:rFonts w:ascii="Cambria" w:eastAsia="Cambria" w:hAnsi="Cambria" w:cs="Cambria"/>
          <w:sz w:val="20"/>
          <w:szCs w:val="20"/>
          <w:lang w:val="fr-FR"/>
        </w:rPr>
        <w:t xml:space="preserve"> f.conte@masaf.gov.it</w:t>
      </w:r>
    </w:p>
    <w:p w14:paraId="78B582B9" w14:textId="77777777" w:rsidR="009123AC" w:rsidRPr="00F0379B" w:rsidRDefault="009123AC" w:rsidP="009123AC">
      <w:pPr>
        <w:spacing w:after="0" w:line="240" w:lineRule="auto"/>
        <w:rPr>
          <w:rFonts w:ascii="Cambria" w:eastAsia="Cambria" w:hAnsi="Cambria" w:cs="Cambria"/>
          <w:b/>
          <w:sz w:val="20"/>
          <w:szCs w:val="20"/>
          <w:lang w:val="fr-FR"/>
        </w:rPr>
      </w:pPr>
    </w:p>
    <w:p w14:paraId="6664EBFD"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Croke</w:t>
      </w:r>
      <w:r w:rsidRPr="00F0379B">
        <w:rPr>
          <w:rFonts w:ascii="Cambria" w:eastAsia="Cambria" w:hAnsi="Cambria" w:cs="Cambria"/>
          <w:sz w:val="20"/>
          <w:szCs w:val="20"/>
          <w:lang w:val="fr-FR"/>
        </w:rPr>
        <w:t>, Elaine (online)</w:t>
      </w:r>
    </w:p>
    <w:p w14:paraId="48BE419F"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IE Department of Agriculture, Food and The Marine, Ireland</w:t>
      </w:r>
    </w:p>
    <w:p w14:paraId="45E83C24" w14:textId="77777777" w:rsidR="009123AC" w:rsidRPr="00F912AA" w:rsidRDefault="009123AC" w:rsidP="009123AC">
      <w:pPr>
        <w:spacing w:after="0" w:line="240" w:lineRule="auto"/>
        <w:jc w:val="both"/>
        <w:rPr>
          <w:rFonts w:ascii="Cambria" w:eastAsia="Cambria" w:hAnsi="Cambria" w:cs="Cambria"/>
          <w:sz w:val="20"/>
          <w:szCs w:val="20"/>
          <w:lang w:val="it-IT"/>
        </w:rPr>
      </w:pPr>
      <w:r w:rsidRPr="00F912AA">
        <w:rPr>
          <w:rFonts w:ascii="Cambria" w:eastAsia="Cambria" w:hAnsi="Cambria" w:cs="Cambria"/>
          <w:sz w:val="20"/>
          <w:szCs w:val="20"/>
          <w:lang w:val="it-IT"/>
        </w:rPr>
        <w:t>E-Mail: elaine.croke@agriculture.gov.ie</w:t>
      </w:r>
    </w:p>
    <w:p w14:paraId="79580093" w14:textId="77777777" w:rsidR="009123AC" w:rsidRPr="00F912AA" w:rsidRDefault="009123AC" w:rsidP="009123AC">
      <w:pPr>
        <w:spacing w:after="0" w:line="240" w:lineRule="auto"/>
        <w:rPr>
          <w:rFonts w:ascii="Cambria" w:eastAsia="Cambria" w:hAnsi="Cambria" w:cs="Cambria"/>
          <w:sz w:val="20"/>
          <w:szCs w:val="20"/>
          <w:lang w:val="it-IT"/>
        </w:rPr>
      </w:pPr>
    </w:p>
    <w:p w14:paraId="401AFCE4"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Dessein</w:t>
      </w:r>
      <w:r w:rsidRPr="00F0379B">
        <w:rPr>
          <w:rFonts w:ascii="Cambria" w:eastAsia="Cambria" w:hAnsi="Cambria" w:cs="Cambria"/>
          <w:sz w:val="20"/>
          <w:szCs w:val="20"/>
          <w:lang w:val="fr-FR"/>
        </w:rPr>
        <w:t>, Aurelie (online)</w:t>
      </w:r>
    </w:p>
    <w:p w14:paraId="66648979"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Armement SCANNAPIECO, 7 quai commandant Samary, 34200 Sète, France</w:t>
      </w:r>
    </w:p>
    <w:p w14:paraId="39FACE35"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+33 669 251 166, E-Mail: adessein@orange.fr</w:t>
      </w:r>
    </w:p>
    <w:p w14:paraId="65C5ACA1" w14:textId="77777777" w:rsidR="009123AC" w:rsidRPr="00F0379B" w:rsidRDefault="009123AC" w:rsidP="009123AC">
      <w:pPr>
        <w:spacing w:after="0" w:line="240" w:lineRule="auto"/>
        <w:rPr>
          <w:rFonts w:ascii="Cambria" w:eastAsia="Cambria" w:hAnsi="Cambria" w:cs="Cambria"/>
          <w:sz w:val="20"/>
          <w:szCs w:val="20"/>
          <w:lang w:val="pt-PT"/>
        </w:rPr>
      </w:pPr>
    </w:p>
    <w:p w14:paraId="6B7C9379" w14:textId="77777777" w:rsidR="009123AC" w:rsidRPr="00F0379B" w:rsidRDefault="009123AC" w:rsidP="009123AC">
      <w:pPr>
        <w:spacing w:after="0" w:line="240" w:lineRule="auto"/>
        <w:rPr>
          <w:rFonts w:ascii="Cambria" w:eastAsia="Cambria" w:hAnsi="Cambria" w:cs="Cambria"/>
          <w:sz w:val="20"/>
          <w:szCs w:val="20"/>
          <w:lang w:val="pt-PT"/>
        </w:rPr>
      </w:pPr>
      <w:r w:rsidRPr="00F0379B">
        <w:rPr>
          <w:rFonts w:ascii="Cambria" w:eastAsia="Cambria" w:hAnsi="Cambria" w:cs="Cambria"/>
          <w:b/>
          <w:sz w:val="20"/>
          <w:szCs w:val="20"/>
          <w:lang w:val="pt-PT"/>
        </w:rPr>
        <w:t>Duarte</w:t>
      </w:r>
      <w:r w:rsidRPr="00F0379B">
        <w:rPr>
          <w:rFonts w:ascii="Cambria" w:eastAsia="Cambria" w:hAnsi="Cambria" w:cs="Cambria"/>
          <w:sz w:val="20"/>
          <w:szCs w:val="20"/>
          <w:lang w:val="pt-PT"/>
        </w:rPr>
        <w:t>, Rafael (online)</w:t>
      </w:r>
    </w:p>
    <w:p w14:paraId="253273E2"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EFCA, Avenida García Barbón 4, 36201 Vigo, España</w:t>
      </w:r>
    </w:p>
    <w:p w14:paraId="1B94605F"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E-Mail: rafael.duarte@efca.europa.eu</w:t>
      </w:r>
    </w:p>
    <w:p w14:paraId="2641E9FD" w14:textId="77777777" w:rsidR="009123AC" w:rsidRPr="00F0379B" w:rsidRDefault="009123AC" w:rsidP="009123AC">
      <w:pPr>
        <w:spacing w:after="0" w:line="240" w:lineRule="auto"/>
        <w:rPr>
          <w:rFonts w:ascii="Cambria" w:eastAsia="Cambria" w:hAnsi="Cambria" w:cs="Cambria"/>
          <w:sz w:val="20"/>
          <w:szCs w:val="20"/>
          <w:lang w:val="pt-PT"/>
        </w:rPr>
      </w:pPr>
    </w:p>
    <w:p w14:paraId="49BA61B5" w14:textId="77777777" w:rsidR="009123AC" w:rsidRPr="00F0379B" w:rsidRDefault="009123AC" w:rsidP="009123AC">
      <w:pPr>
        <w:spacing w:after="0" w:line="240" w:lineRule="auto"/>
        <w:rPr>
          <w:rFonts w:ascii="Cambria" w:eastAsia="Cambria" w:hAnsi="Cambria" w:cs="Cambria"/>
          <w:sz w:val="20"/>
          <w:szCs w:val="20"/>
          <w:lang w:val="pt-PT"/>
        </w:rPr>
      </w:pPr>
      <w:r w:rsidRPr="00F0379B">
        <w:rPr>
          <w:rFonts w:ascii="Cambria" w:eastAsia="Cambria" w:hAnsi="Cambria" w:cs="Cambria"/>
          <w:b/>
          <w:sz w:val="20"/>
          <w:szCs w:val="20"/>
          <w:lang w:val="pt-PT"/>
        </w:rPr>
        <w:t>Eliasen</w:t>
      </w:r>
      <w:r w:rsidRPr="00F0379B">
        <w:rPr>
          <w:rFonts w:ascii="Cambria" w:eastAsia="Cambria" w:hAnsi="Cambria" w:cs="Cambria"/>
          <w:sz w:val="20"/>
          <w:szCs w:val="20"/>
          <w:lang w:val="pt-PT"/>
        </w:rPr>
        <w:t>, Peter Jørgen (online)</w:t>
      </w:r>
    </w:p>
    <w:p w14:paraId="0E432B95"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Senior Consultant, Ministry of Food, Agriculture and Fisheries, Sustainable Fisheries, Fisheries Policy, </w:t>
      </w:r>
      <w:proofErr w:type="spellStart"/>
      <w:r w:rsidRPr="00F0379B">
        <w:rPr>
          <w:rFonts w:ascii="Cambria" w:eastAsia="Cambria" w:hAnsi="Cambria" w:cs="Cambria"/>
          <w:sz w:val="20"/>
          <w:szCs w:val="20"/>
          <w:lang w:val="en-US"/>
        </w:rPr>
        <w:t>Holbergsgade</w:t>
      </w:r>
      <w:proofErr w:type="spellEnd"/>
      <w:r w:rsidRPr="00F0379B">
        <w:rPr>
          <w:rFonts w:ascii="Cambria" w:eastAsia="Cambria" w:hAnsi="Cambria" w:cs="Cambria"/>
          <w:sz w:val="20"/>
          <w:szCs w:val="20"/>
          <w:lang w:val="en-US"/>
        </w:rPr>
        <w:t xml:space="preserve"> 6, 1057 </w:t>
      </w:r>
      <w:proofErr w:type="spellStart"/>
      <w:r w:rsidRPr="00F0379B">
        <w:rPr>
          <w:rFonts w:ascii="Cambria" w:eastAsia="Cambria" w:hAnsi="Cambria" w:cs="Cambria"/>
          <w:sz w:val="20"/>
          <w:szCs w:val="20"/>
          <w:lang w:val="en-US"/>
        </w:rPr>
        <w:t>Koebenhavn</w:t>
      </w:r>
      <w:proofErr w:type="spellEnd"/>
      <w:r w:rsidRPr="00F0379B">
        <w:rPr>
          <w:rFonts w:ascii="Cambria" w:eastAsia="Cambria" w:hAnsi="Cambria" w:cs="Cambria"/>
          <w:sz w:val="20"/>
          <w:szCs w:val="20"/>
          <w:lang w:val="en-US"/>
        </w:rPr>
        <w:t xml:space="preserve"> </w:t>
      </w:r>
      <w:proofErr w:type="spellStart"/>
      <w:r w:rsidRPr="00F0379B">
        <w:rPr>
          <w:rFonts w:ascii="Cambria" w:eastAsia="Cambria" w:hAnsi="Cambria" w:cs="Cambria"/>
          <w:sz w:val="20"/>
          <w:szCs w:val="20"/>
          <w:lang w:val="en-US"/>
        </w:rPr>
        <w:t>Hovedstadsregionen</w:t>
      </w:r>
      <w:proofErr w:type="spellEnd"/>
      <w:r w:rsidRPr="00F0379B">
        <w:rPr>
          <w:rFonts w:ascii="Cambria" w:eastAsia="Cambria" w:hAnsi="Cambria" w:cs="Cambria"/>
          <w:sz w:val="20"/>
          <w:szCs w:val="20"/>
          <w:lang w:val="en-US"/>
        </w:rPr>
        <w:t>, Denmark</w:t>
      </w:r>
    </w:p>
    <w:p w14:paraId="41EBA9E7"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+452 261 5937, E-Mail: pejoel@fvm.dk</w:t>
      </w:r>
    </w:p>
    <w:p w14:paraId="08E1D44B" w14:textId="77777777" w:rsidR="009123AC" w:rsidRPr="00F0379B" w:rsidRDefault="009123AC" w:rsidP="009123AC">
      <w:pPr>
        <w:spacing w:after="0" w:line="240" w:lineRule="auto"/>
        <w:rPr>
          <w:rFonts w:ascii="Cambria" w:eastAsia="Cambria" w:hAnsi="Cambria" w:cs="Cambria"/>
          <w:sz w:val="20"/>
          <w:szCs w:val="20"/>
          <w:lang w:val="pt-PT"/>
        </w:rPr>
      </w:pPr>
    </w:p>
    <w:p w14:paraId="5A99FEC3" w14:textId="77777777" w:rsidR="009123AC" w:rsidRPr="00F0379B" w:rsidRDefault="009123AC" w:rsidP="009123AC">
      <w:pPr>
        <w:spacing w:after="0" w:line="240" w:lineRule="auto"/>
        <w:rPr>
          <w:rFonts w:ascii="Cambria" w:eastAsia="Cambria" w:hAnsi="Cambria" w:cs="Cambria"/>
          <w:sz w:val="20"/>
          <w:szCs w:val="20"/>
          <w:lang w:val="fr-FR"/>
        </w:rPr>
      </w:pPr>
      <w:proofErr w:type="spellStart"/>
      <w:r w:rsidRPr="00F0379B">
        <w:rPr>
          <w:rFonts w:ascii="Cambria" w:eastAsia="Cambria" w:hAnsi="Cambria" w:cs="Cambria"/>
          <w:b/>
          <w:sz w:val="20"/>
          <w:szCs w:val="20"/>
          <w:lang w:val="fr-FR"/>
        </w:rPr>
        <w:t>Fily</w:t>
      </w:r>
      <w:proofErr w:type="spellEnd"/>
      <w:r w:rsidRPr="00F0379B">
        <w:rPr>
          <w:rFonts w:ascii="Cambria" w:eastAsia="Cambria" w:hAnsi="Cambria" w:cs="Cambria"/>
          <w:sz w:val="20"/>
          <w:szCs w:val="20"/>
          <w:lang w:val="fr-FR"/>
        </w:rPr>
        <w:t>, Théotime (online)</w:t>
      </w:r>
    </w:p>
    <w:p w14:paraId="60CF5D8C"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CNPMEM, 134 Avenue de Malakoff, 75017 Paris, France</w:t>
      </w:r>
    </w:p>
    <w:p w14:paraId="0E44B47B"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+33 06 07 17 74 82; +33 788 196 894, E-Mail: tfily@comite-peches.fr; theotime.fily@ird.fr</w:t>
      </w:r>
    </w:p>
    <w:p w14:paraId="7CCC8661" w14:textId="77777777" w:rsidR="009123AC" w:rsidRPr="00F0379B" w:rsidRDefault="009123AC" w:rsidP="009123AC">
      <w:pPr>
        <w:spacing w:after="0" w:line="240" w:lineRule="auto"/>
        <w:rPr>
          <w:rFonts w:ascii="Cambria" w:eastAsia="Cambria" w:hAnsi="Cambria" w:cs="Cambria"/>
          <w:sz w:val="20"/>
          <w:szCs w:val="20"/>
          <w:lang w:val="pt-PT"/>
        </w:rPr>
      </w:pPr>
    </w:p>
    <w:p w14:paraId="4D4C442E"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Gatt</w:t>
      </w:r>
      <w:r w:rsidRPr="00F0379B">
        <w:rPr>
          <w:rFonts w:ascii="Cambria" w:eastAsia="Cambria" w:hAnsi="Cambria" w:cs="Cambria"/>
          <w:sz w:val="20"/>
          <w:szCs w:val="20"/>
          <w:lang w:val="en-US"/>
        </w:rPr>
        <w:t>, Mark</w:t>
      </w:r>
    </w:p>
    <w:p w14:paraId="01E065D1"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Ministry for Agriculture, Fisheries, Food and Animal Rights Fort San Lucjan, </w:t>
      </w:r>
      <w:proofErr w:type="spellStart"/>
      <w:r w:rsidRPr="00F0379B">
        <w:rPr>
          <w:rFonts w:ascii="Cambria" w:eastAsia="Cambria" w:hAnsi="Cambria" w:cs="Cambria"/>
          <w:sz w:val="20"/>
          <w:szCs w:val="20"/>
          <w:lang w:val="en-US"/>
        </w:rPr>
        <w:t>Triq</w:t>
      </w:r>
      <w:proofErr w:type="spellEnd"/>
      <w:r w:rsidRPr="00F0379B">
        <w:rPr>
          <w:rFonts w:ascii="Cambria" w:eastAsia="Cambria" w:hAnsi="Cambria" w:cs="Cambria"/>
          <w:sz w:val="20"/>
          <w:szCs w:val="20"/>
          <w:lang w:val="en-US"/>
        </w:rPr>
        <w:t xml:space="preserve"> il-</w:t>
      </w:r>
      <w:proofErr w:type="spellStart"/>
      <w:r w:rsidRPr="00F0379B">
        <w:rPr>
          <w:rFonts w:ascii="Cambria" w:eastAsia="Cambria" w:hAnsi="Cambria" w:cs="Cambria"/>
          <w:sz w:val="20"/>
          <w:szCs w:val="20"/>
          <w:lang w:val="en-US"/>
        </w:rPr>
        <w:t>Qajjenza</w:t>
      </w:r>
      <w:proofErr w:type="spellEnd"/>
      <w:r w:rsidRPr="00F0379B">
        <w:rPr>
          <w:rFonts w:ascii="Cambria" w:eastAsia="Cambria" w:hAnsi="Cambria" w:cs="Cambria"/>
          <w:sz w:val="20"/>
          <w:szCs w:val="20"/>
          <w:lang w:val="en-US"/>
        </w:rPr>
        <w:t xml:space="preserve">, Department of Fisheries and Aquaculture, Malta Aquaculture Research Centre, QRM 3303 </w:t>
      </w:r>
      <w:proofErr w:type="spellStart"/>
      <w:r w:rsidRPr="00F0379B">
        <w:rPr>
          <w:rFonts w:ascii="Cambria" w:eastAsia="Cambria" w:hAnsi="Cambria" w:cs="Cambria"/>
          <w:sz w:val="20"/>
          <w:szCs w:val="20"/>
          <w:lang w:val="en-US"/>
        </w:rPr>
        <w:t>Qormi</w:t>
      </w:r>
      <w:proofErr w:type="spellEnd"/>
      <w:r w:rsidRPr="00F0379B">
        <w:rPr>
          <w:rFonts w:ascii="Cambria" w:eastAsia="Cambria" w:hAnsi="Cambria" w:cs="Cambria"/>
          <w:sz w:val="20"/>
          <w:szCs w:val="20"/>
          <w:lang w:val="en-US"/>
        </w:rPr>
        <w:t>, Malta</w:t>
      </w:r>
    </w:p>
    <w:p w14:paraId="18AEB2E2" w14:textId="77777777" w:rsidR="009123AC" w:rsidRPr="00F0379B" w:rsidRDefault="009123AC" w:rsidP="009123AC">
      <w:pPr>
        <w:spacing w:after="0" w:line="240" w:lineRule="auto"/>
        <w:rPr>
          <w:rFonts w:ascii="Cambria" w:eastAsia="Cambria" w:hAnsi="Cambria" w:cs="Cambria"/>
          <w:sz w:val="20"/>
          <w:szCs w:val="20"/>
          <w:lang w:val="en-US"/>
        </w:rPr>
      </w:pPr>
    </w:p>
    <w:p w14:paraId="0111452D"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Gómez Martín</w:t>
      </w:r>
      <w:r w:rsidRPr="00F0379B">
        <w:rPr>
          <w:rFonts w:ascii="Cambria" w:eastAsia="Cambria" w:hAnsi="Cambria" w:cs="Cambria"/>
          <w:sz w:val="20"/>
          <w:szCs w:val="20"/>
        </w:rPr>
        <w:t>, Belén (online)</w:t>
      </w:r>
    </w:p>
    <w:p w14:paraId="0E9774E4"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Inspectora de Pesca Marítima. Servicio BFT y Mediterráneo, Secretaría General de Pesca, Ministerio de Agricultura, Pesca y Alimentación de España, Subdirección General de Control e Inspección y Lucha contra la Pesca Ilegal, C/ Velázquez, 147, 28002 Madrid, España</w:t>
      </w:r>
    </w:p>
    <w:p w14:paraId="636C0261"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+34 913 476 108; +34 664 538 544, E-Mail: bgmartin@mapa.es</w:t>
      </w:r>
    </w:p>
    <w:p w14:paraId="41A42761" w14:textId="77777777" w:rsidR="009123AC" w:rsidRPr="00F0379B" w:rsidRDefault="009123AC" w:rsidP="009123AC">
      <w:pPr>
        <w:spacing w:after="0" w:line="240" w:lineRule="auto"/>
        <w:rPr>
          <w:rFonts w:ascii="Cambria" w:eastAsia="Cambria" w:hAnsi="Cambria" w:cs="Cambria"/>
          <w:sz w:val="20"/>
          <w:szCs w:val="20"/>
          <w:lang w:val="pt-PT"/>
        </w:rPr>
      </w:pPr>
    </w:p>
    <w:p w14:paraId="51879831" w14:textId="7461D87C"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González Navarro</w:t>
      </w:r>
      <w:r w:rsidRPr="00F0379B">
        <w:rPr>
          <w:rFonts w:ascii="Cambria" w:eastAsia="Cambria" w:hAnsi="Cambria" w:cs="Cambria"/>
          <w:sz w:val="20"/>
          <w:szCs w:val="20"/>
        </w:rPr>
        <w:t xml:space="preserve">, </w:t>
      </w:r>
      <w:r w:rsidR="00104C83" w:rsidRPr="00F0379B">
        <w:rPr>
          <w:rFonts w:ascii="Cambria" w:eastAsia="Cambria" w:hAnsi="Cambria" w:cs="Cambria"/>
          <w:sz w:val="20"/>
          <w:szCs w:val="20"/>
        </w:rPr>
        <w:t>José</w:t>
      </w:r>
      <w:r w:rsidRPr="00F0379B">
        <w:rPr>
          <w:rFonts w:ascii="Cambria" w:eastAsia="Cambria" w:hAnsi="Cambria" w:cs="Cambria"/>
          <w:sz w:val="20"/>
          <w:szCs w:val="20"/>
        </w:rPr>
        <w:t xml:space="preserve"> Manuel (online)</w:t>
      </w:r>
    </w:p>
    <w:p w14:paraId="59E6757A"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 xml:space="preserve">Canarias </w:t>
      </w:r>
      <w:proofErr w:type="spellStart"/>
      <w:r w:rsidRPr="00F0379B">
        <w:rPr>
          <w:rFonts w:ascii="Cambria" w:eastAsia="Cambria" w:hAnsi="Cambria" w:cs="Cambria"/>
          <w:sz w:val="20"/>
          <w:szCs w:val="20"/>
        </w:rPr>
        <w:t>Seafood</w:t>
      </w:r>
      <w:proofErr w:type="spellEnd"/>
      <w:r w:rsidRPr="00F0379B">
        <w:rPr>
          <w:rFonts w:ascii="Cambria" w:eastAsia="Cambria" w:hAnsi="Cambria" w:cs="Cambria"/>
          <w:sz w:val="20"/>
          <w:szCs w:val="20"/>
        </w:rPr>
        <w:t>, España</w:t>
      </w:r>
    </w:p>
    <w:p w14:paraId="7935B5D0" w14:textId="77777777" w:rsidR="009123AC" w:rsidRPr="00F912AA" w:rsidRDefault="009123AC" w:rsidP="009123AC">
      <w:pPr>
        <w:spacing w:after="0" w:line="240" w:lineRule="auto"/>
        <w:jc w:val="both"/>
        <w:rPr>
          <w:rFonts w:ascii="Cambria" w:eastAsia="Cambria" w:hAnsi="Cambria" w:cs="Cambria"/>
          <w:sz w:val="20"/>
          <w:szCs w:val="20"/>
          <w:lang w:val="it-IT"/>
        </w:rPr>
      </w:pPr>
      <w:r w:rsidRPr="00F912AA">
        <w:rPr>
          <w:rFonts w:ascii="Cambria" w:eastAsia="Cambria" w:hAnsi="Cambria" w:cs="Cambria"/>
          <w:sz w:val="20"/>
          <w:szCs w:val="20"/>
          <w:lang w:val="it-IT"/>
        </w:rPr>
        <w:t>E-Mail: jm.gonzalez@canariasseafood.com</w:t>
      </w:r>
    </w:p>
    <w:p w14:paraId="1C8CED5E" w14:textId="77777777" w:rsidR="009123AC" w:rsidRPr="00F912AA" w:rsidRDefault="009123AC" w:rsidP="009123AC">
      <w:pPr>
        <w:spacing w:after="0" w:line="240" w:lineRule="auto"/>
        <w:rPr>
          <w:rFonts w:ascii="Cambria" w:eastAsia="Cambria" w:hAnsi="Cambria" w:cs="Cambria"/>
          <w:sz w:val="20"/>
          <w:szCs w:val="20"/>
          <w:lang w:val="it-IT"/>
        </w:rPr>
      </w:pPr>
    </w:p>
    <w:p w14:paraId="657AEBEA"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Harmey</w:t>
      </w:r>
      <w:r w:rsidRPr="00F0379B">
        <w:rPr>
          <w:rFonts w:ascii="Cambria" w:eastAsia="Cambria" w:hAnsi="Cambria" w:cs="Cambria"/>
          <w:sz w:val="20"/>
          <w:szCs w:val="20"/>
          <w:lang w:val="en-US"/>
        </w:rPr>
        <w:t>, Eileen (online)</w:t>
      </w:r>
    </w:p>
    <w:p w14:paraId="37B955C3"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HEO, Department of Agriculture, Food and the Marine, Sea Fisheries Policy &amp; Management Division, Government Buildings, National Seafood Centre, </w:t>
      </w:r>
      <w:proofErr w:type="spellStart"/>
      <w:r w:rsidRPr="00F0379B">
        <w:rPr>
          <w:rFonts w:ascii="Cambria" w:eastAsia="Cambria" w:hAnsi="Cambria" w:cs="Cambria"/>
          <w:sz w:val="20"/>
          <w:szCs w:val="20"/>
          <w:lang w:val="en-US"/>
        </w:rPr>
        <w:t>Clogheen</w:t>
      </w:r>
      <w:proofErr w:type="spellEnd"/>
      <w:r w:rsidRPr="00F0379B">
        <w:rPr>
          <w:rFonts w:ascii="Cambria" w:eastAsia="Cambria" w:hAnsi="Cambria" w:cs="Cambria"/>
          <w:sz w:val="20"/>
          <w:szCs w:val="20"/>
          <w:lang w:val="en-US"/>
        </w:rPr>
        <w:t>, Clonakilty, P85 TX47 Cork, Ireland</w:t>
      </w:r>
    </w:p>
    <w:p w14:paraId="5C1BE6F1"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+353 871 271 521, E-Mail: eileen.harmey@agriculture.gov.ie</w:t>
      </w:r>
    </w:p>
    <w:p w14:paraId="357781DF" w14:textId="77777777" w:rsidR="009123AC" w:rsidRPr="00F0379B" w:rsidRDefault="009123AC" w:rsidP="009123AC">
      <w:pPr>
        <w:spacing w:after="0" w:line="240" w:lineRule="auto"/>
        <w:rPr>
          <w:rFonts w:ascii="Cambria" w:eastAsia="Cambria" w:hAnsi="Cambria" w:cs="Cambria"/>
          <w:sz w:val="20"/>
          <w:szCs w:val="20"/>
          <w:lang w:val="pt-PT"/>
        </w:rPr>
      </w:pPr>
    </w:p>
    <w:p w14:paraId="44BE0514" w14:textId="77777777" w:rsidR="009123AC" w:rsidRPr="00F912AA" w:rsidRDefault="009123AC" w:rsidP="009123AC">
      <w:pPr>
        <w:spacing w:after="0" w:line="240" w:lineRule="auto"/>
        <w:rPr>
          <w:rFonts w:ascii="Cambria" w:eastAsia="Cambria" w:hAnsi="Cambria" w:cs="Cambria"/>
          <w:sz w:val="20"/>
          <w:szCs w:val="20"/>
          <w:lang w:val="fr-FR"/>
        </w:rPr>
      </w:pPr>
      <w:r w:rsidRPr="00F912AA">
        <w:rPr>
          <w:rFonts w:ascii="Cambria" w:eastAsia="Cambria" w:hAnsi="Cambria" w:cs="Cambria"/>
          <w:b/>
          <w:sz w:val="20"/>
          <w:szCs w:val="20"/>
          <w:lang w:val="fr-FR"/>
        </w:rPr>
        <w:t>Johansson</w:t>
      </w:r>
      <w:r w:rsidRPr="00F912AA">
        <w:rPr>
          <w:rFonts w:ascii="Cambria" w:eastAsia="Cambria" w:hAnsi="Cambria" w:cs="Cambria"/>
          <w:sz w:val="20"/>
          <w:szCs w:val="20"/>
          <w:lang w:val="fr-FR"/>
        </w:rPr>
        <w:t>, Magnus (online)</w:t>
      </w:r>
    </w:p>
    <w:p w14:paraId="48D5AB87"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Ministry of Rural Affairs and Infrastructure, 10333 Stockholm, Sweden</w:t>
      </w:r>
    </w:p>
    <w:p w14:paraId="48223D06"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+46 840 58869, E-Mail: magnus.johansson@regeringskansliet.se</w:t>
      </w:r>
    </w:p>
    <w:p w14:paraId="648BE6FE" w14:textId="77777777" w:rsidR="009123AC" w:rsidRPr="00F0379B" w:rsidRDefault="009123AC" w:rsidP="009123AC">
      <w:pPr>
        <w:spacing w:after="0" w:line="240" w:lineRule="auto"/>
        <w:rPr>
          <w:rFonts w:ascii="Cambria" w:eastAsia="Cambria" w:hAnsi="Cambria" w:cs="Cambria"/>
          <w:sz w:val="20"/>
          <w:szCs w:val="20"/>
          <w:lang w:val="pt-PT"/>
        </w:rPr>
      </w:pPr>
      <w:r w:rsidRPr="00F0379B">
        <w:rPr>
          <w:rFonts w:ascii="Cambria" w:eastAsia="Cambria" w:hAnsi="Cambria" w:cs="Cambria"/>
          <w:b/>
          <w:sz w:val="20"/>
          <w:szCs w:val="20"/>
          <w:lang w:val="pt-PT"/>
        </w:rPr>
        <w:lastRenderedPageBreak/>
        <w:t>Jurasic</w:t>
      </w:r>
      <w:r w:rsidRPr="00F0379B">
        <w:rPr>
          <w:rFonts w:ascii="Cambria" w:eastAsia="Cambria" w:hAnsi="Cambria" w:cs="Cambria"/>
          <w:sz w:val="20"/>
          <w:szCs w:val="20"/>
          <w:lang w:val="pt-PT"/>
        </w:rPr>
        <w:t>, Mario (online)</w:t>
      </w:r>
    </w:p>
    <w:p w14:paraId="662999FA"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Alexandera von Humboldta 4b, 10000 Zagreb, Croatia; Tel: +385 143 3294, E-Mail: mario.jurasic@mps.hr</w:t>
      </w:r>
    </w:p>
    <w:p w14:paraId="650507C0" w14:textId="77777777" w:rsidR="009123AC" w:rsidRPr="00F0379B" w:rsidRDefault="009123AC" w:rsidP="009123AC">
      <w:pPr>
        <w:spacing w:after="0" w:line="240" w:lineRule="auto"/>
        <w:rPr>
          <w:rFonts w:ascii="Cambria" w:eastAsia="Cambria" w:hAnsi="Cambria" w:cs="Cambria"/>
          <w:sz w:val="20"/>
          <w:szCs w:val="20"/>
          <w:lang w:val="pt-PT"/>
        </w:rPr>
      </w:pPr>
    </w:p>
    <w:p w14:paraId="0D073B3A"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Koutsis</w:t>
      </w:r>
      <w:r w:rsidRPr="00F0379B">
        <w:rPr>
          <w:rFonts w:ascii="Cambria" w:eastAsia="Cambria" w:hAnsi="Cambria" w:cs="Cambria"/>
          <w:sz w:val="20"/>
          <w:szCs w:val="20"/>
          <w:lang w:val="en-US"/>
        </w:rPr>
        <w:t>, Kostas (online)</w:t>
      </w:r>
    </w:p>
    <w:p w14:paraId="6977D7D1"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Head of Dept., Ministry of Rural Development and Food, General Directorate of Fisheries, 150, </w:t>
      </w:r>
      <w:proofErr w:type="spellStart"/>
      <w:r w:rsidRPr="00F0379B">
        <w:rPr>
          <w:rFonts w:ascii="Cambria" w:eastAsia="Cambria" w:hAnsi="Cambria" w:cs="Cambria"/>
          <w:sz w:val="20"/>
          <w:szCs w:val="20"/>
          <w:lang w:val="en-US"/>
        </w:rPr>
        <w:t>Syggroy</w:t>
      </w:r>
      <w:proofErr w:type="spellEnd"/>
      <w:r w:rsidRPr="00F0379B">
        <w:rPr>
          <w:rFonts w:ascii="Cambria" w:eastAsia="Cambria" w:hAnsi="Cambria" w:cs="Cambria"/>
          <w:sz w:val="20"/>
          <w:szCs w:val="20"/>
          <w:lang w:val="en-US"/>
        </w:rPr>
        <w:t xml:space="preserve"> Avenue - GR17671 Athens, 17671, Greece</w:t>
      </w:r>
    </w:p>
    <w:p w14:paraId="359F4C29"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+302 109 287 117, E-Mail: kkoutsis@minagric.gr</w:t>
      </w:r>
    </w:p>
    <w:p w14:paraId="3B399590" w14:textId="77777777" w:rsidR="009123AC" w:rsidRPr="00F0379B" w:rsidRDefault="009123AC" w:rsidP="009123AC">
      <w:pPr>
        <w:spacing w:after="0" w:line="240" w:lineRule="auto"/>
        <w:rPr>
          <w:rFonts w:ascii="Cambria" w:eastAsia="Cambria" w:hAnsi="Cambria" w:cs="Cambria"/>
          <w:sz w:val="20"/>
          <w:szCs w:val="20"/>
          <w:lang w:val="pt-PT"/>
        </w:rPr>
      </w:pPr>
    </w:p>
    <w:p w14:paraId="2B2B98E5" w14:textId="77777777" w:rsidR="009123AC" w:rsidRPr="00F0379B" w:rsidRDefault="009123AC" w:rsidP="009123AC">
      <w:pPr>
        <w:spacing w:after="0" w:line="240" w:lineRule="auto"/>
        <w:rPr>
          <w:rFonts w:ascii="Cambria" w:eastAsia="Cambria" w:hAnsi="Cambria" w:cs="Cambria"/>
          <w:sz w:val="20"/>
          <w:szCs w:val="20"/>
          <w:lang w:val="it-IT"/>
        </w:rPr>
      </w:pPr>
      <w:r w:rsidRPr="00F0379B">
        <w:rPr>
          <w:rFonts w:ascii="Cambria" w:eastAsia="Cambria" w:hAnsi="Cambria" w:cs="Cambria"/>
          <w:b/>
          <w:sz w:val="20"/>
          <w:szCs w:val="20"/>
          <w:lang w:val="it-IT"/>
        </w:rPr>
        <w:t>Lanza</w:t>
      </w:r>
      <w:r w:rsidRPr="00F0379B">
        <w:rPr>
          <w:rFonts w:ascii="Cambria" w:eastAsia="Cambria" w:hAnsi="Cambria" w:cs="Cambria"/>
          <w:sz w:val="20"/>
          <w:szCs w:val="20"/>
          <w:lang w:val="it-IT"/>
        </w:rPr>
        <w:t>, Alfredo</w:t>
      </w:r>
    </w:p>
    <w:p w14:paraId="42954C07" w14:textId="77777777" w:rsidR="009123AC" w:rsidRPr="00F0379B" w:rsidRDefault="009123AC" w:rsidP="009123AC">
      <w:pPr>
        <w:spacing w:after="0" w:line="240" w:lineRule="auto"/>
        <w:jc w:val="both"/>
        <w:rPr>
          <w:rFonts w:ascii="Cambria" w:eastAsia="Cambria" w:hAnsi="Cambria" w:cs="Cambria"/>
          <w:sz w:val="20"/>
          <w:szCs w:val="20"/>
          <w:lang w:val="it-IT"/>
        </w:rPr>
      </w:pPr>
      <w:r w:rsidRPr="00F0379B">
        <w:rPr>
          <w:rFonts w:ascii="Cambria" w:eastAsia="Cambria" w:hAnsi="Cambria" w:cs="Cambria"/>
          <w:sz w:val="20"/>
          <w:szCs w:val="20"/>
          <w:lang w:val="it-IT"/>
        </w:rPr>
        <w:t>Ministero dell’agricoltura, della sovranità alimentare e delle foreste - Dipartimento delle politiche competitive, della qualità agroalimentare, della pesca e dell’ippica, Direzione Generali della Pesca Maritima e dell'acquacoltura - PEMAC VI, Via XX Settembre, 20, 00187 Roma, Italy</w:t>
      </w:r>
    </w:p>
    <w:p w14:paraId="74928347"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+39 331 464 1576; +39 646 652 843, E-Mail: a.lanza@masaf.gov.it</w:t>
      </w:r>
    </w:p>
    <w:p w14:paraId="33C339B9" w14:textId="77777777" w:rsidR="009123AC" w:rsidRPr="00F0379B" w:rsidRDefault="009123AC" w:rsidP="009123AC">
      <w:pPr>
        <w:spacing w:after="0" w:line="240" w:lineRule="auto"/>
        <w:rPr>
          <w:rFonts w:ascii="Cambria" w:eastAsia="Cambria" w:hAnsi="Cambria" w:cs="Cambria"/>
          <w:sz w:val="20"/>
          <w:szCs w:val="20"/>
          <w:lang w:val="pt-PT"/>
        </w:rPr>
      </w:pPr>
    </w:p>
    <w:p w14:paraId="638A3CA8" w14:textId="77777777" w:rsidR="009123AC" w:rsidRPr="00F0379B" w:rsidRDefault="009123AC" w:rsidP="009123AC">
      <w:pPr>
        <w:spacing w:after="0" w:line="240" w:lineRule="auto"/>
        <w:rPr>
          <w:rFonts w:ascii="Cambria" w:eastAsia="Cambria" w:hAnsi="Cambria" w:cs="Cambria"/>
          <w:sz w:val="20"/>
          <w:szCs w:val="20"/>
          <w:lang w:val="pt-PT"/>
        </w:rPr>
      </w:pPr>
      <w:r w:rsidRPr="00F0379B">
        <w:rPr>
          <w:rFonts w:ascii="Cambria" w:eastAsia="Cambria" w:hAnsi="Cambria" w:cs="Cambria"/>
          <w:b/>
          <w:sz w:val="20"/>
          <w:szCs w:val="20"/>
          <w:lang w:val="pt-PT"/>
        </w:rPr>
        <w:t>Magnolo</w:t>
      </w:r>
      <w:r w:rsidRPr="00F0379B">
        <w:rPr>
          <w:rFonts w:ascii="Cambria" w:eastAsia="Cambria" w:hAnsi="Cambria" w:cs="Cambria"/>
          <w:sz w:val="20"/>
          <w:szCs w:val="20"/>
          <w:lang w:val="pt-PT"/>
        </w:rPr>
        <w:t>, Lorenzo Giovanni (online)</w:t>
      </w:r>
    </w:p>
    <w:p w14:paraId="4945D9B0"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Permanent Representation of Italy to the EU, MASAF - DG PESCA, 00187 Rome, Italy</w:t>
      </w:r>
    </w:p>
    <w:p w14:paraId="17BD1AEB"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+32 222 00597, E-Mail: l.magnolo@esteri.it</w:t>
      </w:r>
    </w:p>
    <w:p w14:paraId="4CBE6503" w14:textId="77777777" w:rsidR="009123AC" w:rsidRPr="00F0379B" w:rsidRDefault="009123AC" w:rsidP="009123AC">
      <w:pPr>
        <w:spacing w:after="0" w:line="240" w:lineRule="auto"/>
        <w:rPr>
          <w:rFonts w:ascii="Cambria" w:eastAsia="Cambria" w:hAnsi="Cambria" w:cs="Cambria"/>
          <w:sz w:val="20"/>
          <w:szCs w:val="20"/>
          <w:lang w:val="pt-PT"/>
        </w:rPr>
      </w:pPr>
    </w:p>
    <w:p w14:paraId="3F361468" w14:textId="77777777" w:rsidR="009123AC" w:rsidRPr="00F912AA" w:rsidRDefault="009123AC" w:rsidP="009123AC">
      <w:pPr>
        <w:spacing w:after="0" w:line="240" w:lineRule="auto"/>
        <w:rPr>
          <w:rFonts w:ascii="Cambria" w:eastAsia="Cambria" w:hAnsi="Cambria" w:cs="Cambria"/>
          <w:sz w:val="20"/>
          <w:szCs w:val="20"/>
          <w:lang w:val="it-IT"/>
        </w:rPr>
      </w:pPr>
      <w:r w:rsidRPr="00F912AA">
        <w:rPr>
          <w:rFonts w:ascii="Cambria" w:eastAsia="Cambria" w:hAnsi="Cambria" w:cs="Cambria"/>
          <w:b/>
          <w:sz w:val="20"/>
          <w:szCs w:val="20"/>
          <w:lang w:val="it-IT"/>
        </w:rPr>
        <w:t>Martínez Cañabate</w:t>
      </w:r>
      <w:r w:rsidRPr="00F912AA">
        <w:rPr>
          <w:rFonts w:ascii="Cambria" w:eastAsia="Cambria" w:hAnsi="Cambria" w:cs="Cambria"/>
          <w:sz w:val="20"/>
          <w:szCs w:val="20"/>
          <w:lang w:val="it-IT"/>
        </w:rPr>
        <w:t xml:space="preserve">, David Ángel </w:t>
      </w:r>
      <w:r w:rsidRPr="00F912AA">
        <w:rPr>
          <w:rFonts w:ascii="Cambria" w:eastAsia="Cambria" w:hAnsi="Cambria" w:cs="Cambria"/>
          <w:sz w:val="20"/>
          <w:szCs w:val="20"/>
          <w:vertAlign w:val="superscript"/>
          <w:lang w:val="it-IT"/>
        </w:rPr>
        <w:t>1</w:t>
      </w:r>
    </w:p>
    <w:p w14:paraId="18B9BE56"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30593 Cartagena, Murcia, España</w:t>
      </w:r>
    </w:p>
    <w:p w14:paraId="28C7B9F1" w14:textId="77777777" w:rsidR="009123AC" w:rsidRPr="00F0379B" w:rsidRDefault="009123AC" w:rsidP="009123AC">
      <w:pPr>
        <w:spacing w:after="0" w:line="240" w:lineRule="auto"/>
        <w:rPr>
          <w:rFonts w:ascii="Cambria" w:eastAsia="Cambria" w:hAnsi="Cambria" w:cs="Cambria"/>
          <w:sz w:val="20"/>
          <w:szCs w:val="20"/>
        </w:rPr>
      </w:pPr>
    </w:p>
    <w:p w14:paraId="11351E15"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Molina Schmid</w:t>
      </w:r>
      <w:r w:rsidRPr="00F0379B">
        <w:rPr>
          <w:rFonts w:ascii="Cambria" w:eastAsia="Cambria" w:hAnsi="Cambria" w:cs="Cambria"/>
          <w:sz w:val="20"/>
          <w:szCs w:val="20"/>
        </w:rPr>
        <w:t>, Teresa</w:t>
      </w:r>
    </w:p>
    <w:p w14:paraId="3DCFC2B4"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Subdirectora General, Subdirección General de Acuerdos y Organizaciones Regionales de Pesca, Dirección General de Recursos Pesqueros, Ministerio de Agricultura, Pesca y Alimentación, Secretaría General de Pesca, C/ Velázquez 144, 2ª Planta, 28006 Madrid, España</w:t>
      </w:r>
    </w:p>
    <w:p w14:paraId="666D3A45"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+34 91 347 60 40; +34 656 333 130, E-Mail: tmolina@mapa.es</w:t>
      </w:r>
    </w:p>
    <w:p w14:paraId="076162D4" w14:textId="77777777" w:rsidR="009123AC" w:rsidRPr="00F0379B" w:rsidRDefault="009123AC" w:rsidP="009123AC">
      <w:pPr>
        <w:spacing w:after="0" w:line="240" w:lineRule="auto"/>
        <w:rPr>
          <w:rFonts w:ascii="Cambria" w:eastAsia="Cambria" w:hAnsi="Cambria" w:cs="Cambria"/>
          <w:sz w:val="20"/>
          <w:szCs w:val="20"/>
          <w:lang w:val="pt-PT"/>
        </w:rPr>
      </w:pPr>
    </w:p>
    <w:p w14:paraId="3E1918DC"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Munilla Garrido</w:t>
      </w:r>
      <w:r w:rsidRPr="00F0379B">
        <w:rPr>
          <w:rFonts w:ascii="Cambria" w:eastAsia="Cambria" w:hAnsi="Cambria" w:cs="Cambria"/>
          <w:sz w:val="20"/>
          <w:szCs w:val="20"/>
        </w:rPr>
        <w:t>, Elena Isabel (online)</w:t>
      </w:r>
    </w:p>
    <w:p w14:paraId="63DB9273"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ESN, España</w:t>
      </w:r>
    </w:p>
    <w:p w14:paraId="798E4082" w14:textId="77777777" w:rsidR="009123AC" w:rsidRPr="00F912AA" w:rsidRDefault="009123AC" w:rsidP="009123AC">
      <w:pPr>
        <w:spacing w:after="0" w:line="240" w:lineRule="auto"/>
        <w:jc w:val="both"/>
        <w:rPr>
          <w:rFonts w:ascii="Cambria" w:eastAsia="Cambria" w:hAnsi="Cambria" w:cs="Cambria"/>
          <w:sz w:val="20"/>
          <w:szCs w:val="20"/>
          <w:lang w:val="it-IT"/>
        </w:rPr>
      </w:pPr>
      <w:r w:rsidRPr="00F912AA">
        <w:rPr>
          <w:rFonts w:ascii="Cambria" w:eastAsia="Cambria" w:hAnsi="Cambria" w:cs="Cambria"/>
          <w:sz w:val="20"/>
          <w:szCs w:val="20"/>
          <w:lang w:val="it-IT"/>
        </w:rPr>
        <w:t>E-Mail: Elena-Isabel.MUNILLA-GARRIDO@ec.europa.eu</w:t>
      </w:r>
    </w:p>
    <w:p w14:paraId="614DA94B" w14:textId="77777777" w:rsidR="009123AC" w:rsidRPr="00F912AA" w:rsidRDefault="009123AC" w:rsidP="009123AC">
      <w:pPr>
        <w:spacing w:after="0" w:line="240" w:lineRule="auto"/>
        <w:rPr>
          <w:rFonts w:ascii="Cambria" w:eastAsia="Cambria" w:hAnsi="Cambria" w:cs="Cambria"/>
          <w:sz w:val="20"/>
          <w:szCs w:val="20"/>
          <w:lang w:val="it-IT"/>
        </w:rPr>
      </w:pPr>
    </w:p>
    <w:p w14:paraId="7B649C00"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Navarro Cid</w:t>
      </w:r>
      <w:r w:rsidRPr="00F0379B">
        <w:rPr>
          <w:rFonts w:ascii="Cambria" w:eastAsia="Cambria" w:hAnsi="Cambria" w:cs="Cambria"/>
          <w:sz w:val="20"/>
          <w:szCs w:val="20"/>
        </w:rPr>
        <w:t xml:space="preserve">, Juan José </w:t>
      </w:r>
      <w:r w:rsidRPr="00F0379B">
        <w:rPr>
          <w:rFonts w:ascii="Cambria" w:eastAsia="Cambria" w:hAnsi="Cambria" w:cs="Cambria"/>
          <w:sz w:val="20"/>
          <w:szCs w:val="20"/>
          <w:vertAlign w:val="superscript"/>
        </w:rPr>
        <w:t>1</w:t>
      </w:r>
    </w:p>
    <w:p w14:paraId="5DC1B292"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 xml:space="preserve">Grupo </w:t>
      </w:r>
      <w:proofErr w:type="spellStart"/>
      <w:r w:rsidRPr="00F0379B">
        <w:rPr>
          <w:rFonts w:ascii="Cambria" w:eastAsia="Cambria" w:hAnsi="Cambria" w:cs="Cambria"/>
          <w:sz w:val="20"/>
          <w:szCs w:val="20"/>
        </w:rPr>
        <w:t>Balfegó</w:t>
      </w:r>
      <w:proofErr w:type="spellEnd"/>
      <w:r w:rsidRPr="00F0379B">
        <w:rPr>
          <w:rFonts w:ascii="Cambria" w:eastAsia="Cambria" w:hAnsi="Cambria" w:cs="Cambria"/>
          <w:sz w:val="20"/>
          <w:szCs w:val="20"/>
        </w:rPr>
        <w:t xml:space="preserve">, 43860 </w:t>
      </w:r>
      <w:proofErr w:type="spellStart"/>
      <w:r w:rsidRPr="00F0379B">
        <w:rPr>
          <w:rFonts w:ascii="Cambria" w:eastAsia="Cambria" w:hAnsi="Cambria" w:cs="Cambria"/>
          <w:sz w:val="20"/>
          <w:szCs w:val="20"/>
        </w:rPr>
        <w:t>L'Ametlla</w:t>
      </w:r>
      <w:proofErr w:type="spellEnd"/>
      <w:r w:rsidRPr="00F0379B">
        <w:rPr>
          <w:rFonts w:ascii="Cambria" w:eastAsia="Cambria" w:hAnsi="Cambria" w:cs="Cambria"/>
          <w:sz w:val="20"/>
          <w:szCs w:val="20"/>
        </w:rPr>
        <w:t xml:space="preserve"> de Mar, Tarragona, España</w:t>
      </w:r>
    </w:p>
    <w:p w14:paraId="6AEC6D91" w14:textId="77777777" w:rsidR="009123AC" w:rsidRPr="00F0379B" w:rsidRDefault="009123AC" w:rsidP="009123AC">
      <w:pPr>
        <w:spacing w:after="0" w:line="240" w:lineRule="auto"/>
        <w:rPr>
          <w:rFonts w:ascii="Cambria" w:eastAsia="Cambria" w:hAnsi="Cambria" w:cs="Cambria"/>
          <w:sz w:val="20"/>
          <w:szCs w:val="20"/>
        </w:rPr>
      </w:pPr>
    </w:p>
    <w:p w14:paraId="0B344E69" w14:textId="77777777" w:rsidR="009123AC" w:rsidRPr="00F912AA" w:rsidRDefault="009123AC" w:rsidP="009123AC">
      <w:pPr>
        <w:spacing w:after="0" w:line="240" w:lineRule="auto"/>
        <w:rPr>
          <w:rFonts w:ascii="Cambria" w:eastAsia="Cambria" w:hAnsi="Cambria" w:cs="Cambria"/>
          <w:sz w:val="20"/>
          <w:szCs w:val="20"/>
          <w:lang w:val="en-US"/>
        </w:rPr>
      </w:pPr>
      <w:r w:rsidRPr="00F912AA">
        <w:rPr>
          <w:rFonts w:ascii="Cambria" w:eastAsia="Cambria" w:hAnsi="Cambria" w:cs="Cambria"/>
          <w:b/>
          <w:sz w:val="20"/>
          <w:szCs w:val="20"/>
          <w:lang w:val="en-US"/>
        </w:rPr>
        <w:t>Oikonomou</w:t>
      </w:r>
      <w:r w:rsidRPr="00F912AA">
        <w:rPr>
          <w:rFonts w:ascii="Cambria" w:eastAsia="Cambria" w:hAnsi="Cambria" w:cs="Cambria"/>
          <w:sz w:val="20"/>
          <w:szCs w:val="20"/>
          <w:lang w:val="en-US"/>
        </w:rPr>
        <w:t>, Maria (online)</w:t>
      </w:r>
    </w:p>
    <w:p w14:paraId="70B0DA00"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Ministry of Rural Development &amp; Food, Directorate General for Fisheries, 150, </w:t>
      </w:r>
      <w:proofErr w:type="spellStart"/>
      <w:r w:rsidRPr="00F0379B">
        <w:rPr>
          <w:rFonts w:ascii="Cambria" w:eastAsia="Cambria" w:hAnsi="Cambria" w:cs="Cambria"/>
          <w:sz w:val="20"/>
          <w:szCs w:val="20"/>
          <w:lang w:val="en-US"/>
        </w:rPr>
        <w:t>Syngrou</w:t>
      </w:r>
      <w:proofErr w:type="spellEnd"/>
      <w:r w:rsidRPr="00F0379B">
        <w:rPr>
          <w:rFonts w:ascii="Cambria" w:eastAsia="Cambria" w:hAnsi="Cambria" w:cs="Cambria"/>
          <w:sz w:val="20"/>
          <w:szCs w:val="20"/>
          <w:lang w:val="en-US"/>
        </w:rPr>
        <w:t xml:space="preserve"> A. 176 71 Kallithea, 176 71 Athens, Greece</w:t>
      </w:r>
    </w:p>
    <w:p w14:paraId="4BA81342"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+302 109 287 186, E-Mail: moikonom@minagric.gr</w:t>
      </w:r>
    </w:p>
    <w:p w14:paraId="09F79C21" w14:textId="77777777" w:rsidR="009123AC" w:rsidRPr="00F0379B" w:rsidRDefault="009123AC" w:rsidP="009123AC">
      <w:pPr>
        <w:spacing w:after="0" w:line="240" w:lineRule="auto"/>
        <w:rPr>
          <w:rFonts w:ascii="Cambria" w:eastAsia="Cambria" w:hAnsi="Cambria" w:cs="Cambria"/>
          <w:sz w:val="20"/>
          <w:szCs w:val="20"/>
          <w:lang w:val="pt-PT"/>
        </w:rPr>
      </w:pPr>
    </w:p>
    <w:p w14:paraId="7B2D4699" w14:textId="77777777" w:rsidR="009123AC" w:rsidRPr="00F912AA" w:rsidRDefault="009123AC" w:rsidP="009123AC">
      <w:pPr>
        <w:spacing w:after="0" w:line="240" w:lineRule="auto"/>
        <w:rPr>
          <w:rFonts w:ascii="Cambria" w:eastAsia="Cambria" w:hAnsi="Cambria" w:cs="Cambria"/>
          <w:sz w:val="20"/>
          <w:szCs w:val="20"/>
          <w:lang w:val="it-IT"/>
        </w:rPr>
      </w:pPr>
      <w:r w:rsidRPr="00F912AA">
        <w:rPr>
          <w:rFonts w:ascii="Cambria" w:eastAsia="Cambria" w:hAnsi="Cambria" w:cs="Cambria"/>
          <w:b/>
          <w:sz w:val="20"/>
          <w:szCs w:val="20"/>
          <w:lang w:val="it-IT"/>
        </w:rPr>
        <w:t>Orozco</w:t>
      </w:r>
      <w:r w:rsidRPr="00F912AA">
        <w:rPr>
          <w:rFonts w:ascii="Cambria" w:eastAsia="Cambria" w:hAnsi="Cambria" w:cs="Cambria"/>
          <w:sz w:val="20"/>
          <w:szCs w:val="20"/>
          <w:lang w:val="it-IT"/>
        </w:rPr>
        <w:t>, Lucie</w:t>
      </w:r>
    </w:p>
    <w:p w14:paraId="12FA46A8"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Chargée de mission affaires thonières, Direction générale de affaires maritimes, de la pêche et de l'aquaculture (DGAMPA), Bureau des Affaires Européennes et Internationales (BAEI), 92055 La Défense, Ile de France, France</w:t>
      </w:r>
    </w:p>
    <w:p w14:paraId="2675643D" w14:textId="77777777" w:rsidR="009123AC" w:rsidRPr="00F0379B" w:rsidRDefault="009123AC" w:rsidP="009123AC">
      <w:pPr>
        <w:spacing w:after="0" w:line="240" w:lineRule="auto"/>
        <w:rPr>
          <w:rFonts w:ascii="Cambria" w:eastAsia="Cambria" w:hAnsi="Cambria" w:cs="Cambria"/>
          <w:sz w:val="20"/>
          <w:szCs w:val="20"/>
          <w:lang w:val="fr-FR"/>
        </w:rPr>
      </w:pPr>
    </w:p>
    <w:p w14:paraId="00933D66"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Pappalardo</w:t>
      </w:r>
      <w:r w:rsidRPr="00F0379B">
        <w:rPr>
          <w:rFonts w:ascii="Cambria" w:eastAsia="Cambria" w:hAnsi="Cambria" w:cs="Cambria"/>
          <w:sz w:val="20"/>
          <w:szCs w:val="20"/>
          <w:lang w:val="en-US"/>
        </w:rPr>
        <w:t>, Luigi</w:t>
      </w:r>
    </w:p>
    <w:p w14:paraId="2BA71F3D"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Technical Assistance, Ministry of Agriculture, Food Sovereignty and Forests - MASAF, 84043 Salerno Agropoli, Italy</w:t>
      </w:r>
    </w:p>
    <w:p w14:paraId="45662EF1"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+39 345 689 2473, E-Mail: luigi.pappalardo@feampa.eu</w:t>
      </w:r>
    </w:p>
    <w:p w14:paraId="7C23B956" w14:textId="77777777" w:rsidR="009123AC" w:rsidRPr="00F0379B" w:rsidRDefault="009123AC" w:rsidP="009123AC">
      <w:pPr>
        <w:spacing w:after="0" w:line="240" w:lineRule="auto"/>
        <w:rPr>
          <w:rFonts w:ascii="Cambria" w:eastAsia="Cambria" w:hAnsi="Cambria" w:cs="Cambria"/>
          <w:sz w:val="20"/>
          <w:szCs w:val="20"/>
          <w:lang w:val="pt-PT"/>
        </w:rPr>
      </w:pPr>
    </w:p>
    <w:p w14:paraId="018A226A" w14:textId="77777777" w:rsidR="009123AC" w:rsidRPr="00F912AA" w:rsidRDefault="009123AC" w:rsidP="009123AC">
      <w:pPr>
        <w:spacing w:after="0" w:line="240" w:lineRule="auto"/>
        <w:rPr>
          <w:rFonts w:ascii="Cambria" w:eastAsia="Cambria" w:hAnsi="Cambria" w:cs="Cambria"/>
          <w:sz w:val="20"/>
          <w:szCs w:val="20"/>
          <w:lang w:val="it-IT"/>
        </w:rPr>
      </w:pPr>
      <w:r w:rsidRPr="00F912AA">
        <w:rPr>
          <w:rFonts w:ascii="Cambria" w:eastAsia="Cambria" w:hAnsi="Cambria" w:cs="Cambria"/>
          <w:b/>
          <w:sz w:val="20"/>
          <w:szCs w:val="20"/>
          <w:lang w:val="it-IT"/>
        </w:rPr>
        <w:t>Platero García</w:t>
      </w:r>
      <w:r w:rsidRPr="00F912AA">
        <w:rPr>
          <w:rFonts w:ascii="Cambria" w:eastAsia="Cambria" w:hAnsi="Cambria" w:cs="Cambria"/>
          <w:sz w:val="20"/>
          <w:szCs w:val="20"/>
          <w:lang w:val="it-IT"/>
        </w:rPr>
        <w:t>, Rocío</w:t>
      </w:r>
    </w:p>
    <w:p w14:paraId="2B56EDE3"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Inspectora de Pesca Marítima. Servicio BFT y Mediterráneo, Secretaría General de Pesca, Ministerio de Agricultura, Pesca y Alimentación de España, Subdirección General de Control e Inspección y Lucha contra la Pesca Ilegal, C/ Velázquez, 147, 28002 Madrid, España</w:t>
      </w:r>
    </w:p>
    <w:p w14:paraId="40F0EBD7"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+34 670 329 707, E-Mail: rplatero@mapa.es</w:t>
      </w:r>
    </w:p>
    <w:p w14:paraId="75947C4B" w14:textId="77777777" w:rsidR="009123AC" w:rsidRPr="00F0379B" w:rsidRDefault="009123AC" w:rsidP="009123AC">
      <w:pPr>
        <w:spacing w:after="0" w:line="240" w:lineRule="auto"/>
        <w:rPr>
          <w:rFonts w:ascii="Cambria" w:eastAsia="Cambria" w:hAnsi="Cambria" w:cs="Cambria"/>
          <w:sz w:val="20"/>
          <w:szCs w:val="20"/>
          <w:lang w:val="pt-PT"/>
        </w:rPr>
      </w:pPr>
    </w:p>
    <w:p w14:paraId="5C714207" w14:textId="77777777" w:rsidR="009123AC" w:rsidRPr="00F912AA" w:rsidRDefault="009123AC" w:rsidP="009123AC">
      <w:pPr>
        <w:spacing w:after="0" w:line="240" w:lineRule="auto"/>
        <w:rPr>
          <w:rFonts w:ascii="Cambria" w:eastAsia="Cambria" w:hAnsi="Cambria" w:cs="Cambria"/>
          <w:sz w:val="20"/>
          <w:szCs w:val="20"/>
          <w:lang w:val="fr-FR"/>
        </w:rPr>
      </w:pPr>
      <w:r w:rsidRPr="00F912AA">
        <w:rPr>
          <w:rFonts w:ascii="Cambria" w:eastAsia="Cambria" w:hAnsi="Cambria" w:cs="Cambria"/>
          <w:b/>
          <w:sz w:val="20"/>
          <w:szCs w:val="20"/>
          <w:lang w:val="fr-FR"/>
        </w:rPr>
        <w:t>Riesco Malho</w:t>
      </w:r>
      <w:r w:rsidRPr="00F912AA">
        <w:rPr>
          <w:rFonts w:ascii="Cambria" w:eastAsia="Cambria" w:hAnsi="Cambria" w:cs="Cambria"/>
          <w:sz w:val="20"/>
          <w:szCs w:val="20"/>
          <w:lang w:val="fr-FR"/>
        </w:rPr>
        <w:t xml:space="preserve">, </w:t>
      </w:r>
      <w:proofErr w:type="spellStart"/>
      <w:r w:rsidRPr="00F912AA">
        <w:rPr>
          <w:rFonts w:ascii="Cambria" w:eastAsia="Cambria" w:hAnsi="Cambria" w:cs="Cambria"/>
          <w:sz w:val="20"/>
          <w:szCs w:val="20"/>
          <w:lang w:val="fr-FR"/>
        </w:rPr>
        <w:t>Héctor</w:t>
      </w:r>
      <w:proofErr w:type="spellEnd"/>
    </w:p>
    <w:p w14:paraId="7FFEFF40"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Subdirección General de Control e Inspección y Lucha contra la Pesca Ilegal, España</w:t>
      </w:r>
    </w:p>
    <w:p w14:paraId="74932BFD"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+34 654 914 557, E-Mail: hriesco@mapa.es</w:t>
      </w:r>
    </w:p>
    <w:p w14:paraId="4D0B7EEC" w14:textId="77777777" w:rsidR="009123AC" w:rsidRPr="00F0379B" w:rsidRDefault="009123AC" w:rsidP="009123AC">
      <w:pPr>
        <w:spacing w:after="0" w:line="240" w:lineRule="auto"/>
        <w:rPr>
          <w:rFonts w:ascii="Cambria" w:eastAsia="Cambria" w:hAnsi="Cambria" w:cs="Cambria"/>
          <w:b/>
          <w:sz w:val="20"/>
          <w:szCs w:val="20"/>
          <w:lang w:val="pt-PT"/>
        </w:rPr>
      </w:pPr>
    </w:p>
    <w:p w14:paraId="4D1100DF"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lastRenderedPageBreak/>
        <w:t>Runjak</w:t>
      </w:r>
      <w:proofErr w:type="spellEnd"/>
      <w:r w:rsidRPr="00F0379B">
        <w:rPr>
          <w:rFonts w:ascii="Cambria" w:eastAsia="Cambria" w:hAnsi="Cambria" w:cs="Cambria"/>
          <w:sz w:val="20"/>
          <w:szCs w:val="20"/>
          <w:lang w:val="en-US"/>
        </w:rPr>
        <w:t>, Josipa (online)</w:t>
      </w:r>
    </w:p>
    <w:p w14:paraId="205B3C63"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Head of Department, Ministry of Agriculture, Forestry and Fisheries, Directorate of Fisheries, Department for Resource Management, </w:t>
      </w:r>
      <w:proofErr w:type="spellStart"/>
      <w:r w:rsidRPr="00F0379B">
        <w:rPr>
          <w:rFonts w:ascii="Cambria" w:eastAsia="Cambria" w:hAnsi="Cambria" w:cs="Cambria"/>
          <w:sz w:val="20"/>
          <w:szCs w:val="20"/>
          <w:lang w:val="en-US"/>
        </w:rPr>
        <w:t>Ulica</w:t>
      </w:r>
      <w:proofErr w:type="spellEnd"/>
      <w:r w:rsidRPr="00F0379B">
        <w:rPr>
          <w:rFonts w:ascii="Cambria" w:eastAsia="Cambria" w:hAnsi="Cambria" w:cs="Cambria"/>
          <w:sz w:val="20"/>
          <w:szCs w:val="20"/>
          <w:lang w:val="en-US"/>
        </w:rPr>
        <w:t xml:space="preserve"> </w:t>
      </w:r>
      <w:proofErr w:type="spellStart"/>
      <w:r w:rsidRPr="00F0379B">
        <w:rPr>
          <w:rFonts w:ascii="Cambria" w:eastAsia="Cambria" w:hAnsi="Cambria" w:cs="Cambria"/>
          <w:sz w:val="20"/>
          <w:szCs w:val="20"/>
          <w:lang w:val="en-US"/>
        </w:rPr>
        <w:t>grada</w:t>
      </w:r>
      <w:proofErr w:type="spellEnd"/>
      <w:r w:rsidRPr="00F0379B">
        <w:rPr>
          <w:rFonts w:ascii="Cambria" w:eastAsia="Cambria" w:hAnsi="Cambria" w:cs="Cambria"/>
          <w:sz w:val="20"/>
          <w:szCs w:val="20"/>
          <w:lang w:val="en-US"/>
        </w:rPr>
        <w:t xml:space="preserve"> </w:t>
      </w:r>
      <w:proofErr w:type="spellStart"/>
      <w:r w:rsidRPr="00F0379B">
        <w:rPr>
          <w:rFonts w:ascii="Cambria" w:eastAsia="Cambria" w:hAnsi="Cambria" w:cs="Cambria"/>
          <w:sz w:val="20"/>
          <w:szCs w:val="20"/>
          <w:lang w:val="en-US"/>
        </w:rPr>
        <w:t>Vukovara</w:t>
      </w:r>
      <w:proofErr w:type="spellEnd"/>
      <w:r w:rsidRPr="00F0379B">
        <w:rPr>
          <w:rFonts w:ascii="Cambria" w:eastAsia="Cambria" w:hAnsi="Cambria" w:cs="Cambria"/>
          <w:sz w:val="20"/>
          <w:szCs w:val="20"/>
          <w:lang w:val="en-US"/>
        </w:rPr>
        <w:t xml:space="preserve"> 78, 51001 Rijeka, Croatia</w:t>
      </w:r>
    </w:p>
    <w:p w14:paraId="67285F7B"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+385 164 43178, E-Mail: josipa.runjak@mps.hr</w:t>
      </w:r>
    </w:p>
    <w:p w14:paraId="12E3D065" w14:textId="77777777" w:rsidR="009123AC" w:rsidRPr="00F0379B" w:rsidRDefault="009123AC" w:rsidP="009123AC">
      <w:pPr>
        <w:spacing w:after="0" w:line="240" w:lineRule="auto"/>
        <w:rPr>
          <w:rFonts w:ascii="Cambria" w:eastAsia="Cambria" w:hAnsi="Cambria" w:cs="Cambria"/>
          <w:sz w:val="20"/>
          <w:szCs w:val="20"/>
          <w:lang w:val="pt-PT"/>
        </w:rPr>
      </w:pPr>
    </w:p>
    <w:p w14:paraId="48BE7CF2"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Sassalou</w:t>
      </w:r>
      <w:r w:rsidRPr="00F0379B">
        <w:rPr>
          <w:rFonts w:ascii="Cambria" w:eastAsia="Cambria" w:hAnsi="Cambria" w:cs="Cambria"/>
          <w:sz w:val="20"/>
          <w:szCs w:val="20"/>
          <w:lang w:val="en-US"/>
        </w:rPr>
        <w:t>, Vasiliki (online)</w:t>
      </w:r>
    </w:p>
    <w:p w14:paraId="4ECC29FA"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Staff of Dept., Ministry of Rural Development &amp; Food, Common Fisheries Policy &amp; Common Market </w:t>
      </w:r>
      <w:proofErr w:type="spellStart"/>
      <w:r w:rsidRPr="00F0379B">
        <w:rPr>
          <w:rFonts w:ascii="Cambria" w:eastAsia="Cambria" w:hAnsi="Cambria" w:cs="Cambria"/>
          <w:sz w:val="20"/>
          <w:szCs w:val="20"/>
          <w:lang w:val="en-US"/>
        </w:rPr>
        <w:t>Organisation</w:t>
      </w:r>
      <w:proofErr w:type="spellEnd"/>
      <w:r w:rsidRPr="00F0379B">
        <w:rPr>
          <w:rFonts w:ascii="Cambria" w:eastAsia="Cambria" w:hAnsi="Cambria" w:cs="Cambria"/>
          <w:sz w:val="20"/>
          <w:szCs w:val="20"/>
          <w:lang w:val="en-US"/>
        </w:rPr>
        <w:t xml:space="preserve">, 150 </w:t>
      </w:r>
      <w:proofErr w:type="spellStart"/>
      <w:r w:rsidRPr="00F0379B">
        <w:rPr>
          <w:rFonts w:ascii="Cambria" w:eastAsia="Cambria" w:hAnsi="Cambria" w:cs="Cambria"/>
          <w:sz w:val="20"/>
          <w:szCs w:val="20"/>
          <w:lang w:val="en-US"/>
        </w:rPr>
        <w:t>Syggrou</w:t>
      </w:r>
      <w:proofErr w:type="spellEnd"/>
      <w:r w:rsidRPr="00F0379B">
        <w:rPr>
          <w:rFonts w:ascii="Cambria" w:eastAsia="Cambria" w:hAnsi="Cambria" w:cs="Cambria"/>
          <w:sz w:val="20"/>
          <w:szCs w:val="20"/>
          <w:lang w:val="en-US"/>
        </w:rPr>
        <w:t xml:space="preserve"> ave., Athens, Greece</w:t>
      </w:r>
    </w:p>
    <w:p w14:paraId="09734267"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+30 210 928 7248, E-Mail: vsassalou@minagric.gr</w:t>
      </w:r>
    </w:p>
    <w:p w14:paraId="25C71015" w14:textId="77777777" w:rsidR="009123AC" w:rsidRPr="00F0379B" w:rsidRDefault="009123AC" w:rsidP="009123AC">
      <w:pPr>
        <w:spacing w:after="0" w:line="240" w:lineRule="auto"/>
        <w:rPr>
          <w:rFonts w:ascii="Cambria" w:eastAsia="Cambria" w:hAnsi="Cambria" w:cs="Cambria"/>
          <w:sz w:val="20"/>
          <w:szCs w:val="20"/>
          <w:lang w:val="pt-PT"/>
        </w:rPr>
      </w:pPr>
    </w:p>
    <w:p w14:paraId="60C0C4FA"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Seguna</w:t>
      </w:r>
      <w:proofErr w:type="spellEnd"/>
      <w:r w:rsidRPr="00F0379B">
        <w:rPr>
          <w:rFonts w:ascii="Cambria" w:eastAsia="Cambria" w:hAnsi="Cambria" w:cs="Cambria"/>
          <w:sz w:val="20"/>
          <w:szCs w:val="20"/>
          <w:lang w:val="en-US"/>
        </w:rPr>
        <w:t>, Marvin</w:t>
      </w:r>
    </w:p>
    <w:p w14:paraId="5E51925F"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Chief Fisheries Protection Officer, Ministry for Agriculture, Food and Animal Rights, Fort San Lucjan, </w:t>
      </w:r>
      <w:proofErr w:type="spellStart"/>
      <w:r w:rsidRPr="00F0379B">
        <w:rPr>
          <w:rFonts w:ascii="Cambria" w:eastAsia="Cambria" w:hAnsi="Cambria" w:cs="Cambria"/>
          <w:sz w:val="20"/>
          <w:szCs w:val="20"/>
          <w:lang w:val="en-US"/>
        </w:rPr>
        <w:t>Triq</w:t>
      </w:r>
      <w:proofErr w:type="spellEnd"/>
      <w:r w:rsidRPr="00F0379B">
        <w:rPr>
          <w:rFonts w:ascii="Cambria" w:eastAsia="Cambria" w:hAnsi="Cambria" w:cs="Cambria"/>
          <w:sz w:val="20"/>
          <w:szCs w:val="20"/>
          <w:lang w:val="en-US"/>
        </w:rPr>
        <w:t xml:space="preserve"> il-</w:t>
      </w:r>
      <w:proofErr w:type="spellStart"/>
      <w:r w:rsidRPr="00F0379B">
        <w:rPr>
          <w:rFonts w:ascii="Cambria" w:eastAsia="Cambria" w:hAnsi="Cambria" w:cs="Cambria"/>
          <w:sz w:val="20"/>
          <w:szCs w:val="20"/>
          <w:lang w:val="en-US"/>
        </w:rPr>
        <w:t>Qajjenza</w:t>
      </w:r>
      <w:proofErr w:type="spellEnd"/>
      <w:r w:rsidRPr="00F0379B">
        <w:rPr>
          <w:rFonts w:ascii="Cambria" w:eastAsia="Cambria" w:hAnsi="Cambria" w:cs="Cambria"/>
          <w:sz w:val="20"/>
          <w:szCs w:val="20"/>
          <w:lang w:val="en-US"/>
        </w:rPr>
        <w:t xml:space="preserve">, Department of Fisheries and Aquaculture, </w:t>
      </w:r>
      <w:proofErr w:type="spellStart"/>
      <w:r w:rsidRPr="00F0379B">
        <w:rPr>
          <w:rFonts w:ascii="Cambria" w:eastAsia="Cambria" w:hAnsi="Cambria" w:cs="Cambria"/>
          <w:sz w:val="20"/>
          <w:szCs w:val="20"/>
          <w:lang w:val="en-US"/>
        </w:rPr>
        <w:t>Ghammieri</w:t>
      </w:r>
      <w:proofErr w:type="spellEnd"/>
      <w:r w:rsidRPr="00F0379B">
        <w:rPr>
          <w:rFonts w:ascii="Cambria" w:eastAsia="Cambria" w:hAnsi="Cambria" w:cs="Cambria"/>
          <w:sz w:val="20"/>
          <w:szCs w:val="20"/>
          <w:lang w:val="en-US"/>
        </w:rPr>
        <w:t xml:space="preserve"> </w:t>
      </w:r>
      <w:proofErr w:type="spellStart"/>
      <w:r w:rsidRPr="00F0379B">
        <w:rPr>
          <w:rFonts w:ascii="Cambria" w:eastAsia="Cambria" w:hAnsi="Cambria" w:cs="Cambria"/>
          <w:sz w:val="20"/>
          <w:szCs w:val="20"/>
          <w:lang w:val="en-US"/>
        </w:rPr>
        <w:t>Ingiered</w:t>
      </w:r>
      <w:proofErr w:type="spellEnd"/>
      <w:r w:rsidRPr="00F0379B">
        <w:rPr>
          <w:rFonts w:ascii="Cambria" w:eastAsia="Cambria" w:hAnsi="Cambria" w:cs="Cambria"/>
          <w:sz w:val="20"/>
          <w:szCs w:val="20"/>
          <w:lang w:val="en-US"/>
        </w:rPr>
        <w:t xml:space="preserve"> Road, MRS 3303 Marsa, Malta</w:t>
      </w:r>
    </w:p>
    <w:p w14:paraId="7A692166"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+356 229 26918; +356 797 09426, E-Mail: marvin.seguna@gov.mt</w:t>
      </w:r>
    </w:p>
    <w:p w14:paraId="2E332C8F" w14:textId="77777777" w:rsidR="009123AC" w:rsidRPr="00F0379B" w:rsidRDefault="009123AC" w:rsidP="009123AC">
      <w:pPr>
        <w:spacing w:after="0" w:line="240" w:lineRule="auto"/>
        <w:rPr>
          <w:rFonts w:ascii="Cambria" w:eastAsia="Cambria" w:hAnsi="Cambria" w:cs="Cambria"/>
          <w:sz w:val="20"/>
          <w:szCs w:val="20"/>
          <w:lang w:val="pt-PT"/>
        </w:rPr>
      </w:pPr>
    </w:p>
    <w:p w14:paraId="7C413001" w14:textId="77777777" w:rsidR="009123AC" w:rsidRPr="000B5464" w:rsidRDefault="009123AC" w:rsidP="009123AC">
      <w:pPr>
        <w:spacing w:after="0" w:line="240" w:lineRule="auto"/>
        <w:rPr>
          <w:rFonts w:ascii="Cambria" w:eastAsia="Cambria" w:hAnsi="Cambria" w:cs="Cambria"/>
          <w:sz w:val="20"/>
          <w:szCs w:val="20"/>
          <w:lang w:val="fr-FR"/>
        </w:rPr>
      </w:pPr>
      <w:proofErr w:type="spellStart"/>
      <w:r w:rsidRPr="000B5464">
        <w:rPr>
          <w:rFonts w:ascii="Cambria" w:eastAsia="Cambria" w:hAnsi="Cambria" w:cs="Cambria"/>
          <w:b/>
          <w:sz w:val="20"/>
          <w:szCs w:val="20"/>
          <w:lang w:val="fr-FR"/>
        </w:rPr>
        <w:t>Souben</w:t>
      </w:r>
      <w:proofErr w:type="spellEnd"/>
      <w:r w:rsidRPr="000B5464">
        <w:rPr>
          <w:rFonts w:ascii="Cambria" w:eastAsia="Cambria" w:hAnsi="Cambria" w:cs="Cambria"/>
          <w:sz w:val="20"/>
          <w:szCs w:val="20"/>
          <w:lang w:val="fr-FR"/>
        </w:rPr>
        <w:t>, Jérémie (online)</w:t>
      </w:r>
    </w:p>
    <w:p w14:paraId="6BDB9032" w14:textId="77777777" w:rsidR="009123AC" w:rsidRPr="00F912AA" w:rsidRDefault="009123AC" w:rsidP="009123AC">
      <w:pPr>
        <w:spacing w:after="0" w:line="240" w:lineRule="auto"/>
        <w:jc w:val="both"/>
        <w:rPr>
          <w:rFonts w:ascii="Cambria" w:eastAsia="Cambria" w:hAnsi="Cambria" w:cs="Cambria"/>
          <w:sz w:val="20"/>
          <w:szCs w:val="20"/>
          <w:lang w:val="it-IT"/>
        </w:rPr>
      </w:pPr>
      <w:r w:rsidRPr="00F912AA">
        <w:rPr>
          <w:rFonts w:ascii="Cambria" w:eastAsia="Cambria" w:hAnsi="Cambria" w:cs="Cambria"/>
          <w:sz w:val="20"/>
          <w:szCs w:val="20"/>
          <w:lang w:val="it-IT"/>
        </w:rPr>
        <w:t>FEDOPA, France</w:t>
      </w:r>
    </w:p>
    <w:p w14:paraId="6137B57D" w14:textId="77777777" w:rsidR="009123AC" w:rsidRPr="00F912AA" w:rsidRDefault="009123AC" w:rsidP="009123AC">
      <w:pPr>
        <w:spacing w:after="0" w:line="240" w:lineRule="auto"/>
        <w:jc w:val="both"/>
        <w:rPr>
          <w:rFonts w:ascii="Cambria" w:eastAsia="Cambria" w:hAnsi="Cambria" w:cs="Cambria"/>
          <w:sz w:val="20"/>
          <w:szCs w:val="20"/>
          <w:lang w:val="it-IT"/>
        </w:rPr>
      </w:pPr>
      <w:r w:rsidRPr="00F912AA">
        <w:rPr>
          <w:rFonts w:ascii="Cambria" w:eastAsia="Cambria" w:hAnsi="Cambria" w:cs="Cambria"/>
          <w:sz w:val="20"/>
          <w:szCs w:val="20"/>
          <w:lang w:val="it-IT"/>
        </w:rPr>
        <w:t>E-Mail: fedopa@fedopa.fr</w:t>
      </w:r>
    </w:p>
    <w:p w14:paraId="313A68D5" w14:textId="77777777" w:rsidR="009123AC" w:rsidRPr="00F912AA" w:rsidRDefault="009123AC" w:rsidP="009123AC">
      <w:pPr>
        <w:spacing w:after="0" w:line="240" w:lineRule="auto"/>
        <w:rPr>
          <w:rFonts w:ascii="Cambria" w:eastAsia="Cambria" w:hAnsi="Cambria" w:cs="Cambria"/>
          <w:sz w:val="20"/>
          <w:szCs w:val="20"/>
          <w:lang w:val="it-IT"/>
        </w:rPr>
      </w:pPr>
    </w:p>
    <w:p w14:paraId="28D486DA" w14:textId="77777777" w:rsidR="009123AC" w:rsidRPr="00F0379B" w:rsidRDefault="009123AC" w:rsidP="009123AC">
      <w:pPr>
        <w:spacing w:after="0" w:line="240" w:lineRule="auto"/>
        <w:rPr>
          <w:rFonts w:ascii="Cambria" w:eastAsia="Cambria" w:hAnsi="Cambria" w:cs="Cambria"/>
          <w:sz w:val="20"/>
          <w:szCs w:val="20"/>
          <w:lang w:val="pt-PT"/>
        </w:rPr>
      </w:pPr>
      <w:r w:rsidRPr="00F0379B">
        <w:rPr>
          <w:rFonts w:ascii="Cambria" w:eastAsia="Cambria" w:hAnsi="Cambria" w:cs="Cambria"/>
          <w:b/>
          <w:sz w:val="20"/>
          <w:szCs w:val="20"/>
          <w:lang w:val="pt-PT"/>
        </w:rPr>
        <w:t>Teixeira</w:t>
      </w:r>
      <w:r w:rsidRPr="00F0379B">
        <w:rPr>
          <w:rFonts w:ascii="Cambria" w:eastAsia="Cambria" w:hAnsi="Cambria" w:cs="Cambria"/>
          <w:sz w:val="20"/>
          <w:szCs w:val="20"/>
          <w:lang w:val="pt-PT"/>
        </w:rPr>
        <w:t>, Isabel</w:t>
      </w:r>
    </w:p>
    <w:p w14:paraId="7C461A01"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Chefe de Divisão de Recursos Externos da Direção-Geral de Recursos Naturais, Segurança e Serviços Marítimos, DGRM, Avenida Brasilia, 1449-030 Lisboa, Portugal</w:t>
      </w:r>
    </w:p>
    <w:p w14:paraId="28609D23"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+351 919 499 229, E-Mail: iteixeira@dgrm.pt</w:t>
      </w:r>
    </w:p>
    <w:p w14:paraId="1D791C76" w14:textId="77777777" w:rsidR="009123AC" w:rsidRPr="00F0379B" w:rsidRDefault="009123AC" w:rsidP="009123AC">
      <w:pPr>
        <w:spacing w:after="0" w:line="240" w:lineRule="auto"/>
        <w:rPr>
          <w:rFonts w:ascii="Cambria" w:eastAsia="Cambria" w:hAnsi="Cambria" w:cs="Cambria"/>
          <w:b/>
          <w:sz w:val="20"/>
          <w:szCs w:val="20"/>
          <w:lang w:val="pt-PT"/>
        </w:rPr>
      </w:pPr>
    </w:p>
    <w:p w14:paraId="4A459F0D"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Thasitis</w:t>
      </w:r>
      <w:proofErr w:type="spellEnd"/>
      <w:r w:rsidRPr="00F0379B">
        <w:rPr>
          <w:rFonts w:ascii="Cambria" w:eastAsia="Cambria" w:hAnsi="Cambria" w:cs="Cambria"/>
          <w:sz w:val="20"/>
          <w:szCs w:val="20"/>
          <w:lang w:val="en-US"/>
        </w:rPr>
        <w:t>, Ioannis</w:t>
      </w:r>
    </w:p>
    <w:p w14:paraId="6BF39ACC"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Fisheries and Marine Research Officer, Ministry of Agriculture, Rural Development and Environment, Department of Fisheries and Marine Research, 101 </w:t>
      </w:r>
      <w:proofErr w:type="spellStart"/>
      <w:r w:rsidRPr="00F0379B">
        <w:rPr>
          <w:rFonts w:ascii="Cambria" w:eastAsia="Cambria" w:hAnsi="Cambria" w:cs="Cambria"/>
          <w:sz w:val="20"/>
          <w:szCs w:val="20"/>
          <w:lang w:val="en-US"/>
        </w:rPr>
        <w:t>Vithleem</w:t>
      </w:r>
      <w:proofErr w:type="spellEnd"/>
      <w:r w:rsidRPr="00F0379B">
        <w:rPr>
          <w:rFonts w:ascii="Cambria" w:eastAsia="Cambria" w:hAnsi="Cambria" w:cs="Cambria"/>
          <w:sz w:val="20"/>
          <w:szCs w:val="20"/>
          <w:lang w:val="en-US"/>
        </w:rPr>
        <w:t xml:space="preserve"> Street, 1416 Nicosia, Cyprus</w:t>
      </w:r>
    </w:p>
    <w:p w14:paraId="7B868595"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+35722807840, Fax: +35722 775 955, E-Mail: ithasitis@dfmr.moa.gov.cy; ithasitis@dfmr.moa.gov.cy</w:t>
      </w:r>
    </w:p>
    <w:p w14:paraId="72BFA088" w14:textId="77777777" w:rsidR="009123AC" w:rsidRPr="00F0379B" w:rsidRDefault="009123AC" w:rsidP="009123AC">
      <w:pPr>
        <w:spacing w:after="0" w:line="240" w:lineRule="auto"/>
        <w:rPr>
          <w:rFonts w:ascii="Cambria" w:eastAsia="Cambria" w:hAnsi="Cambria" w:cs="Cambria"/>
          <w:sz w:val="20"/>
          <w:szCs w:val="20"/>
          <w:lang w:val="pt-PT"/>
        </w:rPr>
      </w:pPr>
    </w:p>
    <w:p w14:paraId="3C7E87E7" w14:textId="77777777" w:rsidR="009123AC" w:rsidRPr="00F0379B" w:rsidRDefault="009123AC" w:rsidP="009123AC">
      <w:pPr>
        <w:spacing w:after="0" w:line="240" w:lineRule="auto"/>
        <w:rPr>
          <w:rFonts w:ascii="Cambria" w:eastAsia="Cambria" w:hAnsi="Cambria" w:cs="Cambria"/>
          <w:sz w:val="20"/>
          <w:szCs w:val="20"/>
          <w:lang w:val="pt-PT"/>
        </w:rPr>
      </w:pPr>
      <w:r w:rsidRPr="00F0379B">
        <w:rPr>
          <w:rFonts w:ascii="Cambria" w:eastAsia="Cambria" w:hAnsi="Cambria" w:cs="Cambria"/>
          <w:b/>
          <w:sz w:val="20"/>
          <w:szCs w:val="20"/>
          <w:lang w:val="pt-PT"/>
        </w:rPr>
        <w:t>Trigo</w:t>
      </w:r>
      <w:r w:rsidRPr="00F0379B">
        <w:rPr>
          <w:rFonts w:ascii="Cambria" w:eastAsia="Cambria" w:hAnsi="Cambria" w:cs="Cambria"/>
          <w:sz w:val="20"/>
          <w:szCs w:val="20"/>
          <w:lang w:val="pt-PT"/>
        </w:rPr>
        <w:t>, Patricia (online)</w:t>
      </w:r>
    </w:p>
    <w:p w14:paraId="5D30848E"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DGRM, Avenida Brasilia ES8, 1449-030 Lisboa, Portugal</w:t>
      </w:r>
    </w:p>
    <w:p w14:paraId="295A1B0C"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+351 969 455 882; +351 213 035 732, E-Mail: ptrigo@dgrm.pt</w:t>
      </w:r>
    </w:p>
    <w:p w14:paraId="00CC5E93" w14:textId="77777777" w:rsidR="009123AC" w:rsidRPr="00F0379B" w:rsidRDefault="009123AC" w:rsidP="009123AC">
      <w:pPr>
        <w:spacing w:after="0" w:line="240" w:lineRule="auto"/>
        <w:rPr>
          <w:rFonts w:ascii="Cambria" w:eastAsia="Cambria" w:hAnsi="Cambria" w:cs="Cambria"/>
          <w:sz w:val="20"/>
          <w:szCs w:val="20"/>
          <w:lang w:val="pt-PT"/>
        </w:rPr>
      </w:pPr>
    </w:p>
    <w:p w14:paraId="3B54DE42"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Vasiliades</w:t>
      </w:r>
      <w:r w:rsidRPr="00F0379B">
        <w:rPr>
          <w:rFonts w:ascii="Cambria" w:eastAsia="Cambria" w:hAnsi="Cambria" w:cs="Cambria"/>
          <w:sz w:val="20"/>
          <w:szCs w:val="20"/>
          <w:lang w:val="en-US"/>
        </w:rPr>
        <w:t xml:space="preserve">, </w:t>
      </w:r>
      <w:proofErr w:type="spellStart"/>
      <w:r w:rsidRPr="00F0379B">
        <w:rPr>
          <w:rFonts w:ascii="Cambria" w:eastAsia="Cambria" w:hAnsi="Cambria" w:cs="Cambria"/>
          <w:sz w:val="20"/>
          <w:szCs w:val="20"/>
          <w:lang w:val="en-US"/>
        </w:rPr>
        <w:t>Lavrentis</w:t>
      </w:r>
      <w:proofErr w:type="spellEnd"/>
    </w:p>
    <w:p w14:paraId="41DF4DF0"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Ministry of Fisheries, Cyprus</w:t>
      </w:r>
    </w:p>
    <w:p w14:paraId="2EBDCBD4"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+357 471 079 640, E-Mail: lvasiliades@dfmr.moa.gov.cy</w:t>
      </w:r>
    </w:p>
    <w:p w14:paraId="42413D1C" w14:textId="77777777" w:rsidR="009123AC" w:rsidRPr="00F0379B" w:rsidRDefault="009123AC" w:rsidP="009123AC">
      <w:pPr>
        <w:spacing w:after="0" w:line="240" w:lineRule="auto"/>
        <w:rPr>
          <w:rFonts w:ascii="Cambria" w:eastAsia="Cambria" w:hAnsi="Cambria" w:cs="Cambria"/>
          <w:sz w:val="20"/>
          <w:szCs w:val="20"/>
          <w:lang w:val="pt-PT"/>
        </w:rPr>
      </w:pPr>
    </w:p>
    <w:p w14:paraId="5BD244BF"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Vela Ortega</w:t>
      </w:r>
      <w:r w:rsidRPr="00F0379B">
        <w:rPr>
          <w:rFonts w:ascii="Cambria" w:eastAsia="Cambria" w:hAnsi="Cambria" w:cs="Cambria"/>
          <w:sz w:val="20"/>
          <w:szCs w:val="20"/>
        </w:rPr>
        <w:t xml:space="preserve">, Sebastián </w:t>
      </w:r>
      <w:r w:rsidRPr="00F0379B">
        <w:rPr>
          <w:rFonts w:ascii="Cambria" w:eastAsia="Cambria" w:hAnsi="Cambria" w:cs="Cambria"/>
          <w:sz w:val="20"/>
          <w:szCs w:val="20"/>
          <w:vertAlign w:val="superscript"/>
        </w:rPr>
        <w:t xml:space="preserve">1 </w:t>
      </w:r>
      <w:r w:rsidRPr="00F0379B">
        <w:rPr>
          <w:rFonts w:ascii="Cambria" w:eastAsia="Cambria" w:hAnsi="Cambria" w:cs="Cambria"/>
          <w:sz w:val="20"/>
          <w:szCs w:val="20"/>
        </w:rPr>
        <w:t>(online)</w:t>
      </w:r>
    </w:p>
    <w:p w14:paraId="2CA42A9B"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Pesquerías de Almadraba, S.A., 11160 Barbate, Cádiz, España</w:t>
      </w:r>
    </w:p>
    <w:p w14:paraId="31034045" w14:textId="77777777" w:rsidR="009123AC" w:rsidRPr="00F0379B" w:rsidRDefault="009123AC" w:rsidP="009123AC">
      <w:pPr>
        <w:spacing w:after="0" w:line="240" w:lineRule="auto"/>
        <w:rPr>
          <w:rFonts w:ascii="Cambria" w:eastAsia="Cambria" w:hAnsi="Cambria" w:cs="Cambria"/>
          <w:sz w:val="20"/>
          <w:szCs w:val="20"/>
        </w:rPr>
      </w:pPr>
    </w:p>
    <w:p w14:paraId="64C5673D"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Wendling</w:t>
      </w:r>
      <w:r w:rsidRPr="00F0379B">
        <w:rPr>
          <w:rFonts w:ascii="Cambria" w:eastAsia="Cambria" w:hAnsi="Cambria" w:cs="Cambria"/>
          <w:sz w:val="20"/>
          <w:szCs w:val="20"/>
          <w:lang w:val="en-US"/>
        </w:rPr>
        <w:t>, Bertrand (online)</w:t>
      </w:r>
    </w:p>
    <w:p w14:paraId="041676A4" w14:textId="77777777" w:rsidR="009123AC" w:rsidRPr="00F0379B" w:rsidRDefault="009123AC" w:rsidP="009123AC">
      <w:pPr>
        <w:spacing w:after="0" w:line="240" w:lineRule="auto"/>
        <w:jc w:val="both"/>
        <w:rPr>
          <w:rFonts w:ascii="Cambria" w:eastAsia="Cambria" w:hAnsi="Cambria" w:cs="Cambria"/>
          <w:sz w:val="20"/>
          <w:szCs w:val="20"/>
          <w:lang w:val="en-US"/>
        </w:rPr>
      </w:pPr>
      <w:proofErr w:type="spellStart"/>
      <w:r w:rsidRPr="00F0379B">
        <w:rPr>
          <w:rFonts w:ascii="Cambria" w:eastAsia="Cambria" w:hAnsi="Cambria" w:cs="Cambria"/>
          <w:sz w:val="20"/>
          <w:szCs w:val="20"/>
          <w:lang w:val="en-US"/>
        </w:rPr>
        <w:t>SaThoAn</w:t>
      </w:r>
      <w:proofErr w:type="spellEnd"/>
      <w:r w:rsidRPr="00F0379B">
        <w:rPr>
          <w:rFonts w:ascii="Cambria" w:eastAsia="Cambria" w:hAnsi="Cambria" w:cs="Cambria"/>
          <w:sz w:val="20"/>
          <w:szCs w:val="20"/>
          <w:lang w:val="en-US"/>
        </w:rPr>
        <w:t xml:space="preserve"> - Cap St. Louis 3B, 29 Promenade JB Marty, 34200 </w:t>
      </w:r>
      <w:proofErr w:type="spellStart"/>
      <w:r w:rsidRPr="00F0379B">
        <w:rPr>
          <w:rFonts w:ascii="Cambria" w:eastAsia="Cambria" w:hAnsi="Cambria" w:cs="Cambria"/>
          <w:sz w:val="20"/>
          <w:szCs w:val="20"/>
          <w:lang w:val="en-US"/>
        </w:rPr>
        <w:t>Sête</w:t>
      </w:r>
      <w:proofErr w:type="spellEnd"/>
      <w:r w:rsidRPr="00F0379B">
        <w:rPr>
          <w:rFonts w:ascii="Cambria" w:eastAsia="Cambria" w:hAnsi="Cambria" w:cs="Cambria"/>
          <w:sz w:val="20"/>
          <w:szCs w:val="20"/>
          <w:lang w:val="en-US"/>
        </w:rPr>
        <w:t>, France</w:t>
      </w:r>
    </w:p>
    <w:p w14:paraId="6CD21F22" w14:textId="77777777" w:rsidR="009123AC" w:rsidRPr="00F912AA" w:rsidRDefault="009123AC" w:rsidP="009123AC">
      <w:pPr>
        <w:spacing w:after="0" w:line="240" w:lineRule="auto"/>
        <w:jc w:val="both"/>
        <w:rPr>
          <w:rFonts w:ascii="Cambria" w:eastAsia="Cambria" w:hAnsi="Cambria" w:cs="Cambria"/>
          <w:sz w:val="20"/>
          <w:szCs w:val="20"/>
        </w:rPr>
      </w:pPr>
      <w:r w:rsidRPr="00F912AA">
        <w:rPr>
          <w:rFonts w:ascii="Cambria" w:eastAsia="Cambria" w:hAnsi="Cambria" w:cs="Cambria"/>
          <w:sz w:val="20"/>
          <w:szCs w:val="20"/>
        </w:rPr>
        <w:t>Tel: +33 603 328 977, Fax: +33 4 6746 0513, E-Mail: bertrand@sathoan.fr</w:t>
      </w:r>
    </w:p>
    <w:p w14:paraId="540145F9" w14:textId="77777777" w:rsidR="009123AC" w:rsidRPr="00F912AA" w:rsidRDefault="009123AC" w:rsidP="009123AC">
      <w:pPr>
        <w:spacing w:after="0" w:line="240" w:lineRule="auto"/>
        <w:rPr>
          <w:rFonts w:ascii="Cambria" w:eastAsia="Cambria" w:hAnsi="Cambria" w:cs="Cambria"/>
          <w:sz w:val="20"/>
          <w:szCs w:val="20"/>
        </w:rPr>
      </w:pPr>
    </w:p>
    <w:p w14:paraId="4FE64D94" w14:textId="77777777" w:rsidR="009123AC" w:rsidRPr="00F912AA" w:rsidRDefault="009123AC" w:rsidP="009123AC">
      <w:pPr>
        <w:spacing w:after="0" w:line="240" w:lineRule="auto"/>
        <w:rPr>
          <w:rFonts w:ascii="Cambria" w:eastAsia="Cambria" w:hAnsi="Cambria" w:cs="Cambria"/>
          <w:sz w:val="20"/>
          <w:szCs w:val="20"/>
        </w:rPr>
      </w:pPr>
      <w:r w:rsidRPr="00F912AA">
        <w:rPr>
          <w:rFonts w:ascii="Cambria" w:eastAsia="Cambria" w:hAnsi="Cambria" w:cs="Cambria"/>
          <w:b/>
          <w:sz w:val="20"/>
          <w:szCs w:val="20"/>
        </w:rPr>
        <w:t>VENEZUELA</w:t>
      </w:r>
    </w:p>
    <w:p w14:paraId="513B04BA" w14:textId="77777777" w:rsidR="009123AC" w:rsidRPr="00F912AA" w:rsidRDefault="009123AC" w:rsidP="009123AC">
      <w:pPr>
        <w:spacing w:after="0" w:line="240" w:lineRule="auto"/>
        <w:rPr>
          <w:rFonts w:ascii="Cambria" w:eastAsia="Cambria" w:hAnsi="Cambria" w:cs="Cambria"/>
          <w:sz w:val="20"/>
          <w:szCs w:val="20"/>
        </w:rPr>
      </w:pPr>
      <w:r w:rsidRPr="00F912AA">
        <w:rPr>
          <w:rFonts w:ascii="Cambria" w:eastAsia="Cambria" w:hAnsi="Cambria" w:cs="Cambria"/>
          <w:b/>
          <w:sz w:val="20"/>
          <w:szCs w:val="20"/>
        </w:rPr>
        <w:t>Galicia Tremont</w:t>
      </w:r>
      <w:r w:rsidRPr="00F912AA">
        <w:rPr>
          <w:rFonts w:ascii="Cambria" w:eastAsia="Cambria" w:hAnsi="Cambria" w:cs="Cambria"/>
          <w:sz w:val="20"/>
          <w:szCs w:val="20"/>
        </w:rPr>
        <w:t>, Jeiris Nathaly (online)</w:t>
      </w:r>
    </w:p>
    <w:p w14:paraId="603124DE" w14:textId="77777777" w:rsidR="009123AC" w:rsidRPr="00F0379B" w:rsidRDefault="009123AC" w:rsidP="009123AC">
      <w:pPr>
        <w:spacing w:after="0" w:line="240" w:lineRule="auto"/>
        <w:jc w:val="both"/>
        <w:rPr>
          <w:rFonts w:ascii="Cambria" w:eastAsia="Cambria" w:hAnsi="Cambria" w:cs="Cambria"/>
          <w:sz w:val="20"/>
          <w:szCs w:val="20"/>
          <w:lang w:val="pt-PT"/>
        </w:rPr>
      </w:pPr>
      <w:r w:rsidRPr="00F912AA">
        <w:rPr>
          <w:rFonts w:ascii="Cambria" w:eastAsia="Cambria" w:hAnsi="Cambria" w:cs="Cambria"/>
          <w:sz w:val="20"/>
          <w:szCs w:val="20"/>
        </w:rPr>
        <w:t xml:space="preserve">Directora General de Pesca Industrial, Viceministerio de Producción primaria Pesquera y Acuícola, Ministerio del Poder Popular de Pesca y Acuicultura, Av. </w:t>
      </w:r>
      <w:r w:rsidRPr="00F0379B">
        <w:rPr>
          <w:rFonts w:ascii="Cambria" w:eastAsia="Cambria" w:hAnsi="Cambria" w:cs="Cambria"/>
          <w:sz w:val="20"/>
          <w:szCs w:val="20"/>
          <w:lang w:val="pt-PT"/>
        </w:rPr>
        <w:t>Lecuna, Torre Este, Parque central, piso 17</w:t>
      </w:r>
    </w:p>
    <w:p w14:paraId="5860358F"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+58 0414 970 3064, E-Mail: ing.jeirisgalicia@gmail.com; dgpi.minpesca@gmail.com; jgalicia.minpesca@gmail.com</w:t>
      </w:r>
    </w:p>
    <w:p w14:paraId="7DF391C7" w14:textId="77777777" w:rsidR="009123AC" w:rsidRPr="00F0379B" w:rsidRDefault="009123AC" w:rsidP="009123AC">
      <w:pPr>
        <w:spacing w:after="0" w:line="240" w:lineRule="auto"/>
        <w:rPr>
          <w:rFonts w:ascii="Cambria" w:eastAsia="Cambria" w:hAnsi="Cambria" w:cs="Cambria"/>
          <w:sz w:val="20"/>
          <w:szCs w:val="20"/>
          <w:lang w:val="pt-PT"/>
        </w:rPr>
      </w:pPr>
    </w:p>
    <w:p w14:paraId="042C6F8A"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Vivas Jiménez</w:t>
      </w:r>
      <w:r w:rsidRPr="00F0379B">
        <w:rPr>
          <w:rFonts w:ascii="Cambria" w:eastAsia="Cambria" w:hAnsi="Cambria" w:cs="Cambria"/>
          <w:sz w:val="20"/>
          <w:szCs w:val="20"/>
        </w:rPr>
        <w:t>, María Daniela (online)</w:t>
      </w:r>
    </w:p>
    <w:p w14:paraId="37BFB881" w14:textId="77777777" w:rsidR="009123AC" w:rsidRPr="00F0379B" w:rsidRDefault="009123AC" w:rsidP="009123AC">
      <w:pPr>
        <w:spacing w:after="0" w:line="240" w:lineRule="auto"/>
        <w:jc w:val="both"/>
        <w:rPr>
          <w:rFonts w:ascii="Cambria" w:eastAsia="Cambria" w:hAnsi="Cambria" w:cs="Cambria"/>
          <w:sz w:val="20"/>
          <w:szCs w:val="20"/>
          <w:lang w:val="pt-BR"/>
        </w:rPr>
      </w:pPr>
      <w:r w:rsidRPr="00F0379B">
        <w:rPr>
          <w:rFonts w:ascii="Cambria" w:eastAsia="Cambria" w:hAnsi="Cambria" w:cs="Cambria"/>
          <w:sz w:val="20"/>
          <w:szCs w:val="20"/>
        </w:rPr>
        <w:t xml:space="preserve">Analista de Asuntos Multilaterales de la Oficina de Integración y Asuntos Internacionales, Ministerio del Poder Popular de Pesca y Acuicultura, Parque Central. </w:t>
      </w:r>
      <w:r w:rsidRPr="00F0379B">
        <w:rPr>
          <w:rFonts w:ascii="Cambria" w:eastAsia="Cambria" w:hAnsi="Cambria" w:cs="Cambria"/>
          <w:sz w:val="20"/>
          <w:szCs w:val="20"/>
          <w:lang w:val="pt-BR"/>
        </w:rPr>
        <w:t>Piso 17, 1040 Caracas</w:t>
      </w:r>
    </w:p>
    <w:p w14:paraId="51160F9E" w14:textId="77777777" w:rsidR="009123AC" w:rsidRPr="00F0379B" w:rsidRDefault="009123AC" w:rsidP="009123AC">
      <w:pPr>
        <w:spacing w:after="0" w:line="240" w:lineRule="auto"/>
        <w:jc w:val="both"/>
        <w:rPr>
          <w:rFonts w:ascii="Cambria" w:eastAsia="Cambria" w:hAnsi="Cambria" w:cs="Cambria"/>
          <w:color w:val="000000" w:themeColor="text1"/>
          <w:sz w:val="20"/>
          <w:szCs w:val="20"/>
          <w:lang w:val="pt-BR"/>
        </w:rPr>
      </w:pPr>
      <w:proofErr w:type="spellStart"/>
      <w:r w:rsidRPr="00F0379B">
        <w:rPr>
          <w:rFonts w:ascii="Cambria" w:eastAsia="Cambria" w:hAnsi="Cambria" w:cs="Cambria"/>
          <w:sz w:val="20"/>
          <w:szCs w:val="20"/>
          <w:lang w:val="pt-BR"/>
        </w:rPr>
        <w:t>Tel</w:t>
      </w:r>
      <w:proofErr w:type="spellEnd"/>
      <w:r w:rsidRPr="00F0379B">
        <w:rPr>
          <w:rFonts w:ascii="Cambria" w:eastAsia="Cambria" w:hAnsi="Cambria" w:cs="Cambria"/>
          <w:sz w:val="20"/>
          <w:szCs w:val="20"/>
          <w:lang w:val="pt-BR"/>
        </w:rPr>
        <w:t>: 04242808103, E-Mail</w:t>
      </w:r>
      <w:r w:rsidRPr="00F0379B">
        <w:rPr>
          <w:rFonts w:ascii="Cambria" w:eastAsia="Cambria" w:hAnsi="Cambria" w:cs="Cambria"/>
          <w:color w:val="000000" w:themeColor="text1"/>
          <w:sz w:val="20"/>
          <w:szCs w:val="20"/>
          <w:lang w:val="pt-BR"/>
        </w:rPr>
        <w:t xml:space="preserve">: </w:t>
      </w:r>
      <w:hyperlink r:id="rId65" w:history="1">
        <w:r w:rsidRPr="00F0379B">
          <w:rPr>
            <w:rFonts w:eastAsia="Cambria" w:cs="Cambria"/>
            <w:color w:val="000000" w:themeColor="text1"/>
            <w:kern w:val="2"/>
            <w:sz w:val="20"/>
            <w:szCs w:val="20"/>
            <w:lang w:val="pt-BR" w:eastAsia="ja-JP"/>
            <w14:ligatures w14:val="standardContextual"/>
          </w:rPr>
          <w:t>minpescaven@gmail.com</w:t>
        </w:r>
      </w:hyperlink>
    </w:p>
    <w:p w14:paraId="566209AC" w14:textId="77777777" w:rsidR="009123AC" w:rsidRPr="00F0379B" w:rsidRDefault="009123AC" w:rsidP="009123AC">
      <w:pPr>
        <w:spacing w:after="0" w:line="240" w:lineRule="auto"/>
        <w:jc w:val="both"/>
        <w:rPr>
          <w:rFonts w:ascii="Cambria" w:eastAsia="Cambria" w:hAnsi="Cambria" w:cs="Cambria"/>
          <w:color w:val="000000" w:themeColor="text1"/>
          <w:sz w:val="20"/>
          <w:szCs w:val="20"/>
          <w:lang w:val="pt-BR"/>
        </w:rPr>
      </w:pPr>
    </w:p>
    <w:p w14:paraId="0A19ED32" w14:textId="77777777" w:rsidR="009123AC" w:rsidRPr="00F0379B" w:rsidRDefault="009123AC" w:rsidP="009123AC">
      <w:pPr>
        <w:spacing w:line="259" w:lineRule="auto"/>
        <w:rPr>
          <w:rFonts w:ascii="Cambria" w:eastAsia="Cambria" w:hAnsi="Cambria" w:cs="Cambria"/>
          <w:b/>
          <w:i/>
          <w:sz w:val="20"/>
          <w:szCs w:val="20"/>
          <w:lang w:val="pt-BR"/>
        </w:rPr>
      </w:pPr>
      <w:r w:rsidRPr="00F0379B">
        <w:rPr>
          <w:rFonts w:ascii="Cambria" w:eastAsia="Cambria" w:hAnsi="Cambria" w:cs="Cambria"/>
          <w:b/>
          <w:i/>
          <w:sz w:val="20"/>
          <w:szCs w:val="20"/>
          <w:lang w:val="pt-BR"/>
        </w:rPr>
        <w:br w:type="page"/>
      </w:r>
    </w:p>
    <w:p w14:paraId="1FAD453F" w14:textId="77777777" w:rsidR="009123AC" w:rsidRPr="00F0379B" w:rsidRDefault="009123AC" w:rsidP="009123AC">
      <w:pPr>
        <w:spacing w:after="0" w:line="240" w:lineRule="auto"/>
        <w:rPr>
          <w:rFonts w:ascii="Cambria" w:eastAsia="Cambria" w:hAnsi="Cambria" w:cs="Cambria"/>
          <w:sz w:val="20"/>
          <w:szCs w:val="20"/>
          <w:lang w:val="pt-BR"/>
        </w:rPr>
      </w:pPr>
      <w:r w:rsidRPr="00F0379B">
        <w:rPr>
          <w:rFonts w:ascii="Cambria" w:eastAsia="Cambria" w:hAnsi="Cambria" w:cs="Cambria"/>
          <w:b/>
          <w:i/>
          <w:sz w:val="20"/>
          <w:szCs w:val="20"/>
          <w:lang w:val="pt-BR"/>
        </w:rPr>
        <w:lastRenderedPageBreak/>
        <w:t>OBSERVADORES DE PARTES, ENTIDADES, ENTIDADES PESQUERAS NO CONTRATANTES COLABORADORAS</w:t>
      </w:r>
      <w:r w:rsidRPr="00F0379B">
        <w:rPr>
          <w:rFonts w:ascii="Cambria" w:eastAsia="Cambria" w:hAnsi="Cambria" w:cs="Cambria"/>
          <w:b/>
          <w:i/>
          <w:sz w:val="20"/>
          <w:szCs w:val="20"/>
          <w:lang w:val="pt-BR"/>
        </w:rPr>
        <w:br/>
      </w:r>
    </w:p>
    <w:p w14:paraId="5546508F" w14:textId="77777777" w:rsidR="009123AC" w:rsidRPr="00F0379B" w:rsidRDefault="009123AC" w:rsidP="009123AC">
      <w:pPr>
        <w:spacing w:after="0" w:line="240" w:lineRule="auto"/>
        <w:rPr>
          <w:rFonts w:ascii="Cambria" w:eastAsia="Cambria" w:hAnsi="Cambria" w:cs="Cambria"/>
          <w:b/>
          <w:sz w:val="20"/>
          <w:szCs w:val="20"/>
          <w:lang w:val="en-US"/>
        </w:rPr>
      </w:pPr>
      <w:r w:rsidRPr="00F0379B">
        <w:rPr>
          <w:rFonts w:ascii="Cambria" w:eastAsia="Cambria" w:hAnsi="Cambria" w:cs="Cambria"/>
          <w:b/>
          <w:sz w:val="20"/>
          <w:szCs w:val="20"/>
          <w:lang w:val="en-US"/>
        </w:rPr>
        <w:t>TAIPEI CHINO</w:t>
      </w:r>
    </w:p>
    <w:p w14:paraId="058D7384"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Chou</w:t>
      </w:r>
      <w:r w:rsidRPr="00F0379B">
        <w:rPr>
          <w:rFonts w:ascii="Cambria" w:eastAsia="Cambria" w:hAnsi="Cambria" w:cs="Cambria"/>
          <w:sz w:val="20"/>
          <w:szCs w:val="20"/>
          <w:lang w:val="en-US"/>
        </w:rPr>
        <w:t>, Shih-Chin</w:t>
      </w:r>
    </w:p>
    <w:p w14:paraId="1E954235"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Senior Specialist, Distant Water Fisheries Division, Fisheries Agency, 8F, No. 100, Sec. 2, Heping W. Rd., Zhongzheng Dist., 10060</w:t>
      </w:r>
    </w:p>
    <w:p w14:paraId="5F19A805"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Tel: +886 2 2383 5855, Fax: +886 2 2332 7395, E-Mail: chou1967sc@gmail.com; shihcin@ms1.fa.gov.tw</w:t>
      </w:r>
    </w:p>
    <w:p w14:paraId="764FAD91" w14:textId="77777777" w:rsidR="009123AC" w:rsidRPr="00F0379B" w:rsidRDefault="009123AC" w:rsidP="009123AC">
      <w:pPr>
        <w:spacing w:after="0" w:line="240" w:lineRule="auto"/>
        <w:rPr>
          <w:rFonts w:ascii="Cambria" w:eastAsia="Cambria" w:hAnsi="Cambria" w:cs="Cambria"/>
          <w:sz w:val="20"/>
          <w:szCs w:val="20"/>
          <w:lang w:val="en-US"/>
        </w:rPr>
      </w:pPr>
    </w:p>
    <w:p w14:paraId="69C28723"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Su</w:t>
      </w:r>
      <w:r w:rsidRPr="00F0379B">
        <w:rPr>
          <w:rFonts w:ascii="Cambria" w:eastAsia="Cambria" w:hAnsi="Cambria" w:cs="Cambria"/>
          <w:sz w:val="20"/>
          <w:szCs w:val="20"/>
          <w:lang w:val="en-US"/>
        </w:rPr>
        <w:t>, Nan-Jay (online)</w:t>
      </w:r>
    </w:p>
    <w:p w14:paraId="66C74678"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Associate Professor, Department of Environmental Biology and Fisheries Science, National Taiwan Ocean University, No. 2 Beining Rd., Zhongzheng Dist., 202301 Keelung City</w:t>
      </w:r>
    </w:p>
    <w:p w14:paraId="05E753FF"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Tel: +886 2 2462 2192 #5046, Fax: +886-2-24622192, E-Mail: nanjay@ntou.edu.tw</w:t>
      </w:r>
    </w:p>
    <w:p w14:paraId="168E0E6B" w14:textId="77777777" w:rsidR="009123AC" w:rsidRPr="00F0379B" w:rsidRDefault="009123AC" w:rsidP="009123AC">
      <w:pPr>
        <w:spacing w:after="0" w:line="240" w:lineRule="auto"/>
        <w:rPr>
          <w:rFonts w:ascii="Cambria" w:eastAsia="Cambria" w:hAnsi="Cambria" w:cs="Cambria"/>
          <w:sz w:val="20"/>
          <w:szCs w:val="20"/>
          <w:lang w:val="en-US"/>
        </w:rPr>
      </w:pPr>
    </w:p>
    <w:p w14:paraId="62CBDBDC"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Sung</w:t>
      </w:r>
      <w:r w:rsidRPr="00F0379B">
        <w:rPr>
          <w:rFonts w:ascii="Cambria" w:eastAsia="Cambria" w:hAnsi="Cambria" w:cs="Cambria"/>
          <w:sz w:val="20"/>
          <w:szCs w:val="20"/>
          <w:lang w:val="en-US"/>
        </w:rPr>
        <w:t>, Yueh-Feng (online)</w:t>
      </w:r>
    </w:p>
    <w:p w14:paraId="41BE8194"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Researcher, Department of Environmental Biology and Fisheries Science, National Taiwan Ocean University, No.2, Beining Rd., Zhongzheng Dist., 202301 Keelung City</w:t>
      </w:r>
    </w:p>
    <w:p w14:paraId="447DF1DE"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Tel: +886 2 246 22192, Fax: +886 2 246 33920, E-Mail: yuehfeng85@gmail.com</w:t>
      </w:r>
    </w:p>
    <w:p w14:paraId="2EB4A917" w14:textId="77777777" w:rsidR="009123AC" w:rsidRPr="00F0379B" w:rsidRDefault="009123AC" w:rsidP="009123AC">
      <w:pPr>
        <w:spacing w:after="0" w:line="240" w:lineRule="auto"/>
        <w:rPr>
          <w:rFonts w:ascii="Cambria" w:eastAsia="Cambria" w:hAnsi="Cambria" w:cs="Cambria"/>
          <w:sz w:val="20"/>
          <w:szCs w:val="20"/>
          <w:lang w:val="en-US"/>
        </w:rPr>
      </w:pPr>
    </w:p>
    <w:p w14:paraId="63C7B038"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Yang</w:t>
      </w:r>
      <w:r w:rsidRPr="00F0379B">
        <w:rPr>
          <w:rFonts w:ascii="Cambria" w:eastAsia="Cambria" w:hAnsi="Cambria" w:cs="Cambria"/>
          <w:sz w:val="20"/>
          <w:szCs w:val="20"/>
          <w:lang w:val="en-US"/>
        </w:rPr>
        <w:t>, Shan-Wen</w:t>
      </w:r>
    </w:p>
    <w:p w14:paraId="7EC03E83"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Secretary, Overseas Fisheries Development Council, 3F, No. 14, Wenzhou Street, </w:t>
      </w:r>
      <w:proofErr w:type="spellStart"/>
      <w:r w:rsidRPr="00F0379B">
        <w:rPr>
          <w:rFonts w:ascii="Cambria" w:eastAsia="Cambria" w:hAnsi="Cambria" w:cs="Cambria"/>
          <w:sz w:val="20"/>
          <w:szCs w:val="20"/>
          <w:lang w:val="en-US"/>
        </w:rPr>
        <w:t>Da'an</w:t>
      </w:r>
      <w:proofErr w:type="spellEnd"/>
      <w:r w:rsidRPr="00F0379B">
        <w:rPr>
          <w:rFonts w:ascii="Cambria" w:eastAsia="Cambria" w:hAnsi="Cambria" w:cs="Cambria"/>
          <w:sz w:val="20"/>
          <w:szCs w:val="20"/>
          <w:lang w:val="en-US"/>
        </w:rPr>
        <w:t xml:space="preserve"> Dist., 10648</w:t>
      </w:r>
    </w:p>
    <w:p w14:paraId="302B368E" w14:textId="77777777" w:rsidR="009123AC" w:rsidRPr="00F0379B" w:rsidRDefault="009123AC" w:rsidP="009123AC">
      <w:pPr>
        <w:spacing w:after="0" w:line="240" w:lineRule="auto"/>
        <w:jc w:val="both"/>
        <w:rPr>
          <w:rFonts w:ascii="Cambria" w:eastAsia="Cambria" w:hAnsi="Cambria" w:cs="Cambria"/>
          <w:sz w:val="20"/>
          <w:szCs w:val="20"/>
          <w:lang w:val="pt-BR"/>
        </w:rPr>
      </w:pPr>
      <w:proofErr w:type="spellStart"/>
      <w:r w:rsidRPr="00F0379B">
        <w:rPr>
          <w:rFonts w:ascii="Cambria" w:eastAsia="Cambria" w:hAnsi="Cambria" w:cs="Cambria"/>
          <w:sz w:val="20"/>
          <w:szCs w:val="20"/>
          <w:lang w:val="pt-BR"/>
        </w:rPr>
        <w:t>Tel</w:t>
      </w:r>
      <w:proofErr w:type="spellEnd"/>
      <w:r w:rsidRPr="00F0379B">
        <w:rPr>
          <w:rFonts w:ascii="Cambria" w:eastAsia="Cambria" w:hAnsi="Cambria" w:cs="Cambria"/>
          <w:sz w:val="20"/>
          <w:szCs w:val="20"/>
          <w:lang w:val="pt-BR"/>
        </w:rPr>
        <w:t>: +886 2 2368 0889 #151, Fax: +886 2 2368 6418, E-Mail: shenwen@ofdc.org.tw</w:t>
      </w:r>
    </w:p>
    <w:p w14:paraId="04D8AEF2" w14:textId="77777777" w:rsidR="009123AC" w:rsidRPr="00F0379B" w:rsidRDefault="009123AC" w:rsidP="009123AC">
      <w:pPr>
        <w:spacing w:after="0" w:line="240" w:lineRule="auto"/>
        <w:rPr>
          <w:rFonts w:ascii="Cambria" w:eastAsia="Cambria" w:hAnsi="Cambria" w:cs="Cambria"/>
          <w:sz w:val="20"/>
          <w:szCs w:val="20"/>
          <w:lang w:val="pt-BR"/>
        </w:rPr>
      </w:pPr>
    </w:p>
    <w:p w14:paraId="07BC26BA" w14:textId="77777777" w:rsidR="009123AC" w:rsidRPr="00F0379B" w:rsidRDefault="009123AC" w:rsidP="009123AC">
      <w:pPr>
        <w:spacing w:after="0" w:line="240" w:lineRule="auto"/>
        <w:rPr>
          <w:rFonts w:ascii="Cambria" w:eastAsia="Cambria" w:hAnsi="Cambria" w:cs="Cambria"/>
          <w:sz w:val="20"/>
          <w:szCs w:val="20"/>
          <w:lang w:val="pt-BR"/>
        </w:rPr>
      </w:pPr>
      <w:r w:rsidRPr="00F0379B">
        <w:rPr>
          <w:rFonts w:ascii="Cambria" w:eastAsia="Cambria" w:hAnsi="Cambria" w:cs="Cambria"/>
          <w:b/>
          <w:i/>
          <w:sz w:val="20"/>
          <w:szCs w:val="20"/>
          <w:lang w:val="pt-BR"/>
        </w:rPr>
        <w:t>OBSERVADORES DE ORGANISMOS NO GUBERNAMENTALES</w:t>
      </w:r>
      <w:r w:rsidRPr="00F0379B">
        <w:rPr>
          <w:rFonts w:ascii="Cambria" w:eastAsia="Cambria" w:hAnsi="Cambria" w:cs="Cambria"/>
          <w:b/>
          <w:i/>
          <w:sz w:val="20"/>
          <w:szCs w:val="20"/>
          <w:lang w:val="pt-BR"/>
        </w:rPr>
        <w:br/>
      </w:r>
    </w:p>
    <w:p w14:paraId="58265282"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ECOLOGY ACTION CENTRE</w:t>
      </w:r>
    </w:p>
    <w:p w14:paraId="5138341F"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Isnor</w:t>
      </w:r>
      <w:proofErr w:type="spellEnd"/>
      <w:r w:rsidRPr="00F0379B">
        <w:rPr>
          <w:rFonts w:ascii="Cambria" w:eastAsia="Cambria" w:hAnsi="Cambria" w:cs="Cambria"/>
          <w:sz w:val="20"/>
          <w:szCs w:val="20"/>
          <w:lang w:val="en-US"/>
        </w:rPr>
        <w:t>, Holly (online)</w:t>
      </w:r>
    </w:p>
    <w:p w14:paraId="74345C81"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Ecology Action Centre - EAC, 2705 Fern Lane, Halifax Nova Scotia B3K 4L3, Canada</w:t>
      </w:r>
    </w:p>
    <w:p w14:paraId="17CDB980"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+1 902 580 0600, E-Mail: hollyisnor@ecologyaction.ca</w:t>
      </w:r>
    </w:p>
    <w:p w14:paraId="4A52280F" w14:textId="77777777" w:rsidR="009123AC" w:rsidRPr="00F0379B" w:rsidRDefault="009123AC" w:rsidP="009123AC">
      <w:pPr>
        <w:spacing w:after="0" w:line="240" w:lineRule="auto"/>
        <w:rPr>
          <w:rFonts w:ascii="Cambria" w:eastAsia="Cambria" w:hAnsi="Cambria" w:cs="Cambria"/>
          <w:sz w:val="20"/>
          <w:szCs w:val="20"/>
          <w:lang w:val="pt-PT"/>
        </w:rPr>
      </w:pPr>
    </w:p>
    <w:p w14:paraId="4CD7A901"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FEDERATION OF EUROPEAN AQUACULTURE PRODUCERS - FEAP</w:t>
      </w:r>
    </w:p>
    <w:p w14:paraId="087B783D"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Gouder</w:t>
      </w:r>
      <w:r w:rsidRPr="00F0379B">
        <w:rPr>
          <w:rFonts w:ascii="Cambria" w:eastAsia="Cambria" w:hAnsi="Cambria" w:cs="Cambria"/>
          <w:sz w:val="20"/>
          <w:szCs w:val="20"/>
          <w:lang w:val="en-US"/>
        </w:rPr>
        <w:t xml:space="preserve">, Charlon </w:t>
      </w:r>
      <w:r w:rsidRPr="00F0379B">
        <w:rPr>
          <w:rFonts w:ascii="Cambria" w:eastAsia="Cambria" w:hAnsi="Cambria" w:cs="Cambria"/>
          <w:sz w:val="20"/>
          <w:szCs w:val="20"/>
          <w:vertAlign w:val="superscript"/>
          <w:lang w:val="en-US"/>
        </w:rPr>
        <w:t>1</w:t>
      </w:r>
    </w:p>
    <w:p w14:paraId="03C06CB8"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Head of the Federation of Maltese Aquaculture Producers, FEDERATION OF EUROPEAN AQUACULTURE PRODUCERS, 1000 Brussels, Belgium</w:t>
      </w:r>
    </w:p>
    <w:p w14:paraId="081776EF" w14:textId="77777777" w:rsidR="009123AC" w:rsidRPr="00F0379B" w:rsidRDefault="009123AC" w:rsidP="009123AC">
      <w:pPr>
        <w:spacing w:after="0" w:line="240" w:lineRule="auto"/>
        <w:rPr>
          <w:rFonts w:ascii="Cambria" w:eastAsia="Cambria" w:hAnsi="Cambria" w:cs="Cambria"/>
          <w:sz w:val="20"/>
          <w:szCs w:val="20"/>
          <w:lang w:val="en-US"/>
        </w:rPr>
      </w:pPr>
    </w:p>
    <w:p w14:paraId="073A691F"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FEDERATION OF MALTESE AQUACULTURE PRODUCERS – FMAP</w:t>
      </w:r>
    </w:p>
    <w:p w14:paraId="66DF89E0"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Camilleri</w:t>
      </w:r>
      <w:r w:rsidRPr="00F0379B">
        <w:rPr>
          <w:rFonts w:ascii="Cambria" w:eastAsia="Cambria" w:hAnsi="Cambria" w:cs="Cambria"/>
          <w:sz w:val="20"/>
          <w:szCs w:val="20"/>
          <w:lang w:val="fr-FR"/>
        </w:rPr>
        <w:t>, Tristan Charles</w:t>
      </w:r>
    </w:p>
    <w:p w14:paraId="28B93862" w14:textId="77777777" w:rsidR="009123AC" w:rsidRPr="00F0379B" w:rsidRDefault="009123AC" w:rsidP="009123AC">
      <w:pPr>
        <w:spacing w:after="0" w:line="240" w:lineRule="auto"/>
        <w:jc w:val="both"/>
        <w:rPr>
          <w:rFonts w:ascii="Cambria" w:eastAsia="Cambria" w:hAnsi="Cambria" w:cs="Cambria"/>
          <w:sz w:val="20"/>
          <w:szCs w:val="20"/>
          <w:lang w:val="fr-FR"/>
        </w:rPr>
      </w:pPr>
      <w:r w:rsidRPr="00F0379B">
        <w:rPr>
          <w:rFonts w:ascii="Cambria" w:eastAsia="Cambria" w:hAnsi="Cambria" w:cs="Cambria"/>
          <w:sz w:val="20"/>
          <w:szCs w:val="20"/>
          <w:lang w:val="fr-FR"/>
        </w:rPr>
        <w:t>AQUACULTURE RESOURCES LTD, 157 Grand Central Offices, 1440 Valetta, Malta</w:t>
      </w:r>
    </w:p>
    <w:p w14:paraId="64B4D18E"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+356 229 26900; +356 994 30518, E-Mail: tc@aquacultureresources.com</w:t>
      </w:r>
    </w:p>
    <w:p w14:paraId="07D81925" w14:textId="77777777" w:rsidR="009123AC" w:rsidRPr="00F0379B" w:rsidRDefault="009123AC" w:rsidP="009123AC">
      <w:pPr>
        <w:spacing w:after="0" w:line="240" w:lineRule="auto"/>
        <w:rPr>
          <w:rFonts w:ascii="Cambria" w:eastAsia="Cambria" w:hAnsi="Cambria" w:cs="Cambria"/>
          <w:sz w:val="20"/>
          <w:szCs w:val="20"/>
          <w:lang w:val="pt-PT"/>
        </w:rPr>
      </w:pPr>
    </w:p>
    <w:p w14:paraId="08494AC8"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MARINE STEWARDSHIP COUNCIL - MSC</w:t>
      </w:r>
    </w:p>
    <w:p w14:paraId="7EC67FD1" w14:textId="77777777" w:rsidR="009123AC" w:rsidRPr="00F912AA" w:rsidRDefault="009123AC" w:rsidP="009123AC">
      <w:pPr>
        <w:spacing w:after="0" w:line="240" w:lineRule="auto"/>
        <w:rPr>
          <w:rFonts w:ascii="Cambria" w:eastAsia="Cambria" w:hAnsi="Cambria" w:cs="Cambria"/>
          <w:sz w:val="20"/>
          <w:szCs w:val="20"/>
        </w:rPr>
      </w:pPr>
      <w:r w:rsidRPr="00F912AA">
        <w:rPr>
          <w:rFonts w:ascii="Cambria" w:eastAsia="Cambria" w:hAnsi="Cambria" w:cs="Cambria"/>
          <w:b/>
          <w:sz w:val="20"/>
          <w:szCs w:val="20"/>
        </w:rPr>
        <w:t>Agujetas</w:t>
      </w:r>
      <w:r w:rsidRPr="00F912AA">
        <w:rPr>
          <w:rFonts w:ascii="Cambria" w:eastAsia="Cambria" w:hAnsi="Cambria" w:cs="Cambria"/>
          <w:sz w:val="20"/>
          <w:szCs w:val="20"/>
        </w:rPr>
        <w:t xml:space="preserve">, Julio </w:t>
      </w:r>
      <w:r w:rsidRPr="00F912AA">
        <w:rPr>
          <w:rFonts w:ascii="Cambria" w:eastAsia="Cambria" w:hAnsi="Cambria" w:cs="Cambria"/>
          <w:sz w:val="20"/>
          <w:szCs w:val="20"/>
          <w:vertAlign w:val="superscript"/>
        </w:rPr>
        <w:t xml:space="preserve">1 </w:t>
      </w:r>
      <w:r w:rsidRPr="00F912AA">
        <w:rPr>
          <w:rFonts w:ascii="Cambria" w:eastAsia="Cambria" w:hAnsi="Cambria" w:cs="Cambria"/>
          <w:sz w:val="20"/>
          <w:szCs w:val="20"/>
        </w:rPr>
        <w:t>(online)</w:t>
      </w:r>
    </w:p>
    <w:p w14:paraId="202278BA"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MSC, 28020 Madrid, España</w:t>
      </w:r>
    </w:p>
    <w:p w14:paraId="657E3E87" w14:textId="77777777" w:rsidR="009123AC" w:rsidRPr="00F0379B" w:rsidRDefault="009123AC" w:rsidP="009123AC">
      <w:pPr>
        <w:spacing w:after="0" w:line="240" w:lineRule="auto"/>
        <w:rPr>
          <w:rFonts w:ascii="Cambria" w:eastAsia="Cambria" w:hAnsi="Cambria" w:cs="Cambria"/>
          <w:sz w:val="20"/>
          <w:szCs w:val="20"/>
        </w:rPr>
      </w:pPr>
    </w:p>
    <w:p w14:paraId="37319B68"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Moniz</w:t>
      </w:r>
      <w:r w:rsidRPr="00F0379B">
        <w:rPr>
          <w:rFonts w:ascii="Cambria" w:eastAsia="Cambria" w:hAnsi="Cambria" w:cs="Cambria"/>
          <w:sz w:val="20"/>
          <w:szCs w:val="20"/>
        </w:rPr>
        <w:t>, Isadora (online)</w:t>
      </w:r>
    </w:p>
    <w:p w14:paraId="0523C0DF" w14:textId="77777777" w:rsidR="009123AC" w:rsidRPr="00F912AA" w:rsidRDefault="009123AC" w:rsidP="009123AC">
      <w:pPr>
        <w:spacing w:after="0" w:line="240" w:lineRule="auto"/>
        <w:jc w:val="both"/>
        <w:rPr>
          <w:rFonts w:ascii="Cambria" w:eastAsia="Cambria" w:hAnsi="Cambria" w:cs="Cambria"/>
          <w:sz w:val="20"/>
          <w:szCs w:val="20"/>
        </w:rPr>
      </w:pPr>
      <w:r w:rsidRPr="00F912AA">
        <w:rPr>
          <w:rFonts w:ascii="Cambria" w:eastAsia="Cambria" w:hAnsi="Cambria" w:cs="Cambria"/>
          <w:sz w:val="20"/>
          <w:szCs w:val="20"/>
        </w:rPr>
        <w:t>Marine Stewardship Council - MSC, General Perón, 22 – 2º D, 28001 Madrid, España</w:t>
      </w:r>
    </w:p>
    <w:p w14:paraId="47AAE78E" w14:textId="77777777" w:rsidR="009123AC" w:rsidRPr="00F912AA" w:rsidRDefault="009123AC" w:rsidP="009123AC">
      <w:pPr>
        <w:spacing w:after="0" w:line="240" w:lineRule="auto"/>
        <w:jc w:val="both"/>
        <w:rPr>
          <w:rFonts w:ascii="Cambria" w:eastAsia="Cambria" w:hAnsi="Cambria" w:cs="Cambria"/>
          <w:sz w:val="20"/>
          <w:szCs w:val="20"/>
        </w:rPr>
      </w:pPr>
      <w:r w:rsidRPr="00F912AA">
        <w:rPr>
          <w:rFonts w:ascii="Cambria" w:eastAsia="Cambria" w:hAnsi="Cambria" w:cs="Cambria"/>
          <w:sz w:val="20"/>
          <w:szCs w:val="20"/>
        </w:rPr>
        <w:t>Tel: +34 91 831 5963; +34 674 071 053, E-Mail: isadora.moniz@msc.org</w:t>
      </w:r>
    </w:p>
    <w:p w14:paraId="02820370" w14:textId="77777777" w:rsidR="009123AC" w:rsidRPr="00F912AA" w:rsidRDefault="009123AC" w:rsidP="009123AC">
      <w:pPr>
        <w:spacing w:after="0" w:line="240" w:lineRule="auto"/>
        <w:rPr>
          <w:rFonts w:ascii="Cambria" w:eastAsia="Cambria" w:hAnsi="Cambria" w:cs="Cambria"/>
          <w:sz w:val="20"/>
          <w:szCs w:val="20"/>
        </w:rPr>
      </w:pPr>
    </w:p>
    <w:p w14:paraId="50CA92CA" w14:textId="77777777" w:rsidR="009123AC" w:rsidRPr="00F912AA" w:rsidRDefault="009123AC" w:rsidP="009123AC">
      <w:pPr>
        <w:spacing w:after="0" w:line="240" w:lineRule="auto"/>
        <w:rPr>
          <w:rFonts w:ascii="Cambria" w:eastAsia="Cambria" w:hAnsi="Cambria" w:cs="Cambria"/>
          <w:sz w:val="20"/>
          <w:szCs w:val="20"/>
        </w:rPr>
      </w:pPr>
      <w:r w:rsidRPr="00F912AA">
        <w:rPr>
          <w:rFonts w:ascii="Cambria" w:eastAsia="Cambria" w:hAnsi="Cambria" w:cs="Cambria"/>
          <w:b/>
          <w:sz w:val="20"/>
          <w:szCs w:val="20"/>
        </w:rPr>
        <w:t>PEW CHARITABLE TRUSTS - PEW</w:t>
      </w:r>
    </w:p>
    <w:p w14:paraId="066E2495"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Wozniak</w:t>
      </w:r>
      <w:r w:rsidRPr="00F0379B">
        <w:rPr>
          <w:rFonts w:ascii="Cambria" w:eastAsia="Cambria" w:hAnsi="Cambria" w:cs="Cambria"/>
          <w:sz w:val="20"/>
          <w:szCs w:val="20"/>
          <w:lang w:val="en-US"/>
        </w:rPr>
        <w:t>, Esther (online)</w:t>
      </w:r>
    </w:p>
    <w:p w14:paraId="4A7E2066"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Pew Charitable Trusts, 901 E Street, NW, Washington DC 20004, United States</w:t>
      </w:r>
    </w:p>
    <w:p w14:paraId="63ADD2B4"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+1 202 540 6588, E-Mail: ewozniak@pewtrusts.org</w:t>
      </w:r>
    </w:p>
    <w:p w14:paraId="1E792194" w14:textId="77777777" w:rsidR="009123AC" w:rsidRPr="00F0379B" w:rsidRDefault="009123AC" w:rsidP="009123AC">
      <w:pPr>
        <w:spacing w:after="0" w:line="240" w:lineRule="auto"/>
        <w:rPr>
          <w:rFonts w:ascii="Cambria" w:eastAsia="Cambria" w:hAnsi="Cambria" w:cs="Cambria"/>
          <w:sz w:val="20"/>
          <w:szCs w:val="20"/>
          <w:lang w:val="pt-PT"/>
        </w:rPr>
      </w:pPr>
    </w:p>
    <w:p w14:paraId="2809EA9B" w14:textId="77777777" w:rsidR="009123AC" w:rsidRPr="00F0379B" w:rsidRDefault="009123AC" w:rsidP="009123AC">
      <w:pPr>
        <w:spacing w:after="0" w:line="240" w:lineRule="auto"/>
        <w:rPr>
          <w:rFonts w:ascii="Cambria" w:eastAsia="Cambria" w:hAnsi="Cambria" w:cs="Cambria"/>
          <w:sz w:val="20"/>
          <w:szCs w:val="20"/>
          <w:lang w:val="pt-PT"/>
        </w:rPr>
      </w:pPr>
      <w:r w:rsidRPr="00F0379B">
        <w:rPr>
          <w:rFonts w:ascii="Cambria" w:eastAsia="Cambria" w:hAnsi="Cambria" w:cs="Cambria"/>
          <w:b/>
          <w:sz w:val="20"/>
          <w:szCs w:val="20"/>
          <w:lang w:val="pt-PT"/>
        </w:rPr>
        <w:t>SCIAENA</w:t>
      </w:r>
    </w:p>
    <w:p w14:paraId="1F7A0CDC" w14:textId="77777777" w:rsidR="009123AC" w:rsidRPr="00F0379B" w:rsidRDefault="009123AC" w:rsidP="009123AC">
      <w:pPr>
        <w:spacing w:after="0" w:line="240" w:lineRule="auto"/>
        <w:rPr>
          <w:rFonts w:ascii="Cambria" w:eastAsia="Cambria" w:hAnsi="Cambria" w:cs="Cambria"/>
          <w:sz w:val="20"/>
          <w:szCs w:val="20"/>
          <w:lang w:val="pt-PT"/>
        </w:rPr>
      </w:pPr>
      <w:r w:rsidRPr="00F0379B">
        <w:rPr>
          <w:rFonts w:ascii="Cambria" w:eastAsia="Cambria" w:hAnsi="Cambria" w:cs="Cambria"/>
          <w:b/>
          <w:sz w:val="20"/>
          <w:szCs w:val="20"/>
          <w:lang w:val="pt-PT"/>
        </w:rPr>
        <w:t>Blanc</w:t>
      </w:r>
      <w:r w:rsidRPr="00F0379B">
        <w:rPr>
          <w:rFonts w:ascii="Cambria" w:eastAsia="Cambria" w:hAnsi="Cambria" w:cs="Cambria"/>
          <w:sz w:val="20"/>
          <w:szCs w:val="20"/>
          <w:lang w:val="pt-PT"/>
        </w:rPr>
        <w:t>, Nicolas (online)</w:t>
      </w:r>
    </w:p>
    <w:p w14:paraId="284C1184"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Incubadora de Empresas da Universidade do Algarve, Campus de Gambelas, Pavilhão B1, 8005-226 Faro, Portugal</w:t>
      </w:r>
    </w:p>
    <w:p w14:paraId="0948B445"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+351 917 018 720, E-Mail: nblanc@sciaena.org</w:t>
      </w:r>
    </w:p>
    <w:p w14:paraId="45388133" w14:textId="77777777" w:rsidR="009123AC" w:rsidRPr="00F0379B" w:rsidRDefault="009123AC" w:rsidP="009123AC">
      <w:pPr>
        <w:spacing w:after="0" w:line="240" w:lineRule="auto"/>
        <w:rPr>
          <w:rFonts w:ascii="Cambria" w:eastAsia="Cambria" w:hAnsi="Cambria" w:cs="Cambria"/>
          <w:b/>
          <w:sz w:val="20"/>
          <w:szCs w:val="20"/>
          <w:lang w:val="pt-BR"/>
        </w:rPr>
      </w:pPr>
    </w:p>
    <w:p w14:paraId="23C15BF8"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lastRenderedPageBreak/>
        <w:t>THE BILLFISH FOUNDATION - TBF</w:t>
      </w:r>
    </w:p>
    <w:p w14:paraId="4BF1F5C9" w14:textId="77777777" w:rsidR="009123AC" w:rsidRPr="00F0379B" w:rsidRDefault="009123AC" w:rsidP="009123AC">
      <w:pPr>
        <w:spacing w:after="0" w:line="240" w:lineRule="auto"/>
        <w:rPr>
          <w:rFonts w:ascii="Cambria" w:eastAsia="Cambria" w:hAnsi="Cambria" w:cs="Cambria"/>
          <w:sz w:val="20"/>
          <w:szCs w:val="20"/>
          <w:lang w:val="en-US"/>
        </w:rPr>
      </w:pPr>
      <w:proofErr w:type="spellStart"/>
      <w:r w:rsidRPr="00F0379B">
        <w:rPr>
          <w:rFonts w:ascii="Cambria" w:eastAsia="Cambria" w:hAnsi="Cambria" w:cs="Cambria"/>
          <w:b/>
          <w:sz w:val="20"/>
          <w:szCs w:val="20"/>
          <w:lang w:val="en-US"/>
        </w:rPr>
        <w:t>DePersenaire</w:t>
      </w:r>
      <w:proofErr w:type="spellEnd"/>
      <w:r w:rsidRPr="00F0379B">
        <w:rPr>
          <w:rFonts w:ascii="Cambria" w:eastAsia="Cambria" w:hAnsi="Cambria" w:cs="Cambria"/>
          <w:sz w:val="20"/>
          <w:szCs w:val="20"/>
          <w:lang w:val="en-US"/>
        </w:rPr>
        <w:t>, John (online)</w:t>
      </w:r>
    </w:p>
    <w:p w14:paraId="1C6EFECE"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The Billfish Foundation, 5738 N Route 9, New Gretna, NJ 08224, United States</w:t>
      </w:r>
    </w:p>
    <w:p w14:paraId="6931F60E"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+1 609 576 4421, E-Mail: jdepersenaire@vikingyachts.com</w:t>
      </w:r>
    </w:p>
    <w:p w14:paraId="3CB97364" w14:textId="77777777" w:rsidR="009123AC" w:rsidRPr="00F0379B" w:rsidRDefault="009123AC" w:rsidP="009123AC">
      <w:pPr>
        <w:spacing w:after="0" w:line="240" w:lineRule="auto"/>
        <w:rPr>
          <w:rFonts w:ascii="Cambria" w:eastAsia="Cambria" w:hAnsi="Cambria" w:cs="Cambria"/>
          <w:sz w:val="20"/>
          <w:szCs w:val="20"/>
          <w:lang w:val="pt-PT"/>
        </w:rPr>
      </w:pPr>
    </w:p>
    <w:p w14:paraId="318CAA48"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Weber</w:t>
      </w:r>
      <w:r w:rsidRPr="00F0379B">
        <w:rPr>
          <w:rFonts w:ascii="Cambria" w:eastAsia="Cambria" w:hAnsi="Cambria" w:cs="Cambria"/>
          <w:sz w:val="20"/>
          <w:szCs w:val="20"/>
          <w:lang w:val="en-US"/>
        </w:rPr>
        <w:t>, Richard (online)</w:t>
      </w:r>
    </w:p>
    <w:p w14:paraId="7C6D55A8"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Owner/Operator, South Jersey Marina, 1231 New Jersey 109, Cape May, New Jersey 08204, United States</w:t>
      </w:r>
    </w:p>
    <w:p w14:paraId="097C1581"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Tel: +1 609 780 7365, Fax: +1 609 884 0039, E-Mail: rweber@southjerseymarina.com</w:t>
      </w:r>
    </w:p>
    <w:p w14:paraId="7851B8EC" w14:textId="77777777" w:rsidR="009123AC" w:rsidRPr="00F0379B" w:rsidRDefault="009123AC" w:rsidP="009123AC">
      <w:pPr>
        <w:spacing w:after="0" w:line="240" w:lineRule="auto"/>
        <w:rPr>
          <w:rFonts w:ascii="Cambria" w:eastAsia="Cambria" w:hAnsi="Cambria" w:cs="Cambria"/>
          <w:sz w:val="20"/>
          <w:szCs w:val="20"/>
          <w:lang w:val="en-US"/>
        </w:rPr>
      </w:pPr>
    </w:p>
    <w:p w14:paraId="72302560"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THE INTERNATIONAL POLE &amp; LINE FOUNDATION - IPNLF</w:t>
      </w:r>
    </w:p>
    <w:p w14:paraId="3C16C697"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Dyer</w:t>
      </w:r>
      <w:r w:rsidRPr="00F0379B">
        <w:rPr>
          <w:rFonts w:ascii="Cambria" w:eastAsia="Cambria" w:hAnsi="Cambria" w:cs="Cambria"/>
          <w:sz w:val="20"/>
          <w:szCs w:val="20"/>
          <w:lang w:val="en-US"/>
        </w:rPr>
        <w:t>, Emilia (online)</w:t>
      </w:r>
    </w:p>
    <w:p w14:paraId="50CD6C4A"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IPNLF, 2 </w:t>
      </w:r>
      <w:proofErr w:type="spellStart"/>
      <w:r w:rsidRPr="00F0379B">
        <w:rPr>
          <w:rFonts w:ascii="Cambria" w:eastAsia="Cambria" w:hAnsi="Cambria" w:cs="Cambria"/>
          <w:sz w:val="20"/>
          <w:szCs w:val="20"/>
          <w:lang w:val="en-US"/>
        </w:rPr>
        <w:t>Chawley</w:t>
      </w:r>
      <w:proofErr w:type="spellEnd"/>
      <w:r w:rsidRPr="00F0379B">
        <w:rPr>
          <w:rFonts w:ascii="Cambria" w:eastAsia="Cambria" w:hAnsi="Cambria" w:cs="Cambria"/>
          <w:sz w:val="20"/>
          <w:szCs w:val="20"/>
          <w:lang w:val="en-US"/>
        </w:rPr>
        <w:t xml:space="preserve"> Park, Cumnor Hill, Cumnor, Oxford Oxfordshire OX2 9GG, United Kingdom</w:t>
      </w:r>
    </w:p>
    <w:p w14:paraId="73C04020"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+44 745 512 0898, E-Mail: emilia.dyer@ipnlf.org</w:t>
      </w:r>
    </w:p>
    <w:p w14:paraId="31690562" w14:textId="77777777" w:rsidR="009123AC" w:rsidRPr="00F0379B" w:rsidRDefault="009123AC" w:rsidP="009123AC">
      <w:pPr>
        <w:spacing w:after="0" w:line="240" w:lineRule="auto"/>
        <w:rPr>
          <w:rFonts w:ascii="Cambria" w:eastAsia="Cambria" w:hAnsi="Cambria" w:cs="Cambria"/>
          <w:sz w:val="20"/>
          <w:szCs w:val="20"/>
          <w:lang w:val="pt-PT"/>
        </w:rPr>
      </w:pPr>
    </w:p>
    <w:p w14:paraId="250060E3" w14:textId="77777777" w:rsidR="009123AC" w:rsidRPr="00F912AA" w:rsidRDefault="009123AC" w:rsidP="009123AC">
      <w:pPr>
        <w:spacing w:after="0" w:line="240" w:lineRule="auto"/>
        <w:rPr>
          <w:rFonts w:ascii="Cambria" w:eastAsia="Cambria" w:hAnsi="Cambria" w:cs="Cambria"/>
          <w:sz w:val="20"/>
          <w:szCs w:val="20"/>
          <w:lang w:val="it-IT"/>
        </w:rPr>
      </w:pPr>
      <w:proofErr w:type="spellStart"/>
      <w:r w:rsidRPr="00F912AA">
        <w:rPr>
          <w:rFonts w:ascii="Cambria" w:eastAsia="Cambria" w:hAnsi="Cambria" w:cs="Cambria"/>
          <w:b/>
          <w:sz w:val="20"/>
          <w:szCs w:val="20"/>
          <w:lang w:val="it-IT"/>
        </w:rPr>
        <w:t>Perraudeau</w:t>
      </w:r>
      <w:proofErr w:type="spellEnd"/>
      <w:r w:rsidRPr="00F912AA">
        <w:rPr>
          <w:rFonts w:ascii="Cambria" w:eastAsia="Cambria" w:hAnsi="Cambria" w:cs="Cambria"/>
          <w:sz w:val="20"/>
          <w:szCs w:val="20"/>
          <w:lang w:val="it-IT"/>
        </w:rPr>
        <w:t>, Maia (online)</w:t>
      </w:r>
    </w:p>
    <w:p w14:paraId="1A91A79A"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 xml:space="preserve">IPNLF, 2 </w:t>
      </w:r>
      <w:proofErr w:type="spellStart"/>
      <w:r w:rsidRPr="00F0379B">
        <w:rPr>
          <w:rFonts w:ascii="Cambria" w:eastAsia="Cambria" w:hAnsi="Cambria" w:cs="Cambria"/>
          <w:sz w:val="20"/>
          <w:szCs w:val="20"/>
          <w:lang w:val="en-US"/>
        </w:rPr>
        <w:t>Chawley</w:t>
      </w:r>
      <w:proofErr w:type="spellEnd"/>
      <w:r w:rsidRPr="00F0379B">
        <w:rPr>
          <w:rFonts w:ascii="Cambria" w:eastAsia="Cambria" w:hAnsi="Cambria" w:cs="Cambria"/>
          <w:sz w:val="20"/>
          <w:szCs w:val="20"/>
          <w:lang w:val="en-US"/>
        </w:rPr>
        <w:t xml:space="preserve"> Park, Cumnor Hill, Cumnor, Oxford OX2 9GG, United Kingdom</w:t>
      </w:r>
    </w:p>
    <w:p w14:paraId="60D78F31"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+39 339 838 6501, E-Mail: maia.perraudeau@ipnlf.org</w:t>
      </w:r>
    </w:p>
    <w:p w14:paraId="489D393F" w14:textId="77777777" w:rsidR="009123AC" w:rsidRPr="00F0379B" w:rsidRDefault="009123AC" w:rsidP="009123AC">
      <w:pPr>
        <w:spacing w:after="0" w:line="240" w:lineRule="auto"/>
        <w:rPr>
          <w:rFonts w:ascii="Cambria" w:eastAsia="Cambria" w:hAnsi="Cambria" w:cs="Cambria"/>
          <w:sz w:val="20"/>
          <w:szCs w:val="20"/>
          <w:lang w:val="pt-PT"/>
        </w:rPr>
      </w:pPr>
    </w:p>
    <w:p w14:paraId="52A9F5AF"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THE OCEAN FOUNDATION</w:t>
      </w:r>
    </w:p>
    <w:p w14:paraId="5D432592"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Miller</w:t>
      </w:r>
      <w:r w:rsidRPr="00F0379B">
        <w:rPr>
          <w:rFonts w:ascii="Cambria" w:eastAsia="Cambria" w:hAnsi="Cambria" w:cs="Cambria"/>
          <w:sz w:val="20"/>
          <w:szCs w:val="20"/>
          <w:lang w:val="en-US"/>
        </w:rPr>
        <w:t>, Shana (online)</w:t>
      </w:r>
    </w:p>
    <w:p w14:paraId="74053A90"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The Ocean Foundation, 1320 19th St., NW, 5th Floor, Washington, DC 20036, United States</w:t>
      </w:r>
    </w:p>
    <w:p w14:paraId="07A48F11"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+1 631 671 1530, E-Mail: smiller@oceanfdn.org</w:t>
      </w:r>
    </w:p>
    <w:p w14:paraId="4F113041" w14:textId="77777777" w:rsidR="009123AC" w:rsidRPr="00F0379B" w:rsidRDefault="009123AC" w:rsidP="009123AC">
      <w:pPr>
        <w:spacing w:after="0" w:line="240" w:lineRule="auto"/>
        <w:rPr>
          <w:rFonts w:ascii="Cambria" w:eastAsia="Cambria" w:hAnsi="Cambria" w:cs="Cambria"/>
          <w:sz w:val="20"/>
          <w:szCs w:val="20"/>
          <w:lang w:val="pt-PT"/>
        </w:rPr>
      </w:pPr>
    </w:p>
    <w:p w14:paraId="6175067A"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WORLDWIDE FUND FOR NATURE – WWF</w:t>
      </w:r>
    </w:p>
    <w:p w14:paraId="6186607E" w14:textId="77777777" w:rsidR="009123AC" w:rsidRPr="00F912AA" w:rsidRDefault="009123AC" w:rsidP="009123AC">
      <w:pPr>
        <w:spacing w:after="0" w:line="240" w:lineRule="auto"/>
        <w:rPr>
          <w:rFonts w:ascii="Cambria" w:eastAsia="Cambria" w:hAnsi="Cambria" w:cs="Cambria"/>
          <w:sz w:val="20"/>
          <w:szCs w:val="20"/>
          <w:lang w:val="it-IT"/>
        </w:rPr>
      </w:pPr>
      <w:r w:rsidRPr="00F912AA">
        <w:rPr>
          <w:rFonts w:ascii="Cambria" w:eastAsia="Cambria" w:hAnsi="Cambria" w:cs="Cambria"/>
          <w:b/>
          <w:sz w:val="20"/>
          <w:szCs w:val="20"/>
          <w:lang w:val="it-IT"/>
        </w:rPr>
        <w:t>Buzzi</w:t>
      </w:r>
      <w:r w:rsidRPr="00F912AA">
        <w:rPr>
          <w:rFonts w:ascii="Cambria" w:eastAsia="Cambria" w:hAnsi="Cambria" w:cs="Cambria"/>
          <w:sz w:val="20"/>
          <w:szCs w:val="20"/>
          <w:lang w:val="it-IT"/>
        </w:rPr>
        <w:t>, Alessandro (online)</w:t>
      </w:r>
    </w:p>
    <w:p w14:paraId="7B30AA5F" w14:textId="77777777" w:rsidR="009123AC" w:rsidRPr="00F0379B" w:rsidRDefault="009123AC" w:rsidP="009123AC">
      <w:pPr>
        <w:spacing w:after="0" w:line="240" w:lineRule="auto"/>
        <w:jc w:val="both"/>
        <w:rPr>
          <w:rFonts w:ascii="Cambria" w:eastAsia="Cambria" w:hAnsi="Cambria" w:cs="Cambria"/>
          <w:sz w:val="20"/>
          <w:szCs w:val="20"/>
          <w:lang w:val="it-IT"/>
        </w:rPr>
      </w:pPr>
      <w:r w:rsidRPr="00F0379B">
        <w:rPr>
          <w:rFonts w:ascii="Cambria" w:eastAsia="Cambria" w:hAnsi="Cambria" w:cs="Cambria"/>
          <w:sz w:val="20"/>
          <w:szCs w:val="20"/>
          <w:lang w:val="it-IT"/>
        </w:rPr>
        <w:t xml:space="preserve">WWF </w:t>
      </w:r>
      <w:proofErr w:type="spellStart"/>
      <w:r w:rsidRPr="00F0379B">
        <w:rPr>
          <w:rFonts w:ascii="Cambria" w:eastAsia="Cambria" w:hAnsi="Cambria" w:cs="Cambria"/>
          <w:sz w:val="20"/>
          <w:szCs w:val="20"/>
          <w:lang w:val="it-IT"/>
        </w:rPr>
        <w:t>Mediterranean</w:t>
      </w:r>
      <w:proofErr w:type="spellEnd"/>
      <w:r w:rsidRPr="00F0379B">
        <w:rPr>
          <w:rFonts w:ascii="Cambria" w:eastAsia="Cambria" w:hAnsi="Cambria" w:cs="Cambria"/>
          <w:sz w:val="20"/>
          <w:szCs w:val="20"/>
          <w:lang w:val="it-IT"/>
        </w:rPr>
        <w:t>, Via Po, 25/c, 00198 Roma, Italy</w:t>
      </w:r>
    </w:p>
    <w:p w14:paraId="1504EE3C" w14:textId="77777777" w:rsidR="009123AC" w:rsidRPr="00F912AA" w:rsidRDefault="009123AC" w:rsidP="009123AC">
      <w:pPr>
        <w:spacing w:after="0" w:line="240" w:lineRule="auto"/>
        <w:jc w:val="both"/>
        <w:rPr>
          <w:rFonts w:ascii="Cambria" w:eastAsia="Cambria" w:hAnsi="Cambria" w:cs="Cambria"/>
          <w:sz w:val="20"/>
          <w:szCs w:val="20"/>
          <w:lang w:val="it-IT"/>
        </w:rPr>
      </w:pPr>
      <w:r w:rsidRPr="00F912AA">
        <w:rPr>
          <w:rFonts w:ascii="Cambria" w:eastAsia="Cambria" w:hAnsi="Cambria" w:cs="Cambria"/>
          <w:sz w:val="20"/>
          <w:szCs w:val="20"/>
          <w:lang w:val="it-IT"/>
        </w:rPr>
        <w:t>Tel: +39 346 235 7481, Fax: +39 068 413 866, E-Mail: abuzzi@wwfmedpo.org</w:t>
      </w:r>
    </w:p>
    <w:p w14:paraId="793420AD" w14:textId="77777777" w:rsidR="009123AC" w:rsidRPr="00F912AA" w:rsidRDefault="009123AC" w:rsidP="009123AC">
      <w:pPr>
        <w:spacing w:after="0" w:line="240" w:lineRule="auto"/>
        <w:rPr>
          <w:rFonts w:ascii="Cambria" w:eastAsia="Cambria" w:hAnsi="Cambria" w:cs="Cambria"/>
          <w:sz w:val="20"/>
          <w:szCs w:val="20"/>
          <w:lang w:val="it-IT"/>
        </w:rPr>
      </w:pPr>
    </w:p>
    <w:p w14:paraId="5FD6857B" w14:textId="77777777" w:rsidR="009123AC" w:rsidRPr="00F912AA" w:rsidRDefault="009123AC" w:rsidP="009123AC">
      <w:pPr>
        <w:spacing w:after="0" w:line="240" w:lineRule="auto"/>
        <w:rPr>
          <w:rFonts w:ascii="Cambria" w:eastAsia="Cambria" w:hAnsi="Cambria" w:cs="Cambria"/>
          <w:sz w:val="20"/>
          <w:szCs w:val="20"/>
          <w:lang w:val="it-IT"/>
        </w:rPr>
      </w:pPr>
      <w:r w:rsidRPr="00F912AA">
        <w:rPr>
          <w:rFonts w:ascii="Cambria" w:eastAsia="Cambria" w:hAnsi="Cambria" w:cs="Cambria"/>
          <w:b/>
          <w:i/>
          <w:sz w:val="20"/>
          <w:szCs w:val="20"/>
          <w:lang w:val="it-IT"/>
        </w:rPr>
        <w:t>OTROS PARTICIPANTES</w:t>
      </w:r>
      <w:r w:rsidRPr="00F912AA">
        <w:rPr>
          <w:rFonts w:ascii="Cambria" w:eastAsia="Cambria" w:hAnsi="Cambria" w:cs="Cambria"/>
          <w:b/>
          <w:i/>
          <w:sz w:val="20"/>
          <w:szCs w:val="20"/>
          <w:lang w:val="it-IT"/>
        </w:rPr>
        <w:br/>
      </w:r>
    </w:p>
    <w:p w14:paraId="43CBAA9B" w14:textId="77777777" w:rsidR="009123AC" w:rsidRPr="00F912AA" w:rsidRDefault="009123AC" w:rsidP="009123AC">
      <w:pPr>
        <w:spacing w:after="0" w:line="240" w:lineRule="auto"/>
        <w:rPr>
          <w:rFonts w:ascii="Cambria" w:eastAsia="Cambria" w:hAnsi="Cambria" w:cs="Cambria"/>
          <w:b/>
          <w:sz w:val="20"/>
          <w:szCs w:val="20"/>
          <w:lang w:val="it-IT"/>
        </w:rPr>
      </w:pPr>
      <w:r w:rsidRPr="00F912AA">
        <w:rPr>
          <w:rFonts w:ascii="Cambria" w:eastAsia="Cambria" w:hAnsi="Cambria" w:cs="Cambria"/>
          <w:b/>
          <w:sz w:val="20"/>
          <w:szCs w:val="20"/>
          <w:lang w:val="it-IT"/>
        </w:rPr>
        <w:t xml:space="preserve">PRESIDENTE DEL SCRS </w:t>
      </w:r>
    </w:p>
    <w:p w14:paraId="775CDDDD"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Brown</w:t>
      </w:r>
      <w:r w:rsidRPr="00F0379B">
        <w:rPr>
          <w:rFonts w:ascii="Cambria" w:eastAsia="Cambria" w:hAnsi="Cambria" w:cs="Cambria"/>
          <w:sz w:val="20"/>
          <w:szCs w:val="20"/>
          <w:lang w:val="en-US"/>
        </w:rPr>
        <w:t>, Craig A.</w:t>
      </w:r>
    </w:p>
    <w:p w14:paraId="40B85428"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7A815985"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+1 305 586 6589, E-Mail: craig.brown@noaa.gov</w:t>
      </w:r>
    </w:p>
    <w:p w14:paraId="4F543F19" w14:textId="77777777" w:rsidR="009123AC" w:rsidRPr="00F0379B" w:rsidRDefault="009123AC" w:rsidP="009123AC">
      <w:pPr>
        <w:spacing w:after="0" w:line="240" w:lineRule="auto"/>
        <w:jc w:val="both"/>
        <w:rPr>
          <w:rFonts w:ascii="Cambria" w:eastAsia="Cambria" w:hAnsi="Cambria" w:cs="Cambria"/>
          <w:sz w:val="20"/>
          <w:szCs w:val="20"/>
          <w:lang w:val="pt-PT"/>
        </w:rPr>
      </w:pPr>
    </w:p>
    <w:p w14:paraId="6E057E9E" w14:textId="77777777" w:rsidR="009123AC" w:rsidRPr="00F0379B" w:rsidRDefault="009123AC" w:rsidP="009123AC">
      <w:pPr>
        <w:spacing w:after="0" w:line="240" w:lineRule="auto"/>
        <w:jc w:val="both"/>
        <w:rPr>
          <w:rFonts w:ascii="Cambria" w:eastAsia="Cambria" w:hAnsi="Cambria" w:cs="Cambria"/>
          <w:b/>
          <w:bCs/>
          <w:sz w:val="20"/>
          <w:szCs w:val="20"/>
        </w:rPr>
      </w:pPr>
      <w:r w:rsidRPr="00F0379B">
        <w:rPr>
          <w:rFonts w:ascii="Cambria" w:eastAsia="Cambria" w:hAnsi="Cambria" w:cs="Cambria"/>
          <w:b/>
          <w:bCs/>
          <w:sz w:val="20"/>
          <w:szCs w:val="20"/>
        </w:rPr>
        <w:t>COORDINADOR DEL GRUPO DE ESPECIES DE ATÚN BLANCO</w:t>
      </w:r>
    </w:p>
    <w:p w14:paraId="63D759C0"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Arrizabalaga</w:t>
      </w:r>
      <w:r w:rsidRPr="00F0379B">
        <w:rPr>
          <w:rFonts w:ascii="Cambria" w:eastAsia="Cambria" w:hAnsi="Cambria" w:cs="Cambria"/>
          <w:sz w:val="20"/>
          <w:szCs w:val="20"/>
        </w:rPr>
        <w:t>, Haritz (online)</w:t>
      </w:r>
    </w:p>
    <w:p w14:paraId="579AF962" w14:textId="77777777" w:rsidR="009123AC" w:rsidRPr="00F0379B" w:rsidRDefault="009123AC" w:rsidP="009123AC">
      <w:pPr>
        <w:spacing w:after="0" w:line="240" w:lineRule="auto"/>
        <w:jc w:val="both"/>
        <w:rPr>
          <w:rFonts w:ascii="Cambria" w:eastAsia="Cambria" w:hAnsi="Cambria" w:cs="Cambria"/>
          <w:sz w:val="20"/>
          <w:szCs w:val="20"/>
        </w:rPr>
      </w:pPr>
      <w:r w:rsidRPr="00F0379B">
        <w:rPr>
          <w:rFonts w:ascii="Cambria" w:eastAsia="Cambria" w:hAnsi="Cambria" w:cs="Cambria"/>
          <w:sz w:val="20"/>
          <w:szCs w:val="20"/>
        </w:rPr>
        <w:t xml:space="preserve">Principal </w:t>
      </w:r>
      <w:proofErr w:type="spellStart"/>
      <w:r w:rsidRPr="00F0379B">
        <w:rPr>
          <w:rFonts w:ascii="Cambria" w:eastAsia="Cambria" w:hAnsi="Cambria" w:cs="Cambria"/>
          <w:sz w:val="20"/>
          <w:szCs w:val="20"/>
        </w:rPr>
        <w:t>Investigator</w:t>
      </w:r>
      <w:proofErr w:type="spellEnd"/>
      <w:r w:rsidRPr="00F0379B">
        <w:rPr>
          <w:rFonts w:ascii="Cambria" w:eastAsia="Cambria" w:hAnsi="Cambria" w:cs="Cambria"/>
          <w:sz w:val="20"/>
          <w:szCs w:val="20"/>
        </w:rPr>
        <w:t xml:space="preserve">, AZTI Marine </w:t>
      </w:r>
      <w:proofErr w:type="spellStart"/>
      <w:r w:rsidRPr="00F0379B">
        <w:rPr>
          <w:rFonts w:ascii="Cambria" w:eastAsia="Cambria" w:hAnsi="Cambria" w:cs="Cambria"/>
          <w:sz w:val="20"/>
          <w:szCs w:val="20"/>
        </w:rPr>
        <w:t>Research</w:t>
      </w:r>
      <w:proofErr w:type="spellEnd"/>
      <w:r w:rsidRPr="00F0379B">
        <w:rPr>
          <w:rFonts w:ascii="Cambria" w:eastAsia="Cambria" w:hAnsi="Cambria" w:cs="Cambria"/>
          <w:sz w:val="20"/>
          <w:szCs w:val="20"/>
        </w:rPr>
        <w:t xml:space="preserve"> Basque </w:t>
      </w:r>
      <w:proofErr w:type="spellStart"/>
      <w:r w:rsidRPr="00F0379B">
        <w:rPr>
          <w:rFonts w:ascii="Cambria" w:eastAsia="Cambria" w:hAnsi="Cambria" w:cs="Cambria"/>
          <w:sz w:val="20"/>
          <w:szCs w:val="20"/>
        </w:rPr>
        <w:t>Research</w:t>
      </w:r>
      <w:proofErr w:type="spellEnd"/>
      <w:r w:rsidRPr="00F0379B">
        <w:rPr>
          <w:rFonts w:ascii="Cambria" w:eastAsia="Cambria" w:hAnsi="Cambria" w:cs="Cambria"/>
          <w:sz w:val="20"/>
          <w:szCs w:val="20"/>
        </w:rPr>
        <w:t xml:space="preserve"> and </w:t>
      </w:r>
      <w:proofErr w:type="spellStart"/>
      <w:r w:rsidRPr="00F0379B">
        <w:rPr>
          <w:rFonts w:ascii="Cambria" w:eastAsia="Cambria" w:hAnsi="Cambria" w:cs="Cambria"/>
          <w:sz w:val="20"/>
          <w:szCs w:val="20"/>
        </w:rPr>
        <w:t>Technology</w:t>
      </w:r>
      <w:proofErr w:type="spellEnd"/>
      <w:r w:rsidRPr="00F0379B">
        <w:rPr>
          <w:rFonts w:ascii="Cambria" w:eastAsia="Cambria" w:hAnsi="Cambria" w:cs="Cambria"/>
          <w:sz w:val="20"/>
          <w:szCs w:val="20"/>
        </w:rPr>
        <w:t xml:space="preserve"> Alliance (BRTA), Herrera Kaia Portualde z/g, 20110 Pasaia, Gipuzkoa, España</w:t>
      </w:r>
    </w:p>
    <w:p w14:paraId="6F5E0E3F"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Tel: +34 94 657 40 00; +34 667 174 477, Fax: +34 94 300 48 01, E-Mail: harri@azti.es</w:t>
      </w:r>
    </w:p>
    <w:p w14:paraId="06558B70" w14:textId="77777777" w:rsidR="009123AC" w:rsidRPr="00F0379B" w:rsidRDefault="009123AC" w:rsidP="009123AC">
      <w:pPr>
        <w:spacing w:after="0" w:line="240" w:lineRule="auto"/>
        <w:jc w:val="both"/>
        <w:rPr>
          <w:rFonts w:ascii="Cambria" w:eastAsia="Cambria" w:hAnsi="Cambria" w:cs="Cambria"/>
          <w:sz w:val="20"/>
          <w:szCs w:val="20"/>
          <w:lang w:val="en-US"/>
        </w:rPr>
      </w:pPr>
    </w:p>
    <w:p w14:paraId="1AD3079B"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INVITADO DE ICCAT</w:t>
      </w:r>
    </w:p>
    <w:p w14:paraId="2CD77677" w14:textId="77777777" w:rsidR="009123AC" w:rsidRPr="00F0379B" w:rsidRDefault="009123AC" w:rsidP="009123AC">
      <w:pPr>
        <w:spacing w:after="0" w:line="240" w:lineRule="auto"/>
        <w:rPr>
          <w:rFonts w:ascii="Cambria" w:eastAsia="Cambria" w:hAnsi="Cambria" w:cs="Cambria"/>
          <w:sz w:val="20"/>
          <w:szCs w:val="20"/>
          <w:lang w:val="en-US"/>
        </w:rPr>
      </w:pPr>
      <w:r w:rsidRPr="00F0379B">
        <w:rPr>
          <w:rFonts w:ascii="Cambria" w:eastAsia="Cambria" w:hAnsi="Cambria" w:cs="Cambria"/>
          <w:b/>
          <w:sz w:val="20"/>
          <w:szCs w:val="20"/>
          <w:lang w:val="en-US"/>
        </w:rPr>
        <w:t>Latkovic</w:t>
      </w:r>
      <w:r w:rsidRPr="00F0379B">
        <w:rPr>
          <w:rFonts w:ascii="Cambria" w:eastAsia="Cambria" w:hAnsi="Cambria" w:cs="Cambria"/>
          <w:sz w:val="20"/>
          <w:szCs w:val="20"/>
          <w:lang w:val="en-US"/>
        </w:rPr>
        <w:t>, Mario (online)</w:t>
      </w:r>
    </w:p>
    <w:p w14:paraId="60E86CB3" w14:textId="77777777" w:rsidR="009123AC" w:rsidRPr="00F0379B" w:rsidRDefault="009123AC" w:rsidP="009123AC">
      <w:pPr>
        <w:spacing w:after="0" w:line="240" w:lineRule="auto"/>
        <w:jc w:val="both"/>
        <w:rPr>
          <w:rFonts w:ascii="Cambria" w:eastAsia="Cambria" w:hAnsi="Cambria" w:cs="Cambria"/>
          <w:sz w:val="20"/>
          <w:szCs w:val="20"/>
          <w:lang w:val="en-US"/>
        </w:rPr>
      </w:pPr>
      <w:r w:rsidRPr="00F0379B">
        <w:rPr>
          <w:rFonts w:ascii="Cambria" w:eastAsia="Cambria" w:hAnsi="Cambria" w:cs="Cambria"/>
          <w:sz w:val="20"/>
          <w:szCs w:val="20"/>
          <w:lang w:val="en-US"/>
        </w:rPr>
        <w:t>MRAG, 18 Queen St, W1J 5PN London, United Kingdom</w:t>
      </w:r>
    </w:p>
    <w:p w14:paraId="4F9EF514" w14:textId="77777777" w:rsidR="009123AC" w:rsidRPr="00F0379B" w:rsidRDefault="009123AC" w:rsidP="009123AC">
      <w:pPr>
        <w:spacing w:after="0" w:line="240" w:lineRule="auto"/>
        <w:jc w:val="both"/>
        <w:rPr>
          <w:rFonts w:ascii="Cambria" w:eastAsia="Cambria" w:hAnsi="Cambria" w:cs="Cambria"/>
          <w:sz w:val="20"/>
          <w:szCs w:val="20"/>
          <w:lang w:val="pt-PT"/>
        </w:rPr>
      </w:pPr>
      <w:r w:rsidRPr="00F0379B">
        <w:rPr>
          <w:rFonts w:ascii="Cambria" w:eastAsia="Cambria" w:hAnsi="Cambria" w:cs="Cambria"/>
          <w:sz w:val="20"/>
          <w:szCs w:val="20"/>
          <w:lang w:val="pt-PT"/>
        </w:rPr>
        <w:t>Tel: +385 977 920 714, E-Mail: m.latkovic@mrag.co.uk</w:t>
      </w:r>
    </w:p>
    <w:p w14:paraId="202CE93E" w14:textId="77777777" w:rsidR="009123AC" w:rsidRPr="00F0379B" w:rsidRDefault="009123AC" w:rsidP="009123AC">
      <w:pPr>
        <w:spacing w:after="0" w:line="240" w:lineRule="auto"/>
        <w:rPr>
          <w:rFonts w:ascii="Cambria" w:eastAsia="Cambria" w:hAnsi="Cambria" w:cs="Cambria"/>
          <w:sz w:val="20"/>
          <w:szCs w:val="20"/>
          <w:lang w:val="pt-PT"/>
        </w:rPr>
      </w:pPr>
    </w:p>
    <w:p w14:paraId="75FCB55B" w14:textId="77777777" w:rsidR="009123AC" w:rsidRPr="00F0379B" w:rsidRDefault="009123AC" w:rsidP="009123AC">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pt-PT"/>
        </w:rPr>
      </w:pPr>
    </w:p>
    <w:p w14:paraId="7AC648FC" w14:textId="77777777" w:rsidR="009123AC" w:rsidRPr="00F0379B" w:rsidRDefault="009123AC" w:rsidP="009123AC">
      <w:pPr>
        <w:widowControl w:val="0"/>
        <w:tabs>
          <w:tab w:val="left" w:pos="90"/>
        </w:tabs>
        <w:autoSpaceDE w:val="0"/>
        <w:autoSpaceDN w:val="0"/>
        <w:adjustRightInd w:val="0"/>
        <w:spacing w:after="0" w:line="240" w:lineRule="auto"/>
        <w:jc w:val="center"/>
        <w:rPr>
          <w:rFonts w:ascii="Cambria" w:eastAsia="Cambria" w:hAnsi="Cambria" w:cs="Cambria"/>
          <w:b/>
          <w:bCs/>
          <w:sz w:val="20"/>
          <w:szCs w:val="20"/>
        </w:rPr>
      </w:pPr>
      <w:r w:rsidRPr="00F0379B">
        <w:rPr>
          <w:rFonts w:ascii="Cambria" w:eastAsia="Cambria" w:hAnsi="Cambria" w:cs="Cambria"/>
          <w:b/>
          <w:bCs/>
          <w:sz w:val="20"/>
          <w:szCs w:val="20"/>
        </w:rPr>
        <w:t>*****</w:t>
      </w:r>
    </w:p>
    <w:p w14:paraId="23EADF2A" w14:textId="77777777" w:rsidR="009123AC" w:rsidRPr="00F0379B" w:rsidRDefault="009123AC" w:rsidP="009123AC">
      <w:pPr>
        <w:widowControl w:val="0"/>
        <w:tabs>
          <w:tab w:val="left" w:pos="90"/>
        </w:tabs>
        <w:autoSpaceDE w:val="0"/>
        <w:autoSpaceDN w:val="0"/>
        <w:adjustRightInd w:val="0"/>
        <w:spacing w:after="0" w:line="240" w:lineRule="auto"/>
        <w:jc w:val="center"/>
        <w:rPr>
          <w:rFonts w:ascii="Cambria" w:eastAsia="Cambria" w:hAnsi="Cambria" w:cs="Cambria"/>
          <w:b/>
          <w:bCs/>
          <w:sz w:val="20"/>
          <w:szCs w:val="20"/>
        </w:rPr>
      </w:pPr>
    </w:p>
    <w:p w14:paraId="04800C3A" w14:textId="77777777" w:rsidR="009123AC" w:rsidRPr="00F0379B" w:rsidRDefault="009123AC" w:rsidP="009123AC">
      <w:pPr>
        <w:spacing w:line="259" w:lineRule="auto"/>
        <w:rPr>
          <w:rFonts w:ascii="Cambria" w:eastAsia="Cambria" w:hAnsi="Cambria" w:cs="Cambria"/>
          <w:b/>
          <w:bCs/>
          <w:sz w:val="20"/>
          <w:szCs w:val="20"/>
        </w:rPr>
      </w:pPr>
      <w:r w:rsidRPr="00F0379B">
        <w:rPr>
          <w:rFonts w:ascii="Cambria" w:eastAsia="Cambria" w:hAnsi="Cambria" w:cs="Cambria"/>
          <w:b/>
          <w:bCs/>
          <w:sz w:val="20"/>
          <w:szCs w:val="20"/>
        </w:rPr>
        <w:br w:type="page"/>
      </w:r>
    </w:p>
    <w:p w14:paraId="3F61C8DD" w14:textId="77777777" w:rsidR="009123AC" w:rsidRPr="00F0379B" w:rsidRDefault="009123AC" w:rsidP="009123AC">
      <w:pPr>
        <w:widowControl w:val="0"/>
        <w:tabs>
          <w:tab w:val="left" w:pos="90"/>
        </w:tabs>
        <w:autoSpaceDE w:val="0"/>
        <w:autoSpaceDN w:val="0"/>
        <w:adjustRightInd w:val="0"/>
        <w:spacing w:after="0" w:line="240" w:lineRule="auto"/>
        <w:jc w:val="center"/>
        <w:rPr>
          <w:rFonts w:ascii="Cambria" w:eastAsia="Cambria" w:hAnsi="Cambria" w:cs="Cambria"/>
          <w:b/>
          <w:bCs/>
          <w:sz w:val="20"/>
          <w:szCs w:val="20"/>
        </w:rPr>
      </w:pPr>
      <w:r w:rsidRPr="00F0379B">
        <w:rPr>
          <w:rFonts w:ascii="Cambria" w:eastAsia="Cambria" w:hAnsi="Cambria" w:cs="Cambria"/>
          <w:b/>
          <w:bCs/>
          <w:sz w:val="20"/>
          <w:szCs w:val="20"/>
        </w:rPr>
        <w:lastRenderedPageBreak/>
        <w:t>Secretaría de ICCAT</w:t>
      </w:r>
    </w:p>
    <w:p w14:paraId="25639E2E" w14:textId="77777777" w:rsidR="009123AC" w:rsidRPr="00F0379B" w:rsidRDefault="009123AC" w:rsidP="009123AC">
      <w:pPr>
        <w:widowControl w:val="0"/>
        <w:tabs>
          <w:tab w:val="left" w:pos="90"/>
        </w:tabs>
        <w:autoSpaceDE w:val="0"/>
        <w:autoSpaceDN w:val="0"/>
        <w:adjustRightInd w:val="0"/>
        <w:spacing w:after="0" w:line="240" w:lineRule="auto"/>
        <w:jc w:val="center"/>
        <w:rPr>
          <w:rFonts w:ascii="Cambria" w:eastAsia="Cambria" w:hAnsi="Cambria" w:cs="Cambria"/>
          <w:bCs/>
          <w:sz w:val="20"/>
          <w:szCs w:val="20"/>
        </w:rPr>
      </w:pPr>
      <w:r w:rsidRPr="00F0379B">
        <w:rPr>
          <w:rFonts w:ascii="Cambria" w:eastAsia="Cambria" w:hAnsi="Cambria" w:cs="Cambria"/>
          <w:bCs/>
          <w:sz w:val="20"/>
          <w:szCs w:val="20"/>
        </w:rPr>
        <w:t>C/ Corazón de María 8 –6ª planta, 28002 Madrid – España</w:t>
      </w:r>
    </w:p>
    <w:p w14:paraId="79B800A8" w14:textId="77777777" w:rsidR="009123AC" w:rsidRPr="00F0379B" w:rsidRDefault="009123AC" w:rsidP="009123AC">
      <w:pPr>
        <w:widowControl w:val="0"/>
        <w:tabs>
          <w:tab w:val="left" w:pos="90"/>
        </w:tabs>
        <w:autoSpaceDE w:val="0"/>
        <w:autoSpaceDN w:val="0"/>
        <w:adjustRightInd w:val="0"/>
        <w:spacing w:after="0" w:line="240" w:lineRule="auto"/>
        <w:jc w:val="center"/>
        <w:rPr>
          <w:rFonts w:ascii="Cambria" w:eastAsia="Cambria" w:hAnsi="Cambria" w:cs="Cambria"/>
          <w:bCs/>
          <w:sz w:val="20"/>
          <w:szCs w:val="20"/>
          <w:lang w:val="fr-FR"/>
        </w:rPr>
      </w:pPr>
      <w:proofErr w:type="gramStart"/>
      <w:r w:rsidRPr="00F0379B">
        <w:rPr>
          <w:rFonts w:ascii="Cambria" w:eastAsia="Cambria" w:hAnsi="Cambria" w:cs="Cambria"/>
          <w:bCs/>
          <w:sz w:val="20"/>
          <w:szCs w:val="20"/>
          <w:lang w:val="fr-FR"/>
        </w:rPr>
        <w:t>Tel:</w:t>
      </w:r>
      <w:proofErr w:type="gramEnd"/>
      <w:r w:rsidRPr="00F0379B">
        <w:rPr>
          <w:rFonts w:ascii="Cambria" w:eastAsia="Cambria" w:hAnsi="Cambria" w:cs="Cambria"/>
          <w:bCs/>
          <w:sz w:val="20"/>
          <w:szCs w:val="20"/>
          <w:lang w:val="fr-FR"/>
        </w:rPr>
        <w:t xml:space="preserve"> +34 91 416 56 </w:t>
      </w:r>
      <w:proofErr w:type="gramStart"/>
      <w:r w:rsidRPr="00F0379B">
        <w:rPr>
          <w:rFonts w:ascii="Cambria" w:eastAsia="Cambria" w:hAnsi="Cambria" w:cs="Cambria"/>
          <w:bCs/>
          <w:sz w:val="20"/>
          <w:szCs w:val="20"/>
          <w:lang w:val="fr-FR"/>
        </w:rPr>
        <w:t>00;</w:t>
      </w:r>
      <w:proofErr w:type="gramEnd"/>
      <w:r w:rsidRPr="00F0379B">
        <w:rPr>
          <w:rFonts w:ascii="Cambria" w:eastAsia="Cambria" w:hAnsi="Cambria" w:cs="Cambria"/>
          <w:bCs/>
          <w:sz w:val="20"/>
          <w:szCs w:val="20"/>
          <w:lang w:val="fr-FR"/>
        </w:rPr>
        <w:t xml:space="preserve"> </w:t>
      </w:r>
      <w:proofErr w:type="gramStart"/>
      <w:r w:rsidRPr="00F0379B">
        <w:rPr>
          <w:rFonts w:ascii="Cambria" w:eastAsia="Cambria" w:hAnsi="Cambria" w:cs="Cambria"/>
          <w:bCs/>
          <w:sz w:val="20"/>
          <w:szCs w:val="20"/>
          <w:lang w:val="fr-FR"/>
        </w:rPr>
        <w:t>Fax:</w:t>
      </w:r>
      <w:proofErr w:type="gramEnd"/>
      <w:r w:rsidRPr="00F0379B">
        <w:rPr>
          <w:rFonts w:ascii="Cambria" w:eastAsia="Cambria" w:hAnsi="Cambria" w:cs="Cambria"/>
          <w:bCs/>
          <w:sz w:val="20"/>
          <w:szCs w:val="20"/>
          <w:lang w:val="fr-FR"/>
        </w:rPr>
        <w:t xml:space="preserve"> +34 91 415 26 </w:t>
      </w:r>
      <w:proofErr w:type="gramStart"/>
      <w:r w:rsidRPr="00F0379B">
        <w:rPr>
          <w:rFonts w:ascii="Cambria" w:eastAsia="Cambria" w:hAnsi="Cambria" w:cs="Cambria"/>
          <w:bCs/>
          <w:sz w:val="20"/>
          <w:szCs w:val="20"/>
          <w:lang w:val="fr-FR"/>
        </w:rPr>
        <w:t>12;</w:t>
      </w:r>
      <w:proofErr w:type="gramEnd"/>
      <w:r w:rsidRPr="00F0379B">
        <w:rPr>
          <w:rFonts w:ascii="Cambria" w:eastAsia="Cambria" w:hAnsi="Cambria" w:cs="Cambria"/>
          <w:bCs/>
          <w:sz w:val="20"/>
          <w:szCs w:val="20"/>
          <w:lang w:val="fr-FR"/>
        </w:rPr>
        <w:t xml:space="preserve"> </w:t>
      </w:r>
      <w:proofErr w:type="gramStart"/>
      <w:r w:rsidRPr="00F0379B">
        <w:rPr>
          <w:rFonts w:ascii="Cambria" w:eastAsia="Cambria" w:hAnsi="Cambria" w:cs="Cambria"/>
          <w:bCs/>
          <w:sz w:val="20"/>
          <w:szCs w:val="20"/>
          <w:lang w:val="fr-FR"/>
        </w:rPr>
        <w:t>E-mail:</w:t>
      </w:r>
      <w:proofErr w:type="gramEnd"/>
      <w:r w:rsidRPr="00F0379B">
        <w:rPr>
          <w:rFonts w:ascii="Cambria" w:eastAsia="Cambria" w:hAnsi="Cambria" w:cs="Cambria"/>
          <w:bCs/>
          <w:sz w:val="20"/>
          <w:szCs w:val="20"/>
          <w:lang w:val="fr-FR"/>
        </w:rPr>
        <w:t xml:space="preserve"> info@iccat.int</w:t>
      </w:r>
    </w:p>
    <w:p w14:paraId="22FE24D8" w14:textId="77777777" w:rsidR="009123AC" w:rsidRPr="00F0379B" w:rsidRDefault="009123AC" w:rsidP="009123AC">
      <w:pPr>
        <w:spacing w:after="0" w:line="240" w:lineRule="auto"/>
        <w:rPr>
          <w:rFonts w:ascii="Cambria" w:eastAsia="Cambria" w:hAnsi="Cambria" w:cs="Cambria"/>
          <w:sz w:val="20"/>
          <w:szCs w:val="20"/>
          <w:lang w:val="fr-FR"/>
        </w:rPr>
      </w:pPr>
    </w:p>
    <w:p w14:paraId="0AD83708" w14:textId="77777777" w:rsidR="009123AC" w:rsidRPr="00F0379B" w:rsidRDefault="009123AC" w:rsidP="009123AC">
      <w:pPr>
        <w:spacing w:after="0" w:line="240" w:lineRule="auto"/>
        <w:rPr>
          <w:rFonts w:ascii="Cambria" w:eastAsia="Cambria" w:hAnsi="Cambria" w:cs="Cambria"/>
          <w:b/>
          <w:sz w:val="20"/>
          <w:szCs w:val="20"/>
          <w:lang w:val="fr-FR"/>
        </w:rPr>
      </w:pPr>
    </w:p>
    <w:p w14:paraId="23C3E91A" w14:textId="77777777" w:rsidR="009123AC" w:rsidRPr="00F0379B" w:rsidRDefault="009123AC" w:rsidP="009123AC">
      <w:pPr>
        <w:spacing w:after="0" w:line="240" w:lineRule="auto"/>
        <w:rPr>
          <w:rFonts w:ascii="Cambria" w:eastAsia="Cambria" w:hAnsi="Cambria" w:cs="Cambria"/>
          <w:b/>
          <w:sz w:val="20"/>
          <w:szCs w:val="20"/>
          <w:lang w:val="fr-FR"/>
        </w:rPr>
        <w:sectPr w:rsidR="009123AC" w:rsidRPr="00F0379B" w:rsidSect="001A30AE">
          <w:headerReference w:type="default" r:id="rId66"/>
          <w:footerReference w:type="default" r:id="rId67"/>
          <w:footnotePr>
            <w:numFmt w:val="chicago"/>
          </w:footnotePr>
          <w:pgSz w:w="11906" w:h="16838" w:code="9"/>
          <w:pgMar w:top="1418" w:right="1418" w:bottom="1418" w:left="1418" w:header="851" w:footer="1134" w:gutter="0"/>
          <w:cols w:space="425"/>
          <w:docGrid w:linePitch="360"/>
        </w:sectPr>
      </w:pPr>
    </w:p>
    <w:p w14:paraId="2DD250F4"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Manel</w:t>
      </w:r>
      <w:r w:rsidRPr="00F0379B">
        <w:rPr>
          <w:rFonts w:ascii="Cambria" w:eastAsia="Cambria" w:hAnsi="Cambria" w:cs="Cambria"/>
          <w:sz w:val="20"/>
          <w:szCs w:val="20"/>
          <w:lang w:val="fr-FR"/>
        </w:rPr>
        <w:t>, Camille Jean Pierre</w:t>
      </w:r>
    </w:p>
    <w:p w14:paraId="7878778E" w14:textId="77777777" w:rsidR="009123AC" w:rsidRPr="00F0379B" w:rsidRDefault="009123AC" w:rsidP="009123AC">
      <w:pPr>
        <w:spacing w:after="0" w:line="240" w:lineRule="auto"/>
        <w:rPr>
          <w:rFonts w:ascii="Cambria" w:eastAsia="Cambria" w:hAnsi="Cambria" w:cs="Cambria"/>
          <w:sz w:val="20"/>
          <w:szCs w:val="20"/>
          <w:lang w:val="pt-BR"/>
        </w:rPr>
      </w:pPr>
      <w:r w:rsidRPr="00F0379B">
        <w:rPr>
          <w:rFonts w:ascii="Cambria" w:eastAsia="Cambria" w:hAnsi="Cambria" w:cs="Cambria"/>
          <w:b/>
          <w:sz w:val="20"/>
          <w:szCs w:val="20"/>
          <w:lang w:val="pt-BR"/>
        </w:rPr>
        <w:t>Neves dos Santos</w:t>
      </w:r>
      <w:r w:rsidRPr="00F0379B">
        <w:rPr>
          <w:rFonts w:ascii="Cambria" w:eastAsia="Cambria" w:hAnsi="Cambria" w:cs="Cambria"/>
          <w:sz w:val="20"/>
          <w:szCs w:val="20"/>
          <w:lang w:val="pt-BR"/>
        </w:rPr>
        <w:t>, Miguel</w:t>
      </w:r>
    </w:p>
    <w:p w14:paraId="408F7766" w14:textId="77777777" w:rsidR="009123AC" w:rsidRPr="00F0379B" w:rsidRDefault="009123AC" w:rsidP="009123AC">
      <w:pPr>
        <w:spacing w:after="0" w:line="240" w:lineRule="auto"/>
        <w:rPr>
          <w:rFonts w:ascii="Cambria" w:eastAsia="Cambria" w:hAnsi="Cambria" w:cs="Cambria"/>
          <w:bCs/>
          <w:sz w:val="20"/>
          <w:szCs w:val="20"/>
          <w:lang w:val="pt-BR"/>
        </w:rPr>
      </w:pPr>
      <w:r w:rsidRPr="00F0379B">
        <w:rPr>
          <w:rFonts w:ascii="Cambria" w:eastAsia="Cambria" w:hAnsi="Cambria" w:cs="Cambria"/>
          <w:b/>
          <w:sz w:val="20"/>
          <w:szCs w:val="20"/>
          <w:lang w:val="pt-BR"/>
        </w:rPr>
        <w:t xml:space="preserve">Bonacasa, </w:t>
      </w:r>
      <w:r w:rsidRPr="00F0379B">
        <w:rPr>
          <w:rFonts w:ascii="Cambria" w:eastAsia="Cambria" w:hAnsi="Cambria" w:cs="Cambria"/>
          <w:bCs/>
          <w:sz w:val="20"/>
          <w:szCs w:val="20"/>
          <w:lang w:val="pt-BR"/>
        </w:rPr>
        <w:t xml:space="preserve">María </w:t>
      </w:r>
    </w:p>
    <w:p w14:paraId="5AE464C9"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Ortiz</w:t>
      </w:r>
      <w:r w:rsidRPr="00F0379B">
        <w:rPr>
          <w:rFonts w:ascii="Cambria" w:eastAsia="Cambria" w:hAnsi="Cambria" w:cs="Cambria"/>
          <w:sz w:val="20"/>
          <w:szCs w:val="20"/>
        </w:rPr>
        <w:t>, Mauricio</w:t>
      </w:r>
    </w:p>
    <w:p w14:paraId="06FB5FF8"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Mayor</w:t>
      </w:r>
      <w:r w:rsidRPr="00F0379B">
        <w:rPr>
          <w:rFonts w:ascii="Cambria" w:eastAsia="Cambria" w:hAnsi="Cambria" w:cs="Cambria"/>
          <w:sz w:val="20"/>
          <w:szCs w:val="20"/>
        </w:rPr>
        <w:t>, Carlos</w:t>
      </w:r>
    </w:p>
    <w:p w14:paraId="749D649D"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Parrilla Moruno</w:t>
      </w:r>
      <w:r w:rsidRPr="00F0379B">
        <w:rPr>
          <w:rFonts w:ascii="Cambria" w:eastAsia="Cambria" w:hAnsi="Cambria" w:cs="Cambria"/>
          <w:sz w:val="20"/>
          <w:szCs w:val="20"/>
        </w:rPr>
        <w:t>, Alberto Thais</w:t>
      </w:r>
    </w:p>
    <w:p w14:paraId="5529CBBA"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Alemany</w:t>
      </w:r>
      <w:r w:rsidRPr="00F0379B">
        <w:rPr>
          <w:rFonts w:ascii="Cambria" w:eastAsia="Cambria" w:hAnsi="Cambria" w:cs="Cambria"/>
          <w:sz w:val="20"/>
          <w:szCs w:val="20"/>
        </w:rPr>
        <w:t>, Francisco</w:t>
      </w:r>
    </w:p>
    <w:p w14:paraId="3F797F9A"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De Andrés</w:t>
      </w:r>
      <w:r w:rsidRPr="00F0379B">
        <w:rPr>
          <w:rFonts w:ascii="Cambria" w:eastAsia="Cambria" w:hAnsi="Cambria" w:cs="Cambria"/>
          <w:sz w:val="20"/>
          <w:szCs w:val="20"/>
        </w:rPr>
        <w:t>, Marisa</w:t>
      </w:r>
    </w:p>
    <w:p w14:paraId="33211967"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Campoy</w:t>
      </w:r>
      <w:r w:rsidRPr="00F0379B">
        <w:rPr>
          <w:rFonts w:ascii="Cambria" w:eastAsia="Cambria" w:hAnsi="Cambria" w:cs="Cambria"/>
          <w:sz w:val="20"/>
          <w:szCs w:val="20"/>
        </w:rPr>
        <w:t>, Rebecca</w:t>
      </w:r>
    </w:p>
    <w:p w14:paraId="17D851D2"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Donovan</w:t>
      </w:r>
      <w:r w:rsidRPr="00F0379B">
        <w:rPr>
          <w:rFonts w:ascii="Cambria" w:eastAsia="Cambria" w:hAnsi="Cambria" w:cs="Cambria"/>
          <w:sz w:val="20"/>
          <w:szCs w:val="20"/>
        </w:rPr>
        <w:t>, Karen</w:t>
      </w:r>
    </w:p>
    <w:p w14:paraId="60C7B11D"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García-Orad</w:t>
      </w:r>
      <w:r w:rsidRPr="00F0379B">
        <w:rPr>
          <w:rFonts w:ascii="Cambria" w:eastAsia="Cambria" w:hAnsi="Cambria" w:cs="Cambria"/>
          <w:sz w:val="20"/>
          <w:szCs w:val="20"/>
        </w:rPr>
        <w:t>, María José</w:t>
      </w:r>
    </w:p>
    <w:p w14:paraId="67E29ED8"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Motos</w:t>
      </w:r>
      <w:r w:rsidRPr="00F0379B">
        <w:rPr>
          <w:rFonts w:ascii="Cambria" w:eastAsia="Cambria" w:hAnsi="Cambria" w:cs="Cambria"/>
          <w:sz w:val="20"/>
          <w:szCs w:val="20"/>
          <w:lang w:val="fr-FR"/>
        </w:rPr>
        <w:t>, Beatriz</w:t>
      </w:r>
    </w:p>
    <w:p w14:paraId="7BF4A13A"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Peyre</w:t>
      </w:r>
      <w:r w:rsidRPr="00F0379B">
        <w:rPr>
          <w:rFonts w:ascii="Cambria" w:eastAsia="Cambria" w:hAnsi="Cambria" w:cs="Cambria"/>
          <w:sz w:val="20"/>
          <w:szCs w:val="20"/>
          <w:lang w:val="fr-FR"/>
        </w:rPr>
        <w:t>, Christine</w:t>
      </w:r>
    </w:p>
    <w:p w14:paraId="72DA2953"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Pinet</w:t>
      </w:r>
      <w:r w:rsidRPr="00F0379B">
        <w:rPr>
          <w:rFonts w:ascii="Cambria" w:eastAsia="Cambria" w:hAnsi="Cambria" w:cs="Cambria"/>
          <w:sz w:val="20"/>
          <w:szCs w:val="20"/>
          <w:lang w:val="fr-FR"/>
        </w:rPr>
        <w:t>, Dorothée</w:t>
      </w:r>
    </w:p>
    <w:p w14:paraId="36704DB6" w14:textId="77777777" w:rsidR="009123AC" w:rsidRPr="00F0379B" w:rsidRDefault="009123AC" w:rsidP="009123AC">
      <w:pPr>
        <w:spacing w:after="0" w:line="240" w:lineRule="auto"/>
        <w:rPr>
          <w:rFonts w:ascii="Cambria" w:eastAsia="Cambria" w:hAnsi="Cambria" w:cs="Cambria"/>
          <w:sz w:val="20"/>
          <w:szCs w:val="20"/>
          <w:lang w:val="it-IT"/>
        </w:rPr>
      </w:pPr>
      <w:r w:rsidRPr="00F0379B">
        <w:rPr>
          <w:rFonts w:ascii="Cambria" w:eastAsia="Cambria" w:hAnsi="Cambria" w:cs="Cambria"/>
          <w:b/>
          <w:sz w:val="20"/>
          <w:szCs w:val="20"/>
          <w:lang w:val="it-IT"/>
        </w:rPr>
        <w:t>Kimoto</w:t>
      </w:r>
      <w:r w:rsidRPr="00F0379B">
        <w:rPr>
          <w:rFonts w:ascii="Cambria" w:eastAsia="Cambria" w:hAnsi="Cambria" w:cs="Cambria"/>
          <w:sz w:val="20"/>
          <w:szCs w:val="20"/>
          <w:lang w:val="it-IT"/>
        </w:rPr>
        <w:t>, Ai</w:t>
      </w:r>
    </w:p>
    <w:p w14:paraId="0D622300" w14:textId="77777777" w:rsidR="009123AC" w:rsidRPr="00F0379B" w:rsidRDefault="009123AC" w:rsidP="009123AC">
      <w:pPr>
        <w:spacing w:after="0" w:line="240" w:lineRule="auto"/>
        <w:rPr>
          <w:rFonts w:ascii="Cambria" w:eastAsia="Cambria" w:hAnsi="Cambria" w:cs="Cambria"/>
          <w:sz w:val="20"/>
          <w:szCs w:val="20"/>
          <w:lang w:val="it-IT"/>
        </w:rPr>
      </w:pPr>
      <w:r w:rsidRPr="00F0379B">
        <w:rPr>
          <w:rFonts w:ascii="Cambria" w:eastAsia="Cambria" w:hAnsi="Cambria" w:cs="Cambria"/>
          <w:b/>
          <w:sz w:val="20"/>
          <w:szCs w:val="20"/>
          <w:lang w:val="it-IT"/>
        </w:rPr>
        <w:t>Deprez</w:t>
      </w:r>
      <w:r w:rsidRPr="00F0379B">
        <w:rPr>
          <w:rFonts w:ascii="Cambria" w:eastAsia="Cambria" w:hAnsi="Cambria" w:cs="Cambria"/>
          <w:sz w:val="20"/>
          <w:szCs w:val="20"/>
          <w:lang w:val="it-IT"/>
        </w:rPr>
        <w:t>, Bruno</w:t>
      </w:r>
    </w:p>
    <w:p w14:paraId="08E56F5A" w14:textId="77777777" w:rsidR="009123AC" w:rsidRPr="00F0379B" w:rsidRDefault="009123AC" w:rsidP="009123AC">
      <w:pPr>
        <w:spacing w:after="0" w:line="240" w:lineRule="auto"/>
        <w:rPr>
          <w:rFonts w:ascii="Cambria" w:eastAsia="Cambria" w:hAnsi="Cambria" w:cs="Cambria"/>
          <w:sz w:val="20"/>
          <w:szCs w:val="20"/>
          <w:lang w:val="it-IT"/>
        </w:rPr>
      </w:pPr>
      <w:r w:rsidRPr="00F0379B">
        <w:rPr>
          <w:rFonts w:ascii="Cambria" w:eastAsia="Cambria" w:hAnsi="Cambria" w:cs="Cambria"/>
          <w:b/>
          <w:sz w:val="20"/>
          <w:szCs w:val="20"/>
          <w:lang w:val="it-IT"/>
        </w:rPr>
        <w:t>Samedy</w:t>
      </w:r>
      <w:r w:rsidRPr="00F0379B">
        <w:rPr>
          <w:rFonts w:ascii="Cambria" w:eastAsia="Cambria" w:hAnsi="Cambria" w:cs="Cambria"/>
          <w:sz w:val="20"/>
          <w:szCs w:val="20"/>
          <w:lang w:val="it-IT"/>
        </w:rPr>
        <w:t>, Valérie</w:t>
      </w:r>
    </w:p>
    <w:p w14:paraId="64ED7396"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Acuña</w:t>
      </w:r>
      <w:r w:rsidRPr="00F0379B">
        <w:rPr>
          <w:rFonts w:ascii="Cambria" w:eastAsia="Cambria" w:hAnsi="Cambria" w:cs="Cambria"/>
          <w:sz w:val="20"/>
          <w:szCs w:val="20"/>
        </w:rPr>
        <w:t>, Jose Antonio</w:t>
      </w:r>
    </w:p>
    <w:p w14:paraId="04781B8F"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Mergarejo Dremov</w:t>
      </w:r>
      <w:r w:rsidRPr="00F0379B">
        <w:rPr>
          <w:rFonts w:ascii="Cambria" w:eastAsia="Cambria" w:hAnsi="Cambria" w:cs="Cambria"/>
          <w:sz w:val="20"/>
          <w:szCs w:val="20"/>
        </w:rPr>
        <w:t xml:space="preserve">, Félix </w:t>
      </w:r>
    </w:p>
    <w:p w14:paraId="0EC5FD2B"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Vieito</w:t>
      </w:r>
      <w:r w:rsidRPr="00F0379B">
        <w:rPr>
          <w:rFonts w:ascii="Cambria" w:eastAsia="Cambria" w:hAnsi="Cambria" w:cs="Cambria"/>
          <w:sz w:val="20"/>
          <w:szCs w:val="20"/>
        </w:rPr>
        <w:t>, Aldana</w:t>
      </w:r>
    </w:p>
    <w:p w14:paraId="5C8E0148"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Martínez Herranz</w:t>
      </w:r>
      <w:r w:rsidRPr="00F0379B">
        <w:rPr>
          <w:rFonts w:ascii="Cambria" w:eastAsia="Cambria" w:hAnsi="Cambria" w:cs="Cambria"/>
          <w:sz w:val="20"/>
          <w:szCs w:val="20"/>
        </w:rPr>
        <w:t>, Javier</w:t>
      </w:r>
    </w:p>
    <w:p w14:paraId="4ED41CDE"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Baity</w:t>
      </w:r>
      <w:r w:rsidRPr="00F0379B">
        <w:rPr>
          <w:rFonts w:ascii="Cambria" w:eastAsia="Cambria" w:hAnsi="Cambria" w:cs="Cambria"/>
          <w:sz w:val="20"/>
          <w:szCs w:val="20"/>
        </w:rPr>
        <w:t>, Dawn</w:t>
      </w:r>
    </w:p>
    <w:p w14:paraId="3A645833"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Peña</w:t>
      </w:r>
      <w:r w:rsidRPr="00F0379B">
        <w:rPr>
          <w:rFonts w:ascii="Cambria" w:eastAsia="Cambria" w:hAnsi="Cambria" w:cs="Cambria"/>
          <w:sz w:val="20"/>
          <w:szCs w:val="20"/>
        </w:rPr>
        <w:t>, Esther</w:t>
      </w:r>
    </w:p>
    <w:p w14:paraId="3698776B"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Tensek</w:t>
      </w:r>
      <w:r w:rsidRPr="00F0379B">
        <w:rPr>
          <w:rFonts w:ascii="Cambria" w:eastAsia="Cambria" w:hAnsi="Cambria" w:cs="Cambria"/>
          <w:sz w:val="20"/>
          <w:szCs w:val="20"/>
        </w:rPr>
        <w:t>, Stasa</w:t>
      </w:r>
    </w:p>
    <w:p w14:paraId="122A0403" w14:textId="77777777" w:rsidR="009123AC" w:rsidRPr="00F0379B" w:rsidRDefault="009123AC" w:rsidP="009123AC">
      <w:pPr>
        <w:spacing w:after="0" w:line="240" w:lineRule="auto"/>
        <w:rPr>
          <w:rFonts w:ascii="Cambria" w:eastAsia="Cambria" w:hAnsi="Cambria" w:cs="Cambria"/>
          <w:sz w:val="20"/>
          <w:szCs w:val="20"/>
        </w:rPr>
      </w:pPr>
    </w:p>
    <w:p w14:paraId="70E8AD25"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 xml:space="preserve">INTÉRPRETES DE ICCAT </w:t>
      </w:r>
    </w:p>
    <w:p w14:paraId="29475E47"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Baena Jiménez</w:t>
      </w:r>
      <w:r w:rsidRPr="00F0379B">
        <w:rPr>
          <w:rFonts w:ascii="Cambria" w:eastAsia="Cambria" w:hAnsi="Cambria" w:cs="Cambria"/>
          <w:sz w:val="20"/>
          <w:szCs w:val="20"/>
        </w:rPr>
        <w:t>, Eva J.</w:t>
      </w:r>
    </w:p>
    <w:p w14:paraId="31F88AC2"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Godfrey</w:t>
      </w:r>
      <w:r w:rsidRPr="00F0379B">
        <w:rPr>
          <w:rFonts w:ascii="Cambria" w:eastAsia="Cambria" w:hAnsi="Cambria" w:cs="Cambria"/>
          <w:sz w:val="20"/>
          <w:szCs w:val="20"/>
        </w:rPr>
        <w:t>, Claire</w:t>
      </w:r>
    </w:p>
    <w:p w14:paraId="26EFFA76" w14:textId="77777777" w:rsidR="009123AC" w:rsidRPr="00F0379B" w:rsidRDefault="009123AC" w:rsidP="009123AC">
      <w:pPr>
        <w:spacing w:after="0" w:line="240" w:lineRule="auto"/>
        <w:rPr>
          <w:rFonts w:ascii="Cambria" w:eastAsia="Cambria" w:hAnsi="Cambria" w:cs="Cambria"/>
          <w:sz w:val="20"/>
          <w:szCs w:val="20"/>
          <w:lang w:val="fr-FR"/>
        </w:rPr>
      </w:pPr>
      <w:r w:rsidRPr="00F0379B">
        <w:rPr>
          <w:rFonts w:ascii="Cambria" w:eastAsia="Cambria" w:hAnsi="Cambria" w:cs="Cambria"/>
          <w:b/>
          <w:sz w:val="20"/>
          <w:szCs w:val="20"/>
          <w:lang w:val="fr-FR"/>
        </w:rPr>
        <w:t>Hof</w:t>
      </w:r>
      <w:r w:rsidRPr="00F0379B">
        <w:rPr>
          <w:rFonts w:ascii="Cambria" w:eastAsia="Cambria" w:hAnsi="Cambria" w:cs="Cambria"/>
          <w:sz w:val="20"/>
          <w:szCs w:val="20"/>
          <w:lang w:val="fr-FR"/>
        </w:rPr>
        <w:t>, Michelle Renée</w:t>
      </w:r>
    </w:p>
    <w:p w14:paraId="5F684D5E" w14:textId="77777777" w:rsidR="009123AC" w:rsidRPr="00F0379B" w:rsidRDefault="009123AC" w:rsidP="009123AC">
      <w:pPr>
        <w:spacing w:after="0" w:line="240" w:lineRule="auto"/>
        <w:rPr>
          <w:rFonts w:ascii="Cambria" w:eastAsia="Cambria" w:hAnsi="Cambria" w:cs="Cambria"/>
          <w:sz w:val="20"/>
          <w:szCs w:val="20"/>
          <w:lang w:val="fr-FR"/>
        </w:rPr>
      </w:pPr>
      <w:proofErr w:type="spellStart"/>
      <w:r w:rsidRPr="00F0379B">
        <w:rPr>
          <w:rFonts w:ascii="Cambria" w:eastAsia="Cambria" w:hAnsi="Cambria" w:cs="Cambria"/>
          <w:b/>
          <w:sz w:val="20"/>
          <w:szCs w:val="20"/>
          <w:lang w:val="fr-FR"/>
        </w:rPr>
        <w:t>Liberas</w:t>
      </w:r>
      <w:proofErr w:type="spellEnd"/>
      <w:r w:rsidRPr="00F0379B">
        <w:rPr>
          <w:rFonts w:ascii="Cambria" w:eastAsia="Cambria" w:hAnsi="Cambria" w:cs="Cambria"/>
          <w:sz w:val="20"/>
          <w:szCs w:val="20"/>
          <w:lang w:val="fr-FR"/>
        </w:rPr>
        <w:t>, Christine</w:t>
      </w:r>
    </w:p>
    <w:p w14:paraId="3F6CFA72" w14:textId="77777777" w:rsidR="009123AC" w:rsidRPr="00F0379B" w:rsidRDefault="009123AC" w:rsidP="009123AC">
      <w:pPr>
        <w:spacing w:after="0" w:line="240" w:lineRule="auto"/>
        <w:rPr>
          <w:rFonts w:ascii="Cambria" w:eastAsia="Cambria" w:hAnsi="Cambria" w:cs="Cambria"/>
          <w:sz w:val="20"/>
          <w:szCs w:val="20"/>
          <w:lang w:val="fr-FR"/>
        </w:rPr>
      </w:pPr>
      <w:proofErr w:type="spellStart"/>
      <w:r w:rsidRPr="00F0379B">
        <w:rPr>
          <w:rFonts w:ascii="Cambria" w:eastAsia="Cambria" w:hAnsi="Cambria" w:cs="Cambria"/>
          <w:b/>
          <w:sz w:val="20"/>
          <w:szCs w:val="20"/>
          <w:lang w:val="fr-FR"/>
        </w:rPr>
        <w:t>Linaae</w:t>
      </w:r>
      <w:proofErr w:type="spellEnd"/>
      <w:r w:rsidRPr="00F0379B">
        <w:rPr>
          <w:rFonts w:ascii="Cambria" w:eastAsia="Cambria" w:hAnsi="Cambria" w:cs="Cambria"/>
          <w:sz w:val="20"/>
          <w:szCs w:val="20"/>
          <w:lang w:val="fr-FR"/>
        </w:rPr>
        <w:t>, Cristina</w:t>
      </w:r>
    </w:p>
    <w:p w14:paraId="52D0C573" w14:textId="77777777" w:rsidR="009123AC" w:rsidRPr="00F0379B" w:rsidRDefault="009123AC" w:rsidP="009123AC">
      <w:pPr>
        <w:spacing w:after="0" w:line="240" w:lineRule="auto"/>
        <w:rPr>
          <w:rFonts w:ascii="Cambria" w:eastAsia="Cambria" w:hAnsi="Cambria" w:cs="Cambria"/>
          <w:sz w:val="20"/>
          <w:szCs w:val="20"/>
        </w:rPr>
      </w:pPr>
      <w:r w:rsidRPr="00F0379B">
        <w:rPr>
          <w:rFonts w:ascii="Cambria" w:eastAsia="Cambria" w:hAnsi="Cambria" w:cs="Cambria"/>
          <w:b/>
          <w:sz w:val="20"/>
          <w:szCs w:val="20"/>
        </w:rPr>
        <w:t>Pinzon</w:t>
      </w:r>
      <w:r w:rsidRPr="00F0379B">
        <w:rPr>
          <w:rFonts w:ascii="Cambria" w:eastAsia="Cambria" w:hAnsi="Cambria" w:cs="Cambria"/>
          <w:sz w:val="20"/>
          <w:szCs w:val="20"/>
        </w:rPr>
        <w:t>, Aurélie</w:t>
      </w:r>
    </w:p>
    <w:p w14:paraId="2E33A50B" w14:textId="77777777" w:rsidR="009123AC" w:rsidRPr="00F0379B" w:rsidRDefault="009123AC" w:rsidP="009123AC">
      <w:pPr>
        <w:spacing w:after="0" w:line="240" w:lineRule="auto"/>
        <w:jc w:val="both"/>
        <w:rPr>
          <w:rFonts w:ascii="Cambria" w:eastAsia="Cambria" w:hAnsi="Cambria" w:cs="Cambria"/>
          <w:sz w:val="20"/>
          <w:szCs w:val="20"/>
        </w:rPr>
        <w:sectPr w:rsidR="009123AC" w:rsidRPr="00F0379B" w:rsidSect="009123AC">
          <w:footnotePr>
            <w:numFmt w:val="chicago"/>
          </w:footnotePr>
          <w:type w:val="continuous"/>
          <w:pgSz w:w="11906" w:h="16838" w:code="9"/>
          <w:pgMar w:top="1418" w:right="1418" w:bottom="1418" w:left="1418" w:header="851" w:footer="1134" w:gutter="0"/>
          <w:cols w:num="2" w:space="425"/>
          <w:docGrid w:linePitch="360"/>
        </w:sectPr>
      </w:pPr>
    </w:p>
    <w:p w14:paraId="0E4F6FCA" w14:textId="77777777" w:rsidR="009123AC" w:rsidRPr="00F0379B" w:rsidRDefault="009123AC" w:rsidP="009123AC">
      <w:pPr>
        <w:spacing w:after="0" w:line="240" w:lineRule="auto"/>
        <w:jc w:val="both"/>
        <w:rPr>
          <w:rFonts w:ascii="Cambria" w:eastAsia="Cambria" w:hAnsi="Cambria" w:cs="Cambria"/>
          <w:sz w:val="20"/>
          <w:szCs w:val="20"/>
        </w:rPr>
      </w:pPr>
    </w:p>
    <w:p w14:paraId="1880553A" w14:textId="77777777" w:rsidR="009123AC" w:rsidRPr="00F0379B" w:rsidRDefault="009123AC" w:rsidP="009123AC">
      <w:pPr>
        <w:spacing w:after="0" w:line="240" w:lineRule="auto"/>
        <w:rPr>
          <w:rFonts w:ascii="Cambria" w:eastAsia="Cambria" w:hAnsi="Cambria" w:cs="Cambria"/>
          <w:sz w:val="20"/>
          <w:szCs w:val="20"/>
        </w:rPr>
      </w:pPr>
    </w:p>
    <w:p w14:paraId="0E52586E" w14:textId="77777777" w:rsidR="009123AC" w:rsidRPr="00F0379B" w:rsidRDefault="009123AC" w:rsidP="009123AC">
      <w:pPr>
        <w:spacing w:line="259" w:lineRule="auto"/>
        <w:rPr>
          <w:rFonts w:ascii="Cambria" w:eastAsia="Cambria" w:hAnsi="Cambria" w:cs="Cambria"/>
          <w:sz w:val="20"/>
          <w:szCs w:val="20"/>
          <w:lang w:eastAsia="en-GB"/>
        </w:rPr>
      </w:pPr>
      <w:r w:rsidRPr="00F0379B">
        <w:rPr>
          <w:rFonts w:ascii="Cambria" w:eastAsia="Cambria" w:hAnsi="Cambria" w:cs="Cambria"/>
          <w:sz w:val="20"/>
          <w:szCs w:val="20"/>
          <w:lang w:eastAsia="en-GB"/>
        </w:rPr>
        <w:br w:type="page"/>
      </w:r>
    </w:p>
    <w:p w14:paraId="08173CF2" w14:textId="77777777" w:rsidR="009123AC" w:rsidRPr="00F0379B" w:rsidRDefault="009123AC" w:rsidP="009123AC">
      <w:pPr>
        <w:spacing w:line="259" w:lineRule="auto"/>
        <w:jc w:val="right"/>
        <w:rPr>
          <w:rFonts w:ascii="Cambria" w:eastAsia="Cambria" w:hAnsi="Cambria" w:cs="Cambria"/>
          <w:b/>
          <w:bCs/>
          <w:sz w:val="20"/>
          <w:szCs w:val="20"/>
          <w:lang w:eastAsia="en-GB"/>
        </w:rPr>
      </w:pPr>
      <w:r w:rsidRPr="00F0379B">
        <w:rPr>
          <w:rFonts w:ascii="Cambria" w:eastAsia="Cambria" w:hAnsi="Cambria" w:cs="Cambria"/>
          <w:b/>
          <w:bCs/>
          <w:sz w:val="20"/>
          <w:szCs w:val="20"/>
          <w:lang w:eastAsia="en-GB"/>
        </w:rPr>
        <w:lastRenderedPageBreak/>
        <w:t>Apéndice 3</w:t>
      </w:r>
    </w:p>
    <w:p w14:paraId="7E89C03D" w14:textId="77777777" w:rsidR="009123AC" w:rsidRPr="00F0379B" w:rsidRDefault="009123AC" w:rsidP="009123AC">
      <w:pPr>
        <w:spacing w:after="0" w:line="240" w:lineRule="auto"/>
        <w:jc w:val="center"/>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Planes de pesca, cría, inspección y ordenación de la capacidad </w:t>
      </w:r>
    </w:p>
    <w:p w14:paraId="05A0EA6F" w14:textId="77777777" w:rsidR="009123AC" w:rsidRPr="00F0379B" w:rsidRDefault="009123AC" w:rsidP="009123AC">
      <w:pPr>
        <w:spacing w:after="0" w:line="240" w:lineRule="auto"/>
        <w:jc w:val="center"/>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para el atún rojo del Atlántico este y Mediterráneo</w:t>
      </w:r>
    </w:p>
    <w:p w14:paraId="094E6AFC"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206B040A" w14:textId="2EC43A67" w:rsidR="009123AC" w:rsidRPr="001A4E7A"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1A4E7A">
        <w:rPr>
          <w:rFonts w:ascii="Cambria" w:eastAsiaTheme="minorEastAsia" w:hAnsi="Cambria"/>
          <w:b/>
          <w:bCs/>
          <w:kern w:val="2"/>
          <w:sz w:val="20"/>
          <w:szCs w:val="20"/>
          <w:lang w:eastAsia="ja-JP"/>
          <w14:ligatures w14:val="standardContextual"/>
        </w:rPr>
        <w:t>Albania</w:t>
      </w:r>
    </w:p>
    <w:p w14:paraId="4486B9D7" w14:textId="77777777" w:rsidR="009123AC" w:rsidRPr="001A4E7A"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7F944E82"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Año del plan de pesca: 2026</w:t>
      </w:r>
    </w:p>
    <w:p w14:paraId="7794D68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23F6B1EA" w14:textId="77777777" w:rsidR="009123AC" w:rsidRPr="00F0379B" w:rsidRDefault="009123AC" w:rsidP="00CE0EC8">
      <w:pPr>
        <w:widowControl w:val="0"/>
        <w:numPr>
          <w:ilvl w:val="0"/>
          <w:numId w:val="33"/>
        </w:numPr>
        <w:tabs>
          <w:tab w:val="left" w:pos="426"/>
        </w:tabs>
        <w:spacing w:after="0" w:line="240" w:lineRule="auto"/>
        <w:ind w:left="426" w:hanging="426"/>
        <w:contextualSpacing/>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Detalles del plan anual de pesca para los buques de captura y las almadrabas</w:t>
      </w:r>
    </w:p>
    <w:p w14:paraId="4A1432C0" w14:textId="77777777" w:rsidR="009123AC" w:rsidRPr="00F0379B" w:rsidRDefault="009123AC" w:rsidP="009123AC">
      <w:pPr>
        <w:spacing w:after="0" w:line="240" w:lineRule="auto"/>
        <w:jc w:val="both"/>
        <w:rPr>
          <w:rFonts w:ascii="Cambria" w:eastAsiaTheme="minorEastAsia" w:hAnsi="Cambria"/>
          <w:i/>
          <w:kern w:val="2"/>
          <w:sz w:val="20"/>
          <w:szCs w:val="20"/>
          <w:lang w:eastAsia="ja-JP"/>
          <w14:ligatures w14:val="standardContextual"/>
        </w:rPr>
      </w:pPr>
    </w:p>
    <w:p w14:paraId="03EBDA4D" w14:textId="77777777" w:rsidR="009123AC" w:rsidRPr="00F0379B" w:rsidRDefault="009123AC" w:rsidP="009123AC">
      <w:pPr>
        <w:spacing w:after="0" w:line="240" w:lineRule="auto"/>
        <w:jc w:val="both"/>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bCs/>
          <w:i/>
          <w:iCs/>
          <w:kern w:val="2"/>
          <w:sz w:val="20"/>
          <w:szCs w:val="20"/>
          <w:lang w:eastAsia="ja-JP"/>
          <w14:ligatures w14:val="standardContextual"/>
        </w:rPr>
        <w:t>1 a) Presentación general (párr. 12)</w:t>
      </w:r>
    </w:p>
    <w:p w14:paraId="0A227AB1" w14:textId="77777777" w:rsidR="009123AC" w:rsidRPr="00F0379B" w:rsidRDefault="009123AC" w:rsidP="009123AC">
      <w:pPr>
        <w:spacing w:after="0" w:line="240" w:lineRule="auto"/>
        <w:jc w:val="both"/>
        <w:rPr>
          <w:rFonts w:ascii="Cambria" w:eastAsiaTheme="minorEastAsia" w:hAnsi="Cambria"/>
          <w:b/>
          <w:bCs/>
          <w:i/>
          <w:kern w:val="2"/>
          <w:sz w:val="20"/>
          <w:szCs w:val="20"/>
          <w:lang w:eastAsia="ja-JP"/>
          <w14:ligatures w14:val="standardContextual"/>
        </w:rPr>
      </w:pPr>
    </w:p>
    <w:p w14:paraId="67C98D0C"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La CPC Albania presenta aquí su Plan de pesca, cría, inspección y ordenación de la capacidad para el atún rojo del Atlántico este y Mediterráneo.</w:t>
      </w:r>
    </w:p>
    <w:p w14:paraId="3A3500C4"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p>
    <w:p w14:paraId="1E6B3F43"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De conformidad con la </w:t>
      </w:r>
      <w:r w:rsidRPr="00F0379B">
        <w:rPr>
          <w:rFonts w:ascii="Cambria" w:eastAsiaTheme="minorEastAsia" w:hAnsi="Cambria"/>
          <w:i/>
          <w:iCs/>
          <w:kern w:val="2"/>
          <w:sz w:val="20"/>
          <w:szCs w:val="20"/>
          <w:lang w:eastAsia="ja-JP"/>
          <w14:ligatures w14:val="standardContextual"/>
        </w:rPr>
        <w:t xml:space="preserve">Recomendación de ICCAT que enmienda la Recomendación 24-05 que establece un plan de ordenación plurianual para el atún rojo en el Atlántico este y Mediterráneo </w:t>
      </w:r>
      <w:r w:rsidRPr="00F0379B">
        <w:rPr>
          <w:rFonts w:ascii="Cambria" w:eastAsiaTheme="minorEastAsia" w:hAnsi="Cambria"/>
          <w:kern w:val="2"/>
          <w:sz w:val="20"/>
          <w:szCs w:val="20"/>
          <w:lang w:eastAsia="ja-JP"/>
          <w14:ligatures w14:val="standardContextual"/>
        </w:rPr>
        <w:t xml:space="preserve">(Rec. 25-04), </w:t>
      </w:r>
      <w:r w:rsidRPr="00F0379B">
        <w:rPr>
          <w:rFonts w:ascii="Cambria" w:eastAsiaTheme="minorEastAsia" w:hAnsi="Cambria"/>
          <w:bCs/>
          <w:kern w:val="2"/>
          <w:sz w:val="20"/>
          <w:szCs w:val="20"/>
          <w:lang w:eastAsia="ja-JP"/>
          <w14:ligatures w14:val="standardContextual"/>
        </w:rPr>
        <w:t>adoptada por ICCAT y que sustituye a la Rec. 24-05 que establece un plan de ordenación plurianual para el atún rojo en el Atlántico este y el Mediterráneo y las asignaciones de pesca, la cuota de Albania para 2026 se ha establecido en 457,37 t.</w:t>
      </w:r>
    </w:p>
    <w:p w14:paraId="1366C1F0"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p>
    <w:p w14:paraId="682ACA6F"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La cuota de Albania para pescar atún rojo se ha asignado a dos cerqueros (</w:t>
      </w:r>
      <w:r w:rsidRPr="00F0379B">
        <w:rPr>
          <w:rFonts w:ascii="Cambria" w:eastAsiaTheme="minorEastAsia" w:hAnsi="Cambria"/>
          <w:kern w:val="2"/>
          <w:sz w:val="20"/>
          <w:szCs w:val="20"/>
          <w:lang w:eastAsia="ja-JP"/>
          <w14:ligatures w14:val="standardContextual"/>
        </w:rPr>
        <w:t>456,37</w:t>
      </w:r>
      <w:r w:rsidRPr="00F0379B">
        <w:rPr>
          <w:rFonts w:ascii="Cambria" w:eastAsiaTheme="minorEastAsia" w:hAnsi="Cambria"/>
          <w:bCs/>
          <w:kern w:val="2"/>
          <w:sz w:val="20"/>
          <w:szCs w:val="20"/>
          <w:lang w:eastAsia="ja-JP"/>
          <w14:ligatures w14:val="standardContextual"/>
        </w:rPr>
        <w:t xml:space="preserve"> t) y a la captura fortuita (1 t). La cuota para los cerqueros se distribuirá entre los dos buques de la siguiente manera: 297,76 t para un buque y 158,61 t para el otro. </w:t>
      </w:r>
    </w:p>
    <w:p w14:paraId="4CA4F1A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6ED7214D"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Dos cerqueros (41 m y 28 m) están autorizados a pescar la cuota de aún rojo de Albania y dichos buques cuentan con la autorización para pescar atún rojo. El nombre de los buques y sus cuotas respectivas se comunicarán a ICCAT en su momento.</w:t>
      </w:r>
    </w:p>
    <w:p w14:paraId="4E25896C" w14:textId="77777777" w:rsidR="009123AC" w:rsidRPr="00F0379B" w:rsidRDefault="009123AC" w:rsidP="009123AC">
      <w:pPr>
        <w:spacing w:after="0" w:line="240" w:lineRule="auto"/>
        <w:jc w:val="both"/>
        <w:rPr>
          <w:rFonts w:ascii="Cambria" w:eastAsiaTheme="minorEastAsia" w:hAnsi="Cambria"/>
          <w:bCs/>
          <w:kern w:val="2"/>
          <w:sz w:val="20"/>
          <w:szCs w:val="20"/>
          <w:lang w:val="sq-AL" w:eastAsia="ja-JP"/>
          <w14:ligatures w14:val="standardContextual"/>
        </w:rPr>
      </w:pPr>
    </w:p>
    <w:p w14:paraId="1115D738" w14:textId="77777777" w:rsidR="009123AC" w:rsidRPr="00F0379B" w:rsidRDefault="009123AC" w:rsidP="009123AC">
      <w:pPr>
        <w:autoSpaceDE w:val="0"/>
        <w:autoSpaceDN w:val="0"/>
        <w:adjustRightInd w:val="0"/>
        <w:spacing w:after="0" w:line="240" w:lineRule="auto"/>
        <w:jc w:val="both"/>
        <w:rPr>
          <w:rFonts w:ascii="Cambria" w:eastAsia="MS Gothic" w:hAnsi="Cambria" w:cs="Cambria"/>
          <w:color w:val="000000"/>
          <w:sz w:val="20"/>
          <w:szCs w:val="20"/>
          <w:lang w:eastAsia="fr-FR"/>
        </w:rPr>
      </w:pPr>
      <w:r w:rsidRPr="00F0379B">
        <w:rPr>
          <w:rFonts w:ascii="Cambria" w:eastAsia="MS Gothic" w:hAnsi="Cambria" w:cs="Cambria"/>
          <w:color w:val="000000"/>
          <w:sz w:val="20"/>
          <w:szCs w:val="20"/>
          <w:lang w:eastAsia="fr-FR"/>
        </w:rPr>
        <w:t>El método utilizado para asignar y gestionar las cuotas se basa en la Orden ministerial n.º 140 de fecha 13/02/2025 que implementa la</w:t>
      </w:r>
      <w:r w:rsidRPr="00F0379B">
        <w:rPr>
          <w:rFonts w:ascii="Cambria" w:eastAsia="MS Gothic" w:hAnsi="Cambria" w:cs="Cambria"/>
          <w:i/>
          <w:iCs/>
          <w:color w:val="000000"/>
          <w:sz w:val="20"/>
          <w:szCs w:val="20"/>
          <w:lang w:eastAsia="fr-FR"/>
        </w:rPr>
        <w:t xml:space="preserve"> Recomendación de ICCAT que enmienda la Recomendación 22-08 que establece un plan de ordenación plurianual para el atún rojo en el Atlántico este y Mediterráneo </w:t>
      </w:r>
      <w:r w:rsidRPr="00F0379B">
        <w:rPr>
          <w:rFonts w:ascii="Cambria" w:eastAsia="MS Gothic" w:hAnsi="Cambria" w:cs="Cambria"/>
          <w:color w:val="000000"/>
          <w:sz w:val="20"/>
          <w:szCs w:val="20"/>
          <w:lang w:eastAsia="fr-FR"/>
        </w:rPr>
        <w:t>(Rec. 24-05), en la Orden ministerial n.º 131/2026 que implementa la</w:t>
      </w:r>
      <w:r w:rsidRPr="00F0379B">
        <w:rPr>
          <w:rFonts w:ascii="Cambria" w:eastAsia="MS Gothic" w:hAnsi="Cambria" w:cs="Cambria"/>
          <w:i/>
          <w:iCs/>
          <w:color w:val="000000"/>
          <w:sz w:val="20"/>
          <w:szCs w:val="20"/>
          <w:lang w:eastAsia="fr-FR"/>
        </w:rPr>
        <w:t xml:space="preserve"> Recomendación de ICCAT que enmienda la Recomendación 24-05 que establece un plan de ordenación plurianual para el atún rojo en el Atlántico este y Mediterráneo </w:t>
      </w:r>
      <w:r w:rsidRPr="00F0379B">
        <w:rPr>
          <w:rFonts w:ascii="Cambria" w:eastAsia="MS Gothic" w:hAnsi="Cambria" w:cs="Cambria"/>
          <w:color w:val="000000"/>
          <w:sz w:val="20"/>
          <w:szCs w:val="20"/>
          <w:lang w:eastAsia="fr-FR"/>
        </w:rPr>
        <w:t xml:space="preserve">(Rec. 25-04) y la reglamentación nacional, especialmente la Ley 64/2012 "Sobre pesquerías", enmendada, artículo 69, párrafo 1/puntos b y c, párrafos 3 y 5. </w:t>
      </w:r>
    </w:p>
    <w:p w14:paraId="0DEE30CD"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p>
    <w:p w14:paraId="05D2D775"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En el registro de la flota pesquera de Albania no hay barcos de cebo vivo, palangreros, buques de liña ni almadrabas. No está desarrollada la actividad de pesca de los cañeros, palangreros ni buques de liña y no se expiden permisos. Albania comunica anualmente los grupos de artes de pesca y los segmentos de la flota (DCRF - GFCM y DG MARE).</w:t>
      </w:r>
    </w:p>
    <w:p w14:paraId="04A052B6"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p>
    <w:p w14:paraId="1591D43B"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Durante el año 2025, la flota pesquera de Albania no realizó capturas fortuitas de atún rojo en otras pesquerías.</w:t>
      </w:r>
    </w:p>
    <w:p w14:paraId="1687932F"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6A262AF1"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bCs/>
          <w:i/>
          <w:iCs/>
          <w:kern w:val="2"/>
          <w:sz w:val="20"/>
          <w:szCs w:val="20"/>
          <w:lang w:eastAsia="ja-JP"/>
          <w14:ligatures w14:val="standardContextual"/>
        </w:rPr>
        <w:t xml:space="preserve">1 b) Traspaso </w:t>
      </w:r>
      <w:r w:rsidRPr="00F0379B">
        <w:rPr>
          <w:rFonts w:ascii="Cambria" w:eastAsiaTheme="minorEastAsia" w:hAnsi="Cambria"/>
          <w:b/>
          <w:i/>
          <w:iCs/>
          <w:kern w:val="2"/>
          <w:sz w:val="20"/>
          <w:szCs w:val="20"/>
          <w:lang w:eastAsia="ja-JP"/>
          <w14:ligatures w14:val="standardContextual"/>
        </w:rPr>
        <w:t>(párr. 6)</w:t>
      </w:r>
    </w:p>
    <w:p w14:paraId="554A5A9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2081E9B6"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No se solicita ningún traspaso. </w:t>
      </w:r>
    </w:p>
    <w:p w14:paraId="32EFADF4"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2FF14461" w14:textId="77777777" w:rsidR="009123AC" w:rsidRPr="00F0379B" w:rsidRDefault="009123AC" w:rsidP="009123AC">
      <w:pPr>
        <w:spacing w:after="0" w:line="240" w:lineRule="auto"/>
        <w:jc w:val="both"/>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bCs/>
          <w:i/>
          <w:iCs/>
          <w:kern w:val="2"/>
          <w:sz w:val="20"/>
          <w:szCs w:val="20"/>
          <w:lang w:eastAsia="ja-JP"/>
          <w14:ligatures w14:val="standardContextual"/>
        </w:rPr>
        <w:t>1 c) Destino de la captura</w:t>
      </w:r>
    </w:p>
    <w:p w14:paraId="55D915CD" w14:textId="77777777" w:rsidR="009123AC" w:rsidRPr="00F0379B" w:rsidRDefault="009123AC" w:rsidP="009123AC">
      <w:pPr>
        <w:spacing w:after="0" w:line="240" w:lineRule="auto"/>
        <w:jc w:val="both"/>
        <w:rPr>
          <w:rFonts w:ascii="Cambria" w:eastAsiaTheme="minorEastAsia" w:hAnsi="Cambria"/>
          <w:i/>
          <w:kern w:val="2"/>
          <w:sz w:val="20"/>
          <w:szCs w:val="20"/>
          <w:lang w:eastAsia="ja-JP"/>
          <w14:ligatures w14:val="standardContextual"/>
        </w:rPr>
      </w:pPr>
    </w:p>
    <w:p w14:paraId="04264E24"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totalidad de las capturas de los cerqueros albaneses (100 %) se destinará a la cría en la granja albanesa de atún rojo.</w:t>
      </w:r>
    </w:p>
    <w:p w14:paraId="4C90676F"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5ADCFB8B" w14:textId="77777777" w:rsidR="009123AC" w:rsidRPr="00F0379B" w:rsidRDefault="009123AC" w:rsidP="009123AC">
      <w:pPr>
        <w:spacing w:after="0" w:line="240" w:lineRule="auto"/>
        <w:jc w:val="both"/>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bCs/>
          <w:i/>
          <w:iCs/>
          <w:kern w:val="2"/>
          <w:sz w:val="20"/>
          <w:szCs w:val="20"/>
          <w:lang w:eastAsia="ja-JP"/>
          <w14:ligatures w14:val="standardContextual"/>
        </w:rPr>
        <w:br w:type="page"/>
      </w:r>
    </w:p>
    <w:p w14:paraId="6AAAE4C0" w14:textId="77777777" w:rsidR="009123AC" w:rsidRPr="00F0379B" w:rsidRDefault="009123AC" w:rsidP="009123AC">
      <w:pPr>
        <w:spacing w:after="0" w:line="240" w:lineRule="auto"/>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bCs/>
          <w:i/>
          <w:iCs/>
          <w:kern w:val="2"/>
          <w:sz w:val="20"/>
          <w:szCs w:val="20"/>
          <w:lang w:eastAsia="ja-JP"/>
          <w14:ligatures w14:val="standardContextual"/>
        </w:rPr>
        <w:lastRenderedPageBreak/>
        <w:t xml:space="preserve">1 d) </w:t>
      </w:r>
    </w:p>
    <w:p w14:paraId="3916911D" w14:textId="77777777" w:rsidR="009123AC" w:rsidRPr="00F0379B" w:rsidRDefault="009123AC" w:rsidP="009123AC">
      <w:pPr>
        <w:spacing w:after="0" w:line="240" w:lineRule="auto"/>
        <w:rPr>
          <w:rFonts w:ascii="Cambria" w:eastAsiaTheme="minorEastAsia" w:hAnsi="Cambria"/>
          <w:i/>
          <w:kern w:val="2"/>
          <w:sz w:val="20"/>
          <w:szCs w:val="20"/>
          <w:lang w:eastAsia="ja-JP"/>
          <w14:ligatures w14:val="standardContextual"/>
        </w:rPr>
      </w:pPr>
    </w:p>
    <w:tbl>
      <w:tblPr>
        <w:tblStyle w:val="TableGrid"/>
        <w:tblW w:w="10350" w:type="dxa"/>
        <w:tblInd w:w="-905" w:type="dxa"/>
        <w:tblLayout w:type="fixed"/>
        <w:tblLook w:val="04A0" w:firstRow="1" w:lastRow="0" w:firstColumn="1" w:lastColumn="0" w:noHBand="0" w:noVBand="1"/>
      </w:tblPr>
      <w:tblGrid>
        <w:gridCol w:w="453"/>
        <w:gridCol w:w="1723"/>
        <w:gridCol w:w="2552"/>
        <w:gridCol w:w="2976"/>
        <w:gridCol w:w="2646"/>
      </w:tblGrid>
      <w:tr w:rsidR="009123AC" w:rsidRPr="00F0379B" w14:paraId="615CF816" w14:textId="77777777" w:rsidTr="00CA749B">
        <w:tc>
          <w:tcPr>
            <w:tcW w:w="453" w:type="dxa"/>
          </w:tcPr>
          <w:p w14:paraId="31C9C69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723" w:type="dxa"/>
            <w:vAlign w:val="center"/>
          </w:tcPr>
          <w:p w14:paraId="24D3C25B"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Requisito ICCAT</w:t>
            </w:r>
          </w:p>
          <w:p w14:paraId="6AD3E570" w14:textId="77777777" w:rsidR="009123AC" w:rsidRPr="00F0379B" w:rsidRDefault="009123AC" w:rsidP="009123AC">
            <w:pPr>
              <w:spacing w:line="240" w:lineRule="auto"/>
              <w:ind w:left="-90" w:right="-112"/>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(según la</w:t>
            </w:r>
          </w:p>
          <w:p w14:paraId="5E15E55C"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hyperlink r:id="rId68" w:history="1">
              <w:r w:rsidRPr="00F0379B">
                <w:rPr>
                  <w:rFonts w:ascii="Cambria" w:eastAsiaTheme="minorEastAsia" w:hAnsi="Cambria"/>
                  <w:i/>
                  <w:color w:val="0563C1" w:themeColor="hyperlink"/>
                  <w:kern w:val="2"/>
                  <w:sz w:val="20"/>
                  <w:szCs w:val="20"/>
                  <w:lang w:eastAsia="ja-JP"/>
                  <w14:ligatures w14:val="standardContextual"/>
                </w:rPr>
                <w:t>Rec. 25-04</w:t>
              </w:r>
            </w:hyperlink>
            <w:r w:rsidRPr="00F0379B">
              <w:rPr>
                <w:rFonts w:ascii="Cambria" w:eastAsiaTheme="minorEastAsia" w:hAnsi="Cambria"/>
                <w:i/>
                <w:kern w:val="2"/>
                <w:sz w:val="20"/>
                <w:szCs w:val="20"/>
                <w:lang w:eastAsia="ja-JP"/>
                <w14:ligatures w14:val="standardContextual"/>
              </w:rPr>
              <w:t>)</w:t>
            </w:r>
          </w:p>
        </w:tc>
        <w:tc>
          <w:tcPr>
            <w:tcW w:w="2552" w:type="dxa"/>
            <w:vAlign w:val="center"/>
          </w:tcPr>
          <w:p w14:paraId="090CD504"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Explicación de las acciones emprendidas por la CPC con fines de implementación</w:t>
            </w:r>
          </w:p>
        </w:tc>
        <w:tc>
          <w:tcPr>
            <w:tcW w:w="2976" w:type="dxa"/>
            <w:vAlign w:val="center"/>
          </w:tcPr>
          <w:p w14:paraId="4C549EB8"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Leyes o reglamentos internos pertinentes</w:t>
            </w:r>
          </w:p>
          <w:p w14:paraId="6559CF62"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(si procede)</w:t>
            </w:r>
          </w:p>
        </w:tc>
        <w:tc>
          <w:tcPr>
            <w:tcW w:w="2646" w:type="dxa"/>
            <w:vAlign w:val="center"/>
          </w:tcPr>
          <w:p w14:paraId="4175DAF0"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Nota</w:t>
            </w:r>
          </w:p>
        </w:tc>
      </w:tr>
      <w:tr w:rsidR="009123AC" w:rsidRPr="00F0379B" w14:paraId="3899931C" w14:textId="77777777" w:rsidTr="00CA749B">
        <w:tc>
          <w:tcPr>
            <w:tcW w:w="453" w:type="dxa"/>
          </w:tcPr>
          <w:p w14:paraId="46A64819"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w:t>
            </w:r>
          </w:p>
        </w:tc>
        <w:tc>
          <w:tcPr>
            <w:tcW w:w="1723" w:type="dxa"/>
          </w:tcPr>
          <w:p w14:paraId="7428B455"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Consignación y comunicación de la captura </w:t>
            </w:r>
          </w:p>
          <w:p w14:paraId="589B0522"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74-88)</w:t>
            </w:r>
          </w:p>
        </w:tc>
        <w:tc>
          <w:tcPr>
            <w:tcW w:w="2552" w:type="dxa"/>
          </w:tcPr>
          <w:p w14:paraId="4E20C4B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cuaderno de pesca electrónico está operativo. Durante este año, los patrones de los buques autorizados deben mantener un cuaderno de pesca encuadernado para consignar sus operaciones de conformidad con las disposiciones previstas en la Sección A del Anexo 2 de la Rec. 25-04.</w:t>
            </w:r>
          </w:p>
          <w:p w14:paraId="5A267DE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patrones de los remolcadores consignarán sus actividades de conformidad con los requisitos establecidos en la Sección B del </w:t>
            </w:r>
            <w:r w:rsidRPr="00F0379B">
              <w:rPr>
                <w:rFonts w:ascii="Cambria" w:eastAsiaTheme="minorEastAsia" w:hAnsi="Cambria"/>
                <w:bCs/>
                <w:kern w:val="2"/>
                <w:sz w:val="20"/>
                <w:szCs w:val="20"/>
                <w:lang w:eastAsia="ja-JP"/>
                <w14:ligatures w14:val="standardContextual"/>
              </w:rPr>
              <w:t xml:space="preserve">Anexo 2 de la Rec. </w:t>
            </w:r>
            <w:r w:rsidRPr="00F0379B">
              <w:rPr>
                <w:rFonts w:ascii="Cambria" w:eastAsiaTheme="minorEastAsia" w:hAnsi="Cambria"/>
                <w:kern w:val="2"/>
                <w:sz w:val="20"/>
                <w:szCs w:val="20"/>
                <w:lang w:eastAsia="ja-JP"/>
                <w14:ligatures w14:val="standardContextual"/>
              </w:rPr>
              <w:t>25-04</w:t>
            </w:r>
          </w:p>
          <w:p w14:paraId="11B8412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4A8979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patrón del buque de captura transmitirá diariamente a las autoridades albanesas, durante todo el periodo en el que esté autorizado a pescar atún rojo, la información diaria del cuaderno de pesca, lo que incluye fecha, hora, localización (latitud y longitud) y el peso y número del atún rojo capturado, lo que incluye liberaciones y descartes de ejemplares muertos de talla inferior a la regulada, establecida en el párrafo 33.</w:t>
            </w:r>
          </w:p>
          <w:p w14:paraId="32CD341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553DF8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DB1EB1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peces que se descarten muertos se descontarán de la cuota de Albania. </w:t>
            </w:r>
          </w:p>
          <w:p w14:paraId="2D95D1E4"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Los patrones de los cerqueros redactarán informes incluyendo las operaciones en las que la captura fue cero.</w:t>
            </w:r>
          </w:p>
          <w:p w14:paraId="67A1D232" w14:textId="77777777" w:rsidR="009123AC" w:rsidRPr="00F0379B" w:rsidRDefault="009123AC" w:rsidP="009123AC">
            <w:pPr>
              <w:autoSpaceDE w:val="0"/>
              <w:autoSpaceDN w:val="0"/>
              <w:adjustRightInd w:val="0"/>
              <w:spacing w:line="240" w:lineRule="auto"/>
              <w:rPr>
                <w:rFonts w:ascii="Cambria" w:eastAsiaTheme="minorEastAsia" w:hAnsi="Cambria" w:cs="Cambria"/>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El operador transmitirá los informes a las autoridades de Albania antes de las 9.00 h GMT para el día anterior. </w:t>
            </w:r>
          </w:p>
        </w:tc>
        <w:tc>
          <w:tcPr>
            <w:tcW w:w="2976" w:type="dxa"/>
          </w:tcPr>
          <w:p w14:paraId="4609B51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Anexo 4 de la DCM n.º 407 del 08/05/2013 "que establece un sistema de control para garantizar el cumplimiento de las normas de la política pesquera" que es una implementación del Reglamento de la UE 1224/2009 y del Reglamento de Ejecución (UE) n.º 404/2011 de la Comisión que establece las normas de detalladas para la ejecución del Reglamento (CE) n.º 1224/2009 «que establece un sistema de control comunitario para garantizar el cumplimiento de las normas de la política pesquera comunitaria».</w:t>
            </w:r>
          </w:p>
          <w:p w14:paraId="7D75D10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2BE1F6C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Artículo 40 de la DMC n.º </w:t>
            </w:r>
            <w:hyperlink r:id="rId69" w:history="1">
              <w:r w:rsidRPr="00F0379B">
                <w:rPr>
                  <w:rFonts w:ascii="Cambria" w:eastAsiaTheme="minorEastAsia" w:hAnsi="Cambria"/>
                  <w:color w:val="0563C1" w:themeColor="hyperlink"/>
                  <w:kern w:val="2"/>
                  <w:sz w:val="20"/>
                  <w:szCs w:val="20"/>
                  <w:lang w:eastAsia="ja-JP"/>
                  <w14:ligatures w14:val="standardContextual"/>
                </w:rPr>
                <w:t>756 del 01/12/2022 “sobre el método de establecimiento y funcionamiento del sistema electrónico de registro y notificación de la actividad pesquera y sobre la determinación del plazo para su implementación".</w:t>
              </w:r>
            </w:hyperlink>
          </w:p>
          <w:p w14:paraId="16C5115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21367F9C"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p>
          <w:p w14:paraId="42CA5113"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hyperlink r:id="rId70" w:history="1">
              <w:r w:rsidRPr="00F0379B">
                <w:rPr>
                  <w:rFonts w:ascii="Cambria" w:hAnsi="Cambria" w:cs="Cambria"/>
                  <w:color w:val="0563C1" w:themeColor="hyperlink"/>
                  <w:sz w:val="20"/>
                  <w:szCs w:val="20"/>
                </w:rPr>
                <w:t>Orden ministerial n.º 140 de fecha 13/02/2025 que implementa la</w:t>
              </w:r>
              <w:r w:rsidRPr="00F0379B">
                <w:rPr>
                  <w:rFonts w:ascii="Cambria" w:hAnsi="Cambria" w:cs="Cambria"/>
                  <w:i/>
                  <w:iCs/>
                  <w:color w:val="0563C1" w:themeColor="hyperlink"/>
                  <w:sz w:val="20"/>
                  <w:szCs w:val="20"/>
                </w:rPr>
                <w:t xml:space="preserve"> Recomendación de ICCAT que enmienda la Recomendación 22-08 que establece un plan de ordenación plurianual para el atún rojo en el Atlántico este y Mediterráneo </w:t>
              </w:r>
              <w:r w:rsidRPr="00F0379B">
                <w:rPr>
                  <w:rFonts w:ascii="Cambria" w:hAnsi="Cambria" w:cs="Cambria"/>
                  <w:color w:val="0563C1" w:themeColor="hyperlink"/>
                  <w:sz w:val="20"/>
                  <w:szCs w:val="20"/>
                </w:rPr>
                <w:t>(Rec. 24-05).</w:t>
              </w:r>
            </w:hyperlink>
          </w:p>
          <w:p w14:paraId="669511BA"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p>
          <w:p w14:paraId="7FD605E0"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hyperlink r:id="rId71" w:history="1">
              <w:r w:rsidRPr="00F0379B">
                <w:rPr>
                  <w:rFonts w:ascii="Cambria" w:hAnsi="Cambria" w:cs="Cambria"/>
                  <w:color w:val="0563C1" w:themeColor="hyperlink"/>
                  <w:sz w:val="20"/>
                  <w:szCs w:val="20"/>
                </w:rPr>
                <w:t>Orden ministerial n.º 131/2026 que implementa la</w:t>
              </w:r>
              <w:r w:rsidRPr="00F0379B">
                <w:rPr>
                  <w:rFonts w:ascii="Cambria" w:hAnsi="Cambria" w:cs="Cambria"/>
                  <w:i/>
                  <w:iCs/>
                  <w:color w:val="0563C1" w:themeColor="hyperlink"/>
                  <w:sz w:val="20"/>
                  <w:szCs w:val="20"/>
                </w:rPr>
                <w:t xml:space="preserve"> Recomendación de ICCAT que enmienda la Recomendación 24-05 que establece un plan de ordenación plurianual para el atún rojo en el Atlántico este y Mediterráneo </w:t>
              </w:r>
              <w:r w:rsidRPr="00F0379B">
                <w:rPr>
                  <w:rFonts w:ascii="Cambria" w:hAnsi="Cambria" w:cs="Cambria"/>
                  <w:color w:val="0563C1" w:themeColor="hyperlink"/>
                  <w:sz w:val="20"/>
                  <w:szCs w:val="20"/>
                </w:rPr>
                <w:t>(Rec. 25-04).</w:t>
              </w:r>
            </w:hyperlink>
          </w:p>
          <w:p w14:paraId="50AC6580"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p>
          <w:p w14:paraId="00BEB48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2F21188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646" w:type="dxa"/>
          </w:tcPr>
          <w:p w14:paraId="23B7D42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En 2024, Albania inició la aplicación del ERS en una fase piloto en los tres buques, en estrecha colaboración con la GFCM. Sobre la base de los resultados del proyecto piloto, se prepara un pliego de condiciones para el equipamiento necesario de todos los buques pesqueros albaneses de eslora igual o superior a 12 m.</w:t>
            </w:r>
          </w:p>
          <w:p w14:paraId="5E53D0D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07F0442" w14:textId="0BED0E38"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Durante 2025, el sistema se hizo totalmente operativo y se equiparon todos </w:t>
            </w:r>
            <w:r w:rsidR="00907948" w:rsidRPr="00F0379B">
              <w:rPr>
                <w:rFonts w:ascii="Cambria" w:eastAsiaTheme="minorEastAsia" w:hAnsi="Cambria"/>
                <w:kern w:val="2"/>
                <w:sz w:val="20"/>
                <w:szCs w:val="20"/>
                <w:lang w:eastAsia="ja-JP"/>
                <w14:ligatures w14:val="standardContextual"/>
              </w:rPr>
              <w:t>los buques</w:t>
            </w:r>
            <w:r w:rsidRPr="00F0379B">
              <w:rPr>
                <w:rFonts w:ascii="Cambria" w:eastAsiaTheme="minorEastAsia" w:hAnsi="Cambria"/>
                <w:kern w:val="2"/>
                <w:sz w:val="20"/>
                <w:szCs w:val="20"/>
                <w:lang w:eastAsia="ja-JP"/>
                <w14:ligatures w14:val="standardContextual"/>
              </w:rPr>
              <w:t xml:space="preserve"> con una eslora igual o superior a 12 m.</w:t>
            </w:r>
          </w:p>
          <w:p w14:paraId="33D332CA" w14:textId="77777777" w:rsidR="009123AC" w:rsidRPr="00F0379B" w:rsidRDefault="009123AC" w:rsidP="009123AC">
            <w:pPr>
              <w:spacing w:line="240" w:lineRule="auto"/>
              <w:rPr>
                <w:rFonts w:ascii="Cambria" w:eastAsiaTheme="minorEastAsia" w:hAnsi="Cambria"/>
                <w:color w:val="FF0000"/>
                <w:kern w:val="2"/>
                <w:sz w:val="20"/>
                <w:szCs w:val="20"/>
                <w:lang w:eastAsia="ja-JP"/>
                <w14:ligatures w14:val="standardContextual"/>
              </w:rPr>
            </w:pPr>
            <w:r w:rsidRPr="00F0379B">
              <w:rPr>
                <w:rFonts w:ascii="Cambria" w:eastAsiaTheme="minorEastAsia" w:hAnsi="Cambria"/>
                <w:color w:val="FF0000"/>
                <w:kern w:val="2"/>
                <w:sz w:val="20"/>
                <w:szCs w:val="20"/>
                <w:lang w:eastAsia="ja-JP"/>
                <w14:ligatures w14:val="standardContextual"/>
              </w:rPr>
              <w:t xml:space="preserve">                </w:t>
            </w:r>
          </w:p>
          <w:p w14:paraId="48504EE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4BF0578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E5B8F5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996011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DMC determina que el sistema debería estar listo en 2025.</w:t>
            </w:r>
          </w:p>
          <w:p w14:paraId="0AB5F54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18F77B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7F16A6B" w14:textId="77777777" w:rsidR="009123AC" w:rsidRPr="00F0379B" w:rsidRDefault="009123AC" w:rsidP="009123AC">
            <w:pPr>
              <w:spacing w:line="240" w:lineRule="auto"/>
              <w:rPr>
                <w:rFonts w:ascii="Cambria" w:eastAsiaTheme="minorEastAsia" w:hAnsi="Cambria"/>
                <w:color w:val="0461C1"/>
                <w:kern w:val="2"/>
                <w:sz w:val="20"/>
                <w:szCs w:val="20"/>
                <w:lang w:eastAsia="ja-JP"/>
                <w14:ligatures w14:val="standardContextual"/>
              </w:rPr>
            </w:pPr>
          </w:p>
          <w:p w14:paraId="038C8622" w14:textId="77777777" w:rsidR="009123AC" w:rsidRPr="00F0379B" w:rsidRDefault="009123AC" w:rsidP="009123AC">
            <w:pPr>
              <w:spacing w:line="240" w:lineRule="auto"/>
              <w:rPr>
                <w:rFonts w:ascii="Cambria" w:eastAsiaTheme="minorEastAsia" w:hAnsi="Cambria"/>
                <w:color w:val="0461C1"/>
                <w:kern w:val="2"/>
                <w:sz w:val="20"/>
                <w:szCs w:val="20"/>
                <w:lang w:eastAsia="ja-JP"/>
                <w14:ligatures w14:val="standardContextual"/>
              </w:rPr>
            </w:pPr>
          </w:p>
          <w:p w14:paraId="41027DB9" w14:textId="77777777" w:rsidR="009123AC" w:rsidRPr="00F0379B" w:rsidRDefault="009123AC" w:rsidP="009123AC">
            <w:pPr>
              <w:spacing w:line="240" w:lineRule="auto"/>
              <w:rPr>
                <w:rFonts w:ascii="Cambria" w:eastAsiaTheme="minorEastAsia" w:hAnsi="Cambria"/>
                <w:color w:val="0461C1"/>
                <w:kern w:val="2"/>
                <w:sz w:val="20"/>
                <w:szCs w:val="20"/>
                <w:lang w:eastAsia="ja-JP"/>
                <w14:ligatures w14:val="standardContextual"/>
              </w:rPr>
            </w:pPr>
          </w:p>
          <w:p w14:paraId="179E04F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24313AA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FA3874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F89CFF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34FC056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436835F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FEBB7C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0F6F03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C6B39E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62619D81" w14:textId="77777777" w:rsidTr="00CA749B">
        <w:tc>
          <w:tcPr>
            <w:tcW w:w="453" w:type="dxa"/>
          </w:tcPr>
          <w:p w14:paraId="76AD6F90"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2</w:t>
            </w:r>
          </w:p>
        </w:tc>
        <w:tc>
          <w:tcPr>
            <w:tcW w:w="1723" w:type="dxa"/>
          </w:tcPr>
          <w:p w14:paraId="769DD1B5"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Temporadas de pesca abiertas</w:t>
            </w:r>
          </w:p>
          <w:p w14:paraId="1F830A43"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28-32)</w:t>
            </w:r>
          </w:p>
        </w:tc>
        <w:tc>
          <w:tcPr>
            <w:tcW w:w="2552" w:type="dxa"/>
          </w:tcPr>
          <w:p w14:paraId="012D696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permitirá la pesca de atún rojo con cerco en el Atlántico este y Mediterráneo durante el periodo del 19 de mayo al 1 de julio de 2026.</w:t>
            </w:r>
          </w:p>
          <w:p w14:paraId="4631960B"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Si las condiciones meteorológicas impiden las operaciones de pesca, las autoridades albanesas podrían decidir ampliar las temporadas de pesca en un número equivalente al número de días perdidos hasta un máximo de 10 días.</w:t>
            </w:r>
          </w:p>
          <w:p w14:paraId="775606F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periodo de pesca se ampliará en el caso de que la velocidad del viento alcance el nivel 4 o más en la escala de Beaufort. La evaluación de la duración de las malas condiciones meteorológicas para la extensión se basa en los informes del VMS que demuestran que todos los buques están parados, lo que incluye a los buques que participan en operaciones de pesca conjunta.</w:t>
            </w:r>
          </w:p>
        </w:tc>
        <w:tc>
          <w:tcPr>
            <w:tcW w:w="2976" w:type="dxa"/>
          </w:tcPr>
          <w:p w14:paraId="3A56881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Autorización de pesca</w:t>
            </w:r>
          </w:p>
          <w:p w14:paraId="24B01AD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1302C2A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BF2A056"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Orden ministerial n.º 140 de fecha 13/02/2025 que implementa la</w:t>
            </w:r>
            <w:r w:rsidRPr="00F0379B">
              <w:rPr>
                <w:rFonts w:ascii="Cambria" w:hAnsi="Cambria" w:cs="Cambria"/>
                <w:i/>
                <w:iCs/>
                <w:sz w:val="20"/>
                <w:szCs w:val="20"/>
              </w:rPr>
              <w:t xml:space="preserve"> Recomendación de ICCAT que enmienda la Recomendación 22-08 que establece un plan de ordenación plurianual para el atún rojo en el Atlántico este y Mediterráneo </w:t>
            </w:r>
            <w:r w:rsidRPr="00F0379B">
              <w:rPr>
                <w:rFonts w:ascii="Cambria" w:hAnsi="Cambria" w:cs="Cambria"/>
                <w:sz w:val="20"/>
                <w:szCs w:val="20"/>
              </w:rPr>
              <w:t>(Rec. 24-05).</w:t>
            </w:r>
          </w:p>
          <w:p w14:paraId="55FE065E"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p>
          <w:p w14:paraId="0D471932"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Orden ministerial n.º 131/2026 que implementa la</w:t>
            </w:r>
            <w:r w:rsidRPr="00F0379B">
              <w:rPr>
                <w:rFonts w:ascii="Cambria" w:hAnsi="Cambria" w:cs="Cambria"/>
                <w:i/>
                <w:iCs/>
                <w:sz w:val="20"/>
                <w:szCs w:val="20"/>
              </w:rPr>
              <w:t xml:space="preserve"> Recomendación de ICCAT que enmienda la Recomendación 24-05 que establece un plan de ordenación plurianual para el atún rojo en el Atlántico este y Mediterráneo </w:t>
            </w:r>
            <w:r w:rsidRPr="00F0379B">
              <w:rPr>
                <w:rFonts w:ascii="Cambria" w:hAnsi="Cambria" w:cs="Cambria"/>
                <w:sz w:val="20"/>
                <w:szCs w:val="20"/>
              </w:rPr>
              <w:t>(Rec. 25-04).</w:t>
            </w:r>
          </w:p>
          <w:p w14:paraId="7B9E4CDB"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p>
          <w:p w14:paraId="02F7688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646" w:type="dxa"/>
          </w:tcPr>
          <w:p w14:paraId="68716CA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3BFFC4C1" w14:textId="77777777" w:rsidTr="00CA749B">
        <w:tc>
          <w:tcPr>
            <w:tcW w:w="453" w:type="dxa"/>
          </w:tcPr>
          <w:p w14:paraId="55E44B1C"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3</w:t>
            </w:r>
          </w:p>
        </w:tc>
        <w:tc>
          <w:tcPr>
            <w:tcW w:w="1723" w:type="dxa"/>
          </w:tcPr>
          <w:p w14:paraId="32224491"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Talla mínima</w:t>
            </w:r>
          </w:p>
          <w:p w14:paraId="67AD4EE2"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33-35)</w:t>
            </w:r>
          </w:p>
        </w:tc>
        <w:tc>
          <w:tcPr>
            <w:tcW w:w="2552" w:type="dxa"/>
          </w:tcPr>
          <w:p w14:paraId="7EB816A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Está prohibido capturar, retener a bordo, transbordar, transferir, desembarcar, transportar, almacenar, vender, exponer u ofrecer para su venta atún rojo con un peso inferior a 30 kg o con una longitud a la horquilla inferior a 115 cm.</w:t>
            </w:r>
          </w:p>
          <w:p w14:paraId="7749193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Albania no captura atún rojo en el Adriático con fines de cría (párr. 34, punto c).</w:t>
            </w:r>
          </w:p>
          <w:p w14:paraId="4A59679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Si se captura algún atún rojo de talla inferior a la regulada y se retiene o se descarta muerto, se confiscará y descontará de la cuota de Albania.</w:t>
            </w:r>
          </w:p>
        </w:tc>
        <w:tc>
          <w:tcPr>
            <w:tcW w:w="2976" w:type="dxa"/>
          </w:tcPr>
          <w:p w14:paraId="62E6E0A4"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Orden ministerial n.º 140 de fecha 13/02/2025 que implementa la</w:t>
            </w:r>
            <w:r w:rsidRPr="00F0379B">
              <w:rPr>
                <w:rFonts w:ascii="Cambria" w:hAnsi="Cambria" w:cs="Cambria"/>
                <w:i/>
                <w:iCs/>
                <w:sz w:val="20"/>
                <w:szCs w:val="20"/>
              </w:rPr>
              <w:t xml:space="preserve"> Recomendación de ICCAT que enmienda la Recomendación 22-08 que establece un plan de ordenación plurianual para el atún rojo en el Atlántico este y Mediterráneo </w:t>
            </w:r>
            <w:r w:rsidRPr="00F0379B">
              <w:rPr>
                <w:rFonts w:ascii="Cambria" w:hAnsi="Cambria" w:cs="Cambria"/>
                <w:sz w:val="20"/>
                <w:szCs w:val="20"/>
              </w:rPr>
              <w:t>(Rec. 24-05).</w:t>
            </w:r>
          </w:p>
          <w:p w14:paraId="4E44F1E8"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p>
          <w:p w14:paraId="46013490"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Orden ministerial n.º 131/2026 que implementa la</w:t>
            </w:r>
            <w:r w:rsidRPr="00F0379B">
              <w:rPr>
                <w:rFonts w:ascii="Cambria" w:hAnsi="Cambria" w:cs="Cambria"/>
                <w:i/>
                <w:iCs/>
                <w:sz w:val="20"/>
                <w:szCs w:val="20"/>
              </w:rPr>
              <w:t xml:space="preserve"> Recomendación de ICCAT que enmienda la Recomendación 24-05 que establece un plan de ordenación plurianual para el atún rojo en el Atlántico este y Mediterráneo </w:t>
            </w:r>
            <w:r w:rsidRPr="00F0379B">
              <w:rPr>
                <w:rFonts w:ascii="Cambria" w:hAnsi="Cambria" w:cs="Cambria"/>
                <w:sz w:val="20"/>
                <w:szCs w:val="20"/>
              </w:rPr>
              <w:t>(Rec. 25-04).</w:t>
            </w:r>
          </w:p>
          <w:p w14:paraId="374A45A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646" w:type="dxa"/>
          </w:tcPr>
          <w:p w14:paraId="375E697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0AB368AF" w14:textId="77777777" w:rsidTr="00CA749B">
        <w:tc>
          <w:tcPr>
            <w:tcW w:w="453" w:type="dxa"/>
          </w:tcPr>
          <w:p w14:paraId="5E2BFC80"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4</w:t>
            </w:r>
          </w:p>
        </w:tc>
        <w:tc>
          <w:tcPr>
            <w:tcW w:w="1723" w:type="dxa"/>
          </w:tcPr>
          <w:p w14:paraId="588292E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Captura fortuita </w:t>
            </w:r>
          </w:p>
          <w:p w14:paraId="244B01BD"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(párr. 37) </w:t>
            </w:r>
          </w:p>
        </w:tc>
        <w:tc>
          <w:tcPr>
            <w:tcW w:w="2552" w:type="dxa"/>
          </w:tcPr>
          <w:p w14:paraId="6C8E644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captura fortuita de atún rojo no está permitida, aunque Albania asigna 1 t (una) como cuota específica para la captura fortuita de atún rojo, considerando que su flota </w:t>
            </w:r>
            <w:r w:rsidRPr="00F0379B">
              <w:rPr>
                <w:rFonts w:ascii="Cambria" w:eastAsiaTheme="minorEastAsia" w:hAnsi="Cambria"/>
                <w:kern w:val="2"/>
                <w:sz w:val="20"/>
                <w:szCs w:val="20"/>
                <w:lang w:eastAsia="ja-JP"/>
                <w14:ligatures w14:val="standardContextual"/>
              </w:rPr>
              <w:lastRenderedPageBreak/>
              <w:t>de cerqueros dirigida a los pequeños pelágicos realiza actividades en el mar Adriático.</w:t>
            </w:r>
          </w:p>
          <w:p w14:paraId="2DA92573" w14:textId="77777777" w:rsidR="009123AC" w:rsidRPr="00F0379B" w:rsidRDefault="009123AC" w:rsidP="009123AC">
            <w:pPr>
              <w:autoSpaceDE w:val="0"/>
              <w:autoSpaceDN w:val="0"/>
              <w:adjustRightInd w:val="0"/>
              <w:spacing w:line="240" w:lineRule="auto"/>
              <w:rPr>
                <w:rFonts w:ascii="Cambria" w:eastAsiaTheme="minorEastAsia" w:hAnsi="Cambria" w:cs="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Según el párrafo 37 de las </w:t>
            </w:r>
            <w:proofErr w:type="spellStart"/>
            <w:r w:rsidRPr="00F0379B">
              <w:rPr>
                <w:rFonts w:ascii="Cambria" w:eastAsiaTheme="minorEastAsia" w:hAnsi="Cambria"/>
                <w:kern w:val="2"/>
                <w:sz w:val="20"/>
                <w:szCs w:val="20"/>
                <w:lang w:eastAsia="ja-JP"/>
                <w14:ligatures w14:val="standardContextual"/>
              </w:rPr>
              <w:t>Recs</w:t>
            </w:r>
            <w:proofErr w:type="spellEnd"/>
            <w:r w:rsidRPr="00F0379B">
              <w:rPr>
                <w:rFonts w:ascii="Cambria" w:eastAsiaTheme="minorEastAsia" w:hAnsi="Cambria"/>
                <w:kern w:val="2"/>
                <w:sz w:val="20"/>
                <w:szCs w:val="20"/>
                <w:lang w:eastAsia="ja-JP"/>
                <w14:ligatures w14:val="standardContextual"/>
              </w:rPr>
              <w:t xml:space="preserve">. 24-05 y 25-04, todas las CPC asignarán una cuota específica para la captura fortuita de atún rojo y Albania asignará 1 (una) t como cuota específica de captura fortuita de atún rojo. </w:t>
            </w:r>
          </w:p>
          <w:p w14:paraId="4D0E6ECA" w14:textId="77777777" w:rsidR="009123AC" w:rsidRPr="00F0379B" w:rsidRDefault="009123AC" w:rsidP="009123AC">
            <w:pPr>
              <w:autoSpaceDE w:val="0"/>
              <w:autoSpaceDN w:val="0"/>
              <w:adjustRightInd w:val="0"/>
              <w:spacing w:line="240" w:lineRule="auto"/>
              <w:rPr>
                <w:rFonts w:ascii="Cambria" w:eastAsiaTheme="minorEastAsia" w:hAnsi="Cambria" w:cs="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Según la legislación albanesa, todas las capturas de los buques pesqueros de más de 10 metros deben registrarse y desembarcarse, Art. 75 y 82 de la ley de pesca albanesa n.º 64/2012 (obligación de desembarque) y no se permite la captura de atún rojo como captura fortuita, todos los peces muertos son confiscados.</w:t>
            </w:r>
          </w:p>
          <w:p w14:paraId="3DBD163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Si la cuota específica para captura fortuita se agota, todas las capturas fortuitas de atún rojo </w:t>
            </w:r>
            <w:proofErr w:type="gramStart"/>
            <w:r w:rsidRPr="00F0379B">
              <w:rPr>
                <w:rFonts w:ascii="Cambria" w:eastAsiaTheme="minorEastAsia" w:hAnsi="Cambria"/>
                <w:kern w:val="2"/>
                <w:sz w:val="20"/>
                <w:szCs w:val="20"/>
                <w:lang w:eastAsia="ja-JP"/>
                <w14:ligatures w14:val="standardContextual"/>
              </w:rPr>
              <w:t>muerto,</w:t>
            </w:r>
            <w:proofErr w:type="gramEnd"/>
            <w:r w:rsidRPr="00F0379B">
              <w:rPr>
                <w:rFonts w:ascii="Cambria" w:eastAsiaTheme="minorEastAsia" w:hAnsi="Cambria"/>
                <w:kern w:val="2"/>
                <w:sz w:val="20"/>
                <w:szCs w:val="20"/>
                <w:lang w:eastAsia="ja-JP"/>
                <w14:ligatures w14:val="standardContextual"/>
              </w:rPr>
              <w:t xml:space="preserve"> ya sean retenidas o descartadas, se deducirán de la cuota de Albania y se comunicarán a ICCAT.</w:t>
            </w:r>
          </w:p>
          <w:p w14:paraId="1A095BB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Todas las capturas fortuitas que estén vivas deben ser inmediatamente devueltas al mar.</w:t>
            </w:r>
          </w:p>
          <w:p w14:paraId="740FAC3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Albania enviará información sobre dichas cantidades (desembarcadas muertas o liberadas vivas) anualmente a la Secretaría de ICCAT.</w:t>
            </w:r>
          </w:p>
        </w:tc>
        <w:tc>
          <w:tcPr>
            <w:tcW w:w="2976" w:type="dxa"/>
          </w:tcPr>
          <w:p w14:paraId="184E405A"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lastRenderedPageBreak/>
              <w:t>Orden ministerial n.º 140 de fecha 13/02/2025 que implementa la</w:t>
            </w:r>
            <w:r w:rsidRPr="00F0379B">
              <w:rPr>
                <w:rFonts w:ascii="Cambria" w:hAnsi="Cambria" w:cs="Cambria"/>
                <w:i/>
                <w:iCs/>
                <w:sz w:val="20"/>
                <w:szCs w:val="20"/>
              </w:rPr>
              <w:t xml:space="preserve"> Recomendación de ICCAT que enmienda la Recomendación 22-08 que establece un plan de ordenación plurianual para el atún rojo en el </w:t>
            </w:r>
            <w:r w:rsidRPr="00F0379B">
              <w:rPr>
                <w:rFonts w:ascii="Cambria" w:hAnsi="Cambria" w:cs="Cambria"/>
                <w:i/>
                <w:iCs/>
                <w:sz w:val="20"/>
                <w:szCs w:val="20"/>
              </w:rPr>
              <w:lastRenderedPageBreak/>
              <w:t xml:space="preserve">Atlántico este y Mediterráneo </w:t>
            </w:r>
            <w:r w:rsidRPr="00F0379B">
              <w:rPr>
                <w:rFonts w:ascii="Cambria" w:hAnsi="Cambria" w:cs="Cambria"/>
                <w:sz w:val="20"/>
                <w:szCs w:val="20"/>
              </w:rPr>
              <w:t>(Rec. 24-05).</w:t>
            </w:r>
          </w:p>
          <w:p w14:paraId="0D07811C"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p>
          <w:p w14:paraId="73F0BC6D"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Orden ministerial n.º 131/2026 que implementa la</w:t>
            </w:r>
            <w:r w:rsidRPr="00F0379B">
              <w:rPr>
                <w:rFonts w:ascii="Cambria" w:hAnsi="Cambria" w:cs="Cambria"/>
                <w:i/>
                <w:iCs/>
                <w:sz w:val="20"/>
                <w:szCs w:val="20"/>
              </w:rPr>
              <w:t xml:space="preserve"> Recomendación de ICCAT que enmienda la Recomendación 24-05 que establece un plan de ordenación plurianual para el atún rojo en el Atlántico este y Mediterráneo </w:t>
            </w:r>
            <w:r w:rsidRPr="00F0379B">
              <w:rPr>
                <w:rFonts w:ascii="Cambria" w:hAnsi="Cambria" w:cs="Cambria"/>
                <w:sz w:val="20"/>
                <w:szCs w:val="20"/>
              </w:rPr>
              <w:t>(Rec. 25-04).</w:t>
            </w:r>
          </w:p>
          <w:p w14:paraId="757996B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646" w:type="dxa"/>
          </w:tcPr>
          <w:p w14:paraId="54979A5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lastRenderedPageBreak/>
              <w:t xml:space="preserve">Albania notificó a la Secretaría de ICCAT el 8 de enero de 2020 (párr. 57 de la Rec. 19-04) una captura de 252 kg de atún rojo en septiembre de 2019, fuera del periodo de autorización, </w:t>
            </w:r>
            <w:r w:rsidRPr="00F0379B">
              <w:rPr>
                <w:rFonts w:ascii="Cambria" w:eastAsiaTheme="minorEastAsia" w:hAnsi="Cambria"/>
                <w:kern w:val="2"/>
                <w:sz w:val="20"/>
                <w:szCs w:val="20"/>
                <w:lang w:eastAsia="ja-JP"/>
                <w14:ligatures w14:val="standardContextual"/>
              </w:rPr>
              <w:lastRenderedPageBreak/>
              <w:t>por parte de un cerquero dirigido a los pequeños pelágicos en el mar Adriático y dedujo esta cantidad de la cuota de Albania en el plan de pesca para 2020.</w:t>
            </w:r>
          </w:p>
          <w:p w14:paraId="570997F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En lugar de 170.000 kg, en el plan de pesca de 2020 Albania tenía una cuota reducida, 169.748 kg, debido a 252 kg capturados como captura fortuita fuera del periodo de autorización.</w:t>
            </w:r>
          </w:p>
          <w:p w14:paraId="2617785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Durante los años 2020, 2021, 2022, 2023 y 2024 la flota pesquera de Albania no realizó capturas fortuitas de atún rojo en otras pesquerías.</w:t>
            </w:r>
          </w:p>
          <w:p w14:paraId="6D71198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26EDC53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109141B7" w14:textId="77777777" w:rsidTr="00CA749B">
        <w:tc>
          <w:tcPr>
            <w:tcW w:w="453" w:type="dxa"/>
          </w:tcPr>
          <w:p w14:paraId="1FC3C0AB"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5</w:t>
            </w:r>
          </w:p>
        </w:tc>
        <w:tc>
          <w:tcPr>
            <w:tcW w:w="1723" w:type="dxa"/>
          </w:tcPr>
          <w:p w14:paraId="33C3115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Pesquerías deportivas y de recreo </w:t>
            </w:r>
          </w:p>
          <w:p w14:paraId="5D7D6A22"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38-46)</w:t>
            </w:r>
          </w:p>
        </w:tc>
        <w:tc>
          <w:tcPr>
            <w:tcW w:w="2552" w:type="dxa"/>
          </w:tcPr>
          <w:p w14:paraId="2F5D7C4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se ha asignado ninguna cuota para las pesquerías deportivas y de recreo y esta actividad pesquera no está permitida.</w:t>
            </w:r>
          </w:p>
        </w:tc>
        <w:tc>
          <w:tcPr>
            <w:tcW w:w="2976" w:type="dxa"/>
          </w:tcPr>
          <w:p w14:paraId="3075BF82"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Orden ministerial n.º 140 de fecha 13/02/2025 que implementa la</w:t>
            </w:r>
            <w:r w:rsidRPr="00F0379B">
              <w:rPr>
                <w:rFonts w:ascii="Cambria" w:hAnsi="Cambria" w:cs="Cambria"/>
                <w:i/>
                <w:iCs/>
                <w:sz w:val="20"/>
                <w:szCs w:val="20"/>
              </w:rPr>
              <w:t xml:space="preserve"> Recomendación de ICCAT que enmienda la Recomendación 22-08 que establece un plan de ordenación plurianual para el atún rojo en el Atlántico este y Mediterráneo </w:t>
            </w:r>
            <w:r w:rsidRPr="00F0379B">
              <w:rPr>
                <w:rFonts w:ascii="Cambria" w:hAnsi="Cambria" w:cs="Cambria"/>
                <w:sz w:val="20"/>
                <w:szCs w:val="20"/>
              </w:rPr>
              <w:t>(Rec. 24-05).</w:t>
            </w:r>
          </w:p>
          <w:p w14:paraId="3040A08A"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p>
          <w:p w14:paraId="3A5B9E75"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Orden ministerial n.º 131/2026 que implementa la</w:t>
            </w:r>
            <w:r w:rsidRPr="00F0379B">
              <w:rPr>
                <w:rFonts w:ascii="Cambria" w:hAnsi="Cambria" w:cs="Cambria"/>
                <w:i/>
                <w:iCs/>
                <w:sz w:val="20"/>
                <w:szCs w:val="20"/>
              </w:rPr>
              <w:t xml:space="preserve"> Recomendación de ICCAT que </w:t>
            </w:r>
            <w:r w:rsidRPr="00F0379B">
              <w:rPr>
                <w:rFonts w:ascii="Cambria" w:hAnsi="Cambria" w:cs="Cambria"/>
                <w:i/>
                <w:iCs/>
                <w:sz w:val="20"/>
                <w:szCs w:val="20"/>
              </w:rPr>
              <w:lastRenderedPageBreak/>
              <w:t xml:space="preserve">enmienda la Recomendación 24-05 que establece un plan de ordenación plurianual para el atún rojo en el Atlántico este y Mediterráneo </w:t>
            </w:r>
            <w:r w:rsidRPr="00F0379B">
              <w:rPr>
                <w:rFonts w:ascii="Cambria" w:hAnsi="Cambria" w:cs="Cambria"/>
                <w:sz w:val="20"/>
                <w:szCs w:val="20"/>
              </w:rPr>
              <w:t>(Rec. 25-04).</w:t>
            </w:r>
          </w:p>
          <w:p w14:paraId="67DABD8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646" w:type="dxa"/>
          </w:tcPr>
          <w:p w14:paraId="4DA6BC4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12BA6229" w14:textId="77777777" w:rsidTr="00CA749B">
        <w:tc>
          <w:tcPr>
            <w:tcW w:w="453" w:type="dxa"/>
          </w:tcPr>
          <w:p w14:paraId="2F92C81F"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6</w:t>
            </w:r>
          </w:p>
        </w:tc>
        <w:tc>
          <w:tcPr>
            <w:tcW w:w="1723" w:type="dxa"/>
          </w:tcPr>
          <w:p w14:paraId="2D142168"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VMS (párrs. 219-225 / </w:t>
            </w:r>
            <w:r w:rsidRPr="00F0379B">
              <w:rPr>
                <w:rFonts w:ascii="Cambria" w:eastAsiaTheme="minorEastAsia" w:hAnsi="Cambria"/>
                <w:b/>
                <w:kern w:val="2"/>
                <w:sz w:val="20"/>
                <w:szCs w:val="20"/>
                <w:lang w:val="fr-BE" w:eastAsia="ja-JP"/>
                <w14:ligatures w14:val="standardContextual"/>
              </w:rPr>
              <w:t>párrs. </w:t>
            </w:r>
            <w:r w:rsidRPr="00F0379B">
              <w:rPr>
                <w:rFonts w:ascii="Cambria" w:eastAsiaTheme="minorEastAsia" w:hAnsi="Cambria"/>
                <w:b/>
                <w:kern w:val="2"/>
                <w:sz w:val="20"/>
                <w:szCs w:val="20"/>
                <w:lang w:eastAsia="ja-JP"/>
                <w14:ligatures w14:val="standardContextual"/>
              </w:rPr>
              <w:t>222-228)</w:t>
            </w:r>
          </w:p>
        </w:tc>
        <w:tc>
          <w:tcPr>
            <w:tcW w:w="2552" w:type="dxa"/>
          </w:tcPr>
          <w:p w14:paraId="78526BF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Solo se permitirán operaciones de transbordo y desembarque de atún rojo en los puertos designados de </w:t>
            </w:r>
            <w:proofErr w:type="spellStart"/>
            <w:r w:rsidRPr="00F0379B">
              <w:rPr>
                <w:rFonts w:ascii="Cambria" w:eastAsiaTheme="minorEastAsia" w:hAnsi="Cambria"/>
                <w:kern w:val="2"/>
                <w:sz w:val="20"/>
                <w:szCs w:val="20"/>
                <w:lang w:eastAsia="ja-JP"/>
                <w14:ligatures w14:val="standardContextual"/>
              </w:rPr>
              <w:t>Shengjin</w:t>
            </w:r>
            <w:proofErr w:type="spellEnd"/>
            <w:r w:rsidRPr="00F0379B">
              <w:rPr>
                <w:rFonts w:ascii="Cambria" w:eastAsiaTheme="minorEastAsia" w:hAnsi="Cambria"/>
                <w:kern w:val="2"/>
                <w:sz w:val="20"/>
                <w:szCs w:val="20"/>
                <w:lang w:eastAsia="ja-JP"/>
                <w14:ligatures w14:val="standardContextual"/>
              </w:rPr>
              <w:t xml:space="preserve"> y Saranda.</w:t>
            </w:r>
          </w:p>
          <w:p w14:paraId="0D04029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Antes de entrar en puerto, el buque pesquero receptor o su representante, facilitará a las autoridades albanesas al menos 72 h antes de la hora estimada de llegada, la información incluida en el Anexo 3, de un modo acorde con la legislación interna del Estado rector del puerto. Cualquier transbordo requerirá la autorización previa de la CPC del pabellón del buque pesquero que realiza el transbordo.</w:t>
            </w:r>
          </w:p>
          <w:p w14:paraId="6DE47FC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976" w:type="dxa"/>
          </w:tcPr>
          <w:p w14:paraId="7206A0C0"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Orden ministerial n.º 140 de fecha 13/02/2025 que implementa la</w:t>
            </w:r>
            <w:r w:rsidRPr="00F0379B">
              <w:rPr>
                <w:rFonts w:ascii="Cambria" w:hAnsi="Cambria" w:cs="Cambria"/>
                <w:i/>
                <w:iCs/>
                <w:sz w:val="20"/>
                <w:szCs w:val="20"/>
              </w:rPr>
              <w:t xml:space="preserve"> Recomendación de ICCAT que enmienda la Recomendación 22-08 que establece un plan de ordenación plurianual para el atún rojo en el Atlántico este y Mediterráneo </w:t>
            </w:r>
            <w:r w:rsidRPr="00F0379B">
              <w:rPr>
                <w:rFonts w:ascii="Cambria" w:hAnsi="Cambria" w:cs="Cambria"/>
                <w:sz w:val="20"/>
                <w:szCs w:val="20"/>
              </w:rPr>
              <w:t>(Rec. 24-05).</w:t>
            </w:r>
          </w:p>
          <w:p w14:paraId="0351CD15"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p>
          <w:p w14:paraId="74353E52"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Orden ministerial n.º 131/2026 que implementa la</w:t>
            </w:r>
            <w:r w:rsidRPr="00F0379B">
              <w:rPr>
                <w:rFonts w:ascii="Cambria" w:hAnsi="Cambria" w:cs="Cambria"/>
                <w:i/>
                <w:iCs/>
                <w:sz w:val="20"/>
                <w:szCs w:val="20"/>
              </w:rPr>
              <w:t xml:space="preserve"> Recomendación de ICCAT que enmienda la Recomendación 24-05 que establece un plan de ordenación plurianual para el atún rojo en el Atlántico este y Mediterráneo </w:t>
            </w:r>
            <w:r w:rsidRPr="00F0379B">
              <w:rPr>
                <w:rFonts w:ascii="Cambria" w:hAnsi="Cambria" w:cs="Cambria"/>
                <w:sz w:val="20"/>
                <w:szCs w:val="20"/>
              </w:rPr>
              <w:t>(Rec. 25-04).</w:t>
            </w:r>
          </w:p>
          <w:p w14:paraId="39A4C9A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646" w:type="dxa"/>
          </w:tcPr>
          <w:p w14:paraId="01D7D70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06090C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CP24</w:t>
            </w:r>
          </w:p>
          <w:p w14:paraId="239E80A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adjunto</w:t>
            </w:r>
          </w:p>
        </w:tc>
      </w:tr>
      <w:tr w:rsidR="009123AC" w:rsidRPr="00F0379B" w14:paraId="674EC611" w14:textId="77777777" w:rsidTr="00CA749B">
        <w:tc>
          <w:tcPr>
            <w:tcW w:w="453" w:type="dxa"/>
          </w:tcPr>
          <w:p w14:paraId="13546A0E"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7</w:t>
            </w:r>
          </w:p>
        </w:tc>
        <w:tc>
          <w:tcPr>
            <w:tcW w:w="1723" w:type="dxa"/>
          </w:tcPr>
          <w:p w14:paraId="2875668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VMS (párrs. 222-228)</w:t>
            </w:r>
          </w:p>
        </w:tc>
        <w:tc>
          <w:tcPr>
            <w:tcW w:w="2552" w:type="dxa"/>
          </w:tcPr>
          <w:p w14:paraId="3AEB929A" w14:textId="77777777" w:rsidR="009123AC" w:rsidRPr="00F0379B" w:rsidRDefault="009123AC" w:rsidP="009123AC">
            <w:pPr>
              <w:spacing w:line="240" w:lineRule="auto"/>
              <w:rPr>
                <w:rFonts w:ascii="Cambria" w:eastAsiaTheme="minorEastAsia" w:hAnsi="Cambria" w:cs="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VMS se ha implementado en los buques de captura y remolcadores y la tasa de comunicación es de al menos una vez cada hora.</w:t>
            </w:r>
          </w:p>
          <w:p w14:paraId="7A63E8F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transmisión de las posiciones de los buques de captura y remolcadores se inicia 5 días antes del periodo de autorización de cada buque y continúa 5 días después del fin de la autorización.</w:t>
            </w:r>
          </w:p>
          <w:p w14:paraId="65EC854C"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 xml:space="preserve">La transmisión de datos de VMS a la Secretaría de ICCAT por parte de cada buque autorizado no debe interrumpirse cuando el buque está en puerto, con fines de control. </w:t>
            </w:r>
          </w:p>
        </w:tc>
        <w:tc>
          <w:tcPr>
            <w:tcW w:w="2976" w:type="dxa"/>
          </w:tcPr>
          <w:p w14:paraId="3DC2985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n.º 64/2012</w:t>
            </w:r>
          </w:p>
          <w:p w14:paraId="6D5B126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«Sobre pesquerías», enmendada, Artículo 72 Sistemas de seguimiento de buques</w:t>
            </w:r>
          </w:p>
          <w:p w14:paraId="59DCE5BC" w14:textId="77777777" w:rsidR="009123AC" w:rsidRPr="00F0379B" w:rsidRDefault="009123AC" w:rsidP="009123AC">
            <w:pPr>
              <w:spacing w:line="240" w:lineRule="auto"/>
              <w:rPr>
                <w:rFonts w:ascii="Cambria" w:eastAsiaTheme="minorEastAsia" w:hAnsi="Cambria"/>
                <w:i/>
                <w:iCs/>
                <w:kern w:val="2"/>
                <w:sz w:val="20"/>
                <w:szCs w:val="20"/>
                <w:lang w:eastAsia="ja-JP"/>
                <w14:ligatures w14:val="standardContextual"/>
              </w:rPr>
            </w:pPr>
            <w:r w:rsidRPr="00F0379B">
              <w:rPr>
                <w:rFonts w:ascii="Cambria" w:eastAsiaTheme="minorEastAsia" w:hAnsi="Cambria"/>
                <w:i/>
                <w:iCs/>
                <w:kern w:val="2"/>
                <w:sz w:val="20"/>
                <w:szCs w:val="20"/>
                <w:lang w:eastAsia="ja-JP"/>
                <w14:ligatures w14:val="standardContextual"/>
              </w:rPr>
              <w:t>1. Los buques pesqueros con una eslora igual o superior a 12 m instalarán a bordo el equipamiento pertinente que permita su identificación y localización automáticamente, a intervalos adecuados y específicos, mediante la transmisión de datos sobre la ubicación pertinente en el sistema por satélite.</w:t>
            </w:r>
          </w:p>
          <w:p w14:paraId="0A6636B1"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p>
          <w:p w14:paraId="0E4CCC2A"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"1/1. El Ministerio establecerá un sistema de seguimiento de buques por satélite para el seguimiento eficaz de las actividades pesqueras de los buques pesqueros de pabellón albanés, dondequiera que se encuentren dichos buques, y de las actividades pesqueras de estos buques en aguas internacionales."</w:t>
            </w:r>
          </w:p>
        </w:tc>
        <w:tc>
          <w:tcPr>
            <w:tcW w:w="2646" w:type="dxa"/>
          </w:tcPr>
          <w:p w14:paraId="3341330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2076E543" w14:textId="77777777" w:rsidTr="00CA749B">
        <w:tc>
          <w:tcPr>
            <w:tcW w:w="453" w:type="dxa"/>
          </w:tcPr>
          <w:p w14:paraId="54115B0F"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8</w:t>
            </w:r>
          </w:p>
        </w:tc>
        <w:tc>
          <w:tcPr>
            <w:tcW w:w="1723" w:type="dxa"/>
          </w:tcPr>
          <w:p w14:paraId="38DF22F8"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Programa de observadores de las CPC </w:t>
            </w:r>
          </w:p>
          <w:p w14:paraId="634D59BC"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95-100)</w:t>
            </w:r>
          </w:p>
        </w:tc>
        <w:tc>
          <w:tcPr>
            <w:tcW w:w="2552" w:type="dxa"/>
          </w:tcPr>
          <w:p w14:paraId="297872B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autoridades albanesas proporcionarán cobertura de observadores nacionales, con documentos de identificación oficiales, a bordo de todos los remolcadores, es decir, del 100 % de conformidad con las disposiciones de las Recomendaciones 24-05 y 25-04.</w:t>
            </w:r>
          </w:p>
          <w:p w14:paraId="0CD696A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1F5E3DE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D7A0B2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observadores albaneses fueron formados por expertos de la UE en el marco del proyecto UE-IPA “Apoyo a las pesquerías”. </w:t>
            </w:r>
          </w:p>
        </w:tc>
        <w:tc>
          <w:tcPr>
            <w:tcW w:w="2976" w:type="dxa"/>
          </w:tcPr>
          <w:p w14:paraId="4E0ACC81"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Orden ministerial n.º 140 de fecha 13/02/2025 que implementa la</w:t>
            </w:r>
            <w:r w:rsidRPr="00F0379B">
              <w:rPr>
                <w:rFonts w:ascii="Cambria" w:hAnsi="Cambria" w:cs="Cambria"/>
                <w:i/>
                <w:iCs/>
                <w:sz w:val="20"/>
                <w:szCs w:val="20"/>
              </w:rPr>
              <w:t xml:space="preserve"> Recomendación de ICCAT que enmienda la Recomendación 22-08 que establece un plan de ordenación plurianual para el atún rojo en el Atlántico este y Mediterráneo </w:t>
            </w:r>
            <w:r w:rsidRPr="00F0379B">
              <w:rPr>
                <w:rFonts w:ascii="Cambria" w:hAnsi="Cambria" w:cs="Cambria"/>
                <w:sz w:val="20"/>
                <w:szCs w:val="20"/>
              </w:rPr>
              <w:t>(Rec. 24-05).</w:t>
            </w:r>
          </w:p>
          <w:p w14:paraId="0F545C17"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p>
          <w:p w14:paraId="325D8F0F"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Orden ministerial n.º 131/2026 que implementa la</w:t>
            </w:r>
            <w:r w:rsidRPr="00F0379B">
              <w:rPr>
                <w:rFonts w:ascii="Cambria" w:hAnsi="Cambria" w:cs="Cambria"/>
                <w:i/>
                <w:iCs/>
                <w:sz w:val="20"/>
                <w:szCs w:val="20"/>
              </w:rPr>
              <w:t xml:space="preserve"> Recomendación de ICCAT que enmienda la Recomendación 24-05 que establece un plan de ordenación plurianual para el atún rojo en el Atlántico este y Mediterráneo </w:t>
            </w:r>
            <w:r w:rsidRPr="00F0379B">
              <w:rPr>
                <w:rFonts w:ascii="Cambria" w:hAnsi="Cambria" w:cs="Cambria"/>
                <w:sz w:val="20"/>
                <w:szCs w:val="20"/>
              </w:rPr>
              <w:t>(Rec. 25-04).</w:t>
            </w:r>
          </w:p>
          <w:p w14:paraId="4A460ED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646" w:type="dxa"/>
          </w:tcPr>
          <w:p w14:paraId="7CB4002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30296445" w14:textId="77777777" w:rsidTr="00CA749B">
        <w:tc>
          <w:tcPr>
            <w:tcW w:w="453" w:type="dxa"/>
          </w:tcPr>
          <w:p w14:paraId="0C45F005"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9</w:t>
            </w:r>
          </w:p>
        </w:tc>
        <w:tc>
          <w:tcPr>
            <w:tcW w:w="1723" w:type="dxa"/>
          </w:tcPr>
          <w:p w14:paraId="72159787" w14:textId="77777777" w:rsidR="009123AC" w:rsidRPr="00F0379B" w:rsidRDefault="009123AC" w:rsidP="009123AC">
            <w:pPr>
              <w:spacing w:line="240" w:lineRule="auto"/>
              <w:rPr>
                <w:rFonts w:ascii="Cambria" w:eastAsiaTheme="minorEastAsia" w:hAnsi="Cambria"/>
                <w:b/>
                <w:kern w:val="2"/>
                <w:sz w:val="20"/>
                <w:szCs w:val="20"/>
                <w:lang w:val="pt-BR" w:eastAsia="ja-JP"/>
                <w14:ligatures w14:val="standardContextual"/>
              </w:rPr>
            </w:pPr>
            <w:r w:rsidRPr="00F0379B">
              <w:rPr>
                <w:rFonts w:ascii="Cambria" w:eastAsiaTheme="minorEastAsia" w:hAnsi="Cambria"/>
                <w:b/>
                <w:kern w:val="2"/>
                <w:sz w:val="20"/>
                <w:szCs w:val="20"/>
                <w:lang w:val="pt-BR" w:eastAsia="ja-JP"/>
                <w14:ligatures w14:val="standardContextual"/>
              </w:rPr>
              <w:t xml:space="preserve">Programa regional de observadores </w:t>
            </w:r>
          </w:p>
          <w:p w14:paraId="4162FA39"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val="pt-BR" w:eastAsia="ja-JP"/>
                <w14:ligatures w14:val="standardContextual"/>
              </w:rPr>
              <w:t xml:space="preserve">(párrs. </w:t>
            </w:r>
            <w:r w:rsidRPr="00F0379B">
              <w:rPr>
                <w:rFonts w:ascii="Cambria" w:eastAsiaTheme="minorEastAsia" w:hAnsi="Cambria"/>
                <w:b/>
                <w:kern w:val="2"/>
                <w:sz w:val="20"/>
                <w:szCs w:val="20"/>
                <w:lang w:eastAsia="ja-JP"/>
                <w14:ligatures w14:val="standardContextual"/>
              </w:rPr>
              <w:t>101-107)</w:t>
            </w:r>
          </w:p>
        </w:tc>
        <w:tc>
          <w:tcPr>
            <w:tcW w:w="2552" w:type="dxa"/>
          </w:tcPr>
          <w:p w14:paraId="0D263101"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La administración albanesa asegurará la implementación del programa regional de observadores para garantizar la cobertura de observadores de todos los cerqueros autorizados a pescar atún rojo, durante todas las transferencias de atún rojo desde los cerqueros, durante todas las introducciones en jaula en las granjas, durante el sacrificio de atún rojo en las granjas y durante la liberación del atún rojo desde las jaulas de cría de conformidad con las disposiciones de las Recomendaciones 24-05 y 25-04.</w:t>
            </w:r>
          </w:p>
        </w:tc>
        <w:tc>
          <w:tcPr>
            <w:tcW w:w="2976" w:type="dxa"/>
          </w:tcPr>
          <w:p w14:paraId="0D32B41B"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Orden ministerial n.º 140 de fecha 13/02/2025 que implementa la</w:t>
            </w:r>
            <w:r w:rsidRPr="00F0379B">
              <w:rPr>
                <w:rFonts w:ascii="Cambria" w:hAnsi="Cambria" w:cs="Cambria"/>
                <w:i/>
                <w:iCs/>
                <w:sz w:val="20"/>
                <w:szCs w:val="20"/>
              </w:rPr>
              <w:t xml:space="preserve"> Recomendación de ICCAT que enmienda la Recomendación 22-08 que establece un plan de ordenación plurianual para el atún rojo en el Atlántico este y Mediterráneo </w:t>
            </w:r>
            <w:r w:rsidRPr="00F0379B">
              <w:rPr>
                <w:rFonts w:ascii="Cambria" w:hAnsi="Cambria" w:cs="Cambria"/>
                <w:sz w:val="20"/>
                <w:szCs w:val="20"/>
              </w:rPr>
              <w:t>(Rec. 24-05).</w:t>
            </w:r>
          </w:p>
          <w:p w14:paraId="6D3420E2"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p>
          <w:p w14:paraId="03DE7D55"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Orden ministerial n.º 131/2026 que implementa la</w:t>
            </w:r>
            <w:r w:rsidRPr="00F0379B">
              <w:rPr>
                <w:rFonts w:ascii="Cambria" w:hAnsi="Cambria" w:cs="Cambria"/>
                <w:i/>
                <w:iCs/>
                <w:sz w:val="20"/>
                <w:szCs w:val="20"/>
              </w:rPr>
              <w:t xml:space="preserve"> Recomendación de ICCAT que enmienda la Recomendación 24-05 que establece un plan de ordenación plurianual para el atún rojo en el Atlántico este y Mediterráneo </w:t>
            </w:r>
            <w:r w:rsidRPr="00F0379B">
              <w:rPr>
                <w:rFonts w:ascii="Cambria" w:hAnsi="Cambria" w:cs="Cambria"/>
                <w:sz w:val="20"/>
                <w:szCs w:val="20"/>
              </w:rPr>
              <w:t>(Rec. 25-04).</w:t>
            </w:r>
          </w:p>
          <w:p w14:paraId="097AE9D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646" w:type="dxa"/>
          </w:tcPr>
          <w:p w14:paraId="4B69AD4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286A6AD2" w14:textId="77777777" w:rsidTr="00CA749B">
        <w:tc>
          <w:tcPr>
            <w:tcW w:w="453" w:type="dxa"/>
          </w:tcPr>
          <w:p w14:paraId="3EF87EFD" w14:textId="77777777" w:rsidR="009123AC" w:rsidRPr="00F0379B" w:rsidRDefault="009123AC" w:rsidP="009123AC">
            <w:pPr>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bCs/>
                <w:iCs/>
                <w:kern w:val="2"/>
                <w:sz w:val="20"/>
                <w:szCs w:val="20"/>
                <w:lang w:eastAsia="ja-JP"/>
                <w14:ligatures w14:val="standardContextual"/>
              </w:rPr>
              <w:t>10</w:t>
            </w:r>
          </w:p>
        </w:tc>
        <w:tc>
          <w:tcPr>
            <w:tcW w:w="1723" w:type="dxa"/>
          </w:tcPr>
          <w:p w14:paraId="5E2C742B" w14:textId="77777777" w:rsidR="009123AC" w:rsidRPr="00F0379B" w:rsidRDefault="009123AC" w:rsidP="009123AC">
            <w:pPr>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bCs/>
                <w:iCs/>
                <w:kern w:val="2"/>
                <w:sz w:val="20"/>
                <w:szCs w:val="20"/>
                <w:lang w:eastAsia="ja-JP"/>
                <w14:ligatures w14:val="standardContextual"/>
              </w:rPr>
              <w:t>Legislación nacional</w:t>
            </w:r>
          </w:p>
        </w:tc>
        <w:tc>
          <w:tcPr>
            <w:tcW w:w="2552" w:type="dxa"/>
          </w:tcPr>
          <w:p w14:paraId="6A7181AA"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Orden ministerial n.º 140 de fecha 13/02/2025 que implementa la</w:t>
            </w:r>
            <w:r w:rsidRPr="00F0379B">
              <w:rPr>
                <w:rFonts w:ascii="Cambria" w:hAnsi="Cambria" w:cs="Cambria"/>
                <w:i/>
                <w:iCs/>
                <w:sz w:val="20"/>
                <w:szCs w:val="20"/>
              </w:rPr>
              <w:t xml:space="preserve"> Recomendación de ICCAT que enmienda la Recomendación 22-08 que establece un plan de ordenación plurianual para el atún rojo en el Atlántico este y Mediterráneo </w:t>
            </w:r>
            <w:r w:rsidRPr="00F0379B">
              <w:rPr>
                <w:rFonts w:ascii="Cambria" w:hAnsi="Cambria" w:cs="Cambria"/>
                <w:sz w:val="20"/>
                <w:szCs w:val="20"/>
              </w:rPr>
              <w:t>(Rec. 24-05).</w:t>
            </w:r>
          </w:p>
          <w:p w14:paraId="1F88541D"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p>
          <w:p w14:paraId="4C0FB1F4"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Orden ministerial n.º 131/2026 de fecha 13/02/2025 que implementa la</w:t>
            </w:r>
            <w:r w:rsidRPr="00F0379B">
              <w:rPr>
                <w:rFonts w:ascii="Cambria" w:hAnsi="Cambria" w:cs="Cambria"/>
                <w:i/>
                <w:iCs/>
                <w:sz w:val="20"/>
                <w:szCs w:val="20"/>
              </w:rPr>
              <w:t xml:space="preserve"> Recomendación de ICCAT que enmienda la </w:t>
            </w:r>
            <w:r w:rsidRPr="00F0379B">
              <w:rPr>
                <w:rFonts w:ascii="Cambria" w:hAnsi="Cambria" w:cs="Cambria"/>
                <w:i/>
                <w:iCs/>
                <w:sz w:val="20"/>
                <w:szCs w:val="20"/>
              </w:rPr>
              <w:lastRenderedPageBreak/>
              <w:t xml:space="preserve">Recomendación 24-05 que establece un plan de ordenación plurianual para el atún rojo en el Atlántico este y Mediterráneo </w:t>
            </w:r>
            <w:r w:rsidRPr="00F0379B">
              <w:rPr>
                <w:rFonts w:ascii="Cambria" w:hAnsi="Cambria" w:cs="Cambria"/>
                <w:sz w:val="20"/>
                <w:szCs w:val="20"/>
              </w:rPr>
              <w:t>(Rec. 25-04).</w:t>
            </w:r>
          </w:p>
          <w:p w14:paraId="112ABA2E"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p>
          <w:p w14:paraId="2F3536B3"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Albania ha aprobado el sistema de cuaderno de pesca electrónico ERS.</w:t>
            </w:r>
          </w:p>
          <w:p w14:paraId="27804F8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976" w:type="dxa"/>
          </w:tcPr>
          <w:p w14:paraId="0077304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hyperlink r:id="rId72" w:history="1">
              <w:r w:rsidRPr="00F0379B">
                <w:rPr>
                  <w:rFonts w:ascii="Cambria" w:eastAsiaTheme="minorEastAsia" w:hAnsi="Cambria"/>
                  <w:color w:val="0563C1" w:themeColor="hyperlink"/>
                  <w:kern w:val="2"/>
                  <w:sz w:val="20"/>
                  <w:szCs w:val="20"/>
                  <w:lang w:eastAsia="ja-JP"/>
                  <w14:ligatures w14:val="standardContextual"/>
                </w:rPr>
                <w:t>DMC n.º 756 del 01/12/2022 “sobre el método de establecimiento y funcionamiento del sistema electrónico de registro y notificación de la actividad pesquera y sobre la determinación del plazo para su implementación".</w:t>
              </w:r>
            </w:hyperlink>
          </w:p>
          <w:p w14:paraId="7784E06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3FA18E82"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hyperlink r:id="rId73" w:history="1">
              <w:r w:rsidRPr="00F0379B">
                <w:rPr>
                  <w:rFonts w:ascii="Cambria" w:hAnsi="Cambria" w:cs="Cambria"/>
                  <w:color w:val="0563C1" w:themeColor="hyperlink"/>
                  <w:sz w:val="20"/>
                  <w:szCs w:val="20"/>
                </w:rPr>
                <w:t>Orden ministerial n.º 140 de fecha 13/02/2025 que implementa la</w:t>
              </w:r>
              <w:r w:rsidRPr="00F0379B">
                <w:rPr>
                  <w:rFonts w:ascii="Cambria" w:hAnsi="Cambria" w:cs="Cambria"/>
                  <w:i/>
                  <w:iCs/>
                  <w:color w:val="0563C1" w:themeColor="hyperlink"/>
                  <w:sz w:val="20"/>
                  <w:szCs w:val="20"/>
                </w:rPr>
                <w:t xml:space="preserve"> Recomendación de ICCAT que enmienda la Recomendación 22-08 que establece un plan de ordenación plurianual para el atún rojo en el </w:t>
              </w:r>
              <w:r w:rsidRPr="00F0379B">
                <w:rPr>
                  <w:rFonts w:ascii="Cambria" w:hAnsi="Cambria" w:cs="Cambria"/>
                  <w:i/>
                  <w:iCs/>
                  <w:color w:val="0563C1" w:themeColor="hyperlink"/>
                  <w:sz w:val="20"/>
                  <w:szCs w:val="20"/>
                </w:rPr>
                <w:lastRenderedPageBreak/>
                <w:t xml:space="preserve">Atlántico este y Mediterráneo </w:t>
              </w:r>
              <w:r w:rsidRPr="00F0379B">
                <w:rPr>
                  <w:rFonts w:ascii="Cambria" w:hAnsi="Cambria" w:cs="Cambria"/>
                  <w:color w:val="0563C1" w:themeColor="hyperlink"/>
                  <w:sz w:val="20"/>
                  <w:szCs w:val="20"/>
                </w:rPr>
                <w:t>(Rec. 24-05).</w:t>
              </w:r>
            </w:hyperlink>
          </w:p>
          <w:p w14:paraId="33E4F45C"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p>
          <w:p w14:paraId="717F2CCF" w14:textId="77777777" w:rsidR="009123AC" w:rsidRPr="00F0379B" w:rsidRDefault="009123AC" w:rsidP="009123AC">
            <w:pPr>
              <w:autoSpaceDE w:val="0"/>
              <w:autoSpaceDN w:val="0"/>
              <w:adjustRightInd w:val="0"/>
              <w:spacing w:line="240" w:lineRule="auto"/>
              <w:jc w:val="both"/>
              <w:rPr>
                <w:rFonts w:ascii="Cambria" w:hAnsi="Cambria" w:cs="Cambria"/>
                <w:sz w:val="20"/>
                <w:szCs w:val="20"/>
              </w:rPr>
            </w:pPr>
            <w:r w:rsidRPr="00F0379B">
              <w:rPr>
                <w:rFonts w:ascii="Cambria" w:hAnsi="Cambria" w:cs="Cambria"/>
                <w:sz w:val="20"/>
                <w:szCs w:val="20"/>
              </w:rPr>
              <w:t>Orden ministerial n.º 131/2026 que implementa la</w:t>
            </w:r>
            <w:r w:rsidRPr="00F0379B">
              <w:rPr>
                <w:rFonts w:ascii="Cambria" w:hAnsi="Cambria" w:cs="Cambria"/>
                <w:i/>
                <w:iCs/>
                <w:sz w:val="20"/>
                <w:szCs w:val="20"/>
              </w:rPr>
              <w:t xml:space="preserve"> Recomendación de ICCAT que enmienda la Recomendación 24-05 que establece un plan de ordenación plurianual para el atún rojo en el Atlántico este y Mediterráneo </w:t>
            </w:r>
            <w:r w:rsidRPr="00F0379B">
              <w:rPr>
                <w:rFonts w:ascii="Cambria" w:hAnsi="Cambria" w:cs="Cambria"/>
                <w:sz w:val="20"/>
                <w:szCs w:val="20"/>
              </w:rPr>
              <w:t>(Rec. 25-04).</w:t>
            </w:r>
          </w:p>
          <w:p w14:paraId="36E6F4A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646" w:type="dxa"/>
          </w:tcPr>
          <w:p w14:paraId="5544F42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157403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1B46E20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95A304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3FA4EA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14A783F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97DFF1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1AFA17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9D3491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39A8145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020C90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4CD350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4F78812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CFF5FB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4C07B90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F535C8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1C1165F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2823E3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3999199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4176D73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72B6FB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hyperlink r:id="rId74" w:history="1">
              <w:r w:rsidRPr="00F0379B">
                <w:rPr>
                  <w:rFonts w:ascii="Cambria" w:eastAsiaTheme="minorEastAsia" w:hAnsi="Cambria"/>
                  <w:color w:val="0563C1" w:themeColor="hyperlink"/>
                  <w:kern w:val="2"/>
                  <w:sz w:val="20"/>
                  <w:szCs w:val="20"/>
                  <w:lang w:eastAsia="ja-JP"/>
                  <w14:ligatures w14:val="standardContextual"/>
                </w:rPr>
                <w:t>https://qbz.gov.al/eli/urdher/2026/02/09/131/2d0e5246-64b4-41cc-90ad-9a3062bd3fcd</w:t>
              </w:r>
            </w:hyperlink>
          </w:p>
        </w:tc>
      </w:tr>
      <w:tr w:rsidR="009123AC" w:rsidRPr="00F0379B" w14:paraId="4763AC05" w14:textId="77777777" w:rsidTr="00CA749B">
        <w:tc>
          <w:tcPr>
            <w:tcW w:w="453" w:type="dxa"/>
          </w:tcPr>
          <w:p w14:paraId="1590C6DE"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p>
        </w:tc>
        <w:tc>
          <w:tcPr>
            <w:tcW w:w="1723" w:type="dxa"/>
          </w:tcPr>
          <w:p w14:paraId="6E29FE8C"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Otros requisitos, como:</w:t>
            </w:r>
          </w:p>
          <w:p w14:paraId="5C174123"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programa de marcado</w:t>
            </w:r>
          </w:p>
          <w:p w14:paraId="032AB45C"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(párr. 44), etc.</w:t>
            </w:r>
          </w:p>
        </w:tc>
        <w:tc>
          <w:tcPr>
            <w:tcW w:w="2552" w:type="dxa"/>
          </w:tcPr>
          <w:p w14:paraId="1855DC5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976" w:type="dxa"/>
          </w:tcPr>
          <w:p w14:paraId="30F2511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646" w:type="dxa"/>
          </w:tcPr>
          <w:p w14:paraId="5B1ECB2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bl>
    <w:p w14:paraId="55CB1F65"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6C804EE3"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bookmarkStart w:id="8" w:name="_Hlk95288498"/>
    </w:p>
    <w:p w14:paraId="115F5B92"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 xml:space="preserve">1 e) Puertos designados </w:t>
      </w:r>
      <w:r w:rsidRPr="00F0379B">
        <w:rPr>
          <w:rFonts w:ascii="Cambria" w:eastAsiaTheme="minorEastAsia" w:hAnsi="Cambria"/>
          <w:b/>
          <w:bCs/>
          <w:i/>
          <w:iCs/>
          <w:kern w:val="2"/>
          <w:sz w:val="20"/>
          <w:szCs w:val="20"/>
          <w:lang w:eastAsia="ja-JP"/>
          <w14:ligatures w14:val="standardContextual"/>
        </w:rPr>
        <w:t>(párr. 80)</w:t>
      </w:r>
    </w:p>
    <w:p w14:paraId="1248A252"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0787D2B3"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adjunta la lista de puertos designados para el desembarque y el transbordo en el formulario CP24.</w:t>
      </w:r>
    </w:p>
    <w:p w14:paraId="00AAC545" w14:textId="77777777" w:rsidR="009123AC" w:rsidRPr="00F0379B" w:rsidRDefault="009123AC" w:rsidP="00CE0EC8">
      <w:pPr>
        <w:numPr>
          <w:ilvl w:val="0"/>
          <w:numId w:val="32"/>
        </w:numPr>
        <w:spacing w:after="0" w:line="240" w:lineRule="auto"/>
        <w:contextualSpacing/>
        <w:jc w:val="both"/>
        <w:rPr>
          <w:rFonts w:ascii="Cambria" w:eastAsia="Times New Roman" w:hAnsi="Cambria" w:cs="Calibri"/>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Shengjin</w:t>
      </w:r>
      <w:proofErr w:type="spellEnd"/>
    </w:p>
    <w:p w14:paraId="325E89EF" w14:textId="77777777" w:rsidR="009123AC" w:rsidRPr="00F0379B" w:rsidRDefault="009123AC" w:rsidP="00CE0EC8">
      <w:pPr>
        <w:numPr>
          <w:ilvl w:val="0"/>
          <w:numId w:val="32"/>
        </w:numPr>
        <w:spacing w:after="0" w:line="240" w:lineRule="auto"/>
        <w:contextualSpacing/>
        <w:jc w:val="both"/>
        <w:rPr>
          <w:rFonts w:ascii="Cambria" w:eastAsia="Times New Roman" w:hAnsi="Cambria" w:cs="Calibri"/>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Sarandë</w:t>
      </w:r>
    </w:p>
    <w:p w14:paraId="6FDE738F"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4404233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bookmarkEnd w:id="8"/>
    <w:p w14:paraId="6DC779D9" w14:textId="77777777" w:rsidR="009123AC" w:rsidRPr="00F0379B" w:rsidRDefault="009123AC" w:rsidP="00CE0EC8">
      <w:pPr>
        <w:widowControl w:val="0"/>
        <w:numPr>
          <w:ilvl w:val="0"/>
          <w:numId w:val="33"/>
        </w:numPr>
        <w:tabs>
          <w:tab w:val="left" w:pos="426"/>
        </w:tabs>
        <w:spacing w:after="0" w:line="240" w:lineRule="auto"/>
        <w:ind w:left="426" w:hanging="426"/>
        <w:contextualSpacing/>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Plan anual de ordenación de la capacidad pesquera (párrs. 14-21)</w:t>
      </w:r>
    </w:p>
    <w:p w14:paraId="189A729F"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782BE9BE"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cuota de Albania para 2026 será de 457,37 t. Como Albania asigna 1 t para capturas fortuitas, la cuota total disponible para los cerqueros será de 456,37 t</w:t>
      </w:r>
      <w:r w:rsidRPr="00F0379B">
        <w:rPr>
          <w:rFonts w:ascii="Cambria" w:eastAsiaTheme="minorEastAsia" w:hAnsi="Cambria"/>
          <w:iCs/>
          <w:kern w:val="2"/>
          <w:sz w:val="20"/>
          <w:szCs w:val="20"/>
          <w:lang w:eastAsia="ja-JP"/>
          <w14:ligatures w14:val="standardContextual"/>
        </w:rPr>
        <w:t>.</w:t>
      </w:r>
    </w:p>
    <w:p w14:paraId="47B30FC4"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3B70A1DA"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 xml:space="preserve"> </w:t>
      </w:r>
    </w:p>
    <w:p w14:paraId="6AFE0541" w14:textId="77777777" w:rsidR="009123AC" w:rsidRPr="00F0379B" w:rsidRDefault="009123AC" w:rsidP="00CE0EC8">
      <w:pPr>
        <w:widowControl w:val="0"/>
        <w:numPr>
          <w:ilvl w:val="0"/>
          <w:numId w:val="33"/>
        </w:numPr>
        <w:spacing w:after="0" w:line="240" w:lineRule="auto"/>
        <w:ind w:left="426" w:hanging="426"/>
        <w:contextualSpacing/>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Plan anual de ordenación de la cría (párrs. 22 y 23), si es aplicable</w:t>
      </w:r>
    </w:p>
    <w:p w14:paraId="2E1C7F62" w14:textId="77777777" w:rsidR="009123AC" w:rsidRPr="00F0379B" w:rsidRDefault="009123AC" w:rsidP="009123AC">
      <w:pPr>
        <w:tabs>
          <w:tab w:val="left" w:pos="426"/>
        </w:tabs>
        <w:spacing w:after="0" w:line="240" w:lineRule="auto"/>
        <w:jc w:val="both"/>
        <w:rPr>
          <w:rFonts w:ascii="Cambria" w:eastAsiaTheme="minorEastAsia" w:hAnsi="Cambria"/>
          <w:b/>
          <w:kern w:val="2"/>
          <w:sz w:val="20"/>
          <w:szCs w:val="20"/>
          <w:lang w:eastAsia="ja-JP"/>
          <w14:ligatures w14:val="standardContextual"/>
        </w:rPr>
      </w:pPr>
    </w:p>
    <w:p w14:paraId="164F9451"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plan de ordenación de cría de 2026 de Albania se detalla a continuación.</w:t>
      </w:r>
    </w:p>
    <w:p w14:paraId="05F9A65F"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tbl>
      <w:tblPr>
        <w:tblStyle w:val="TableGrid"/>
        <w:tblW w:w="8720" w:type="dxa"/>
        <w:tblLayout w:type="fixed"/>
        <w:tblLook w:val="04A0" w:firstRow="1" w:lastRow="0" w:firstColumn="1" w:lastColumn="0" w:noHBand="0" w:noVBand="1"/>
      </w:tblPr>
      <w:tblGrid>
        <w:gridCol w:w="1101"/>
        <w:gridCol w:w="992"/>
        <w:gridCol w:w="850"/>
        <w:gridCol w:w="1012"/>
        <w:gridCol w:w="1440"/>
        <w:gridCol w:w="3325"/>
      </w:tblGrid>
      <w:tr w:rsidR="009123AC" w:rsidRPr="00F0379B" w14:paraId="2D8C6EC5" w14:textId="77777777" w:rsidTr="00CA749B">
        <w:trPr>
          <w:trHeight w:val="226"/>
        </w:trPr>
        <w:tc>
          <w:tcPr>
            <w:tcW w:w="1101" w:type="dxa"/>
          </w:tcPr>
          <w:p w14:paraId="55702DCD" w14:textId="77777777" w:rsidR="009123AC" w:rsidRPr="00F0379B" w:rsidRDefault="009123AC" w:rsidP="009123AC">
            <w:pPr>
              <w:bidi/>
              <w:spacing w:line="240" w:lineRule="auto"/>
              <w:rPr>
                <w:rFonts w:ascii="Cambria" w:eastAsia="Times New Roman" w:hAnsi="Cambria" w:cs="Arial"/>
                <w:b/>
                <w:bCs/>
                <w:i/>
                <w:iCs/>
                <w:sz w:val="20"/>
                <w:szCs w:val="20"/>
              </w:rPr>
            </w:pPr>
            <w:r w:rsidRPr="00F0379B">
              <w:rPr>
                <w:rFonts w:ascii="Cambria" w:eastAsia="Times New Roman" w:hAnsi="Cambria" w:cs="Arial"/>
                <w:b/>
                <w:bCs/>
                <w:i/>
                <w:iCs/>
                <w:sz w:val="20"/>
                <w:szCs w:val="20"/>
              </w:rPr>
              <w:t xml:space="preserve">País </w:t>
            </w:r>
          </w:p>
        </w:tc>
        <w:tc>
          <w:tcPr>
            <w:tcW w:w="992" w:type="dxa"/>
          </w:tcPr>
          <w:p w14:paraId="4B9A0084" w14:textId="77777777" w:rsidR="009123AC" w:rsidRPr="00F0379B" w:rsidRDefault="009123AC" w:rsidP="009123AC">
            <w:pPr>
              <w:bidi/>
              <w:spacing w:line="240" w:lineRule="auto"/>
              <w:rPr>
                <w:rFonts w:ascii="Cambria" w:eastAsia="Times New Roman" w:hAnsi="Cambria" w:cs="Arial"/>
                <w:b/>
                <w:bCs/>
                <w:i/>
                <w:iCs/>
                <w:sz w:val="20"/>
                <w:szCs w:val="20"/>
              </w:rPr>
            </w:pPr>
            <w:r w:rsidRPr="00F0379B">
              <w:rPr>
                <w:rFonts w:ascii="Cambria" w:eastAsia="Times New Roman" w:hAnsi="Cambria" w:cs="Arial"/>
                <w:b/>
                <w:bCs/>
                <w:i/>
                <w:iCs/>
                <w:sz w:val="20"/>
                <w:szCs w:val="20"/>
              </w:rPr>
              <w:t xml:space="preserve">FFB </w:t>
            </w:r>
          </w:p>
        </w:tc>
        <w:tc>
          <w:tcPr>
            <w:tcW w:w="850" w:type="dxa"/>
          </w:tcPr>
          <w:p w14:paraId="6E12A922" w14:textId="77777777" w:rsidR="009123AC" w:rsidRPr="00F0379B" w:rsidRDefault="009123AC" w:rsidP="009123AC">
            <w:pPr>
              <w:bidi/>
              <w:spacing w:line="240" w:lineRule="auto"/>
              <w:rPr>
                <w:rFonts w:ascii="Cambria" w:eastAsia="Times New Roman" w:hAnsi="Cambria" w:cs="Arial"/>
                <w:b/>
                <w:bCs/>
                <w:i/>
                <w:iCs/>
                <w:sz w:val="20"/>
                <w:szCs w:val="20"/>
              </w:rPr>
            </w:pPr>
            <w:r w:rsidRPr="00F0379B">
              <w:rPr>
                <w:rFonts w:ascii="Cambria" w:eastAsia="Times New Roman" w:hAnsi="Cambria" w:cs="Arial"/>
                <w:b/>
                <w:bCs/>
                <w:i/>
                <w:iCs/>
                <w:sz w:val="20"/>
                <w:szCs w:val="20"/>
              </w:rPr>
              <w:t xml:space="preserve">Activa/ </w:t>
            </w:r>
          </w:p>
          <w:p w14:paraId="5CEF6DBE" w14:textId="77777777" w:rsidR="009123AC" w:rsidRPr="00F0379B" w:rsidRDefault="009123AC" w:rsidP="009123AC">
            <w:pPr>
              <w:bidi/>
              <w:spacing w:line="240" w:lineRule="auto"/>
              <w:rPr>
                <w:rFonts w:ascii="Cambria" w:eastAsia="Times New Roman" w:hAnsi="Cambria" w:cs="Arial"/>
                <w:b/>
                <w:bCs/>
                <w:i/>
                <w:iCs/>
                <w:sz w:val="20"/>
                <w:szCs w:val="20"/>
              </w:rPr>
            </w:pPr>
            <w:r w:rsidRPr="00F0379B">
              <w:rPr>
                <w:rFonts w:ascii="Cambria" w:eastAsia="Times New Roman" w:hAnsi="Cambria" w:cs="Arial"/>
                <w:b/>
                <w:bCs/>
                <w:i/>
                <w:iCs/>
                <w:sz w:val="20"/>
                <w:szCs w:val="20"/>
              </w:rPr>
              <w:t xml:space="preserve">Inactiva </w:t>
            </w:r>
          </w:p>
        </w:tc>
        <w:tc>
          <w:tcPr>
            <w:tcW w:w="1012" w:type="dxa"/>
          </w:tcPr>
          <w:p w14:paraId="6851FD8B" w14:textId="77777777" w:rsidR="009123AC" w:rsidRPr="00F0379B" w:rsidRDefault="009123AC" w:rsidP="009123AC">
            <w:pPr>
              <w:bidi/>
              <w:spacing w:line="240" w:lineRule="auto"/>
              <w:rPr>
                <w:rFonts w:ascii="Cambria" w:eastAsia="Times New Roman" w:hAnsi="Cambria" w:cs="Arial"/>
                <w:b/>
                <w:bCs/>
                <w:i/>
                <w:iCs/>
                <w:sz w:val="20"/>
                <w:szCs w:val="20"/>
              </w:rPr>
            </w:pPr>
            <w:r w:rsidRPr="00F0379B">
              <w:rPr>
                <w:rFonts w:ascii="Cambria" w:eastAsia="Times New Roman" w:hAnsi="Cambria" w:cs="Arial"/>
                <w:b/>
                <w:bCs/>
                <w:i/>
                <w:iCs/>
                <w:sz w:val="20"/>
                <w:szCs w:val="20"/>
              </w:rPr>
              <w:t>Capacidad (t)</w:t>
            </w:r>
          </w:p>
        </w:tc>
        <w:tc>
          <w:tcPr>
            <w:tcW w:w="1440" w:type="dxa"/>
          </w:tcPr>
          <w:p w14:paraId="2C78B070" w14:textId="77777777" w:rsidR="009123AC" w:rsidRPr="00F0379B" w:rsidRDefault="009123AC" w:rsidP="009123AC">
            <w:pPr>
              <w:bidi/>
              <w:spacing w:line="240" w:lineRule="auto"/>
              <w:rPr>
                <w:rFonts w:ascii="Cambria" w:eastAsia="Times New Roman" w:hAnsi="Cambria" w:cs="Arial"/>
                <w:b/>
                <w:bCs/>
                <w:i/>
                <w:iCs/>
                <w:sz w:val="20"/>
                <w:szCs w:val="20"/>
              </w:rPr>
            </w:pPr>
            <w:r w:rsidRPr="00F0379B">
              <w:rPr>
                <w:rFonts w:ascii="Cambria" w:eastAsia="Times New Roman" w:hAnsi="Cambria" w:cs="Arial"/>
                <w:b/>
                <w:bCs/>
                <w:i/>
                <w:iCs/>
                <w:sz w:val="20"/>
                <w:szCs w:val="20"/>
              </w:rPr>
              <w:t xml:space="preserve">Capacidad de entrada (t) </w:t>
            </w:r>
          </w:p>
        </w:tc>
        <w:tc>
          <w:tcPr>
            <w:tcW w:w="3325" w:type="dxa"/>
          </w:tcPr>
          <w:p w14:paraId="2D158497" w14:textId="77777777" w:rsidR="009123AC" w:rsidRPr="00F0379B" w:rsidRDefault="009123AC" w:rsidP="009123AC">
            <w:pPr>
              <w:bidi/>
              <w:spacing w:line="240" w:lineRule="auto"/>
              <w:rPr>
                <w:rFonts w:ascii="Cambria" w:eastAsia="Times New Roman" w:hAnsi="Cambria" w:cs="Arial"/>
                <w:b/>
                <w:bCs/>
                <w:i/>
                <w:iCs/>
                <w:sz w:val="20"/>
                <w:szCs w:val="20"/>
              </w:rPr>
            </w:pPr>
            <w:r w:rsidRPr="00F0379B">
              <w:rPr>
                <w:rFonts w:ascii="Cambria" w:eastAsia="Times New Roman" w:hAnsi="Cambria" w:cs="Arial"/>
                <w:b/>
                <w:bCs/>
                <w:i/>
                <w:iCs/>
                <w:sz w:val="20"/>
                <w:szCs w:val="20"/>
              </w:rPr>
              <w:t xml:space="preserve">Coordenadas de la FFB </w:t>
            </w:r>
          </w:p>
        </w:tc>
      </w:tr>
      <w:tr w:rsidR="009123AC" w:rsidRPr="0050710C" w14:paraId="0D525AB3" w14:textId="77777777" w:rsidTr="00CA749B">
        <w:trPr>
          <w:trHeight w:val="962"/>
        </w:trPr>
        <w:tc>
          <w:tcPr>
            <w:tcW w:w="1101" w:type="dxa"/>
          </w:tcPr>
          <w:p w14:paraId="7F825434" w14:textId="77777777" w:rsidR="009123AC" w:rsidRPr="00F0379B" w:rsidRDefault="009123AC" w:rsidP="009123AC">
            <w:pPr>
              <w:bidi/>
              <w:spacing w:line="240" w:lineRule="auto"/>
              <w:rPr>
                <w:rFonts w:ascii="Cambria" w:eastAsia="Times New Roman" w:hAnsi="Cambria" w:cs="Arial"/>
                <w:sz w:val="20"/>
                <w:szCs w:val="20"/>
              </w:rPr>
            </w:pPr>
            <w:r w:rsidRPr="00F0379B">
              <w:rPr>
                <w:rFonts w:ascii="Cambria" w:eastAsia="Times New Roman" w:hAnsi="Cambria" w:cs="Arial"/>
                <w:sz w:val="20"/>
                <w:szCs w:val="20"/>
              </w:rPr>
              <w:t xml:space="preserve">ALBANIA </w:t>
            </w:r>
          </w:p>
        </w:tc>
        <w:tc>
          <w:tcPr>
            <w:tcW w:w="992" w:type="dxa"/>
          </w:tcPr>
          <w:p w14:paraId="45E54A86" w14:textId="77777777" w:rsidR="009123AC" w:rsidRPr="00F0379B" w:rsidRDefault="009123AC" w:rsidP="009123AC">
            <w:pPr>
              <w:bidi/>
              <w:spacing w:line="240" w:lineRule="auto"/>
              <w:rPr>
                <w:rFonts w:ascii="Cambria" w:eastAsia="Times New Roman" w:hAnsi="Cambria" w:cs="Arial"/>
                <w:sz w:val="20"/>
                <w:szCs w:val="20"/>
              </w:rPr>
            </w:pPr>
            <w:r w:rsidRPr="00F0379B">
              <w:rPr>
                <w:rFonts w:ascii="Cambria" w:eastAsia="Times New Roman" w:hAnsi="Cambria" w:cs="Arial"/>
                <w:sz w:val="20"/>
                <w:szCs w:val="20"/>
              </w:rPr>
              <w:t>ROZAFA</w:t>
            </w:r>
          </w:p>
        </w:tc>
        <w:tc>
          <w:tcPr>
            <w:tcW w:w="850" w:type="dxa"/>
          </w:tcPr>
          <w:p w14:paraId="0868C56F" w14:textId="77777777" w:rsidR="009123AC" w:rsidRPr="00F0379B" w:rsidRDefault="009123AC" w:rsidP="009123AC">
            <w:pPr>
              <w:bidi/>
              <w:spacing w:line="240" w:lineRule="auto"/>
              <w:rPr>
                <w:rFonts w:ascii="Cambria" w:eastAsia="Times New Roman" w:hAnsi="Cambria" w:cs="Arial"/>
                <w:sz w:val="20"/>
                <w:szCs w:val="20"/>
              </w:rPr>
            </w:pPr>
            <w:r w:rsidRPr="00F0379B">
              <w:rPr>
                <w:rFonts w:ascii="Cambria" w:eastAsia="Times New Roman" w:hAnsi="Cambria" w:cs="Arial"/>
                <w:sz w:val="20"/>
                <w:szCs w:val="20"/>
              </w:rPr>
              <w:t xml:space="preserve">Activa </w:t>
            </w:r>
          </w:p>
        </w:tc>
        <w:tc>
          <w:tcPr>
            <w:tcW w:w="1012" w:type="dxa"/>
          </w:tcPr>
          <w:p w14:paraId="366AE321" w14:textId="77777777" w:rsidR="009123AC" w:rsidRPr="00F0379B" w:rsidRDefault="009123AC" w:rsidP="009123AC">
            <w:pPr>
              <w:bidi/>
              <w:spacing w:line="240" w:lineRule="auto"/>
              <w:rPr>
                <w:rFonts w:ascii="Cambria" w:eastAsia="Times New Roman" w:hAnsi="Cambria" w:cs="Arial"/>
                <w:sz w:val="20"/>
                <w:szCs w:val="20"/>
              </w:rPr>
            </w:pPr>
            <w:r w:rsidRPr="00F0379B">
              <w:rPr>
                <w:rFonts w:ascii="Cambria" w:eastAsia="Times New Roman" w:hAnsi="Cambria" w:cs="Arial"/>
                <w:sz w:val="20"/>
                <w:szCs w:val="20"/>
              </w:rPr>
              <w:t xml:space="preserve">1200 </w:t>
            </w:r>
          </w:p>
        </w:tc>
        <w:tc>
          <w:tcPr>
            <w:tcW w:w="1440" w:type="dxa"/>
          </w:tcPr>
          <w:p w14:paraId="3D983E7B" w14:textId="77777777" w:rsidR="009123AC" w:rsidRPr="00F0379B" w:rsidRDefault="009123AC" w:rsidP="009123AC">
            <w:pPr>
              <w:bidi/>
              <w:spacing w:line="240" w:lineRule="auto"/>
              <w:rPr>
                <w:rFonts w:ascii="Cambria" w:eastAsia="Times New Roman" w:hAnsi="Cambria" w:cs="Arial"/>
                <w:sz w:val="20"/>
                <w:szCs w:val="20"/>
              </w:rPr>
            </w:pPr>
            <w:r w:rsidRPr="00F0379B">
              <w:rPr>
                <w:rFonts w:ascii="Cambria" w:eastAsia="Times New Roman" w:hAnsi="Cambria" w:cs="Arial"/>
                <w:sz w:val="20"/>
                <w:szCs w:val="20"/>
              </w:rPr>
              <w:t>456,37</w:t>
            </w:r>
          </w:p>
        </w:tc>
        <w:tc>
          <w:tcPr>
            <w:tcW w:w="3325" w:type="dxa"/>
          </w:tcPr>
          <w:p w14:paraId="14A1D831" w14:textId="77777777" w:rsidR="009123AC" w:rsidRPr="00F0379B" w:rsidRDefault="009123AC" w:rsidP="009123AC">
            <w:pPr>
              <w:bidi/>
              <w:spacing w:line="240" w:lineRule="auto"/>
              <w:rPr>
                <w:rFonts w:ascii="Cambria" w:eastAsia="Times New Roman" w:hAnsi="Cambria" w:cs="Arial"/>
                <w:color w:val="000000" w:themeColor="text1"/>
                <w:sz w:val="20"/>
                <w:szCs w:val="20"/>
                <w:lang w:val="pt-BR"/>
              </w:rPr>
            </w:pPr>
            <w:r w:rsidRPr="00F0379B">
              <w:rPr>
                <w:rFonts w:ascii="Cambria" w:eastAsia="Times New Roman" w:hAnsi="Cambria" w:cs="Arial"/>
                <w:sz w:val="20"/>
                <w:szCs w:val="20"/>
                <w:lang w:val="pt-BR"/>
              </w:rPr>
              <w:t>39°52'59.57"N    19 °52'0.19"E</w:t>
            </w:r>
            <w:r w:rsidRPr="00F0379B">
              <w:rPr>
                <w:rFonts w:ascii="Cambria" w:eastAsia="Times New Roman" w:hAnsi="Cambria" w:cs="Arial"/>
                <w:color w:val="000000" w:themeColor="text1"/>
                <w:sz w:val="20"/>
                <w:szCs w:val="20"/>
                <w:lang w:val="pt-BR"/>
              </w:rPr>
              <w:t xml:space="preserve">               </w:t>
            </w:r>
          </w:p>
          <w:p w14:paraId="1FEF8BAC" w14:textId="77777777" w:rsidR="009123AC" w:rsidRPr="00F0379B" w:rsidRDefault="009123AC" w:rsidP="009123AC">
            <w:pPr>
              <w:bidi/>
              <w:spacing w:line="240" w:lineRule="auto"/>
              <w:rPr>
                <w:rFonts w:ascii="Cambria" w:eastAsia="Times New Roman" w:hAnsi="Cambria" w:cs="Arial"/>
                <w:color w:val="000000" w:themeColor="text1"/>
                <w:sz w:val="20"/>
                <w:szCs w:val="20"/>
                <w:lang w:val="pt-BR"/>
              </w:rPr>
            </w:pPr>
            <w:r w:rsidRPr="00F0379B">
              <w:rPr>
                <w:rFonts w:ascii="Cambria" w:eastAsia="Times New Roman" w:hAnsi="Cambria" w:cs="Arial"/>
                <w:sz w:val="20"/>
                <w:szCs w:val="20"/>
                <w:lang w:val="pt-BR"/>
              </w:rPr>
              <w:t>39°52'16.25"N    19 °52'49.27"E</w:t>
            </w:r>
            <w:r w:rsidRPr="00F0379B">
              <w:rPr>
                <w:rFonts w:ascii="Cambria" w:eastAsia="Times New Roman" w:hAnsi="Cambria" w:cs="Arial"/>
                <w:color w:val="000000" w:themeColor="text1"/>
                <w:sz w:val="20"/>
                <w:szCs w:val="20"/>
                <w:lang w:val="pt-BR"/>
              </w:rPr>
              <w:t xml:space="preserve">              </w:t>
            </w:r>
          </w:p>
          <w:p w14:paraId="43CDFDFB" w14:textId="77777777" w:rsidR="009123AC" w:rsidRPr="00F0379B" w:rsidRDefault="009123AC" w:rsidP="009123AC">
            <w:pPr>
              <w:bidi/>
              <w:spacing w:line="240" w:lineRule="auto"/>
              <w:rPr>
                <w:rFonts w:ascii="Cambria" w:eastAsia="Times New Roman" w:hAnsi="Cambria" w:cs="Arial"/>
                <w:color w:val="000000" w:themeColor="text1"/>
                <w:sz w:val="20"/>
                <w:szCs w:val="20"/>
                <w:lang w:val="pt-BR"/>
              </w:rPr>
            </w:pPr>
            <w:r w:rsidRPr="00F0379B">
              <w:rPr>
                <w:rFonts w:ascii="Cambria" w:eastAsia="Times New Roman" w:hAnsi="Cambria" w:cs="Arial"/>
                <w:sz w:val="20"/>
                <w:szCs w:val="20"/>
                <w:lang w:val="pt-BR"/>
              </w:rPr>
              <w:t>39°52'20.97"N    19°53'47.91"E</w:t>
            </w:r>
            <w:r w:rsidRPr="00F0379B">
              <w:rPr>
                <w:rFonts w:ascii="Cambria" w:eastAsia="Times New Roman" w:hAnsi="Cambria" w:cs="Arial"/>
                <w:color w:val="000000" w:themeColor="text1"/>
                <w:sz w:val="20"/>
                <w:szCs w:val="20"/>
                <w:lang w:val="pt-BR"/>
              </w:rPr>
              <w:t xml:space="preserve">              </w:t>
            </w:r>
          </w:p>
          <w:p w14:paraId="50955E60" w14:textId="77777777" w:rsidR="009123AC" w:rsidRPr="0050710C" w:rsidRDefault="009123AC" w:rsidP="009123AC">
            <w:pPr>
              <w:bidi/>
              <w:spacing w:line="240" w:lineRule="auto"/>
              <w:rPr>
                <w:rFonts w:ascii="Cambria" w:eastAsia="Times New Roman" w:hAnsi="Cambria" w:cs="Arial"/>
                <w:color w:val="000000" w:themeColor="text1"/>
                <w:sz w:val="20"/>
                <w:szCs w:val="20"/>
                <w:lang w:val="pt-PT"/>
              </w:rPr>
            </w:pPr>
            <w:r w:rsidRPr="0050710C">
              <w:rPr>
                <w:rFonts w:ascii="Cambria" w:eastAsia="Times New Roman" w:hAnsi="Cambria" w:cs="Arial"/>
                <w:sz w:val="20"/>
                <w:szCs w:val="20"/>
                <w:lang w:val="pt-PT"/>
              </w:rPr>
              <w:t>39°52'02.59"N    19 °52'59.32"E</w:t>
            </w:r>
            <w:r w:rsidRPr="0050710C">
              <w:rPr>
                <w:rFonts w:ascii="Cambria" w:eastAsia="Times New Roman" w:hAnsi="Cambria" w:cs="Arial"/>
                <w:color w:val="000000" w:themeColor="text1"/>
                <w:sz w:val="20"/>
                <w:szCs w:val="20"/>
                <w:lang w:val="pt-PT"/>
              </w:rPr>
              <w:t xml:space="preserve">              </w:t>
            </w:r>
          </w:p>
        </w:tc>
      </w:tr>
    </w:tbl>
    <w:p w14:paraId="2B6E45FE" w14:textId="77777777" w:rsidR="009123AC" w:rsidRPr="0050710C" w:rsidRDefault="009123AC" w:rsidP="009123AC">
      <w:pPr>
        <w:tabs>
          <w:tab w:val="left" w:pos="426"/>
        </w:tabs>
        <w:spacing w:after="0" w:line="240" w:lineRule="auto"/>
        <w:rPr>
          <w:rFonts w:ascii="Cambria" w:eastAsiaTheme="minorEastAsia" w:hAnsi="Cambria"/>
          <w:b/>
          <w:kern w:val="2"/>
          <w:sz w:val="20"/>
          <w:szCs w:val="20"/>
          <w:lang w:val="pt-PT" w:eastAsia="ja-JP"/>
          <w14:ligatures w14:val="standardContextual"/>
        </w:rPr>
      </w:pPr>
    </w:p>
    <w:p w14:paraId="407FE742"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Hemos designado como autoridad competente de la CPC de la granja a la sección de inspección pesquera de Saranda (párrafo 140). </w:t>
      </w:r>
    </w:p>
    <w:p w14:paraId="05D79B7B"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3B74829E"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De conformidad con las medidas establecidas en el párrafo 200-207 de la </w:t>
      </w:r>
      <w:hyperlink r:id="rId75" w:history="1">
        <w:r w:rsidRPr="00F0379B">
          <w:rPr>
            <w:rFonts w:ascii="Cambria" w:eastAsiaTheme="minorEastAsia" w:hAnsi="Cambria"/>
            <w:color w:val="0563C1" w:themeColor="hyperlink"/>
            <w:kern w:val="2"/>
            <w:sz w:val="20"/>
            <w:szCs w:val="20"/>
            <w:lang w:eastAsia="ja-JP"/>
            <w14:ligatures w14:val="standardContextual"/>
          </w:rPr>
          <w:t xml:space="preserve">Rec. 25-04 </w:t>
        </w:r>
      </w:hyperlink>
      <w:r w:rsidRPr="00F0379B">
        <w:rPr>
          <w:rFonts w:ascii="Cambria" w:eastAsiaTheme="minorEastAsia" w:hAnsi="Cambria"/>
          <w:kern w:val="2"/>
          <w:sz w:val="20"/>
          <w:szCs w:val="20"/>
          <w:lang w:eastAsia="ja-JP"/>
          <w14:ligatures w14:val="standardContextual"/>
        </w:rPr>
        <w:t>de ICCAT, se seguirán los siguientes procedimientos para la implementación de las evaluaciones de traspaso:</w:t>
      </w:r>
    </w:p>
    <w:p w14:paraId="7FC3C56E"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147A0B98"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Antes del comienzo de las próximas temporadas de cerco, todos los peces que permanezcan en las jaulas serán transferidos a otras jaulas vacías de la granja para que puedan ser contados y se tomen estimaciones de peso mediante cámaras estereoscópicas. </w:t>
      </w:r>
    </w:p>
    <w:p w14:paraId="291B78CC"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1DF5F4E4"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lastRenderedPageBreak/>
        <w:t xml:space="preserve">El atún rojo vivo traspasado se colocará en una jaula separada en la granja, según la captura y la JFO. </w:t>
      </w:r>
    </w:p>
    <w:p w14:paraId="7FC08CF1"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18EBE9A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Las diferencias entre el número de ejemplares de atún rojo resultante de la evaluación del traspaso y el número previsto tras el sacrificio se investigarán debidamente y se registrarán en el sistema eBCD. En el caso de un número en exceso, la autoridad albanesa emitirá la orden de liberación del número correspondiente de peces. </w:t>
      </w:r>
    </w:p>
    <w:p w14:paraId="2D6F2E97"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1D5B33EB"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Albania transmitirá a la Secretaría de ICCAT la declaración anual de traspaso de conformidad con el párrafo 207 de la </w:t>
      </w:r>
      <w:hyperlink r:id="rId76" w:history="1">
        <w:r w:rsidRPr="00F0379B">
          <w:rPr>
            <w:rFonts w:ascii="Cambria" w:eastAsiaTheme="minorEastAsia" w:hAnsi="Cambria"/>
            <w:color w:val="0563C1" w:themeColor="hyperlink"/>
            <w:kern w:val="2"/>
            <w:sz w:val="20"/>
            <w:szCs w:val="20"/>
            <w:lang w:eastAsia="ja-JP"/>
            <w14:ligatures w14:val="standardContextual"/>
          </w:rPr>
          <w:t>Rec. 25-04.</w:t>
        </w:r>
      </w:hyperlink>
    </w:p>
    <w:p w14:paraId="4EE388C6"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0A02FBEF" w14:textId="77777777" w:rsidR="009123AC" w:rsidRPr="00F0379B" w:rsidRDefault="009123AC" w:rsidP="009123AC">
      <w:pPr>
        <w:spacing w:after="0" w:line="240" w:lineRule="auto"/>
        <w:rPr>
          <w:rFonts w:ascii="Cambria" w:eastAsiaTheme="minorEastAsia" w:hAnsi="Cambria"/>
          <w:b/>
          <w:bCs/>
          <w:kern w:val="2"/>
          <w:sz w:val="20"/>
          <w:szCs w:val="20"/>
          <w:lang w:eastAsia="ja-JP"/>
          <w14:ligatures w14:val="standardContextual"/>
        </w:rPr>
      </w:pPr>
    </w:p>
    <w:p w14:paraId="2F87B7CC" w14:textId="77777777" w:rsidR="009123AC" w:rsidRPr="00F0379B" w:rsidRDefault="009123AC" w:rsidP="00CE0EC8">
      <w:pPr>
        <w:widowControl w:val="0"/>
        <w:numPr>
          <w:ilvl w:val="0"/>
          <w:numId w:val="33"/>
        </w:numPr>
        <w:tabs>
          <w:tab w:val="left" w:pos="426"/>
        </w:tabs>
        <w:spacing w:after="0" w:line="240" w:lineRule="auto"/>
        <w:ind w:left="426" w:hanging="426"/>
        <w:contextualSpacing/>
        <w:rPr>
          <w:rFonts w:ascii="Cambria" w:eastAsiaTheme="minorEastAsia" w:hAnsi="Cambria"/>
          <w:b/>
          <w:bCs/>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 xml:space="preserve">Plan de acuicultura anual (párr. 10 e de la </w:t>
      </w:r>
      <w:hyperlink r:id="rId77" w:history="1">
        <w:r w:rsidRPr="00F0379B">
          <w:rPr>
            <w:rFonts w:ascii="Cambria" w:eastAsiaTheme="minorEastAsia" w:hAnsi="Cambria"/>
            <w:b/>
            <w:bCs/>
            <w:color w:val="0563C1" w:themeColor="hyperlink"/>
            <w:kern w:val="2"/>
            <w:sz w:val="20"/>
            <w:szCs w:val="20"/>
            <w:lang w:eastAsia="ja-JP"/>
            <w14:ligatures w14:val="standardContextual"/>
          </w:rPr>
          <w:t xml:space="preserve">Rec. 25-04 </w:t>
        </w:r>
      </w:hyperlink>
      <w:r w:rsidRPr="00F0379B">
        <w:rPr>
          <w:rFonts w:ascii="Cambria" w:eastAsiaTheme="minorEastAsia" w:hAnsi="Cambria"/>
          <w:b/>
          <w:bCs/>
          <w:kern w:val="2"/>
          <w:sz w:val="20"/>
          <w:szCs w:val="20"/>
          <w:lang w:eastAsia="ja-JP"/>
          <w14:ligatures w14:val="standardContextual"/>
        </w:rPr>
        <w:t xml:space="preserve">de conformidad con la </w:t>
      </w:r>
      <w:hyperlink r:id="rId78" w:history="1">
        <w:r w:rsidRPr="00F0379B">
          <w:rPr>
            <w:rFonts w:ascii="Cambria" w:eastAsiaTheme="minorEastAsia" w:hAnsi="Cambria"/>
            <w:b/>
            <w:bCs/>
            <w:color w:val="0563C1" w:themeColor="hyperlink"/>
            <w:kern w:val="2"/>
            <w:sz w:val="20"/>
            <w:szCs w:val="20"/>
            <w:lang w:eastAsia="ja-JP"/>
            <w14:ligatures w14:val="standardContextual"/>
          </w:rPr>
          <w:t>Rec. 24-07</w:t>
        </w:r>
      </w:hyperlink>
      <w:r w:rsidRPr="00F0379B">
        <w:rPr>
          <w:rFonts w:ascii="Cambria" w:eastAsiaTheme="minorEastAsia" w:hAnsi="Cambria"/>
          <w:b/>
          <w:bCs/>
          <w:kern w:val="2"/>
          <w:sz w:val="20"/>
          <w:szCs w:val="20"/>
          <w:lang w:eastAsia="ja-JP"/>
          <w14:ligatures w14:val="standardContextual"/>
        </w:rPr>
        <w:t>), si es aplicable</w:t>
      </w:r>
    </w:p>
    <w:p w14:paraId="04A2DAE4" w14:textId="77777777" w:rsidR="009123AC" w:rsidRPr="00F0379B" w:rsidRDefault="009123AC" w:rsidP="009123AC">
      <w:pPr>
        <w:tabs>
          <w:tab w:val="left" w:pos="426"/>
        </w:tabs>
        <w:spacing w:after="0" w:line="240" w:lineRule="auto"/>
        <w:rPr>
          <w:rFonts w:ascii="Cambria" w:eastAsiaTheme="minorEastAsia" w:hAnsi="Cambria"/>
          <w:b/>
          <w:kern w:val="2"/>
          <w:sz w:val="20"/>
          <w:szCs w:val="20"/>
          <w:lang w:eastAsia="ja-JP"/>
          <w14:ligatures w14:val="standardContextual"/>
        </w:rPr>
      </w:pPr>
    </w:p>
    <w:p w14:paraId="76B3FEC5" w14:textId="77777777" w:rsidR="009123AC" w:rsidRPr="00F0379B" w:rsidRDefault="009123AC" w:rsidP="009123AC">
      <w:pPr>
        <w:tabs>
          <w:tab w:val="left" w:pos="426"/>
        </w:tabs>
        <w:spacing w:after="0"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Albania no tiene previsto desarrollar actividades de acuicultura de atún rojo.</w:t>
      </w:r>
    </w:p>
    <w:p w14:paraId="7241B044" w14:textId="77777777" w:rsidR="009123AC" w:rsidRPr="00F0379B" w:rsidRDefault="009123AC" w:rsidP="009123AC">
      <w:pPr>
        <w:tabs>
          <w:tab w:val="left" w:pos="426"/>
        </w:tabs>
        <w:spacing w:after="0" w:line="240" w:lineRule="auto"/>
        <w:rPr>
          <w:rFonts w:ascii="Cambria" w:eastAsiaTheme="minorEastAsia" w:hAnsi="Cambria"/>
          <w:b/>
          <w:kern w:val="2"/>
          <w:sz w:val="20"/>
          <w:szCs w:val="20"/>
          <w:lang w:eastAsia="ja-JP"/>
          <w14:ligatures w14:val="standardContextual"/>
        </w:rPr>
      </w:pPr>
    </w:p>
    <w:p w14:paraId="5D1425B3" w14:textId="77777777" w:rsidR="009123AC" w:rsidRPr="00F0379B" w:rsidRDefault="009123AC" w:rsidP="009123AC">
      <w:pPr>
        <w:tabs>
          <w:tab w:val="left" w:pos="426"/>
        </w:tabs>
        <w:spacing w:after="0" w:line="240" w:lineRule="auto"/>
        <w:rPr>
          <w:rFonts w:ascii="Cambria" w:eastAsiaTheme="minorEastAsia" w:hAnsi="Cambria"/>
          <w:b/>
          <w:kern w:val="2"/>
          <w:sz w:val="20"/>
          <w:szCs w:val="20"/>
          <w:lang w:eastAsia="ja-JP"/>
          <w14:ligatures w14:val="standardContextual"/>
        </w:rPr>
      </w:pPr>
    </w:p>
    <w:p w14:paraId="68F72DC0" w14:textId="77777777" w:rsidR="009123AC" w:rsidRPr="00F0379B" w:rsidRDefault="009123AC" w:rsidP="00CE0EC8">
      <w:pPr>
        <w:widowControl w:val="0"/>
        <w:numPr>
          <w:ilvl w:val="0"/>
          <w:numId w:val="33"/>
        </w:numPr>
        <w:tabs>
          <w:tab w:val="left" w:pos="426"/>
        </w:tabs>
        <w:spacing w:after="0" w:line="240" w:lineRule="auto"/>
        <w:ind w:left="426" w:hanging="426"/>
        <w:contextualSpacing/>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Plan de inspección, control y seguimiento</w:t>
      </w:r>
    </w:p>
    <w:p w14:paraId="6DA303E7" w14:textId="77777777" w:rsidR="009123AC" w:rsidRPr="00F0379B" w:rsidRDefault="009123AC" w:rsidP="009123AC">
      <w:pPr>
        <w:spacing w:after="0" w:line="240" w:lineRule="auto"/>
        <w:rPr>
          <w:rFonts w:ascii="Cambria" w:eastAsiaTheme="minorEastAsia" w:hAnsi="Cambria"/>
          <w:b/>
          <w:kern w:val="2"/>
          <w:sz w:val="20"/>
          <w:szCs w:val="20"/>
          <w:lang w:eastAsia="ja-JP"/>
          <w14:ligatures w14:val="standardContextual"/>
        </w:rPr>
      </w:pPr>
    </w:p>
    <w:p w14:paraId="21D99700" w14:textId="77777777" w:rsidR="009123AC" w:rsidRPr="00F0379B" w:rsidRDefault="009123AC" w:rsidP="009123AC">
      <w:pPr>
        <w:spacing w:after="0" w:line="240" w:lineRule="auto"/>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5 a) Inspección, control y seguimiento de la CPC (párr. 10c)</w:t>
      </w:r>
    </w:p>
    <w:p w14:paraId="3382AC00" w14:textId="77777777" w:rsidR="009123AC" w:rsidRPr="00F0379B" w:rsidRDefault="009123AC" w:rsidP="009123AC">
      <w:pPr>
        <w:spacing w:after="0" w:line="240" w:lineRule="auto"/>
        <w:ind w:left="720"/>
        <w:contextualSpacing/>
        <w:rPr>
          <w:rFonts w:ascii="Cambria" w:eastAsiaTheme="minorEastAsia" w:hAnsi="Cambria"/>
          <w:b/>
          <w:i/>
          <w:kern w:val="2"/>
          <w:sz w:val="20"/>
          <w:szCs w:val="20"/>
          <w:lang w:eastAsia="ja-JP"/>
          <w14:ligatures w14:val="standardContextual"/>
        </w:rPr>
      </w:pPr>
    </w:p>
    <w:p w14:paraId="370D3D0A" w14:textId="77777777" w:rsidR="009123AC" w:rsidRPr="00F0379B" w:rsidRDefault="009123AC" w:rsidP="009123AC">
      <w:pPr>
        <w:spacing w:after="0"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De conformidad con la legislación nacional en vigor (Orden n.º 5 del 28/01/2019), expedida por la Dirección de Servicios pesqueros y acuícolas, durante la temporada de pesca y sacrificio, se desplegará en los puertos pesqueros de </w:t>
      </w:r>
      <w:proofErr w:type="spellStart"/>
      <w:r w:rsidRPr="00F0379B">
        <w:rPr>
          <w:rFonts w:ascii="Cambria" w:eastAsiaTheme="minorEastAsia" w:hAnsi="Cambria"/>
          <w:kern w:val="2"/>
          <w:sz w:val="20"/>
          <w:szCs w:val="20"/>
          <w:lang w:eastAsia="ja-JP"/>
          <w14:ligatures w14:val="standardContextual"/>
        </w:rPr>
        <w:t>Shengjini</w:t>
      </w:r>
      <w:proofErr w:type="spellEnd"/>
      <w:r w:rsidRPr="00F0379B">
        <w:rPr>
          <w:rFonts w:ascii="Cambria" w:eastAsiaTheme="minorEastAsia" w:hAnsi="Cambria"/>
          <w:kern w:val="2"/>
          <w:sz w:val="20"/>
          <w:szCs w:val="20"/>
          <w:lang w:eastAsia="ja-JP"/>
          <w14:ligatures w14:val="standardContextual"/>
        </w:rPr>
        <w:t xml:space="preserve"> y Saranda un grupo operativo con el fin de desempeñar sus funciones basadas en la Recomendación 25-04 de ICCAT, la legislación albanesa y la Orden ministerial n.º 131/2026.</w:t>
      </w:r>
    </w:p>
    <w:p w14:paraId="11EB7596" w14:textId="77777777" w:rsidR="009123AC" w:rsidRPr="00F0379B" w:rsidRDefault="009123AC" w:rsidP="009123AC">
      <w:pPr>
        <w:spacing w:after="0" w:line="240" w:lineRule="auto"/>
        <w:rPr>
          <w:rFonts w:ascii="Cambria" w:eastAsiaTheme="minorEastAsia" w:hAnsi="Cambria"/>
          <w:bCs/>
          <w:kern w:val="2"/>
          <w:sz w:val="20"/>
          <w:szCs w:val="20"/>
          <w:lang w:eastAsia="ja-JP"/>
          <w14:ligatures w14:val="standardContextual"/>
        </w:rPr>
      </w:pPr>
    </w:p>
    <w:p w14:paraId="110AC3E0"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autoridad competente de control del Albania o el grupo operativo está compuesto por:</w:t>
      </w:r>
    </w:p>
    <w:p w14:paraId="65092DAF" w14:textId="77777777" w:rsidR="009123AC" w:rsidRPr="00F0379B" w:rsidRDefault="009123AC" w:rsidP="009123AC">
      <w:pPr>
        <w:spacing w:after="0" w:line="240" w:lineRule="auto"/>
        <w:rPr>
          <w:rFonts w:ascii="Cambria" w:eastAsiaTheme="minorEastAsia" w:hAnsi="Cambria"/>
          <w:bCs/>
          <w:kern w:val="2"/>
          <w:sz w:val="20"/>
          <w:szCs w:val="20"/>
          <w:lang w:eastAsia="ja-JP"/>
          <w14:ligatures w14:val="standardContextual"/>
        </w:rPr>
      </w:pPr>
    </w:p>
    <w:tbl>
      <w:tblPr>
        <w:tblStyle w:val="TableGrid"/>
        <w:tblW w:w="0" w:type="auto"/>
        <w:jc w:val="center"/>
        <w:tblLook w:val="04A0" w:firstRow="1" w:lastRow="0" w:firstColumn="1" w:lastColumn="0" w:noHBand="0" w:noVBand="1"/>
      </w:tblPr>
      <w:tblGrid>
        <w:gridCol w:w="3670"/>
        <w:gridCol w:w="2976"/>
        <w:gridCol w:w="2242"/>
      </w:tblGrid>
      <w:tr w:rsidR="009123AC" w:rsidRPr="00F0379B" w14:paraId="48C0FBA5" w14:textId="77777777" w:rsidTr="00CA749B">
        <w:trPr>
          <w:jc w:val="center"/>
        </w:trPr>
        <w:tc>
          <w:tcPr>
            <w:tcW w:w="3122" w:type="dxa"/>
          </w:tcPr>
          <w:p w14:paraId="2C2A6D17" w14:textId="77777777" w:rsidR="009123AC" w:rsidRPr="00F0379B" w:rsidRDefault="009123AC" w:rsidP="009123AC">
            <w:pPr>
              <w:spacing w:line="240" w:lineRule="auto"/>
              <w:contextualSpacing/>
              <w:rPr>
                <w:rFonts w:ascii="Cambria" w:eastAsiaTheme="minorEastAsia" w:hAnsi="Cambria"/>
                <w:i/>
                <w:iCs/>
                <w:kern w:val="2"/>
                <w:sz w:val="20"/>
                <w:szCs w:val="20"/>
                <w:lang w:eastAsia="ja-JP"/>
                <w14:ligatures w14:val="standardContextual"/>
              </w:rPr>
            </w:pPr>
            <w:r w:rsidRPr="00F0379B">
              <w:rPr>
                <w:rFonts w:ascii="Cambria" w:eastAsiaTheme="minorEastAsia" w:hAnsi="Cambria"/>
                <w:i/>
                <w:iCs/>
                <w:kern w:val="2"/>
                <w:sz w:val="20"/>
                <w:szCs w:val="20"/>
                <w:lang w:val="en-GB" w:eastAsia="ja-JP"/>
                <w14:ligatures w14:val="standardContextual"/>
              </w:rPr>
              <w:t>Nombre y cargo</w:t>
            </w:r>
          </w:p>
        </w:tc>
        <w:tc>
          <w:tcPr>
            <w:tcW w:w="2976" w:type="dxa"/>
          </w:tcPr>
          <w:p w14:paraId="72A7CF03" w14:textId="77777777" w:rsidR="009123AC" w:rsidRPr="00F0379B" w:rsidRDefault="009123AC" w:rsidP="009123AC">
            <w:pPr>
              <w:spacing w:line="240" w:lineRule="auto"/>
              <w:contextualSpacing/>
              <w:rPr>
                <w:rFonts w:ascii="Cambria" w:eastAsiaTheme="minorEastAsia" w:hAnsi="Cambria"/>
                <w:i/>
                <w:iCs/>
                <w:kern w:val="2"/>
                <w:sz w:val="20"/>
                <w:szCs w:val="20"/>
                <w:lang w:val="en-GB" w:eastAsia="ja-JP"/>
                <w14:ligatures w14:val="standardContextual"/>
              </w:rPr>
            </w:pPr>
            <w:r w:rsidRPr="00F0379B">
              <w:rPr>
                <w:rFonts w:ascii="Cambria" w:eastAsiaTheme="minorEastAsia" w:hAnsi="Cambria"/>
                <w:i/>
                <w:iCs/>
                <w:kern w:val="2"/>
                <w:sz w:val="20"/>
                <w:szCs w:val="20"/>
                <w:lang w:val="en-GB" w:eastAsia="ja-JP"/>
                <w14:ligatures w14:val="standardContextual"/>
              </w:rPr>
              <w:t>E-mail</w:t>
            </w:r>
          </w:p>
        </w:tc>
        <w:tc>
          <w:tcPr>
            <w:tcW w:w="2242" w:type="dxa"/>
          </w:tcPr>
          <w:p w14:paraId="2ABDA71E" w14:textId="77777777" w:rsidR="009123AC" w:rsidRPr="00F0379B" w:rsidRDefault="009123AC" w:rsidP="009123AC">
            <w:pPr>
              <w:spacing w:line="240" w:lineRule="auto"/>
              <w:contextualSpacing/>
              <w:rPr>
                <w:rFonts w:ascii="Cambria" w:eastAsiaTheme="minorEastAsia" w:hAnsi="Cambria"/>
                <w:i/>
                <w:iCs/>
                <w:kern w:val="2"/>
                <w:sz w:val="20"/>
                <w:szCs w:val="20"/>
                <w:lang w:val="en-GB" w:eastAsia="ja-JP"/>
                <w14:ligatures w14:val="standardContextual"/>
              </w:rPr>
            </w:pPr>
            <w:proofErr w:type="spellStart"/>
            <w:r w:rsidRPr="00F0379B">
              <w:rPr>
                <w:rFonts w:ascii="Cambria" w:eastAsiaTheme="minorEastAsia" w:hAnsi="Cambria"/>
                <w:i/>
                <w:iCs/>
                <w:kern w:val="2"/>
                <w:sz w:val="20"/>
                <w:szCs w:val="20"/>
                <w:lang w:val="en-GB" w:eastAsia="ja-JP"/>
                <w14:ligatures w14:val="standardContextual"/>
              </w:rPr>
              <w:t>Número</w:t>
            </w:r>
            <w:proofErr w:type="spellEnd"/>
            <w:r w:rsidRPr="00F0379B">
              <w:rPr>
                <w:rFonts w:ascii="Cambria" w:eastAsiaTheme="minorEastAsia" w:hAnsi="Cambria"/>
                <w:i/>
                <w:iCs/>
                <w:kern w:val="2"/>
                <w:sz w:val="20"/>
                <w:szCs w:val="20"/>
                <w:lang w:val="en-GB" w:eastAsia="ja-JP"/>
                <w14:ligatures w14:val="standardContextual"/>
              </w:rPr>
              <w:t xml:space="preserve"> de </w:t>
            </w:r>
            <w:proofErr w:type="spellStart"/>
            <w:r w:rsidRPr="00F0379B">
              <w:rPr>
                <w:rFonts w:ascii="Cambria" w:eastAsiaTheme="minorEastAsia" w:hAnsi="Cambria"/>
                <w:i/>
                <w:iCs/>
                <w:kern w:val="2"/>
                <w:sz w:val="20"/>
                <w:szCs w:val="20"/>
                <w:lang w:val="en-GB" w:eastAsia="ja-JP"/>
                <w14:ligatures w14:val="standardContextual"/>
              </w:rPr>
              <w:t>teléfono</w:t>
            </w:r>
            <w:proofErr w:type="spellEnd"/>
          </w:p>
        </w:tc>
      </w:tr>
      <w:tr w:rsidR="009123AC" w:rsidRPr="00F0379B" w14:paraId="70AE8B25" w14:textId="77777777" w:rsidTr="00CA749B">
        <w:trPr>
          <w:trHeight w:val="124"/>
          <w:jc w:val="center"/>
        </w:trPr>
        <w:tc>
          <w:tcPr>
            <w:tcW w:w="0" w:type="auto"/>
          </w:tcPr>
          <w:p w14:paraId="2E82C94D" w14:textId="77777777" w:rsidR="009123AC" w:rsidRPr="00F0379B" w:rsidRDefault="009123AC" w:rsidP="009123AC">
            <w:pPr>
              <w:autoSpaceDE w:val="0"/>
              <w:autoSpaceDN w:val="0"/>
              <w:adjustRightInd w:val="0"/>
              <w:spacing w:line="240" w:lineRule="auto"/>
              <w:rPr>
                <w:rFonts w:ascii="Cambria" w:hAnsi="Cambria" w:cs="Cambria"/>
                <w:sz w:val="20"/>
                <w:szCs w:val="20"/>
              </w:rPr>
            </w:pPr>
            <w:r w:rsidRPr="00F0379B">
              <w:rPr>
                <w:rFonts w:ascii="Cambria" w:hAnsi="Cambria" w:cs="Cambria"/>
                <w:sz w:val="20"/>
                <w:szCs w:val="20"/>
              </w:rPr>
              <w:t xml:space="preserve">Aleksander Luli, inspector de pesca </w:t>
            </w:r>
          </w:p>
        </w:tc>
        <w:tc>
          <w:tcPr>
            <w:tcW w:w="0" w:type="auto"/>
          </w:tcPr>
          <w:p w14:paraId="6A715913" w14:textId="77777777" w:rsidR="009123AC" w:rsidRPr="00F0379B" w:rsidRDefault="009123AC" w:rsidP="009123AC">
            <w:pPr>
              <w:autoSpaceDE w:val="0"/>
              <w:autoSpaceDN w:val="0"/>
              <w:adjustRightInd w:val="0"/>
              <w:spacing w:line="240" w:lineRule="auto"/>
              <w:rPr>
                <w:rFonts w:ascii="Cambria" w:hAnsi="Cambria" w:cs="Cambria"/>
                <w:color w:val="0461C1"/>
                <w:sz w:val="20"/>
                <w:szCs w:val="20"/>
              </w:rPr>
            </w:pPr>
            <w:r w:rsidRPr="00F0379B">
              <w:rPr>
                <w:rFonts w:ascii="Cambria" w:hAnsi="Cambria" w:cs="Cambria"/>
                <w:color w:val="0461C1"/>
                <w:sz w:val="20"/>
                <w:szCs w:val="20"/>
              </w:rPr>
              <w:t xml:space="preserve">Aleksander.Luli@dshpa.gov.al </w:t>
            </w:r>
          </w:p>
        </w:tc>
        <w:tc>
          <w:tcPr>
            <w:tcW w:w="0" w:type="auto"/>
          </w:tcPr>
          <w:p w14:paraId="19732065" w14:textId="77777777" w:rsidR="009123AC" w:rsidRPr="00F0379B" w:rsidRDefault="009123AC" w:rsidP="009123AC">
            <w:pPr>
              <w:autoSpaceDE w:val="0"/>
              <w:autoSpaceDN w:val="0"/>
              <w:adjustRightInd w:val="0"/>
              <w:spacing w:line="240" w:lineRule="auto"/>
              <w:rPr>
                <w:rFonts w:ascii="Cambria" w:hAnsi="Cambria" w:cs="Cambria"/>
                <w:sz w:val="20"/>
                <w:szCs w:val="20"/>
              </w:rPr>
            </w:pPr>
            <w:r w:rsidRPr="00F0379B">
              <w:rPr>
                <w:rFonts w:ascii="Cambria" w:hAnsi="Cambria" w:cs="Cambria"/>
                <w:sz w:val="20"/>
                <w:szCs w:val="20"/>
              </w:rPr>
              <w:t xml:space="preserve">+355693995558 </w:t>
            </w:r>
          </w:p>
        </w:tc>
      </w:tr>
      <w:tr w:rsidR="009123AC" w:rsidRPr="00F0379B" w14:paraId="4FA957C6" w14:textId="77777777" w:rsidTr="00CA749B">
        <w:trPr>
          <w:trHeight w:val="124"/>
          <w:jc w:val="center"/>
        </w:trPr>
        <w:tc>
          <w:tcPr>
            <w:tcW w:w="0" w:type="auto"/>
          </w:tcPr>
          <w:p w14:paraId="731CFD14" w14:textId="77777777" w:rsidR="009123AC" w:rsidRPr="00F0379B" w:rsidRDefault="009123AC" w:rsidP="009123AC">
            <w:pPr>
              <w:autoSpaceDE w:val="0"/>
              <w:autoSpaceDN w:val="0"/>
              <w:adjustRightInd w:val="0"/>
              <w:spacing w:line="240" w:lineRule="auto"/>
              <w:rPr>
                <w:rFonts w:ascii="Cambria" w:hAnsi="Cambria" w:cs="Cambria"/>
                <w:sz w:val="20"/>
                <w:szCs w:val="20"/>
              </w:rPr>
            </w:pPr>
            <w:proofErr w:type="spellStart"/>
            <w:r w:rsidRPr="00F0379B">
              <w:rPr>
                <w:rFonts w:ascii="Cambria" w:hAnsi="Cambria" w:cs="Cambria"/>
                <w:sz w:val="20"/>
                <w:szCs w:val="20"/>
              </w:rPr>
              <w:t>Ilirjan</w:t>
            </w:r>
            <w:proofErr w:type="spellEnd"/>
            <w:r w:rsidRPr="00F0379B">
              <w:rPr>
                <w:rFonts w:ascii="Cambria" w:hAnsi="Cambria" w:cs="Cambria"/>
                <w:sz w:val="20"/>
                <w:szCs w:val="20"/>
              </w:rPr>
              <w:t xml:space="preserve"> </w:t>
            </w:r>
            <w:proofErr w:type="spellStart"/>
            <w:r w:rsidRPr="00F0379B">
              <w:rPr>
                <w:rFonts w:ascii="Cambria" w:hAnsi="Cambria" w:cs="Cambria"/>
                <w:sz w:val="20"/>
                <w:szCs w:val="20"/>
              </w:rPr>
              <w:t>Cepe</w:t>
            </w:r>
            <w:proofErr w:type="spellEnd"/>
            <w:r w:rsidRPr="00F0379B">
              <w:rPr>
                <w:rFonts w:ascii="Cambria" w:hAnsi="Cambria" w:cs="Cambria"/>
                <w:sz w:val="20"/>
                <w:szCs w:val="20"/>
              </w:rPr>
              <w:t>, inspector de pesca</w:t>
            </w:r>
          </w:p>
        </w:tc>
        <w:tc>
          <w:tcPr>
            <w:tcW w:w="0" w:type="auto"/>
          </w:tcPr>
          <w:p w14:paraId="3A25E52C" w14:textId="77777777" w:rsidR="009123AC" w:rsidRPr="00F0379B" w:rsidRDefault="009123AC" w:rsidP="009123AC">
            <w:pPr>
              <w:autoSpaceDE w:val="0"/>
              <w:autoSpaceDN w:val="0"/>
              <w:adjustRightInd w:val="0"/>
              <w:spacing w:line="240" w:lineRule="auto"/>
              <w:rPr>
                <w:rFonts w:ascii="Cambria" w:hAnsi="Cambria" w:cs="Cambria"/>
                <w:color w:val="0461C1"/>
                <w:sz w:val="20"/>
                <w:szCs w:val="20"/>
              </w:rPr>
            </w:pPr>
            <w:r w:rsidRPr="00F0379B">
              <w:rPr>
                <w:rFonts w:ascii="Cambria" w:hAnsi="Cambria" w:cs="Cambria"/>
                <w:color w:val="0461C1"/>
                <w:sz w:val="20"/>
                <w:szCs w:val="20"/>
              </w:rPr>
              <w:t xml:space="preserve">Ilirjan.Cepe@dshpa.gov.al </w:t>
            </w:r>
          </w:p>
        </w:tc>
        <w:tc>
          <w:tcPr>
            <w:tcW w:w="0" w:type="auto"/>
          </w:tcPr>
          <w:p w14:paraId="5AD59B08" w14:textId="77777777" w:rsidR="009123AC" w:rsidRPr="00F0379B" w:rsidRDefault="009123AC" w:rsidP="009123AC">
            <w:pPr>
              <w:autoSpaceDE w:val="0"/>
              <w:autoSpaceDN w:val="0"/>
              <w:adjustRightInd w:val="0"/>
              <w:spacing w:line="240" w:lineRule="auto"/>
              <w:rPr>
                <w:rFonts w:ascii="Cambria" w:hAnsi="Cambria" w:cs="Cambria"/>
                <w:sz w:val="20"/>
                <w:szCs w:val="20"/>
              </w:rPr>
            </w:pPr>
            <w:r w:rsidRPr="00F0379B">
              <w:rPr>
                <w:rFonts w:ascii="Cambria" w:hAnsi="Cambria" w:cs="Cambria"/>
                <w:sz w:val="20"/>
                <w:szCs w:val="20"/>
              </w:rPr>
              <w:t xml:space="preserve">+355696310355 </w:t>
            </w:r>
          </w:p>
        </w:tc>
      </w:tr>
      <w:tr w:rsidR="009123AC" w:rsidRPr="00F0379B" w14:paraId="2D957813" w14:textId="77777777" w:rsidTr="00CA749B">
        <w:trPr>
          <w:trHeight w:val="124"/>
          <w:jc w:val="center"/>
        </w:trPr>
        <w:tc>
          <w:tcPr>
            <w:tcW w:w="0" w:type="auto"/>
          </w:tcPr>
          <w:p w14:paraId="2E9926EA" w14:textId="77777777" w:rsidR="009123AC" w:rsidRPr="00F0379B" w:rsidRDefault="009123AC" w:rsidP="009123AC">
            <w:pPr>
              <w:autoSpaceDE w:val="0"/>
              <w:autoSpaceDN w:val="0"/>
              <w:adjustRightInd w:val="0"/>
              <w:spacing w:line="240" w:lineRule="auto"/>
              <w:rPr>
                <w:rFonts w:ascii="Cambria" w:hAnsi="Cambria" w:cs="Cambria"/>
                <w:sz w:val="20"/>
                <w:szCs w:val="20"/>
              </w:rPr>
            </w:pPr>
            <w:r w:rsidRPr="00F0379B">
              <w:rPr>
                <w:rFonts w:ascii="Cambria" w:hAnsi="Cambria" w:cs="Cambria"/>
                <w:sz w:val="20"/>
                <w:szCs w:val="20"/>
              </w:rPr>
              <w:t>Lefter Kocillari inspector de pesca</w:t>
            </w:r>
          </w:p>
        </w:tc>
        <w:tc>
          <w:tcPr>
            <w:tcW w:w="0" w:type="auto"/>
          </w:tcPr>
          <w:p w14:paraId="4476ACA2" w14:textId="77777777" w:rsidR="009123AC" w:rsidRPr="00F0379B" w:rsidRDefault="009123AC" w:rsidP="009123AC">
            <w:pPr>
              <w:autoSpaceDE w:val="0"/>
              <w:autoSpaceDN w:val="0"/>
              <w:adjustRightInd w:val="0"/>
              <w:spacing w:line="240" w:lineRule="auto"/>
              <w:rPr>
                <w:rFonts w:ascii="Cambria" w:hAnsi="Cambria" w:cs="Cambria"/>
                <w:color w:val="0461C1"/>
                <w:sz w:val="20"/>
                <w:szCs w:val="20"/>
              </w:rPr>
            </w:pPr>
            <w:r w:rsidRPr="00F0379B">
              <w:rPr>
                <w:rFonts w:ascii="Cambria" w:hAnsi="Cambria" w:cs="Cambria"/>
                <w:color w:val="0461C1"/>
                <w:sz w:val="20"/>
                <w:szCs w:val="20"/>
              </w:rPr>
              <w:t xml:space="preserve">Lefter.Kocillari@dshpa.gov.al </w:t>
            </w:r>
          </w:p>
        </w:tc>
        <w:tc>
          <w:tcPr>
            <w:tcW w:w="0" w:type="auto"/>
          </w:tcPr>
          <w:p w14:paraId="17C9A396" w14:textId="77777777" w:rsidR="009123AC" w:rsidRPr="00F0379B" w:rsidRDefault="009123AC" w:rsidP="009123AC">
            <w:pPr>
              <w:autoSpaceDE w:val="0"/>
              <w:autoSpaceDN w:val="0"/>
              <w:adjustRightInd w:val="0"/>
              <w:spacing w:line="240" w:lineRule="auto"/>
              <w:rPr>
                <w:rFonts w:ascii="Cambria" w:hAnsi="Cambria" w:cs="Cambria"/>
                <w:sz w:val="20"/>
                <w:szCs w:val="20"/>
              </w:rPr>
            </w:pPr>
            <w:r w:rsidRPr="00F0379B">
              <w:rPr>
                <w:rFonts w:ascii="Cambria" w:hAnsi="Cambria" w:cs="Cambria"/>
                <w:sz w:val="20"/>
                <w:szCs w:val="20"/>
              </w:rPr>
              <w:t xml:space="preserve">+355672277713 </w:t>
            </w:r>
          </w:p>
        </w:tc>
      </w:tr>
      <w:tr w:rsidR="009123AC" w:rsidRPr="00F0379B" w14:paraId="68220C55" w14:textId="77777777" w:rsidTr="00CA749B">
        <w:trPr>
          <w:trHeight w:val="124"/>
          <w:jc w:val="center"/>
        </w:trPr>
        <w:tc>
          <w:tcPr>
            <w:tcW w:w="0" w:type="auto"/>
          </w:tcPr>
          <w:p w14:paraId="5A2C4EC9" w14:textId="77777777" w:rsidR="009123AC" w:rsidRPr="00F0379B" w:rsidRDefault="009123AC" w:rsidP="009123AC">
            <w:pPr>
              <w:autoSpaceDE w:val="0"/>
              <w:autoSpaceDN w:val="0"/>
              <w:adjustRightInd w:val="0"/>
              <w:spacing w:line="240" w:lineRule="auto"/>
              <w:rPr>
                <w:rFonts w:ascii="Cambria" w:hAnsi="Cambria" w:cs="Cambria"/>
                <w:sz w:val="20"/>
                <w:szCs w:val="20"/>
              </w:rPr>
            </w:pPr>
            <w:r w:rsidRPr="00F0379B">
              <w:rPr>
                <w:rFonts w:ascii="Cambria" w:hAnsi="Cambria" w:cs="Cambria"/>
                <w:sz w:val="20"/>
                <w:szCs w:val="20"/>
              </w:rPr>
              <w:t>Endri Hoxhaj inspector de pesca</w:t>
            </w:r>
          </w:p>
        </w:tc>
        <w:tc>
          <w:tcPr>
            <w:tcW w:w="0" w:type="auto"/>
          </w:tcPr>
          <w:p w14:paraId="70D765B6" w14:textId="77777777" w:rsidR="009123AC" w:rsidRPr="00F0379B" w:rsidRDefault="009123AC" w:rsidP="009123AC">
            <w:pPr>
              <w:autoSpaceDE w:val="0"/>
              <w:autoSpaceDN w:val="0"/>
              <w:adjustRightInd w:val="0"/>
              <w:spacing w:line="240" w:lineRule="auto"/>
              <w:rPr>
                <w:rFonts w:ascii="Cambria" w:hAnsi="Cambria" w:cs="Cambria"/>
                <w:color w:val="0461C1"/>
                <w:sz w:val="20"/>
                <w:szCs w:val="20"/>
              </w:rPr>
            </w:pPr>
            <w:r w:rsidRPr="00F0379B">
              <w:rPr>
                <w:rFonts w:ascii="Cambria" w:hAnsi="Cambria" w:cs="Cambria"/>
                <w:color w:val="0461C1"/>
                <w:sz w:val="20"/>
                <w:szCs w:val="20"/>
              </w:rPr>
              <w:t>Endri.Hoxhaj@dshpa.gov.al</w:t>
            </w:r>
          </w:p>
        </w:tc>
        <w:tc>
          <w:tcPr>
            <w:tcW w:w="0" w:type="auto"/>
          </w:tcPr>
          <w:p w14:paraId="1265D827" w14:textId="77777777" w:rsidR="009123AC" w:rsidRPr="00F0379B" w:rsidRDefault="009123AC" w:rsidP="009123AC">
            <w:pPr>
              <w:autoSpaceDE w:val="0"/>
              <w:autoSpaceDN w:val="0"/>
              <w:adjustRightInd w:val="0"/>
              <w:spacing w:line="240" w:lineRule="auto"/>
              <w:rPr>
                <w:rFonts w:ascii="Cambria" w:hAnsi="Cambria" w:cs="Cambria"/>
                <w:sz w:val="20"/>
                <w:szCs w:val="20"/>
              </w:rPr>
            </w:pPr>
            <w:r w:rsidRPr="00F0379B">
              <w:rPr>
                <w:rFonts w:ascii="Cambria" w:hAnsi="Cambria" w:cs="Cambria"/>
                <w:sz w:val="20"/>
                <w:szCs w:val="20"/>
              </w:rPr>
              <w:t>+355692455993</w:t>
            </w:r>
          </w:p>
        </w:tc>
      </w:tr>
      <w:tr w:rsidR="009123AC" w:rsidRPr="00F0379B" w14:paraId="13952215" w14:textId="77777777" w:rsidTr="00CA749B">
        <w:trPr>
          <w:trHeight w:val="124"/>
          <w:jc w:val="center"/>
        </w:trPr>
        <w:tc>
          <w:tcPr>
            <w:tcW w:w="0" w:type="auto"/>
          </w:tcPr>
          <w:p w14:paraId="7D40139C" w14:textId="77777777" w:rsidR="009123AC" w:rsidRPr="00F0379B" w:rsidRDefault="009123AC" w:rsidP="009123AC">
            <w:pPr>
              <w:autoSpaceDE w:val="0"/>
              <w:autoSpaceDN w:val="0"/>
              <w:adjustRightInd w:val="0"/>
              <w:spacing w:line="240" w:lineRule="auto"/>
              <w:rPr>
                <w:rFonts w:ascii="Cambria" w:hAnsi="Cambria" w:cs="Cambria"/>
                <w:sz w:val="20"/>
                <w:szCs w:val="20"/>
              </w:rPr>
            </w:pPr>
            <w:r w:rsidRPr="00F0379B">
              <w:rPr>
                <w:rFonts w:ascii="Cambria" w:hAnsi="Cambria" w:cs="Cambria"/>
                <w:sz w:val="20"/>
                <w:szCs w:val="20"/>
              </w:rPr>
              <w:t>Orien Miraku, inspector de pesca</w:t>
            </w:r>
          </w:p>
        </w:tc>
        <w:tc>
          <w:tcPr>
            <w:tcW w:w="0" w:type="auto"/>
          </w:tcPr>
          <w:p w14:paraId="1E3D35BE" w14:textId="77777777" w:rsidR="009123AC" w:rsidRPr="00F0379B" w:rsidRDefault="009123AC" w:rsidP="009123AC">
            <w:pPr>
              <w:autoSpaceDE w:val="0"/>
              <w:autoSpaceDN w:val="0"/>
              <w:adjustRightInd w:val="0"/>
              <w:spacing w:line="240" w:lineRule="auto"/>
              <w:rPr>
                <w:rFonts w:ascii="Cambria" w:hAnsi="Cambria" w:cs="Cambria"/>
                <w:color w:val="0461C1"/>
                <w:sz w:val="20"/>
                <w:szCs w:val="20"/>
              </w:rPr>
            </w:pPr>
            <w:r w:rsidRPr="00F0379B">
              <w:rPr>
                <w:rFonts w:ascii="Cambria" w:hAnsi="Cambria" w:cs="Cambria"/>
                <w:color w:val="0461C1"/>
                <w:sz w:val="20"/>
                <w:szCs w:val="20"/>
              </w:rPr>
              <w:t>Orien.Miraku@dshpa.gov.al</w:t>
            </w:r>
          </w:p>
        </w:tc>
        <w:tc>
          <w:tcPr>
            <w:tcW w:w="0" w:type="auto"/>
          </w:tcPr>
          <w:p w14:paraId="2D438D6C" w14:textId="77777777" w:rsidR="009123AC" w:rsidRPr="00F0379B" w:rsidRDefault="009123AC" w:rsidP="009123AC">
            <w:pPr>
              <w:autoSpaceDE w:val="0"/>
              <w:autoSpaceDN w:val="0"/>
              <w:adjustRightInd w:val="0"/>
              <w:spacing w:line="240" w:lineRule="auto"/>
              <w:rPr>
                <w:rFonts w:ascii="Cambria" w:hAnsi="Cambria" w:cs="Cambria"/>
                <w:sz w:val="20"/>
                <w:szCs w:val="20"/>
              </w:rPr>
            </w:pPr>
            <w:r w:rsidRPr="00F0379B">
              <w:rPr>
                <w:rFonts w:ascii="Cambria" w:hAnsi="Cambria" w:cs="Cambria"/>
                <w:sz w:val="20"/>
                <w:szCs w:val="20"/>
              </w:rPr>
              <w:t>+355695203342</w:t>
            </w:r>
          </w:p>
        </w:tc>
      </w:tr>
      <w:tr w:rsidR="009123AC" w:rsidRPr="00F0379B" w14:paraId="305DAAA6" w14:textId="77777777" w:rsidTr="00CA749B">
        <w:trPr>
          <w:trHeight w:val="124"/>
          <w:jc w:val="center"/>
        </w:trPr>
        <w:tc>
          <w:tcPr>
            <w:tcW w:w="0" w:type="auto"/>
          </w:tcPr>
          <w:p w14:paraId="5B493BCC" w14:textId="77777777" w:rsidR="009123AC" w:rsidRPr="00F0379B" w:rsidRDefault="009123AC" w:rsidP="009123AC">
            <w:pPr>
              <w:autoSpaceDE w:val="0"/>
              <w:autoSpaceDN w:val="0"/>
              <w:adjustRightInd w:val="0"/>
              <w:spacing w:line="240" w:lineRule="auto"/>
              <w:rPr>
                <w:rFonts w:ascii="Cambria" w:hAnsi="Cambria" w:cs="Cambria"/>
                <w:sz w:val="20"/>
                <w:szCs w:val="20"/>
              </w:rPr>
            </w:pPr>
            <w:r w:rsidRPr="00F0379B">
              <w:rPr>
                <w:rFonts w:ascii="Cambria" w:hAnsi="Cambria" w:cs="Cambria"/>
                <w:sz w:val="20"/>
                <w:szCs w:val="20"/>
              </w:rPr>
              <w:t>Ermal Pishtari, inspector de pesca</w:t>
            </w:r>
          </w:p>
        </w:tc>
        <w:tc>
          <w:tcPr>
            <w:tcW w:w="0" w:type="auto"/>
          </w:tcPr>
          <w:p w14:paraId="2387D57B" w14:textId="77777777" w:rsidR="009123AC" w:rsidRPr="00F0379B" w:rsidRDefault="009123AC" w:rsidP="009123AC">
            <w:pPr>
              <w:autoSpaceDE w:val="0"/>
              <w:autoSpaceDN w:val="0"/>
              <w:adjustRightInd w:val="0"/>
              <w:spacing w:line="240" w:lineRule="auto"/>
              <w:rPr>
                <w:rFonts w:ascii="Cambria" w:hAnsi="Cambria" w:cs="Cambria"/>
                <w:color w:val="0461C1"/>
                <w:sz w:val="20"/>
                <w:szCs w:val="20"/>
              </w:rPr>
            </w:pPr>
            <w:r w:rsidRPr="00F0379B">
              <w:rPr>
                <w:rFonts w:ascii="Cambria" w:hAnsi="Cambria" w:cs="Cambria"/>
                <w:color w:val="0461C1"/>
                <w:sz w:val="20"/>
                <w:szCs w:val="20"/>
              </w:rPr>
              <w:t>Ermal.Pishtari@dshpa.gov.al</w:t>
            </w:r>
          </w:p>
        </w:tc>
        <w:tc>
          <w:tcPr>
            <w:tcW w:w="0" w:type="auto"/>
          </w:tcPr>
          <w:p w14:paraId="2D159764" w14:textId="77777777" w:rsidR="009123AC" w:rsidRPr="00F0379B" w:rsidRDefault="009123AC" w:rsidP="009123AC">
            <w:pPr>
              <w:autoSpaceDE w:val="0"/>
              <w:autoSpaceDN w:val="0"/>
              <w:adjustRightInd w:val="0"/>
              <w:spacing w:line="240" w:lineRule="auto"/>
              <w:rPr>
                <w:rFonts w:ascii="Cambria" w:hAnsi="Cambria" w:cs="Cambria"/>
                <w:sz w:val="20"/>
                <w:szCs w:val="20"/>
              </w:rPr>
            </w:pPr>
            <w:r w:rsidRPr="00F0379B">
              <w:rPr>
                <w:rFonts w:ascii="Cambria" w:hAnsi="Cambria" w:cs="Cambria"/>
                <w:sz w:val="20"/>
                <w:szCs w:val="20"/>
              </w:rPr>
              <w:t>+355693300911</w:t>
            </w:r>
          </w:p>
        </w:tc>
      </w:tr>
      <w:tr w:rsidR="009123AC" w:rsidRPr="00F0379B" w14:paraId="2DADD0F4" w14:textId="77777777" w:rsidTr="00CA749B">
        <w:trPr>
          <w:trHeight w:val="242"/>
          <w:jc w:val="center"/>
        </w:trPr>
        <w:tc>
          <w:tcPr>
            <w:tcW w:w="0" w:type="auto"/>
          </w:tcPr>
          <w:p w14:paraId="14687B8C" w14:textId="77777777" w:rsidR="009123AC" w:rsidRPr="00F0379B" w:rsidRDefault="009123AC" w:rsidP="009123AC">
            <w:pPr>
              <w:autoSpaceDE w:val="0"/>
              <w:autoSpaceDN w:val="0"/>
              <w:adjustRightInd w:val="0"/>
              <w:spacing w:line="240" w:lineRule="auto"/>
              <w:rPr>
                <w:rFonts w:ascii="Cambria" w:hAnsi="Cambria" w:cs="Cambria"/>
                <w:sz w:val="20"/>
                <w:szCs w:val="20"/>
                <w:lang w:val="en-US"/>
              </w:rPr>
            </w:pPr>
            <w:proofErr w:type="spellStart"/>
            <w:r w:rsidRPr="00F0379B">
              <w:rPr>
                <w:rFonts w:ascii="Cambria" w:hAnsi="Cambria" w:cs="Cambria"/>
                <w:sz w:val="20"/>
                <w:szCs w:val="20"/>
                <w:lang w:val="en-US"/>
              </w:rPr>
              <w:t>Xhesian</w:t>
            </w:r>
            <w:proofErr w:type="spellEnd"/>
            <w:r w:rsidRPr="00F0379B">
              <w:rPr>
                <w:rFonts w:ascii="Cambria" w:hAnsi="Cambria" w:cs="Cambria"/>
                <w:sz w:val="20"/>
                <w:szCs w:val="20"/>
                <w:lang w:val="en-US"/>
              </w:rPr>
              <w:t xml:space="preserve"> Abedin, </w:t>
            </w:r>
          </w:p>
          <w:p w14:paraId="07586A27" w14:textId="77777777" w:rsidR="009123AC" w:rsidRPr="00F0379B" w:rsidRDefault="009123AC" w:rsidP="009123AC">
            <w:pPr>
              <w:autoSpaceDE w:val="0"/>
              <w:autoSpaceDN w:val="0"/>
              <w:adjustRightInd w:val="0"/>
              <w:spacing w:line="240" w:lineRule="auto"/>
              <w:rPr>
                <w:rFonts w:ascii="Cambria" w:hAnsi="Cambria" w:cs="Cambria"/>
                <w:sz w:val="20"/>
                <w:szCs w:val="20"/>
                <w:lang w:val="en-US"/>
              </w:rPr>
            </w:pPr>
            <w:r w:rsidRPr="00F0379B">
              <w:rPr>
                <w:rFonts w:ascii="Cambria" w:hAnsi="Cambria" w:cs="Cambria"/>
                <w:sz w:val="20"/>
                <w:szCs w:val="20"/>
                <w:lang w:val="en-US"/>
              </w:rPr>
              <w:t xml:space="preserve">Specialist in the Department of Fisheries </w:t>
            </w:r>
          </w:p>
        </w:tc>
        <w:tc>
          <w:tcPr>
            <w:tcW w:w="0" w:type="auto"/>
          </w:tcPr>
          <w:p w14:paraId="65ED07CC" w14:textId="77777777" w:rsidR="009123AC" w:rsidRPr="00F0379B" w:rsidRDefault="009123AC" w:rsidP="009123AC">
            <w:pPr>
              <w:autoSpaceDE w:val="0"/>
              <w:autoSpaceDN w:val="0"/>
              <w:adjustRightInd w:val="0"/>
              <w:spacing w:line="240" w:lineRule="auto"/>
              <w:rPr>
                <w:rFonts w:ascii="Cambria" w:hAnsi="Cambria" w:cs="Cambria"/>
                <w:color w:val="0461C1"/>
                <w:sz w:val="20"/>
                <w:szCs w:val="20"/>
                <w:lang w:val="en-US"/>
              </w:rPr>
            </w:pPr>
            <w:r w:rsidRPr="00F0379B">
              <w:rPr>
                <w:rFonts w:ascii="Cambria" w:hAnsi="Cambria" w:cs="Cambria"/>
                <w:color w:val="0461C1"/>
                <w:sz w:val="20"/>
                <w:szCs w:val="20"/>
                <w:lang w:val="en-US"/>
              </w:rPr>
              <w:t xml:space="preserve">Xhesian.Abedin@bujqesia.gov.al </w:t>
            </w:r>
          </w:p>
        </w:tc>
        <w:tc>
          <w:tcPr>
            <w:tcW w:w="0" w:type="auto"/>
          </w:tcPr>
          <w:p w14:paraId="51510EB3" w14:textId="77777777" w:rsidR="009123AC" w:rsidRPr="00F0379B" w:rsidRDefault="009123AC" w:rsidP="009123AC">
            <w:pPr>
              <w:autoSpaceDE w:val="0"/>
              <w:autoSpaceDN w:val="0"/>
              <w:adjustRightInd w:val="0"/>
              <w:spacing w:line="240" w:lineRule="auto"/>
              <w:rPr>
                <w:rFonts w:ascii="Cambria" w:hAnsi="Cambria" w:cs="Cambria"/>
                <w:sz w:val="20"/>
                <w:szCs w:val="20"/>
              </w:rPr>
            </w:pPr>
            <w:r w:rsidRPr="00F0379B">
              <w:rPr>
                <w:rFonts w:ascii="Cambria" w:hAnsi="Cambria" w:cs="Cambria"/>
                <w:sz w:val="20"/>
                <w:szCs w:val="20"/>
              </w:rPr>
              <w:t xml:space="preserve">+355699320239 </w:t>
            </w:r>
          </w:p>
        </w:tc>
      </w:tr>
    </w:tbl>
    <w:p w14:paraId="0035F803"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317836A0"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Las solicitudes de entrada y uso de los puertos albaneses por parte de buques con pabellón extranjero las concederán, si procede, las pertinentes autoridades marítimas y portuarias. En caso de autorización de entrada en puerto y su uso, los inspectores de la autoridad pertinente realizarán inspecciones en puerto. </w:t>
      </w:r>
    </w:p>
    <w:p w14:paraId="6BD4600E" w14:textId="4B24D38A" w:rsidR="009123AC" w:rsidRPr="00F0379B" w:rsidRDefault="00272CAD" w:rsidP="009123AC">
      <w:pPr>
        <w:spacing w:after="0"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inspector de pesquerías debería</w:t>
      </w:r>
      <w:r w:rsidR="009123AC" w:rsidRPr="00F0379B">
        <w:rPr>
          <w:rFonts w:ascii="Cambria" w:eastAsiaTheme="minorEastAsia" w:hAnsi="Cambria"/>
          <w:kern w:val="2"/>
          <w:sz w:val="20"/>
          <w:szCs w:val="20"/>
          <w:lang w:eastAsia="ja-JP"/>
          <w14:ligatures w14:val="standardContextual"/>
        </w:rPr>
        <w:t xml:space="preserve"> priorizar la implementación del siguiente modo:</w:t>
      </w:r>
    </w:p>
    <w:p w14:paraId="4D75EFB2"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40796E2F" w14:textId="77777777" w:rsidR="009123AC" w:rsidRPr="00F0379B" w:rsidRDefault="009123AC" w:rsidP="00CE0EC8">
      <w:pPr>
        <w:widowControl w:val="0"/>
        <w:numPr>
          <w:ilvl w:val="1"/>
          <w:numId w:val="21"/>
        </w:numPr>
        <w:spacing w:after="0" w:line="240" w:lineRule="auto"/>
        <w:ind w:left="851" w:hanging="425"/>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El buque pesquero autorizado debería desembarcar el atún rojo capturado solo en el lugar designado y a la hora designada. </w:t>
      </w:r>
    </w:p>
    <w:p w14:paraId="0D84D7D8" w14:textId="77777777" w:rsidR="009123AC" w:rsidRPr="00F0379B" w:rsidRDefault="009123AC" w:rsidP="009123AC">
      <w:pPr>
        <w:spacing w:after="0" w:line="240" w:lineRule="auto"/>
        <w:ind w:left="851"/>
        <w:contextualSpacing/>
        <w:rPr>
          <w:rFonts w:ascii="Cambria" w:eastAsiaTheme="minorEastAsia" w:hAnsi="Cambria"/>
          <w:kern w:val="2"/>
          <w:sz w:val="20"/>
          <w:szCs w:val="20"/>
          <w:lang w:eastAsia="ja-JP"/>
          <w14:ligatures w14:val="standardContextual"/>
        </w:rPr>
      </w:pPr>
    </w:p>
    <w:p w14:paraId="3C5939FC" w14:textId="77777777" w:rsidR="009123AC" w:rsidRPr="00F0379B" w:rsidRDefault="009123AC" w:rsidP="00CE0EC8">
      <w:pPr>
        <w:widowControl w:val="0"/>
        <w:numPr>
          <w:ilvl w:val="1"/>
          <w:numId w:val="21"/>
        </w:numPr>
        <w:spacing w:after="0" w:line="240" w:lineRule="auto"/>
        <w:ind w:left="851" w:hanging="425"/>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patrón del buque pesquero autorizado debería notificar a la autoridad portuaria (incluido el inspector pesquero) cuatro horas antes de entrar en puerto, la hora en que cree que entrará en el puerto, la cantidad estimada de atún retenida a bordo, y la información sobre la zona geográfica donde se realizó la captura.</w:t>
      </w:r>
    </w:p>
    <w:p w14:paraId="46123B15" w14:textId="77777777" w:rsidR="009123AC" w:rsidRPr="00F0379B" w:rsidRDefault="009123AC" w:rsidP="009123AC">
      <w:pPr>
        <w:spacing w:after="0" w:line="240" w:lineRule="auto"/>
        <w:ind w:left="720"/>
        <w:contextualSpacing/>
        <w:rPr>
          <w:rFonts w:ascii="Cambria" w:eastAsiaTheme="minorEastAsia" w:hAnsi="Cambria"/>
          <w:kern w:val="2"/>
          <w:sz w:val="20"/>
          <w:szCs w:val="20"/>
          <w:lang w:eastAsia="ja-JP"/>
          <w14:ligatures w14:val="standardContextual"/>
        </w:rPr>
      </w:pPr>
    </w:p>
    <w:p w14:paraId="447179DB"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inspectores pesqueros tomarán medidas para estar presentes en el puerto pesquero en el momento de la llegada y del desembarque y recibirán del patrón la declaración de desembarque, que reflejará los datos anteriores ya especificados (pesándolo) y no de forma aleatoria,</w:t>
      </w:r>
    </w:p>
    <w:p w14:paraId="505CAF9B"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0EC9C07A"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El patrón del buque de captura autorizado será responsable de y certificará que la declaración sea completa, así como su exactitud, y en ella se indicarán, como requisito mínimo, las cantidades de atún rojo desembarcado y la zona en que fue capturado. Todas las capturas desembarcadas serán pesadas y no sólo </w:t>
      </w:r>
      <w:r w:rsidRPr="00F0379B">
        <w:rPr>
          <w:rFonts w:ascii="Cambria" w:eastAsiaTheme="minorEastAsia" w:hAnsi="Cambria"/>
          <w:kern w:val="2"/>
          <w:sz w:val="20"/>
          <w:szCs w:val="20"/>
          <w:lang w:eastAsia="ja-JP"/>
          <w14:ligatures w14:val="standardContextual"/>
        </w:rPr>
        <w:lastRenderedPageBreak/>
        <w:t>estimadas. La autoridad albanesa enviará un registro del desembarque a la autoridad de la CPC del pabellón del buque pesquero en un plazo de 48 horas tras la finalización del desembarque.</w:t>
      </w:r>
    </w:p>
    <w:p w14:paraId="6CE9C2C3"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5EE1A6C1" w14:textId="77777777" w:rsidR="009123AC" w:rsidRPr="00F0379B" w:rsidRDefault="009123AC" w:rsidP="00CE0EC8">
      <w:pPr>
        <w:widowControl w:val="0"/>
        <w:numPr>
          <w:ilvl w:val="1"/>
          <w:numId w:val="21"/>
        </w:numPr>
        <w:spacing w:after="0" w:line="240" w:lineRule="auto"/>
        <w:ind w:left="851" w:hanging="425"/>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inspector pesquero mantendrá también un registro de todas las notificaciones realizadas por el buque pesquero autorizado y los datos comunicados mencionados antes, de las declaraciones de desembarque en el puerto pesquero, así como de otros detalles que se consideren importantes. El inspector pesquero comunicará dichos datos a la Dirección de pesca en las 48 h posteriores al desembarque de los productos de pescado por parte del buque pesquero autorizado.</w:t>
      </w:r>
    </w:p>
    <w:p w14:paraId="11C713F5" w14:textId="77777777" w:rsidR="009123AC" w:rsidRPr="00F0379B" w:rsidRDefault="009123AC" w:rsidP="00CE0EC8">
      <w:pPr>
        <w:widowControl w:val="0"/>
        <w:numPr>
          <w:ilvl w:val="1"/>
          <w:numId w:val="21"/>
        </w:numPr>
        <w:spacing w:after="0" w:line="240" w:lineRule="auto"/>
        <w:ind w:left="851" w:hanging="425"/>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Garantizar que el patrón del buque pesquero cumplimenta correctamente el cuaderno de pesca y después de cada llegada (desembarque) lo entrega.</w:t>
      </w:r>
    </w:p>
    <w:p w14:paraId="1D554951" w14:textId="77777777" w:rsidR="009123AC" w:rsidRPr="00F0379B" w:rsidRDefault="009123AC" w:rsidP="00CE0EC8">
      <w:pPr>
        <w:widowControl w:val="0"/>
        <w:numPr>
          <w:ilvl w:val="1"/>
          <w:numId w:val="21"/>
        </w:numPr>
        <w:spacing w:after="0" w:line="240" w:lineRule="auto"/>
        <w:ind w:left="851" w:hanging="425"/>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permitir la pesca de atún rojo inferior a 30 kg o inferior a 115 cm (longitud a la horquilla). El inspector mide cada atún capturado al desembarcarlo y verifica la implementación de la obligación expuesta de peso/talla mínima de los peces capturados.</w:t>
      </w:r>
    </w:p>
    <w:p w14:paraId="6BEA5B73" w14:textId="77777777" w:rsidR="009123AC" w:rsidRPr="00F0379B" w:rsidRDefault="009123AC" w:rsidP="00CE0EC8">
      <w:pPr>
        <w:widowControl w:val="0"/>
        <w:numPr>
          <w:ilvl w:val="1"/>
          <w:numId w:val="21"/>
        </w:numPr>
        <w:spacing w:after="0" w:line="240" w:lineRule="auto"/>
        <w:ind w:left="851" w:hanging="425"/>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Comprobar el funcionamiento del sistema VMS del buque y la señal ininterrumpida, incluso estando en puerto.  </w:t>
      </w:r>
    </w:p>
    <w:p w14:paraId="18C33F5E" w14:textId="77777777" w:rsidR="009123AC" w:rsidRPr="00F0379B" w:rsidRDefault="009123AC" w:rsidP="00CE0EC8">
      <w:pPr>
        <w:widowControl w:val="0"/>
        <w:numPr>
          <w:ilvl w:val="1"/>
          <w:numId w:val="21"/>
        </w:numPr>
        <w:spacing w:after="0" w:line="240" w:lineRule="auto"/>
        <w:ind w:left="851" w:hanging="425"/>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Enviar a las autoridades pesqueras del Ministerio cualquier documento sobre las capturas y las transferencias de productos de atún.</w:t>
      </w:r>
    </w:p>
    <w:p w14:paraId="1562C4E7" w14:textId="77777777" w:rsidR="009123AC" w:rsidRPr="00F0379B" w:rsidRDefault="009123AC" w:rsidP="00CE0EC8">
      <w:pPr>
        <w:widowControl w:val="0"/>
        <w:numPr>
          <w:ilvl w:val="1"/>
          <w:numId w:val="21"/>
        </w:numPr>
        <w:spacing w:after="0" w:line="240" w:lineRule="auto"/>
        <w:ind w:left="851" w:hanging="425"/>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Observar, identificar y hacer un seguimiento de cualquier cantidad de atún rojo capturado por el buque pesquero (fuera de la temporada de pesca autorizada).</w:t>
      </w:r>
    </w:p>
    <w:p w14:paraId="09289DE6"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763E3B12"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Además se establecen medidas de control en la </w:t>
      </w:r>
      <w:hyperlink r:id="rId79" w:history="1">
        <w:r w:rsidRPr="00F0379B">
          <w:rPr>
            <w:rFonts w:ascii="Cambria" w:eastAsiaTheme="minorEastAsia" w:hAnsi="Cambria"/>
            <w:color w:val="0563C1" w:themeColor="hyperlink"/>
            <w:kern w:val="2"/>
            <w:sz w:val="20"/>
            <w:szCs w:val="20"/>
            <w:lang w:eastAsia="ja-JP"/>
            <w14:ligatures w14:val="standardContextual"/>
          </w:rPr>
          <w:t>Rec. 25-04</w:t>
        </w:r>
      </w:hyperlink>
      <w:r w:rsidRPr="00F0379B">
        <w:rPr>
          <w:rFonts w:ascii="Cambria" w:eastAsiaTheme="minorEastAsia" w:hAnsi="Cambria"/>
          <w:kern w:val="2"/>
          <w:sz w:val="20"/>
          <w:szCs w:val="20"/>
          <w:lang w:eastAsia="ja-JP"/>
          <w14:ligatures w14:val="standardContextual"/>
        </w:rPr>
        <w:t xml:space="preserve"> (párrs. 95 y 96) para los programas de observadores regionales y nacionales, que aseguran la cobertura de: </w:t>
      </w:r>
    </w:p>
    <w:p w14:paraId="4C6D1C6C"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10E830E1" w14:textId="77777777" w:rsidR="009123AC" w:rsidRPr="00F0379B" w:rsidRDefault="009123AC" w:rsidP="00CE0EC8">
      <w:pPr>
        <w:widowControl w:val="0"/>
        <w:numPr>
          <w:ilvl w:val="1"/>
          <w:numId w:val="21"/>
        </w:numPr>
        <w:spacing w:after="0" w:line="240" w:lineRule="auto"/>
        <w:ind w:left="851" w:hanging="425"/>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100 % de los cerqueros autorizados a pescar activamente atún para rojo, </w:t>
      </w:r>
    </w:p>
    <w:p w14:paraId="36A7F2D1" w14:textId="77777777" w:rsidR="009123AC" w:rsidRPr="00F0379B" w:rsidRDefault="009123AC" w:rsidP="00CE0EC8">
      <w:pPr>
        <w:widowControl w:val="0"/>
        <w:numPr>
          <w:ilvl w:val="1"/>
          <w:numId w:val="21"/>
        </w:numPr>
        <w:spacing w:after="0" w:line="240" w:lineRule="auto"/>
        <w:ind w:left="851" w:hanging="425"/>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100 % de los remolcadores autorizados, </w:t>
      </w:r>
    </w:p>
    <w:p w14:paraId="641B15EA" w14:textId="77777777" w:rsidR="009123AC" w:rsidRPr="00F0379B" w:rsidRDefault="009123AC" w:rsidP="00CE0EC8">
      <w:pPr>
        <w:widowControl w:val="0"/>
        <w:numPr>
          <w:ilvl w:val="1"/>
          <w:numId w:val="21"/>
        </w:numPr>
        <w:spacing w:after="0" w:line="240" w:lineRule="auto"/>
        <w:ind w:left="851" w:hanging="425"/>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100 % de las transferencias de atún rojo de los buques de cerco a las jaulas de remolque y a las jaulas de la granja;</w:t>
      </w:r>
    </w:p>
    <w:p w14:paraId="7E24919D" w14:textId="77777777" w:rsidR="009123AC" w:rsidRPr="00F0379B" w:rsidRDefault="009123AC" w:rsidP="00CE0EC8">
      <w:pPr>
        <w:widowControl w:val="0"/>
        <w:numPr>
          <w:ilvl w:val="1"/>
          <w:numId w:val="21"/>
        </w:numPr>
        <w:spacing w:after="0" w:line="240" w:lineRule="auto"/>
        <w:ind w:left="851" w:hanging="425"/>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100 % de las operaciones de sacrificio.</w:t>
      </w:r>
    </w:p>
    <w:p w14:paraId="5BF32B8B"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p>
    <w:p w14:paraId="1ADA68E9"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Todas las operaciones de seguimiento, control y vigilancia serán aseguradas de conformidad con la </w:t>
      </w:r>
      <w:hyperlink r:id="rId80" w:history="1">
        <w:r w:rsidRPr="00F0379B">
          <w:rPr>
            <w:rFonts w:ascii="Cambria" w:eastAsiaTheme="minorEastAsia" w:hAnsi="Cambria"/>
            <w:color w:val="0563C1" w:themeColor="hyperlink"/>
            <w:kern w:val="2"/>
            <w:sz w:val="20"/>
            <w:szCs w:val="20"/>
            <w:lang w:eastAsia="ja-JP"/>
            <w14:ligatures w14:val="standardContextual"/>
          </w:rPr>
          <w:t>Rec. 25-04</w:t>
        </w:r>
      </w:hyperlink>
      <w:r w:rsidRPr="00F0379B">
        <w:rPr>
          <w:rFonts w:ascii="Cambria" w:eastAsiaTheme="minorEastAsia" w:hAnsi="Cambria"/>
          <w:kern w:val="2"/>
          <w:sz w:val="20"/>
          <w:szCs w:val="20"/>
          <w:lang w:eastAsia="ja-JP"/>
          <w14:ligatures w14:val="standardContextual"/>
        </w:rPr>
        <w:t>.</w:t>
      </w:r>
    </w:p>
    <w:p w14:paraId="47F77E52" w14:textId="77777777" w:rsidR="009123AC" w:rsidRPr="00F0379B" w:rsidRDefault="009123AC" w:rsidP="009123AC">
      <w:pPr>
        <w:spacing w:after="0" w:line="240" w:lineRule="auto"/>
        <w:ind w:left="851"/>
        <w:contextualSpacing/>
        <w:jc w:val="both"/>
        <w:rPr>
          <w:rFonts w:ascii="Cambria" w:eastAsiaTheme="minorEastAsia" w:hAnsi="Cambria"/>
          <w:kern w:val="2"/>
          <w:sz w:val="20"/>
          <w:szCs w:val="20"/>
          <w:lang w:eastAsia="ja-JP"/>
          <w14:ligatures w14:val="standardContextual"/>
        </w:rPr>
      </w:pPr>
    </w:p>
    <w:p w14:paraId="7CB5FB28" w14:textId="77777777" w:rsidR="009123AC" w:rsidRPr="00F0379B" w:rsidRDefault="009123AC" w:rsidP="009123AC">
      <w:pPr>
        <w:spacing w:after="0" w:line="240" w:lineRule="auto"/>
        <w:jc w:val="both"/>
        <w:rPr>
          <w:rFonts w:ascii="Cambria" w:eastAsiaTheme="minorEastAsia" w:hAnsi="Cambria"/>
          <w:bCs/>
          <w:i/>
          <w:iCs/>
          <w:kern w:val="2"/>
          <w:sz w:val="20"/>
          <w:szCs w:val="20"/>
          <w:lang w:eastAsia="ja-JP"/>
          <w14:ligatures w14:val="standardContextual"/>
        </w:rPr>
      </w:pPr>
      <w:r w:rsidRPr="00F0379B">
        <w:rPr>
          <w:rFonts w:ascii="Cambria" w:eastAsiaTheme="minorEastAsia" w:hAnsi="Cambria"/>
          <w:bCs/>
          <w:i/>
          <w:iCs/>
          <w:kern w:val="2"/>
          <w:sz w:val="20"/>
          <w:szCs w:val="20"/>
          <w:lang w:eastAsia="ja-JP"/>
          <w14:ligatures w14:val="standardContextual"/>
        </w:rPr>
        <w:t>Seguimiento, control e inspección de operaciones de introducción en jaulas de atún rojo del este</w:t>
      </w:r>
    </w:p>
    <w:p w14:paraId="6C7138E5" w14:textId="77777777" w:rsidR="009123AC" w:rsidRPr="00F0379B" w:rsidRDefault="009123AC" w:rsidP="009123AC">
      <w:pPr>
        <w:spacing w:after="0" w:line="240" w:lineRule="auto"/>
        <w:jc w:val="both"/>
        <w:rPr>
          <w:rFonts w:ascii="Cambria" w:eastAsiaTheme="minorEastAsia" w:hAnsi="Cambria"/>
          <w:i/>
          <w:iCs/>
          <w:kern w:val="2"/>
          <w:sz w:val="20"/>
          <w:szCs w:val="20"/>
          <w:lang w:eastAsia="ja-JP"/>
          <w14:ligatures w14:val="standardContextual"/>
        </w:rPr>
      </w:pPr>
    </w:p>
    <w:p w14:paraId="4EA0A3B3" w14:textId="77777777" w:rsidR="009123AC" w:rsidRPr="00F0379B" w:rsidRDefault="009123AC" w:rsidP="009123AC">
      <w:pPr>
        <w:autoSpaceDE w:val="0"/>
        <w:autoSpaceDN w:val="0"/>
        <w:adjustRightInd w:val="0"/>
        <w:spacing w:after="0" w:line="240" w:lineRule="auto"/>
        <w:jc w:val="both"/>
        <w:rPr>
          <w:rFonts w:ascii="Cambria" w:eastAsia="MS Gothic" w:hAnsi="Cambria" w:cs="Cambria"/>
          <w:sz w:val="20"/>
          <w:szCs w:val="20"/>
          <w:lang w:eastAsia="fr-FR"/>
        </w:rPr>
      </w:pPr>
      <w:r w:rsidRPr="00F0379B">
        <w:rPr>
          <w:rFonts w:ascii="Cambria" w:eastAsia="MS Gothic" w:hAnsi="Cambria" w:cs="Cambria"/>
          <w:sz w:val="20"/>
          <w:szCs w:val="20"/>
          <w:lang w:eastAsia="fr-FR"/>
        </w:rPr>
        <w:t>Los inspectores pesqueros del grupo operativo designados en este caso como autoridad competente de la granja deberán:</w:t>
      </w:r>
    </w:p>
    <w:p w14:paraId="03B4E345" w14:textId="77777777" w:rsidR="009123AC" w:rsidRPr="00F0379B" w:rsidRDefault="009123AC" w:rsidP="009123AC">
      <w:pPr>
        <w:autoSpaceDE w:val="0"/>
        <w:autoSpaceDN w:val="0"/>
        <w:adjustRightInd w:val="0"/>
        <w:spacing w:after="0" w:line="240" w:lineRule="auto"/>
        <w:jc w:val="both"/>
        <w:rPr>
          <w:rFonts w:ascii="Cambria" w:eastAsia="MS Gothic" w:hAnsi="Cambria" w:cs="Cambria"/>
          <w:color w:val="000000"/>
          <w:sz w:val="20"/>
          <w:szCs w:val="20"/>
          <w:lang w:eastAsia="fr-FR"/>
        </w:rPr>
      </w:pPr>
    </w:p>
    <w:p w14:paraId="4D7F8E5B" w14:textId="77777777" w:rsidR="009123AC" w:rsidRPr="00F0379B" w:rsidRDefault="009123AC" w:rsidP="009123AC">
      <w:pPr>
        <w:numPr>
          <w:ilvl w:val="0"/>
          <w:numId w:val="1"/>
        </w:numPr>
        <w:autoSpaceDE w:val="0"/>
        <w:autoSpaceDN w:val="0"/>
        <w:adjustRightInd w:val="0"/>
        <w:spacing w:after="0" w:line="240" w:lineRule="auto"/>
        <w:jc w:val="both"/>
        <w:rPr>
          <w:rFonts w:ascii="Cambria" w:eastAsia="MS Gothic" w:hAnsi="Cambria" w:cs="Cambria"/>
          <w:color w:val="000000"/>
          <w:sz w:val="20"/>
          <w:szCs w:val="20"/>
          <w:lang w:eastAsia="fr-FR"/>
        </w:rPr>
      </w:pPr>
      <w:r w:rsidRPr="00F0379B">
        <w:rPr>
          <w:rFonts w:ascii="Cambria" w:eastAsia="MS Gothic" w:hAnsi="Cambria" w:cs="Cambria"/>
          <w:color w:val="000000"/>
          <w:sz w:val="20"/>
          <w:szCs w:val="20"/>
          <w:lang w:eastAsia="fr-FR"/>
        </w:rPr>
        <w:t xml:space="preserve">Coordinar la recopilación y verificación de información sobre las actividades nacionales de introducción en jaulas, para el control de las actividades de cría y para comunicarlo a las autoridades competentes de Albania. </w:t>
      </w:r>
    </w:p>
    <w:p w14:paraId="31850D0E" w14:textId="77777777" w:rsidR="009123AC" w:rsidRPr="00F0379B" w:rsidRDefault="009123AC" w:rsidP="009123AC">
      <w:pPr>
        <w:numPr>
          <w:ilvl w:val="0"/>
          <w:numId w:val="1"/>
        </w:numPr>
        <w:autoSpaceDE w:val="0"/>
        <w:autoSpaceDN w:val="0"/>
        <w:adjustRightInd w:val="0"/>
        <w:spacing w:after="0" w:line="240" w:lineRule="auto"/>
        <w:jc w:val="both"/>
        <w:rPr>
          <w:rFonts w:ascii="Cambria" w:eastAsia="MS Gothic" w:hAnsi="Cambria" w:cs="Cambria"/>
          <w:color w:val="000000"/>
          <w:sz w:val="20"/>
          <w:szCs w:val="20"/>
          <w:lang w:eastAsia="fr-FR"/>
        </w:rPr>
      </w:pPr>
      <w:r w:rsidRPr="00F0379B">
        <w:rPr>
          <w:rFonts w:ascii="Cambria" w:eastAsia="MS Gothic" w:hAnsi="Cambria" w:cs="Cambria"/>
          <w:color w:val="000000"/>
          <w:sz w:val="20"/>
          <w:szCs w:val="20"/>
          <w:lang w:eastAsia="fr-FR"/>
        </w:rPr>
        <w:t xml:space="preserve">Se asegurarán de que los operadores de la granja mantienen en todo momento un plan esquemático preciso de sus granjas, que indique el número único de todas las jaulas y su posición individual en la granja. </w:t>
      </w:r>
    </w:p>
    <w:p w14:paraId="58529D50" w14:textId="77777777" w:rsidR="009123AC" w:rsidRPr="00F0379B" w:rsidRDefault="009123AC" w:rsidP="009123AC">
      <w:pPr>
        <w:numPr>
          <w:ilvl w:val="0"/>
          <w:numId w:val="1"/>
        </w:numPr>
        <w:autoSpaceDE w:val="0"/>
        <w:autoSpaceDN w:val="0"/>
        <w:adjustRightInd w:val="0"/>
        <w:spacing w:after="0" w:line="240" w:lineRule="auto"/>
        <w:jc w:val="both"/>
        <w:rPr>
          <w:rFonts w:ascii="Cambria" w:eastAsia="MS Gothic" w:hAnsi="Cambria" w:cs="Cambria"/>
          <w:color w:val="000000"/>
          <w:sz w:val="20"/>
          <w:szCs w:val="20"/>
          <w:lang w:eastAsia="fr-FR"/>
        </w:rPr>
      </w:pPr>
      <w:r w:rsidRPr="00F0379B">
        <w:rPr>
          <w:rFonts w:ascii="Cambria" w:eastAsia="MS Gothic" w:hAnsi="Cambria" w:cs="Cambria"/>
          <w:color w:val="000000"/>
          <w:sz w:val="20"/>
          <w:szCs w:val="20"/>
          <w:lang w:eastAsia="fr-FR"/>
        </w:rPr>
        <w:t xml:space="preserve">Asignarán un número único e identificable a cada jaula asociada con las granjas, incluidas aquellas jaulas que se usan para transportar los peces a la granja. </w:t>
      </w:r>
    </w:p>
    <w:p w14:paraId="7469EDFC" w14:textId="77777777" w:rsidR="009123AC" w:rsidRPr="00F0379B" w:rsidRDefault="009123AC" w:rsidP="009123AC">
      <w:pPr>
        <w:numPr>
          <w:ilvl w:val="0"/>
          <w:numId w:val="1"/>
        </w:numPr>
        <w:autoSpaceDE w:val="0"/>
        <w:autoSpaceDN w:val="0"/>
        <w:adjustRightInd w:val="0"/>
        <w:spacing w:after="0" w:line="240" w:lineRule="auto"/>
        <w:jc w:val="both"/>
        <w:rPr>
          <w:rFonts w:ascii="Cambria" w:eastAsia="MS Gothic" w:hAnsi="Cambria" w:cs="Cambria"/>
          <w:color w:val="000000"/>
          <w:sz w:val="20"/>
          <w:szCs w:val="20"/>
          <w:lang w:eastAsia="fr-FR"/>
        </w:rPr>
      </w:pPr>
      <w:r w:rsidRPr="00F0379B">
        <w:rPr>
          <w:rFonts w:ascii="Cambria" w:eastAsia="MS Gothic" w:hAnsi="Cambria" w:cs="Cambria"/>
          <w:color w:val="000000"/>
          <w:sz w:val="20"/>
          <w:szCs w:val="20"/>
          <w:lang w:eastAsia="fr-FR"/>
        </w:rPr>
        <w:t>Expedirán una autorización de introducción en jaulas para cada operación de introducción en jaulas.</w:t>
      </w:r>
    </w:p>
    <w:p w14:paraId="1EDBDA47" w14:textId="77777777" w:rsidR="009123AC" w:rsidRPr="00F0379B" w:rsidRDefault="009123AC" w:rsidP="009123AC">
      <w:pPr>
        <w:numPr>
          <w:ilvl w:val="0"/>
          <w:numId w:val="1"/>
        </w:numPr>
        <w:autoSpaceDE w:val="0"/>
        <w:autoSpaceDN w:val="0"/>
        <w:adjustRightInd w:val="0"/>
        <w:spacing w:after="0" w:line="240" w:lineRule="auto"/>
        <w:jc w:val="both"/>
        <w:rPr>
          <w:rFonts w:ascii="Cambria" w:eastAsia="MS Gothic" w:hAnsi="Cambria" w:cs="Cambria"/>
          <w:color w:val="000000"/>
          <w:sz w:val="20"/>
          <w:szCs w:val="20"/>
          <w:lang w:eastAsia="fr-FR"/>
        </w:rPr>
      </w:pPr>
      <w:r w:rsidRPr="00F0379B">
        <w:rPr>
          <w:rFonts w:ascii="Cambria" w:eastAsia="MS Gothic" w:hAnsi="Cambria" w:cs="Cambria"/>
          <w:color w:val="000000"/>
          <w:sz w:val="20"/>
          <w:szCs w:val="20"/>
          <w:lang w:eastAsia="fr-FR"/>
        </w:rPr>
        <w:t>Se asegurarán de que el remolcador afectado se mantiene a una distancia de, como mínimo, 1 milla náutica de la granja hasta que estén físicamente presentes.</w:t>
      </w:r>
    </w:p>
    <w:p w14:paraId="7351A7D6" w14:textId="77777777" w:rsidR="009123AC" w:rsidRPr="00F0379B" w:rsidRDefault="009123AC" w:rsidP="009123AC">
      <w:pPr>
        <w:numPr>
          <w:ilvl w:val="0"/>
          <w:numId w:val="1"/>
        </w:numPr>
        <w:autoSpaceDE w:val="0"/>
        <w:autoSpaceDN w:val="0"/>
        <w:adjustRightInd w:val="0"/>
        <w:spacing w:after="0" w:line="240" w:lineRule="auto"/>
        <w:jc w:val="both"/>
        <w:rPr>
          <w:rFonts w:ascii="Cambria" w:eastAsia="MS Gothic" w:hAnsi="Cambria" w:cs="Cambria"/>
          <w:i/>
          <w:iCs/>
          <w:color w:val="000000"/>
          <w:sz w:val="20"/>
          <w:szCs w:val="20"/>
          <w:lang w:eastAsia="fr-FR"/>
        </w:rPr>
      </w:pPr>
      <w:r w:rsidRPr="00F0379B">
        <w:rPr>
          <w:rFonts w:ascii="Cambria" w:eastAsia="MS Gothic" w:hAnsi="Cambria" w:cs="Cambria"/>
          <w:i/>
          <w:iCs/>
          <w:color w:val="000000"/>
          <w:sz w:val="20"/>
          <w:szCs w:val="20"/>
          <w:lang w:eastAsia="fr-FR"/>
        </w:rPr>
        <w:t xml:space="preserve">Se asegurarán de que las jaulas de la granja que contienen atún rojo están precintadas en todo momento. </w:t>
      </w:r>
    </w:p>
    <w:p w14:paraId="1EA0B8FA" w14:textId="77777777" w:rsidR="009123AC" w:rsidRPr="00F0379B" w:rsidRDefault="009123AC" w:rsidP="009123AC">
      <w:pPr>
        <w:numPr>
          <w:ilvl w:val="0"/>
          <w:numId w:val="1"/>
        </w:numPr>
        <w:autoSpaceDE w:val="0"/>
        <w:autoSpaceDN w:val="0"/>
        <w:adjustRightInd w:val="0"/>
        <w:spacing w:after="0" w:line="240" w:lineRule="auto"/>
        <w:jc w:val="both"/>
        <w:rPr>
          <w:rFonts w:ascii="Cambria" w:eastAsia="MS Gothic" w:hAnsi="Cambria" w:cs="Cambria"/>
          <w:color w:val="000000"/>
          <w:sz w:val="20"/>
          <w:szCs w:val="20"/>
          <w:lang w:eastAsia="fr-FR"/>
        </w:rPr>
      </w:pPr>
      <w:r w:rsidRPr="00F0379B">
        <w:rPr>
          <w:rFonts w:ascii="Cambria" w:eastAsia="MS Gothic" w:hAnsi="Cambria" w:cs="Cambria"/>
          <w:color w:val="000000"/>
          <w:sz w:val="20"/>
          <w:szCs w:val="20"/>
          <w:lang w:eastAsia="fr-FR"/>
        </w:rPr>
        <w:t>Se asegurarán de que cada operación de introducción en jaulas de atún rojo en la granja es grabada por el operador utilizando cámaras tanto estereoscópicas como convencionales.</w:t>
      </w:r>
    </w:p>
    <w:p w14:paraId="16E50898" w14:textId="77777777" w:rsidR="009123AC" w:rsidRPr="00F0379B" w:rsidRDefault="009123AC" w:rsidP="009123AC">
      <w:pPr>
        <w:numPr>
          <w:ilvl w:val="0"/>
          <w:numId w:val="1"/>
        </w:numPr>
        <w:autoSpaceDE w:val="0"/>
        <w:autoSpaceDN w:val="0"/>
        <w:adjustRightInd w:val="0"/>
        <w:spacing w:after="0" w:line="240" w:lineRule="auto"/>
        <w:jc w:val="both"/>
        <w:rPr>
          <w:rFonts w:ascii="Cambria" w:eastAsia="MS Gothic" w:hAnsi="Cambria" w:cs="Cambria"/>
          <w:color w:val="000000"/>
          <w:sz w:val="20"/>
          <w:szCs w:val="20"/>
          <w:lang w:eastAsia="fr-FR"/>
        </w:rPr>
      </w:pPr>
      <w:r w:rsidRPr="00F0379B">
        <w:rPr>
          <w:rFonts w:ascii="Cambria" w:eastAsia="MS Gothic" w:hAnsi="Cambria" w:cs="Cambria"/>
          <w:color w:val="000000"/>
          <w:sz w:val="20"/>
          <w:szCs w:val="20"/>
          <w:lang w:eastAsia="fr-FR"/>
        </w:rPr>
        <w:t>Se asegurarán de que el observador regional de ICCAT tiene acceso inmediato a todas las grabaciones de las cámaras estereoscópicas y convencionales.</w:t>
      </w:r>
    </w:p>
    <w:p w14:paraId="6B87646A" w14:textId="77777777" w:rsidR="009123AC" w:rsidRPr="00F0379B" w:rsidRDefault="009123AC" w:rsidP="009123AC">
      <w:pPr>
        <w:numPr>
          <w:ilvl w:val="0"/>
          <w:numId w:val="1"/>
        </w:numPr>
        <w:autoSpaceDE w:val="0"/>
        <w:autoSpaceDN w:val="0"/>
        <w:adjustRightInd w:val="0"/>
        <w:spacing w:after="0" w:line="240" w:lineRule="auto"/>
        <w:jc w:val="both"/>
        <w:rPr>
          <w:rFonts w:ascii="Cambria" w:eastAsia="MS Gothic" w:hAnsi="Cambria" w:cs="Cambria"/>
          <w:color w:val="000000"/>
          <w:sz w:val="20"/>
          <w:szCs w:val="20"/>
          <w:lang w:eastAsia="fr-FR"/>
        </w:rPr>
      </w:pPr>
      <w:r w:rsidRPr="00F0379B">
        <w:rPr>
          <w:rFonts w:ascii="Cambria" w:eastAsia="MS Gothic" w:hAnsi="Cambria" w:cs="Cambria"/>
          <w:color w:val="000000"/>
          <w:sz w:val="20"/>
          <w:szCs w:val="20"/>
          <w:lang w:eastAsia="fr-FR"/>
        </w:rPr>
        <w:t>Determinarán el número y peso del atún rojo que se está enjaulando, analizando las grabaciones de cada operación de introducción en jaula facilitadas por el operador de la granja, siguiendo los procedimientos establecidos en el punto 1 del Anexo 9.</w:t>
      </w:r>
    </w:p>
    <w:p w14:paraId="4424355D" w14:textId="77777777" w:rsidR="009123AC" w:rsidRPr="00F0379B" w:rsidRDefault="009123AC" w:rsidP="009123AC">
      <w:pPr>
        <w:numPr>
          <w:ilvl w:val="0"/>
          <w:numId w:val="1"/>
        </w:numPr>
        <w:autoSpaceDE w:val="0"/>
        <w:autoSpaceDN w:val="0"/>
        <w:adjustRightInd w:val="0"/>
        <w:spacing w:after="0" w:line="240" w:lineRule="auto"/>
        <w:jc w:val="both"/>
        <w:rPr>
          <w:rFonts w:ascii="Cambria" w:eastAsia="MS Gothic" w:hAnsi="Cambria" w:cs="Cambria"/>
          <w:color w:val="000000"/>
          <w:sz w:val="20"/>
          <w:szCs w:val="20"/>
          <w:lang w:eastAsia="fr-FR"/>
        </w:rPr>
      </w:pPr>
      <w:r w:rsidRPr="00F0379B">
        <w:rPr>
          <w:rFonts w:ascii="Cambria" w:eastAsia="MS Gothic" w:hAnsi="Cambria" w:cs="Cambria"/>
          <w:color w:val="000000"/>
          <w:sz w:val="20"/>
          <w:szCs w:val="20"/>
          <w:lang w:eastAsia="fr-FR"/>
        </w:rPr>
        <w:lastRenderedPageBreak/>
        <w:t>Enviarán al SCRS los procedimientos y resultados relacionados con el programa de cámaras estereoscópicas antes del 31 de octubre de cada año.</w:t>
      </w:r>
    </w:p>
    <w:p w14:paraId="3C1FF831" w14:textId="77777777" w:rsidR="009123AC" w:rsidRPr="00F0379B" w:rsidRDefault="009123AC" w:rsidP="009123AC">
      <w:pPr>
        <w:numPr>
          <w:ilvl w:val="0"/>
          <w:numId w:val="1"/>
        </w:numPr>
        <w:autoSpaceDE w:val="0"/>
        <w:autoSpaceDN w:val="0"/>
        <w:adjustRightInd w:val="0"/>
        <w:spacing w:after="0" w:line="240" w:lineRule="auto"/>
        <w:jc w:val="both"/>
        <w:rPr>
          <w:rFonts w:ascii="Cambria" w:eastAsia="MS Gothic" w:hAnsi="Cambria" w:cs="Cambria"/>
          <w:color w:val="000000"/>
          <w:sz w:val="20"/>
          <w:szCs w:val="20"/>
          <w:lang w:eastAsia="fr-FR"/>
        </w:rPr>
      </w:pPr>
      <w:r w:rsidRPr="00F0379B">
        <w:rPr>
          <w:rFonts w:ascii="Cambria" w:eastAsia="MS Gothic" w:hAnsi="Cambria" w:cs="Cambria"/>
          <w:color w:val="000000"/>
          <w:sz w:val="20"/>
          <w:szCs w:val="20"/>
          <w:lang w:eastAsia="fr-FR"/>
        </w:rPr>
        <w:t>Expedirán un informe de introducción en jaulas para cada operación de introducción en jaulas.</w:t>
      </w:r>
    </w:p>
    <w:p w14:paraId="31814D9D" w14:textId="77777777" w:rsidR="009123AC" w:rsidRPr="00F0379B" w:rsidRDefault="009123AC" w:rsidP="009123AC">
      <w:pPr>
        <w:numPr>
          <w:ilvl w:val="0"/>
          <w:numId w:val="1"/>
        </w:numPr>
        <w:autoSpaceDE w:val="0"/>
        <w:autoSpaceDN w:val="0"/>
        <w:adjustRightInd w:val="0"/>
        <w:spacing w:after="0" w:line="240" w:lineRule="auto"/>
        <w:jc w:val="both"/>
        <w:rPr>
          <w:rFonts w:ascii="Cambria" w:eastAsia="MS Gothic" w:hAnsi="Cambria" w:cs="Cambria"/>
          <w:color w:val="000000"/>
          <w:sz w:val="20"/>
          <w:szCs w:val="20"/>
          <w:lang w:eastAsia="fr-FR"/>
        </w:rPr>
      </w:pPr>
      <w:r w:rsidRPr="00F0379B">
        <w:rPr>
          <w:rFonts w:ascii="Cambria" w:eastAsia="MS Gothic" w:hAnsi="Cambria" w:cs="Cambria"/>
          <w:color w:val="000000"/>
          <w:sz w:val="20"/>
          <w:szCs w:val="20"/>
          <w:lang w:eastAsia="fr-FR"/>
        </w:rPr>
        <w:t>Expedirán una autorización para las operaciones de sacrificio.</w:t>
      </w:r>
    </w:p>
    <w:p w14:paraId="488B4365" w14:textId="77777777" w:rsidR="009123AC" w:rsidRPr="00F0379B" w:rsidRDefault="009123AC" w:rsidP="009123AC">
      <w:pPr>
        <w:numPr>
          <w:ilvl w:val="0"/>
          <w:numId w:val="1"/>
        </w:numPr>
        <w:autoSpaceDE w:val="0"/>
        <w:autoSpaceDN w:val="0"/>
        <w:adjustRightInd w:val="0"/>
        <w:spacing w:after="0" w:line="240" w:lineRule="auto"/>
        <w:jc w:val="both"/>
        <w:rPr>
          <w:rFonts w:ascii="Cambria" w:eastAsia="MS Gothic" w:hAnsi="Cambria" w:cs="Cambria"/>
          <w:color w:val="000000"/>
          <w:sz w:val="20"/>
          <w:szCs w:val="20"/>
          <w:lang w:eastAsia="fr-FR"/>
        </w:rPr>
      </w:pPr>
      <w:r w:rsidRPr="00F0379B">
        <w:rPr>
          <w:rFonts w:ascii="Cambria" w:eastAsia="MS Gothic" w:hAnsi="Cambria" w:cs="Cambria"/>
          <w:color w:val="000000"/>
          <w:sz w:val="20"/>
          <w:szCs w:val="20"/>
          <w:lang w:eastAsia="fr-FR"/>
        </w:rPr>
        <w:t xml:space="preserve">Inspeccionarán todas las operaciones de sacrificio del atún rojo destinado a los buques transformadores. </w:t>
      </w:r>
    </w:p>
    <w:p w14:paraId="21A55ED9"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6034668C"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El inspector pesquero realizará controles aleatorios usando las cámaras convencionales en la granja entre el fin de la introducción en jaulas y la primera introducción en jaulas del año siguiente. </w:t>
      </w:r>
    </w:p>
    <w:p w14:paraId="554F002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52C56BE0"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Considerando el tamaño de la granja y el número de jaulas, las autoridades competentes de la granja cubrirán el 100 % del número de jaulas en sus controles aleatorios.</w:t>
      </w:r>
    </w:p>
    <w:p w14:paraId="7AC84172"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6F83A0C8"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De conformidad con los párrafos 119-123 de la </w:t>
      </w:r>
      <w:hyperlink r:id="rId81" w:history="1">
        <w:r w:rsidRPr="00F0379B">
          <w:rPr>
            <w:rFonts w:ascii="Cambria" w:eastAsiaTheme="minorEastAsia" w:hAnsi="Cambria"/>
            <w:color w:val="0563C1" w:themeColor="hyperlink"/>
            <w:kern w:val="2"/>
            <w:sz w:val="20"/>
            <w:szCs w:val="20"/>
            <w:lang w:eastAsia="ja-JP"/>
            <w14:ligatures w14:val="standardContextual"/>
          </w:rPr>
          <w:t>Rec. 25-04</w:t>
        </w:r>
      </w:hyperlink>
      <w:r w:rsidRPr="00F0379B">
        <w:rPr>
          <w:rFonts w:ascii="Cambria" w:eastAsiaTheme="minorEastAsia" w:hAnsi="Cambria"/>
          <w:kern w:val="2"/>
          <w:sz w:val="20"/>
          <w:szCs w:val="20"/>
          <w:lang w:eastAsia="ja-JP"/>
          <w14:ligatures w14:val="standardContextual"/>
        </w:rPr>
        <w:t xml:space="preserve"> las transferencias desde las jaulas a la granja serán objeto de seguimiento mediante cámaras de vídeo y las grabaciones de cada transferencia se facilitarán a las autoridades competentes de Albania.</w:t>
      </w:r>
    </w:p>
    <w:p w14:paraId="27BC07ED"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7388DEE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Al cubrir el 100 % de las operaciones de introducción en jaula, se utilizarán cámaras estereoscópicas para estimar el número y peso de los atunes rojos que se van a enjaular. El operador de la granja comunicará los resultados de este programa a las autoridades competentes y al observador regional. </w:t>
      </w:r>
    </w:p>
    <w:p w14:paraId="64DBE230"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628133F6" w14:textId="77777777" w:rsidR="009123AC" w:rsidRPr="00F0379B" w:rsidRDefault="009123AC" w:rsidP="009123AC">
      <w:pPr>
        <w:tabs>
          <w:tab w:val="left" w:pos="426"/>
        </w:tabs>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5 b)</w:t>
      </w:r>
      <w:r w:rsidRPr="00F0379B">
        <w:rPr>
          <w:rFonts w:ascii="Cambria" w:eastAsiaTheme="minorEastAsia" w:hAnsi="Cambria"/>
          <w:b/>
          <w:i/>
          <w:iCs/>
          <w:kern w:val="2"/>
          <w:sz w:val="20"/>
          <w:szCs w:val="20"/>
          <w:lang w:eastAsia="ja-JP"/>
          <w14:ligatures w14:val="standardContextual"/>
        </w:rPr>
        <w:tab/>
        <w:t>Programa conjunto de Inspección internacional (párrs. 232-235)</w:t>
      </w:r>
    </w:p>
    <w:p w14:paraId="11B34D1F" w14:textId="77777777" w:rsidR="009123AC" w:rsidRPr="00F0379B" w:rsidRDefault="009123AC" w:rsidP="009123AC">
      <w:pPr>
        <w:spacing w:after="0" w:line="240" w:lineRule="auto"/>
        <w:jc w:val="both"/>
        <w:rPr>
          <w:rFonts w:ascii="Cambria" w:eastAsiaTheme="minorEastAsia" w:hAnsi="Cambria"/>
          <w:b/>
          <w:iCs/>
          <w:kern w:val="2"/>
          <w:sz w:val="20"/>
          <w:szCs w:val="20"/>
          <w:lang w:eastAsia="ja-JP"/>
          <w14:ligatures w14:val="standardContextual"/>
        </w:rPr>
      </w:pPr>
    </w:p>
    <w:p w14:paraId="26A24F31"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No aplicable</w:t>
      </w:r>
    </w:p>
    <w:p w14:paraId="3BC4D5BB" w14:textId="77777777" w:rsidR="009123AC" w:rsidRPr="00F0379B" w:rsidRDefault="009123AC" w:rsidP="009123AC">
      <w:pPr>
        <w:spacing w:after="0" w:line="240" w:lineRule="auto"/>
        <w:jc w:val="both"/>
        <w:rPr>
          <w:rFonts w:ascii="Cambria" w:eastAsiaTheme="minorEastAsia" w:hAnsi="Cambria"/>
          <w:i/>
          <w:kern w:val="2"/>
          <w:sz w:val="20"/>
          <w:szCs w:val="20"/>
          <w:lang w:eastAsia="ja-JP"/>
          <w14:ligatures w14:val="standardContextual"/>
        </w:rPr>
      </w:pPr>
    </w:p>
    <w:p w14:paraId="094832FD" w14:textId="77777777" w:rsidR="009123AC" w:rsidRPr="00F0379B" w:rsidRDefault="009123AC" w:rsidP="009123AC">
      <w:pPr>
        <w:spacing w:after="0" w:line="240" w:lineRule="auto"/>
        <w:jc w:val="both"/>
        <w:rPr>
          <w:rFonts w:ascii="Cambria" w:eastAsiaTheme="minorEastAsia" w:hAnsi="Cambria"/>
          <w:i/>
          <w:kern w:val="2"/>
          <w:sz w:val="20"/>
          <w:szCs w:val="20"/>
          <w:lang w:eastAsia="ja-JP"/>
          <w14:ligatures w14:val="standardContextual"/>
        </w:rPr>
      </w:pPr>
    </w:p>
    <w:p w14:paraId="31D8D566" w14:textId="77777777" w:rsidR="009123AC" w:rsidRPr="00F0379B" w:rsidRDefault="009123AC" w:rsidP="00CE0EC8">
      <w:pPr>
        <w:widowControl w:val="0"/>
        <w:numPr>
          <w:ilvl w:val="0"/>
          <w:numId w:val="33"/>
        </w:numPr>
        <w:spacing w:after="0" w:line="240" w:lineRule="auto"/>
        <w:ind w:left="426" w:hanging="426"/>
        <w:contextualSpacing/>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Otros</w:t>
      </w:r>
    </w:p>
    <w:p w14:paraId="667F7A73"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43898A29"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No aplicable</w:t>
      </w:r>
      <w:r w:rsidRPr="00F0379B">
        <w:rPr>
          <w:rFonts w:ascii="Cambria" w:eastAsiaTheme="minorEastAsia" w:hAnsi="Cambria"/>
          <w:iCs/>
          <w:kern w:val="2"/>
          <w:sz w:val="20"/>
          <w:szCs w:val="20"/>
          <w:lang w:eastAsia="ja-JP"/>
          <w14:ligatures w14:val="standardContextual"/>
        </w:rPr>
        <w:br w:type="page"/>
      </w:r>
    </w:p>
    <w:p w14:paraId="0E860E74"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sectPr w:rsidR="009123AC" w:rsidRPr="00F0379B" w:rsidSect="009123AC">
          <w:headerReference w:type="default" r:id="rId82"/>
          <w:footerReference w:type="default" r:id="rId83"/>
          <w:headerReference w:type="first" r:id="rId84"/>
          <w:footerReference w:type="first" r:id="rId85"/>
          <w:footnotePr>
            <w:numFmt w:val="chicago"/>
          </w:footnotePr>
          <w:type w:val="continuous"/>
          <w:pgSz w:w="11906" w:h="16838" w:code="9"/>
          <w:pgMar w:top="1418" w:right="1418" w:bottom="1418" w:left="1418" w:header="851" w:footer="1134" w:gutter="0"/>
          <w:cols w:space="425"/>
          <w:docGrid w:linePitch="360"/>
        </w:sectPr>
      </w:pPr>
    </w:p>
    <w:p w14:paraId="47E53D86" w14:textId="77777777" w:rsidR="009123AC" w:rsidRPr="00F0379B" w:rsidRDefault="009123AC" w:rsidP="009123AC">
      <w:pPr>
        <w:spacing w:after="0" w:line="240" w:lineRule="auto"/>
        <w:rPr>
          <w:rFonts w:ascii="Cambria" w:eastAsiaTheme="minorEastAsia" w:hAnsi="Cambria"/>
          <w:b/>
          <w:bCs/>
          <w:iCs/>
          <w:kern w:val="2"/>
          <w:sz w:val="20"/>
          <w:szCs w:val="20"/>
          <w:lang w:eastAsia="es-ES_tradnl"/>
          <w14:ligatures w14:val="standardContextual"/>
        </w:rPr>
      </w:pPr>
      <w:r w:rsidRPr="00F0379B">
        <w:rPr>
          <w:rFonts w:ascii="Cambria" w:eastAsia="Aptos" w:hAnsi="Cambria"/>
          <w:b/>
          <w:kern w:val="2"/>
          <w:sz w:val="20"/>
          <w:szCs w:val="20"/>
          <w:lang w:eastAsia="es-ES_tradnl"/>
          <w14:ligatures w14:val="standardContextual"/>
        </w:rPr>
        <w:lastRenderedPageBreak/>
        <w:t>Tabla de capacidad</w:t>
      </w:r>
    </w:p>
    <w:tbl>
      <w:tblPr>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9"/>
        <w:gridCol w:w="1841"/>
        <w:gridCol w:w="621"/>
        <w:gridCol w:w="468"/>
        <w:gridCol w:w="476"/>
        <w:gridCol w:w="462"/>
        <w:gridCol w:w="462"/>
        <w:gridCol w:w="462"/>
        <w:gridCol w:w="468"/>
        <w:gridCol w:w="261"/>
        <w:gridCol w:w="462"/>
        <w:gridCol w:w="462"/>
        <w:gridCol w:w="598"/>
        <w:gridCol w:w="811"/>
        <w:gridCol w:w="811"/>
        <w:gridCol w:w="811"/>
        <w:gridCol w:w="966"/>
      </w:tblGrid>
      <w:tr w:rsidR="009123AC" w:rsidRPr="00F0379B" w14:paraId="0CA10C7A" w14:textId="77777777" w:rsidTr="00CA749B">
        <w:trPr>
          <w:trHeight w:val="20"/>
        </w:trPr>
        <w:tc>
          <w:tcPr>
            <w:tcW w:w="1316" w:type="pct"/>
            <w:noWrap/>
            <w:vAlign w:val="center"/>
            <w:hideMark/>
          </w:tcPr>
          <w:p w14:paraId="40761F29" w14:textId="77777777" w:rsidR="009123AC" w:rsidRPr="00F0379B" w:rsidRDefault="009123AC" w:rsidP="009123AC">
            <w:pPr>
              <w:spacing w:after="0" w:line="240" w:lineRule="auto"/>
              <w:jc w:val="center"/>
              <w:rPr>
                <w:rFonts w:ascii="Cambria" w:eastAsiaTheme="minorEastAsia" w:hAnsi="Cambria"/>
                <w:i/>
                <w:kern w:val="2"/>
                <w:sz w:val="18"/>
                <w:szCs w:val="18"/>
                <w:lang w:eastAsia="es-ES_tradnl"/>
                <w14:ligatures w14:val="standardContextual"/>
              </w:rPr>
            </w:pPr>
            <w:r w:rsidRPr="00F0379B">
              <w:rPr>
                <w:rFonts w:ascii="Cambria" w:eastAsia="Aptos" w:hAnsi="Cambria"/>
                <w:i/>
                <w:kern w:val="2"/>
                <w:sz w:val="18"/>
                <w:szCs w:val="18"/>
                <w:lang w:eastAsia="es-ES_tradnl"/>
                <w14:ligatures w14:val="standardContextual"/>
              </w:rPr>
              <w:t>Tipo de buque atunero</w:t>
            </w:r>
          </w:p>
        </w:tc>
        <w:tc>
          <w:tcPr>
            <w:tcW w:w="650" w:type="pct"/>
            <w:noWrap/>
            <w:vAlign w:val="center"/>
            <w:hideMark/>
          </w:tcPr>
          <w:p w14:paraId="0E964DCD"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551" w:type="pct"/>
            <w:gridSpan w:val="3"/>
          </w:tcPr>
          <w:p w14:paraId="37336626" w14:textId="77777777" w:rsidR="009123AC" w:rsidRPr="00F0379B" w:rsidRDefault="009123AC" w:rsidP="009123AC">
            <w:pPr>
              <w:spacing w:after="0" w:line="240" w:lineRule="auto"/>
              <w:jc w:val="center"/>
              <w:rPr>
                <w:rFonts w:ascii="Cambria" w:eastAsiaTheme="minorEastAsia" w:hAnsi="Cambria"/>
                <w:i/>
                <w:kern w:val="2"/>
                <w:sz w:val="18"/>
                <w:szCs w:val="18"/>
                <w:lang w:eastAsia="es-ES_tradnl"/>
                <w14:ligatures w14:val="standardContextual"/>
              </w:rPr>
            </w:pPr>
            <w:r w:rsidRPr="00F0379B">
              <w:rPr>
                <w:rFonts w:ascii="Cambria" w:eastAsia="Aptos" w:hAnsi="Cambria"/>
                <w:i/>
                <w:kern w:val="2"/>
                <w:sz w:val="18"/>
                <w:szCs w:val="18"/>
                <w:lang w:eastAsia="es-ES_tradnl"/>
                <w14:ligatures w14:val="standardContextual"/>
              </w:rPr>
              <w:t>Años de referencia</w:t>
            </w:r>
          </w:p>
        </w:tc>
        <w:tc>
          <w:tcPr>
            <w:tcW w:w="654" w:type="pct"/>
            <w:gridSpan w:val="4"/>
            <w:vAlign w:val="center"/>
          </w:tcPr>
          <w:p w14:paraId="49E28DE1"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i/>
                <w:kern w:val="2"/>
                <w:sz w:val="18"/>
                <w:szCs w:val="18"/>
                <w:lang w:eastAsia="es-ES_tradnl"/>
                <w14:ligatures w14:val="standardContextual"/>
              </w:rPr>
              <w:t>N.º de buques</w:t>
            </w:r>
          </w:p>
        </w:tc>
        <w:tc>
          <w:tcPr>
            <w:tcW w:w="92" w:type="pct"/>
            <w:vAlign w:val="center"/>
            <w:hideMark/>
          </w:tcPr>
          <w:p w14:paraId="1369D4EC"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537" w:type="pct"/>
            <w:gridSpan w:val="3"/>
          </w:tcPr>
          <w:p w14:paraId="5E1A0F97" w14:textId="77777777" w:rsidR="009123AC" w:rsidRPr="00F0379B" w:rsidRDefault="009123AC" w:rsidP="009123AC">
            <w:pPr>
              <w:spacing w:after="0" w:line="240" w:lineRule="auto"/>
              <w:jc w:val="center"/>
              <w:rPr>
                <w:rFonts w:ascii="Cambria" w:eastAsiaTheme="minorEastAsia" w:hAnsi="Cambria"/>
                <w:i/>
                <w:kern w:val="2"/>
                <w:sz w:val="18"/>
                <w:szCs w:val="18"/>
                <w:lang w:eastAsia="es-ES_tradnl"/>
                <w14:ligatures w14:val="standardContextual"/>
              </w:rPr>
            </w:pPr>
            <w:r w:rsidRPr="00F0379B">
              <w:rPr>
                <w:rFonts w:ascii="Cambria" w:eastAsia="Aptos" w:hAnsi="Cambria"/>
                <w:i/>
                <w:kern w:val="2"/>
                <w:sz w:val="18"/>
                <w:szCs w:val="18"/>
                <w:lang w:eastAsia="es-ES_tradnl"/>
                <w14:ligatures w14:val="standardContextual"/>
              </w:rPr>
              <w:t>Años de referencia</w:t>
            </w:r>
          </w:p>
        </w:tc>
        <w:tc>
          <w:tcPr>
            <w:tcW w:w="1200" w:type="pct"/>
            <w:gridSpan w:val="4"/>
          </w:tcPr>
          <w:p w14:paraId="28D4F3FD" w14:textId="77777777" w:rsidR="009123AC" w:rsidRPr="00F0379B" w:rsidRDefault="009123AC" w:rsidP="009123AC">
            <w:pPr>
              <w:spacing w:after="0" w:line="240" w:lineRule="auto"/>
              <w:jc w:val="center"/>
              <w:rPr>
                <w:rFonts w:ascii="Cambria" w:eastAsiaTheme="minorEastAsia" w:hAnsi="Cambria"/>
                <w:i/>
                <w:kern w:val="2"/>
                <w:sz w:val="18"/>
                <w:szCs w:val="18"/>
                <w:lang w:eastAsia="es-ES_tradnl"/>
                <w14:ligatures w14:val="standardContextual"/>
              </w:rPr>
            </w:pPr>
            <w:r w:rsidRPr="00F0379B">
              <w:rPr>
                <w:rFonts w:ascii="Cambria" w:eastAsia="Aptos" w:hAnsi="Cambria"/>
                <w:i/>
                <w:kern w:val="2"/>
                <w:sz w:val="18"/>
                <w:szCs w:val="18"/>
                <w:lang w:eastAsia="es-ES_tradnl"/>
                <w14:ligatures w14:val="standardContextual"/>
              </w:rPr>
              <w:t>Capacidad de pesca</w:t>
            </w:r>
          </w:p>
        </w:tc>
      </w:tr>
      <w:tr w:rsidR="009123AC" w:rsidRPr="00F0379B" w14:paraId="706B2565" w14:textId="77777777" w:rsidTr="00CA749B">
        <w:trPr>
          <w:cantSplit/>
          <w:trHeight w:val="1134"/>
        </w:trPr>
        <w:tc>
          <w:tcPr>
            <w:tcW w:w="1316" w:type="pct"/>
            <w:noWrap/>
            <w:vAlign w:val="center"/>
            <w:hideMark/>
          </w:tcPr>
          <w:p w14:paraId="19685673"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Tipo</w:t>
            </w:r>
          </w:p>
        </w:tc>
        <w:tc>
          <w:tcPr>
            <w:tcW w:w="650" w:type="pct"/>
            <w:vAlign w:val="center"/>
            <w:hideMark/>
          </w:tcPr>
          <w:p w14:paraId="52C9411C" w14:textId="77777777" w:rsidR="009123AC" w:rsidRPr="00F0379B" w:rsidRDefault="009123AC" w:rsidP="009123AC">
            <w:pPr>
              <w:spacing w:after="0" w:line="240" w:lineRule="auto"/>
              <w:jc w:val="center"/>
              <w:rPr>
                <w:rFonts w:ascii="Cambria" w:eastAsia="Times New Roman" w:hAnsi="Cambria" w:cs="Calibri"/>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xml:space="preserve">Mejores tasas de captura definidas por el SCRS  </w:t>
            </w:r>
          </w:p>
          <w:p w14:paraId="0DD3A604"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en 2009 (t)</w:t>
            </w:r>
          </w:p>
        </w:tc>
        <w:tc>
          <w:tcPr>
            <w:tcW w:w="219" w:type="pct"/>
            <w:textDirection w:val="btLr"/>
            <w:vAlign w:val="center"/>
          </w:tcPr>
          <w:p w14:paraId="0B94AEF0" w14:textId="77777777" w:rsidR="009123AC" w:rsidRPr="00F0379B" w:rsidRDefault="009123AC" w:rsidP="009123AC">
            <w:pPr>
              <w:spacing w:after="0" w:line="240" w:lineRule="auto"/>
              <w:ind w:left="113" w:right="113"/>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2006</w:t>
            </w:r>
          </w:p>
        </w:tc>
        <w:tc>
          <w:tcPr>
            <w:tcW w:w="165" w:type="pct"/>
            <w:noWrap/>
            <w:textDirection w:val="btLr"/>
            <w:vAlign w:val="center"/>
            <w:hideMark/>
          </w:tcPr>
          <w:p w14:paraId="6207EB9A" w14:textId="77777777" w:rsidR="009123AC" w:rsidRPr="00F0379B" w:rsidRDefault="009123AC" w:rsidP="009123AC">
            <w:pPr>
              <w:spacing w:after="0" w:line="240" w:lineRule="auto"/>
              <w:ind w:left="113" w:right="113"/>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2008</w:t>
            </w:r>
          </w:p>
        </w:tc>
        <w:tc>
          <w:tcPr>
            <w:tcW w:w="168" w:type="pct"/>
            <w:textDirection w:val="btLr"/>
            <w:vAlign w:val="center"/>
            <w:hideMark/>
          </w:tcPr>
          <w:p w14:paraId="64E6588C" w14:textId="77777777" w:rsidR="009123AC" w:rsidRPr="00F0379B" w:rsidRDefault="009123AC" w:rsidP="009123AC">
            <w:pPr>
              <w:spacing w:after="0" w:line="240" w:lineRule="auto"/>
              <w:ind w:left="113" w:right="113"/>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2018</w:t>
            </w:r>
          </w:p>
        </w:tc>
        <w:tc>
          <w:tcPr>
            <w:tcW w:w="163" w:type="pct"/>
            <w:textDirection w:val="btLr"/>
            <w:vAlign w:val="center"/>
            <w:hideMark/>
          </w:tcPr>
          <w:p w14:paraId="73DFD862" w14:textId="77777777" w:rsidR="009123AC" w:rsidRPr="00F0379B" w:rsidRDefault="009123AC" w:rsidP="009123AC">
            <w:pPr>
              <w:spacing w:after="0" w:line="240" w:lineRule="auto"/>
              <w:ind w:left="113" w:right="113"/>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2023</w:t>
            </w:r>
          </w:p>
        </w:tc>
        <w:tc>
          <w:tcPr>
            <w:tcW w:w="163" w:type="pct"/>
            <w:textDirection w:val="btLr"/>
            <w:vAlign w:val="center"/>
            <w:hideMark/>
          </w:tcPr>
          <w:p w14:paraId="6D7D2C86" w14:textId="77777777" w:rsidR="009123AC" w:rsidRPr="00F0379B" w:rsidRDefault="009123AC" w:rsidP="009123AC">
            <w:pPr>
              <w:spacing w:after="0" w:line="240" w:lineRule="auto"/>
              <w:ind w:left="113" w:right="113"/>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2024</w:t>
            </w:r>
          </w:p>
        </w:tc>
        <w:tc>
          <w:tcPr>
            <w:tcW w:w="163" w:type="pct"/>
            <w:textDirection w:val="btLr"/>
            <w:vAlign w:val="center"/>
          </w:tcPr>
          <w:p w14:paraId="7621F382" w14:textId="77777777" w:rsidR="009123AC" w:rsidRPr="00F0379B" w:rsidRDefault="009123AC" w:rsidP="009123AC">
            <w:pPr>
              <w:spacing w:after="0" w:line="240" w:lineRule="auto"/>
              <w:ind w:left="113" w:right="113"/>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2025</w:t>
            </w:r>
          </w:p>
        </w:tc>
        <w:tc>
          <w:tcPr>
            <w:tcW w:w="164" w:type="pct"/>
            <w:textDirection w:val="btLr"/>
            <w:vAlign w:val="center"/>
          </w:tcPr>
          <w:p w14:paraId="0F87B28C" w14:textId="77777777" w:rsidR="009123AC" w:rsidRPr="00F0379B" w:rsidRDefault="009123AC" w:rsidP="009123AC">
            <w:pPr>
              <w:spacing w:after="0" w:line="240" w:lineRule="auto"/>
              <w:ind w:left="113" w:right="113"/>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2026</w:t>
            </w:r>
          </w:p>
        </w:tc>
        <w:tc>
          <w:tcPr>
            <w:tcW w:w="92" w:type="pct"/>
            <w:vAlign w:val="center"/>
            <w:hideMark/>
          </w:tcPr>
          <w:p w14:paraId="63D9631F"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163" w:type="pct"/>
            <w:textDirection w:val="btLr"/>
            <w:vAlign w:val="center"/>
          </w:tcPr>
          <w:p w14:paraId="25BC9A4B" w14:textId="77777777" w:rsidR="009123AC" w:rsidRPr="00F0379B" w:rsidRDefault="009123AC" w:rsidP="009123AC">
            <w:pPr>
              <w:spacing w:after="0" w:line="240" w:lineRule="auto"/>
              <w:ind w:left="113" w:right="113"/>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2006</w:t>
            </w:r>
          </w:p>
        </w:tc>
        <w:tc>
          <w:tcPr>
            <w:tcW w:w="163" w:type="pct"/>
            <w:textDirection w:val="btLr"/>
            <w:vAlign w:val="center"/>
            <w:hideMark/>
          </w:tcPr>
          <w:p w14:paraId="4F77F6A7" w14:textId="77777777" w:rsidR="009123AC" w:rsidRPr="00F0379B" w:rsidRDefault="009123AC" w:rsidP="009123AC">
            <w:pPr>
              <w:spacing w:after="0" w:line="240" w:lineRule="auto"/>
              <w:ind w:left="113" w:right="113"/>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2008</w:t>
            </w:r>
          </w:p>
        </w:tc>
        <w:tc>
          <w:tcPr>
            <w:tcW w:w="211" w:type="pct"/>
            <w:textDirection w:val="btLr"/>
            <w:vAlign w:val="center"/>
            <w:hideMark/>
          </w:tcPr>
          <w:p w14:paraId="483E427A" w14:textId="77777777" w:rsidR="009123AC" w:rsidRPr="00F0379B" w:rsidRDefault="009123AC" w:rsidP="009123AC">
            <w:pPr>
              <w:spacing w:after="0" w:line="240" w:lineRule="auto"/>
              <w:ind w:left="113" w:right="113"/>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2018</w:t>
            </w:r>
          </w:p>
        </w:tc>
        <w:tc>
          <w:tcPr>
            <w:tcW w:w="286" w:type="pct"/>
            <w:textDirection w:val="btLr"/>
            <w:vAlign w:val="center"/>
            <w:hideMark/>
          </w:tcPr>
          <w:p w14:paraId="17892C0C" w14:textId="77777777" w:rsidR="009123AC" w:rsidRPr="00F0379B" w:rsidRDefault="009123AC" w:rsidP="009123AC">
            <w:pPr>
              <w:spacing w:after="0" w:line="240" w:lineRule="auto"/>
              <w:ind w:left="113" w:right="113"/>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2023</w:t>
            </w:r>
          </w:p>
        </w:tc>
        <w:tc>
          <w:tcPr>
            <w:tcW w:w="286" w:type="pct"/>
            <w:textDirection w:val="btLr"/>
            <w:vAlign w:val="center"/>
            <w:hideMark/>
          </w:tcPr>
          <w:p w14:paraId="046B8727" w14:textId="77777777" w:rsidR="009123AC" w:rsidRPr="00F0379B" w:rsidRDefault="009123AC" w:rsidP="009123AC">
            <w:pPr>
              <w:spacing w:after="0" w:line="240" w:lineRule="auto"/>
              <w:ind w:left="113" w:right="113"/>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2024</w:t>
            </w:r>
          </w:p>
        </w:tc>
        <w:tc>
          <w:tcPr>
            <w:tcW w:w="286" w:type="pct"/>
            <w:textDirection w:val="btLr"/>
            <w:vAlign w:val="center"/>
            <w:hideMark/>
          </w:tcPr>
          <w:p w14:paraId="2C2C9EE3" w14:textId="77777777" w:rsidR="009123AC" w:rsidRPr="00F0379B" w:rsidRDefault="009123AC" w:rsidP="009123AC">
            <w:pPr>
              <w:spacing w:after="0" w:line="240" w:lineRule="auto"/>
              <w:ind w:left="113" w:right="113"/>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2025</w:t>
            </w:r>
          </w:p>
        </w:tc>
        <w:tc>
          <w:tcPr>
            <w:tcW w:w="342" w:type="pct"/>
            <w:textDirection w:val="btLr"/>
            <w:vAlign w:val="center"/>
          </w:tcPr>
          <w:p w14:paraId="46D83B63" w14:textId="77777777" w:rsidR="009123AC" w:rsidRPr="00F0379B" w:rsidRDefault="009123AC" w:rsidP="009123AC">
            <w:pPr>
              <w:spacing w:after="0" w:line="240" w:lineRule="auto"/>
              <w:ind w:left="113" w:right="113"/>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2026</w:t>
            </w:r>
          </w:p>
        </w:tc>
      </w:tr>
      <w:tr w:rsidR="009123AC" w:rsidRPr="00F0379B" w14:paraId="383C5690" w14:textId="77777777" w:rsidTr="00CA749B">
        <w:trPr>
          <w:trHeight w:val="20"/>
        </w:trPr>
        <w:tc>
          <w:tcPr>
            <w:tcW w:w="1316" w:type="pct"/>
            <w:noWrap/>
            <w:vAlign w:val="center"/>
            <w:hideMark/>
          </w:tcPr>
          <w:p w14:paraId="59868B20"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Cerqueros de más de 40 m</w:t>
            </w:r>
          </w:p>
        </w:tc>
        <w:tc>
          <w:tcPr>
            <w:tcW w:w="650" w:type="pct"/>
            <w:noWrap/>
            <w:vAlign w:val="center"/>
            <w:hideMark/>
          </w:tcPr>
          <w:p w14:paraId="19943926"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70,66</w:t>
            </w:r>
          </w:p>
        </w:tc>
        <w:tc>
          <w:tcPr>
            <w:tcW w:w="219" w:type="pct"/>
          </w:tcPr>
          <w:p w14:paraId="66611735"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5" w:type="pct"/>
            <w:noWrap/>
            <w:vAlign w:val="center"/>
            <w:hideMark/>
          </w:tcPr>
          <w:p w14:paraId="35C43322"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8" w:type="pct"/>
            <w:vAlign w:val="center"/>
            <w:hideMark/>
          </w:tcPr>
          <w:p w14:paraId="42EA61E3"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1</w:t>
            </w:r>
          </w:p>
        </w:tc>
        <w:tc>
          <w:tcPr>
            <w:tcW w:w="163" w:type="pct"/>
            <w:vAlign w:val="center"/>
            <w:hideMark/>
          </w:tcPr>
          <w:p w14:paraId="34BA26B2"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1 </w:t>
            </w:r>
          </w:p>
        </w:tc>
        <w:tc>
          <w:tcPr>
            <w:tcW w:w="163" w:type="pct"/>
            <w:vAlign w:val="center"/>
            <w:hideMark/>
          </w:tcPr>
          <w:p w14:paraId="646B3D59"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1 </w:t>
            </w:r>
          </w:p>
        </w:tc>
        <w:tc>
          <w:tcPr>
            <w:tcW w:w="163" w:type="pct"/>
          </w:tcPr>
          <w:p w14:paraId="011D7280"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w:t>
            </w:r>
          </w:p>
        </w:tc>
        <w:tc>
          <w:tcPr>
            <w:tcW w:w="164" w:type="pct"/>
          </w:tcPr>
          <w:p w14:paraId="61BE52F1"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w:t>
            </w:r>
          </w:p>
        </w:tc>
        <w:tc>
          <w:tcPr>
            <w:tcW w:w="92" w:type="pct"/>
            <w:vAlign w:val="center"/>
            <w:hideMark/>
          </w:tcPr>
          <w:p w14:paraId="5D80DB77"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33704976"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3" w:type="pct"/>
            <w:vAlign w:val="center"/>
            <w:hideMark/>
          </w:tcPr>
          <w:p w14:paraId="75BEF68D"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1" w:type="pct"/>
            <w:hideMark/>
          </w:tcPr>
          <w:p w14:paraId="3A057263"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70,7</w:t>
            </w:r>
          </w:p>
        </w:tc>
        <w:tc>
          <w:tcPr>
            <w:tcW w:w="286" w:type="pct"/>
            <w:hideMark/>
          </w:tcPr>
          <w:p w14:paraId="7E0220D8"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70,7</w:t>
            </w:r>
          </w:p>
        </w:tc>
        <w:tc>
          <w:tcPr>
            <w:tcW w:w="286" w:type="pct"/>
            <w:hideMark/>
          </w:tcPr>
          <w:p w14:paraId="32B2F95A"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70,7</w:t>
            </w:r>
          </w:p>
        </w:tc>
        <w:tc>
          <w:tcPr>
            <w:tcW w:w="286" w:type="pct"/>
            <w:hideMark/>
          </w:tcPr>
          <w:p w14:paraId="1714C757"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70,7</w:t>
            </w:r>
          </w:p>
        </w:tc>
        <w:tc>
          <w:tcPr>
            <w:tcW w:w="342" w:type="pct"/>
          </w:tcPr>
          <w:p w14:paraId="13301FB0"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70,7</w:t>
            </w:r>
          </w:p>
        </w:tc>
      </w:tr>
      <w:tr w:rsidR="009123AC" w:rsidRPr="00F0379B" w14:paraId="575CA9E6" w14:textId="77777777" w:rsidTr="00CA749B">
        <w:trPr>
          <w:trHeight w:val="20"/>
        </w:trPr>
        <w:tc>
          <w:tcPr>
            <w:tcW w:w="1316" w:type="pct"/>
            <w:noWrap/>
            <w:vAlign w:val="center"/>
            <w:hideMark/>
          </w:tcPr>
          <w:p w14:paraId="7DD1B1EB"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Cerqueros entre 24 y 40 m</w:t>
            </w:r>
          </w:p>
        </w:tc>
        <w:tc>
          <w:tcPr>
            <w:tcW w:w="650" w:type="pct"/>
            <w:noWrap/>
            <w:vAlign w:val="center"/>
            <w:hideMark/>
          </w:tcPr>
          <w:p w14:paraId="70A37BE1"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49,78</w:t>
            </w:r>
          </w:p>
        </w:tc>
        <w:tc>
          <w:tcPr>
            <w:tcW w:w="219" w:type="pct"/>
          </w:tcPr>
          <w:p w14:paraId="4AD45C27"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5" w:type="pct"/>
            <w:noWrap/>
            <w:vAlign w:val="center"/>
            <w:hideMark/>
          </w:tcPr>
          <w:p w14:paraId="4FE00FEB"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8" w:type="pct"/>
            <w:vAlign w:val="center"/>
            <w:hideMark/>
          </w:tcPr>
          <w:p w14:paraId="61CF9CB6"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74BBD2FF"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1</w:t>
            </w:r>
          </w:p>
        </w:tc>
        <w:tc>
          <w:tcPr>
            <w:tcW w:w="163" w:type="pct"/>
            <w:vAlign w:val="center"/>
            <w:hideMark/>
          </w:tcPr>
          <w:p w14:paraId="649A7B84"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1 </w:t>
            </w:r>
          </w:p>
        </w:tc>
        <w:tc>
          <w:tcPr>
            <w:tcW w:w="163" w:type="pct"/>
          </w:tcPr>
          <w:p w14:paraId="158172F6"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w:t>
            </w:r>
          </w:p>
        </w:tc>
        <w:tc>
          <w:tcPr>
            <w:tcW w:w="164" w:type="pct"/>
          </w:tcPr>
          <w:p w14:paraId="22241273"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w:t>
            </w:r>
          </w:p>
        </w:tc>
        <w:tc>
          <w:tcPr>
            <w:tcW w:w="92" w:type="pct"/>
            <w:vAlign w:val="center"/>
            <w:hideMark/>
          </w:tcPr>
          <w:p w14:paraId="5CE47967"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44124407"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3" w:type="pct"/>
            <w:vAlign w:val="center"/>
            <w:hideMark/>
          </w:tcPr>
          <w:p w14:paraId="0BC891B2"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1" w:type="pct"/>
            <w:vAlign w:val="center"/>
            <w:hideMark/>
          </w:tcPr>
          <w:p w14:paraId="288A0247"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286" w:type="pct"/>
            <w:hideMark/>
          </w:tcPr>
          <w:p w14:paraId="51862280"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49,78</w:t>
            </w:r>
          </w:p>
        </w:tc>
        <w:tc>
          <w:tcPr>
            <w:tcW w:w="286" w:type="pct"/>
            <w:hideMark/>
          </w:tcPr>
          <w:p w14:paraId="21E677FF"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49,78</w:t>
            </w:r>
          </w:p>
        </w:tc>
        <w:tc>
          <w:tcPr>
            <w:tcW w:w="286" w:type="pct"/>
            <w:hideMark/>
          </w:tcPr>
          <w:p w14:paraId="21962FE8"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49,78</w:t>
            </w:r>
          </w:p>
        </w:tc>
        <w:tc>
          <w:tcPr>
            <w:tcW w:w="342" w:type="pct"/>
          </w:tcPr>
          <w:p w14:paraId="19B88896"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49,78</w:t>
            </w:r>
          </w:p>
        </w:tc>
      </w:tr>
      <w:tr w:rsidR="009123AC" w:rsidRPr="00F0379B" w14:paraId="793A588A" w14:textId="77777777" w:rsidTr="00CA749B">
        <w:trPr>
          <w:trHeight w:val="20"/>
        </w:trPr>
        <w:tc>
          <w:tcPr>
            <w:tcW w:w="1316" w:type="pct"/>
            <w:noWrap/>
            <w:vAlign w:val="center"/>
            <w:hideMark/>
          </w:tcPr>
          <w:p w14:paraId="18EEBA5E"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Cerqueros de menos de 24 m</w:t>
            </w:r>
          </w:p>
        </w:tc>
        <w:tc>
          <w:tcPr>
            <w:tcW w:w="650" w:type="pct"/>
            <w:noWrap/>
            <w:vAlign w:val="center"/>
            <w:hideMark/>
          </w:tcPr>
          <w:p w14:paraId="19706B83"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33,68</w:t>
            </w:r>
          </w:p>
        </w:tc>
        <w:tc>
          <w:tcPr>
            <w:tcW w:w="219" w:type="pct"/>
          </w:tcPr>
          <w:p w14:paraId="08D93F62"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5" w:type="pct"/>
            <w:noWrap/>
            <w:vAlign w:val="center"/>
            <w:hideMark/>
          </w:tcPr>
          <w:p w14:paraId="11614E53"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8" w:type="pct"/>
            <w:vAlign w:val="center"/>
            <w:hideMark/>
          </w:tcPr>
          <w:p w14:paraId="5D0670B6"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5B1ED68C"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4919B04B"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798D1B9D"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4" w:type="pct"/>
          </w:tcPr>
          <w:p w14:paraId="3569453B"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92" w:type="pct"/>
            <w:vAlign w:val="center"/>
            <w:hideMark/>
          </w:tcPr>
          <w:p w14:paraId="2291B131"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4A476696"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3" w:type="pct"/>
            <w:vAlign w:val="center"/>
            <w:hideMark/>
          </w:tcPr>
          <w:p w14:paraId="303774C4"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1" w:type="pct"/>
            <w:vAlign w:val="center"/>
            <w:hideMark/>
          </w:tcPr>
          <w:p w14:paraId="5A8748BC"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286" w:type="pct"/>
            <w:vAlign w:val="center"/>
            <w:hideMark/>
          </w:tcPr>
          <w:p w14:paraId="12FE43B8"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286" w:type="pct"/>
            <w:vAlign w:val="center"/>
            <w:hideMark/>
          </w:tcPr>
          <w:p w14:paraId="3F78A124"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286" w:type="pct"/>
            <w:vAlign w:val="center"/>
            <w:hideMark/>
          </w:tcPr>
          <w:p w14:paraId="11CABDDE"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342" w:type="pct"/>
          </w:tcPr>
          <w:p w14:paraId="29E2B4AF"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r>
      <w:tr w:rsidR="009123AC" w:rsidRPr="00F0379B" w14:paraId="37760D15" w14:textId="77777777" w:rsidTr="00CA749B">
        <w:trPr>
          <w:trHeight w:val="20"/>
        </w:trPr>
        <w:tc>
          <w:tcPr>
            <w:tcW w:w="1316" w:type="pct"/>
            <w:noWrap/>
            <w:vAlign w:val="center"/>
            <w:hideMark/>
          </w:tcPr>
          <w:p w14:paraId="4E63A476"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xml:space="preserve">Total flota de cerco </w:t>
            </w:r>
          </w:p>
        </w:tc>
        <w:tc>
          <w:tcPr>
            <w:tcW w:w="650" w:type="pct"/>
            <w:noWrap/>
            <w:vAlign w:val="center"/>
            <w:hideMark/>
          </w:tcPr>
          <w:p w14:paraId="5FA9264C"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9" w:type="pct"/>
          </w:tcPr>
          <w:p w14:paraId="772F0CDE"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5" w:type="pct"/>
            <w:noWrap/>
            <w:vAlign w:val="center"/>
            <w:hideMark/>
          </w:tcPr>
          <w:p w14:paraId="630DA9FD"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8" w:type="pct"/>
            <w:vAlign w:val="center"/>
            <w:hideMark/>
          </w:tcPr>
          <w:p w14:paraId="1E3F4D2B"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vAlign w:val="center"/>
            <w:hideMark/>
          </w:tcPr>
          <w:p w14:paraId="7D802091"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vAlign w:val="center"/>
            <w:hideMark/>
          </w:tcPr>
          <w:p w14:paraId="376E527D"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tcPr>
          <w:p w14:paraId="1E5F49F9"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4" w:type="pct"/>
          </w:tcPr>
          <w:p w14:paraId="48A590A6"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92" w:type="pct"/>
            <w:vAlign w:val="center"/>
            <w:hideMark/>
          </w:tcPr>
          <w:p w14:paraId="12AB1D2E"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tcPr>
          <w:p w14:paraId="498B1E44"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3" w:type="pct"/>
            <w:vAlign w:val="center"/>
            <w:hideMark/>
          </w:tcPr>
          <w:p w14:paraId="7914E526"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11" w:type="pct"/>
            <w:vAlign w:val="center"/>
            <w:hideMark/>
          </w:tcPr>
          <w:p w14:paraId="31A7E9D4" w14:textId="77777777" w:rsidR="009123AC" w:rsidRPr="00F0379B" w:rsidRDefault="009123AC" w:rsidP="009123AC">
            <w:pPr>
              <w:spacing w:after="0" w:line="240" w:lineRule="auto"/>
              <w:jc w:val="center"/>
              <w:rPr>
                <w:rFonts w:ascii="Cambria" w:eastAsiaTheme="minorEastAsia" w:hAnsi="Cambria"/>
                <w:b/>
                <w:kern w:val="2"/>
                <w:sz w:val="18"/>
                <w:szCs w:val="18"/>
                <w:lang w:val="en-GB" w:eastAsia="ja-JP"/>
                <w14:ligatures w14:val="standardContextual"/>
              </w:rPr>
            </w:pPr>
          </w:p>
        </w:tc>
        <w:tc>
          <w:tcPr>
            <w:tcW w:w="286" w:type="pct"/>
            <w:vAlign w:val="center"/>
            <w:hideMark/>
          </w:tcPr>
          <w:p w14:paraId="11C229C8" w14:textId="77777777" w:rsidR="009123AC" w:rsidRPr="00F0379B" w:rsidRDefault="009123AC" w:rsidP="009123AC">
            <w:pPr>
              <w:spacing w:after="0" w:line="240" w:lineRule="auto"/>
              <w:jc w:val="center"/>
              <w:rPr>
                <w:rFonts w:ascii="Cambria" w:eastAsiaTheme="minorEastAsia" w:hAnsi="Cambria"/>
                <w:b/>
                <w:kern w:val="2"/>
                <w:sz w:val="18"/>
                <w:szCs w:val="18"/>
                <w:lang w:val="en-GB" w:eastAsia="ja-JP"/>
                <w14:ligatures w14:val="standardContextual"/>
              </w:rPr>
            </w:pPr>
          </w:p>
        </w:tc>
        <w:tc>
          <w:tcPr>
            <w:tcW w:w="286" w:type="pct"/>
            <w:vAlign w:val="center"/>
            <w:hideMark/>
          </w:tcPr>
          <w:p w14:paraId="60C9A73C" w14:textId="77777777" w:rsidR="009123AC" w:rsidRPr="00F0379B" w:rsidRDefault="009123AC" w:rsidP="009123AC">
            <w:pPr>
              <w:spacing w:after="0" w:line="240" w:lineRule="auto"/>
              <w:jc w:val="center"/>
              <w:rPr>
                <w:rFonts w:ascii="Cambria" w:eastAsiaTheme="minorEastAsia" w:hAnsi="Cambria"/>
                <w:b/>
                <w:kern w:val="2"/>
                <w:sz w:val="18"/>
                <w:szCs w:val="18"/>
                <w:lang w:val="en-GB" w:eastAsia="ja-JP"/>
                <w14:ligatures w14:val="standardContextual"/>
              </w:rPr>
            </w:pPr>
          </w:p>
        </w:tc>
        <w:tc>
          <w:tcPr>
            <w:tcW w:w="286" w:type="pct"/>
            <w:vAlign w:val="center"/>
            <w:hideMark/>
          </w:tcPr>
          <w:p w14:paraId="332190E0" w14:textId="77777777" w:rsidR="009123AC" w:rsidRPr="00F0379B" w:rsidRDefault="009123AC" w:rsidP="009123AC">
            <w:pPr>
              <w:spacing w:after="0" w:line="240" w:lineRule="auto"/>
              <w:jc w:val="center"/>
              <w:rPr>
                <w:rFonts w:ascii="Cambria" w:eastAsiaTheme="minorEastAsia" w:hAnsi="Cambria"/>
                <w:b/>
                <w:kern w:val="2"/>
                <w:sz w:val="18"/>
                <w:szCs w:val="18"/>
                <w:lang w:val="en-GB" w:eastAsia="ja-JP"/>
                <w14:ligatures w14:val="standardContextual"/>
              </w:rPr>
            </w:pPr>
          </w:p>
        </w:tc>
        <w:tc>
          <w:tcPr>
            <w:tcW w:w="342" w:type="pct"/>
          </w:tcPr>
          <w:p w14:paraId="29BFA051" w14:textId="77777777" w:rsidR="009123AC" w:rsidRPr="00F0379B" w:rsidRDefault="009123AC" w:rsidP="009123AC">
            <w:pPr>
              <w:spacing w:after="0" w:line="240" w:lineRule="auto"/>
              <w:jc w:val="center"/>
              <w:rPr>
                <w:rFonts w:ascii="Cambria" w:eastAsiaTheme="minorEastAsia" w:hAnsi="Cambria"/>
                <w:b/>
                <w:kern w:val="2"/>
                <w:sz w:val="18"/>
                <w:szCs w:val="18"/>
                <w:lang w:val="en-GB" w:eastAsia="ja-JP"/>
                <w14:ligatures w14:val="standardContextual"/>
              </w:rPr>
            </w:pPr>
          </w:p>
        </w:tc>
      </w:tr>
      <w:tr w:rsidR="009123AC" w:rsidRPr="00F0379B" w14:paraId="1C1583B6" w14:textId="77777777" w:rsidTr="00CA749B">
        <w:trPr>
          <w:trHeight w:val="20"/>
        </w:trPr>
        <w:tc>
          <w:tcPr>
            <w:tcW w:w="1316" w:type="pct"/>
            <w:noWrap/>
            <w:vAlign w:val="center"/>
            <w:hideMark/>
          </w:tcPr>
          <w:p w14:paraId="46E0A74F"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Palangreros de más de 40 m</w:t>
            </w:r>
          </w:p>
        </w:tc>
        <w:tc>
          <w:tcPr>
            <w:tcW w:w="650" w:type="pct"/>
            <w:noWrap/>
            <w:vAlign w:val="center"/>
            <w:hideMark/>
          </w:tcPr>
          <w:p w14:paraId="337F62E2"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25</w:t>
            </w:r>
          </w:p>
        </w:tc>
        <w:tc>
          <w:tcPr>
            <w:tcW w:w="219" w:type="pct"/>
          </w:tcPr>
          <w:p w14:paraId="39014222"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5" w:type="pct"/>
            <w:noWrap/>
            <w:vAlign w:val="center"/>
            <w:hideMark/>
          </w:tcPr>
          <w:p w14:paraId="0052D784"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8" w:type="pct"/>
            <w:vAlign w:val="center"/>
            <w:hideMark/>
          </w:tcPr>
          <w:p w14:paraId="0522892C"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18F50287"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0A6EB6F8"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546E050C"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4" w:type="pct"/>
          </w:tcPr>
          <w:p w14:paraId="1BC4815B"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92" w:type="pct"/>
            <w:vAlign w:val="center"/>
            <w:hideMark/>
          </w:tcPr>
          <w:p w14:paraId="5CA32FB6"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7B6A4709"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3" w:type="pct"/>
            <w:vAlign w:val="center"/>
            <w:hideMark/>
          </w:tcPr>
          <w:p w14:paraId="37341004"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1" w:type="pct"/>
            <w:vAlign w:val="center"/>
            <w:hideMark/>
          </w:tcPr>
          <w:p w14:paraId="63574B15"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286" w:type="pct"/>
            <w:vAlign w:val="center"/>
            <w:hideMark/>
          </w:tcPr>
          <w:p w14:paraId="26E85878"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286" w:type="pct"/>
            <w:vAlign w:val="center"/>
            <w:hideMark/>
          </w:tcPr>
          <w:p w14:paraId="3A96C664"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286" w:type="pct"/>
            <w:vAlign w:val="center"/>
            <w:hideMark/>
          </w:tcPr>
          <w:p w14:paraId="4545B927"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342" w:type="pct"/>
          </w:tcPr>
          <w:p w14:paraId="1EDCEA4E"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r>
      <w:tr w:rsidR="009123AC" w:rsidRPr="00F0379B" w14:paraId="6AD8999B" w14:textId="77777777" w:rsidTr="00CA749B">
        <w:trPr>
          <w:trHeight w:val="20"/>
        </w:trPr>
        <w:tc>
          <w:tcPr>
            <w:tcW w:w="1316" w:type="pct"/>
            <w:noWrap/>
            <w:vAlign w:val="center"/>
            <w:hideMark/>
          </w:tcPr>
          <w:p w14:paraId="006A9AA3"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Palangreros entre 24 y 40 m</w:t>
            </w:r>
          </w:p>
        </w:tc>
        <w:tc>
          <w:tcPr>
            <w:tcW w:w="650" w:type="pct"/>
            <w:noWrap/>
            <w:vAlign w:val="center"/>
            <w:hideMark/>
          </w:tcPr>
          <w:p w14:paraId="14BB1790"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5,68</w:t>
            </w:r>
          </w:p>
        </w:tc>
        <w:tc>
          <w:tcPr>
            <w:tcW w:w="219" w:type="pct"/>
          </w:tcPr>
          <w:p w14:paraId="6883B991"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5" w:type="pct"/>
            <w:noWrap/>
            <w:vAlign w:val="center"/>
            <w:hideMark/>
          </w:tcPr>
          <w:p w14:paraId="2072D53E"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8" w:type="pct"/>
            <w:vAlign w:val="center"/>
            <w:hideMark/>
          </w:tcPr>
          <w:p w14:paraId="706B7A58"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66418577"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7AAA1E0A"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6B4F507A"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4" w:type="pct"/>
          </w:tcPr>
          <w:p w14:paraId="5CCF596C"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92" w:type="pct"/>
            <w:vAlign w:val="center"/>
            <w:hideMark/>
          </w:tcPr>
          <w:p w14:paraId="19A65CE1"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1E45D2A5"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3" w:type="pct"/>
            <w:vAlign w:val="center"/>
            <w:hideMark/>
          </w:tcPr>
          <w:p w14:paraId="77AED28A"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1" w:type="pct"/>
            <w:vAlign w:val="center"/>
            <w:hideMark/>
          </w:tcPr>
          <w:p w14:paraId="08CFE6BB"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86" w:type="pct"/>
            <w:vAlign w:val="center"/>
            <w:hideMark/>
          </w:tcPr>
          <w:p w14:paraId="2AD34B4F"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86" w:type="pct"/>
            <w:vAlign w:val="center"/>
            <w:hideMark/>
          </w:tcPr>
          <w:p w14:paraId="06FCD218"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86" w:type="pct"/>
            <w:vAlign w:val="center"/>
            <w:hideMark/>
          </w:tcPr>
          <w:p w14:paraId="2C14A5A2"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342" w:type="pct"/>
          </w:tcPr>
          <w:p w14:paraId="2F22F332"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r>
      <w:tr w:rsidR="009123AC" w:rsidRPr="00F0379B" w14:paraId="4C6CA843" w14:textId="77777777" w:rsidTr="00CA749B">
        <w:trPr>
          <w:trHeight w:val="20"/>
        </w:trPr>
        <w:tc>
          <w:tcPr>
            <w:tcW w:w="1316" w:type="pct"/>
            <w:noWrap/>
            <w:vAlign w:val="center"/>
            <w:hideMark/>
          </w:tcPr>
          <w:p w14:paraId="1289C45A"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Palangreros de menos de 24 m</w:t>
            </w:r>
          </w:p>
        </w:tc>
        <w:tc>
          <w:tcPr>
            <w:tcW w:w="650" w:type="pct"/>
            <w:noWrap/>
            <w:vAlign w:val="center"/>
            <w:hideMark/>
          </w:tcPr>
          <w:p w14:paraId="4A3E59AE"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5</w:t>
            </w:r>
          </w:p>
        </w:tc>
        <w:tc>
          <w:tcPr>
            <w:tcW w:w="219" w:type="pct"/>
          </w:tcPr>
          <w:p w14:paraId="55034FC3"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5" w:type="pct"/>
            <w:noWrap/>
            <w:vAlign w:val="center"/>
            <w:hideMark/>
          </w:tcPr>
          <w:p w14:paraId="7B17C6B9"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8" w:type="pct"/>
            <w:vAlign w:val="center"/>
            <w:hideMark/>
          </w:tcPr>
          <w:p w14:paraId="5A2FB412"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731C02F5"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14AA6AD7"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68D17B11"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4" w:type="pct"/>
          </w:tcPr>
          <w:p w14:paraId="476B2786"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92" w:type="pct"/>
            <w:vAlign w:val="center"/>
            <w:hideMark/>
          </w:tcPr>
          <w:p w14:paraId="74D80C2E"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1F582C03"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3" w:type="pct"/>
            <w:vAlign w:val="center"/>
            <w:hideMark/>
          </w:tcPr>
          <w:p w14:paraId="149D26C4"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1" w:type="pct"/>
            <w:vAlign w:val="center"/>
            <w:hideMark/>
          </w:tcPr>
          <w:p w14:paraId="6BE4DF1A"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86" w:type="pct"/>
            <w:vAlign w:val="center"/>
            <w:hideMark/>
          </w:tcPr>
          <w:p w14:paraId="464FE799"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86" w:type="pct"/>
            <w:vAlign w:val="center"/>
            <w:hideMark/>
          </w:tcPr>
          <w:p w14:paraId="0274BBDE"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86" w:type="pct"/>
            <w:vAlign w:val="center"/>
            <w:hideMark/>
          </w:tcPr>
          <w:p w14:paraId="5357DA9C"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342" w:type="pct"/>
          </w:tcPr>
          <w:p w14:paraId="6C6A7DE5"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r>
      <w:tr w:rsidR="009123AC" w:rsidRPr="00F0379B" w14:paraId="356F89F8" w14:textId="77777777" w:rsidTr="00CA749B">
        <w:trPr>
          <w:trHeight w:val="20"/>
        </w:trPr>
        <w:tc>
          <w:tcPr>
            <w:tcW w:w="1316" w:type="pct"/>
            <w:noWrap/>
            <w:vAlign w:val="center"/>
            <w:hideMark/>
          </w:tcPr>
          <w:p w14:paraId="7F7FE5BB"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Total flota de palangre</w:t>
            </w:r>
          </w:p>
        </w:tc>
        <w:tc>
          <w:tcPr>
            <w:tcW w:w="650" w:type="pct"/>
            <w:noWrap/>
            <w:vAlign w:val="center"/>
            <w:hideMark/>
          </w:tcPr>
          <w:p w14:paraId="689D3D81"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9" w:type="pct"/>
          </w:tcPr>
          <w:p w14:paraId="734D6064"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5" w:type="pct"/>
            <w:noWrap/>
            <w:vAlign w:val="center"/>
            <w:hideMark/>
          </w:tcPr>
          <w:p w14:paraId="7A77D70F"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8" w:type="pct"/>
            <w:vAlign w:val="center"/>
            <w:hideMark/>
          </w:tcPr>
          <w:p w14:paraId="628248AB"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vAlign w:val="center"/>
            <w:hideMark/>
          </w:tcPr>
          <w:p w14:paraId="3B2AA974"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vAlign w:val="center"/>
            <w:hideMark/>
          </w:tcPr>
          <w:p w14:paraId="6EB39F1B"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tcPr>
          <w:p w14:paraId="7BEBB216"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4" w:type="pct"/>
          </w:tcPr>
          <w:p w14:paraId="1C1BE9C2"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92" w:type="pct"/>
            <w:vAlign w:val="center"/>
            <w:hideMark/>
          </w:tcPr>
          <w:p w14:paraId="75E38360"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tcPr>
          <w:p w14:paraId="3433FA27"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3" w:type="pct"/>
            <w:vAlign w:val="center"/>
            <w:hideMark/>
          </w:tcPr>
          <w:p w14:paraId="491082CF"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11" w:type="pct"/>
            <w:vAlign w:val="center"/>
            <w:hideMark/>
          </w:tcPr>
          <w:p w14:paraId="19771478"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86" w:type="pct"/>
            <w:vAlign w:val="center"/>
            <w:hideMark/>
          </w:tcPr>
          <w:p w14:paraId="08590E32"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86" w:type="pct"/>
            <w:vAlign w:val="center"/>
            <w:hideMark/>
          </w:tcPr>
          <w:p w14:paraId="5B825C65"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86" w:type="pct"/>
            <w:vAlign w:val="center"/>
            <w:hideMark/>
          </w:tcPr>
          <w:p w14:paraId="331F6C6E"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342" w:type="pct"/>
          </w:tcPr>
          <w:p w14:paraId="578F745A"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r>
      <w:tr w:rsidR="009123AC" w:rsidRPr="00F0379B" w14:paraId="0EF6ACAC" w14:textId="77777777" w:rsidTr="00CA749B">
        <w:trPr>
          <w:trHeight w:val="20"/>
        </w:trPr>
        <w:tc>
          <w:tcPr>
            <w:tcW w:w="1316" w:type="pct"/>
            <w:noWrap/>
            <w:vAlign w:val="center"/>
            <w:hideMark/>
          </w:tcPr>
          <w:p w14:paraId="130CD0CE"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Cebo vivo</w:t>
            </w:r>
          </w:p>
        </w:tc>
        <w:tc>
          <w:tcPr>
            <w:tcW w:w="650" w:type="pct"/>
            <w:noWrap/>
            <w:vAlign w:val="center"/>
            <w:hideMark/>
          </w:tcPr>
          <w:p w14:paraId="6DB31CEA"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19,75</w:t>
            </w:r>
          </w:p>
        </w:tc>
        <w:tc>
          <w:tcPr>
            <w:tcW w:w="219" w:type="pct"/>
          </w:tcPr>
          <w:p w14:paraId="0B69320D"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5" w:type="pct"/>
            <w:noWrap/>
            <w:vAlign w:val="center"/>
            <w:hideMark/>
          </w:tcPr>
          <w:p w14:paraId="5DB1C5B5"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8" w:type="pct"/>
            <w:vAlign w:val="center"/>
            <w:hideMark/>
          </w:tcPr>
          <w:p w14:paraId="07FA984F"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vAlign w:val="center"/>
            <w:hideMark/>
          </w:tcPr>
          <w:p w14:paraId="33B1C33A"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vAlign w:val="center"/>
            <w:hideMark/>
          </w:tcPr>
          <w:p w14:paraId="459B4835"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tcPr>
          <w:p w14:paraId="712E05AC"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4" w:type="pct"/>
          </w:tcPr>
          <w:p w14:paraId="0D9C9152"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92" w:type="pct"/>
            <w:vAlign w:val="center"/>
            <w:hideMark/>
          </w:tcPr>
          <w:p w14:paraId="4A7FB7C0"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tcPr>
          <w:p w14:paraId="20B92D19"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3" w:type="pct"/>
            <w:vAlign w:val="center"/>
            <w:hideMark/>
          </w:tcPr>
          <w:p w14:paraId="7B03E495"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11" w:type="pct"/>
            <w:vAlign w:val="center"/>
            <w:hideMark/>
          </w:tcPr>
          <w:p w14:paraId="5F65136D"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86" w:type="pct"/>
            <w:vAlign w:val="center"/>
            <w:hideMark/>
          </w:tcPr>
          <w:p w14:paraId="43A71AA2"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86" w:type="pct"/>
            <w:vAlign w:val="center"/>
            <w:hideMark/>
          </w:tcPr>
          <w:p w14:paraId="7CB5911D"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86" w:type="pct"/>
            <w:vAlign w:val="center"/>
            <w:hideMark/>
          </w:tcPr>
          <w:p w14:paraId="5C8D04B0"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342" w:type="pct"/>
          </w:tcPr>
          <w:p w14:paraId="28F9B738"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r>
      <w:tr w:rsidR="009123AC" w:rsidRPr="00F0379B" w14:paraId="19955D2F" w14:textId="77777777" w:rsidTr="00CA749B">
        <w:trPr>
          <w:trHeight w:val="20"/>
        </w:trPr>
        <w:tc>
          <w:tcPr>
            <w:tcW w:w="1316" w:type="pct"/>
            <w:noWrap/>
            <w:vAlign w:val="center"/>
            <w:hideMark/>
          </w:tcPr>
          <w:p w14:paraId="284B0758"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Liña de mano</w:t>
            </w:r>
          </w:p>
        </w:tc>
        <w:tc>
          <w:tcPr>
            <w:tcW w:w="650" w:type="pct"/>
            <w:noWrap/>
            <w:vAlign w:val="center"/>
            <w:hideMark/>
          </w:tcPr>
          <w:p w14:paraId="61659209"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5</w:t>
            </w:r>
          </w:p>
        </w:tc>
        <w:tc>
          <w:tcPr>
            <w:tcW w:w="219" w:type="pct"/>
          </w:tcPr>
          <w:p w14:paraId="10A03FA9"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5" w:type="pct"/>
            <w:noWrap/>
            <w:vAlign w:val="center"/>
            <w:hideMark/>
          </w:tcPr>
          <w:p w14:paraId="6EB6E872"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8" w:type="pct"/>
            <w:vAlign w:val="center"/>
            <w:hideMark/>
          </w:tcPr>
          <w:p w14:paraId="7A004423"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7742F41D"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5E9BF10C"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1F7B4496"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4" w:type="pct"/>
          </w:tcPr>
          <w:p w14:paraId="5702DF32"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92" w:type="pct"/>
            <w:vAlign w:val="center"/>
            <w:hideMark/>
          </w:tcPr>
          <w:p w14:paraId="24395D8D"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47C6C2A3"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3" w:type="pct"/>
            <w:vAlign w:val="center"/>
            <w:hideMark/>
          </w:tcPr>
          <w:p w14:paraId="2F25CDF1"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1" w:type="pct"/>
            <w:vAlign w:val="center"/>
            <w:hideMark/>
          </w:tcPr>
          <w:p w14:paraId="585A7183"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86" w:type="pct"/>
            <w:vAlign w:val="center"/>
            <w:hideMark/>
          </w:tcPr>
          <w:p w14:paraId="20C19C10"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86" w:type="pct"/>
            <w:vAlign w:val="center"/>
            <w:hideMark/>
          </w:tcPr>
          <w:p w14:paraId="3E8CD3C0"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86" w:type="pct"/>
            <w:vAlign w:val="center"/>
            <w:hideMark/>
          </w:tcPr>
          <w:p w14:paraId="3BA44098"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342" w:type="pct"/>
          </w:tcPr>
          <w:p w14:paraId="274EEAE0"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r>
      <w:tr w:rsidR="009123AC" w:rsidRPr="00F0379B" w14:paraId="5E6E1CE9" w14:textId="77777777" w:rsidTr="00CA749B">
        <w:trPr>
          <w:trHeight w:val="20"/>
        </w:trPr>
        <w:tc>
          <w:tcPr>
            <w:tcW w:w="1316" w:type="pct"/>
            <w:noWrap/>
            <w:vAlign w:val="center"/>
            <w:hideMark/>
          </w:tcPr>
          <w:p w14:paraId="12248455"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Arrastrero</w:t>
            </w:r>
          </w:p>
        </w:tc>
        <w:tc>
          <w:tcPr>
            <w:tcW w:w="650" w:type="pct"/>
            <w:noWrap/>
            <w:vAlign w:val="center"/>
            <w:hideMark/>
          </w:tcPr>
          <w:p w14:paraId="1DF56375"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10</w:t>
            </w:r>
          </w:p>
        </w:tc>
        <w:tc>
          <w:tcPr>
            <w:tcW w:w="219" w:type="pct"/>
          </w:tcPr>
          <w:p w14:paraId="69F54A48"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5" w:type="pct"/>
            <w:noWrap/>
            <w:vAlign w:val="center"/>
            <w:hideMark/>
          </w:tcPr>
          <w:p w14:paraId="022F90A4"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8" w:type="pct"/>
            <w:vAlign w:val="center"/>
            <w:hideMark/>
          </w:tcPr>
          <w:p w14:paraId="75CC86F1"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4261C191"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3B4BA561"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60143B93"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4" w:type="pct"/>
          </w:tcPr>
          <w:p w14:paraId="033E5F3B"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92" w:type="pct"/>
            <w:vAlign w:val="center"/>
            <w:hideMark/>
          </w:tcPr>
          <w:p w14:paraId="0AD81255"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1E440DB1"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3" w:type="pct"/>
            <w:vAlign w:val="center"/>
            <w:hideMark/>
          </w:tcPr>
          <w:p w14:paraId="33CDFC5C"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1" w:type="pct"/>
            <w:vAlign w:val="center"/>
            <w:hideMark/>
          </w:tcPr>
          <w:p w14:paraId="00572171"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86" w:type="pct"/>
            <w:vAlign w:val="center"/>
            <w:hideMark/>
          </w:tcPr>
          <w:p w14:paraId="29AA96E0"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86" w:type="pct"/>
            <w:vAlign w:val="center"/>
            <w:hideMark/>
          </w:tcPr>
          <w:p w14:paraId="106ACEA8"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86" w:type="pct"/>
            <w:vAlign w:val="center"/>
            <w:hideMark/>
          </w:tcPr>
          <w:p w14:paraId="6C86C0E2"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342" w:type="pct"/>
          </w:tcPr>
          <w:p w14:paraId="08A288FE"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r>
      <w:tr w:rsidR="009123AC" w:rsidRPr="00F0379B" w14:paraId="61EED93B" w14:textId="77777777" w:rsidTr="00CA749B">
        <w:trPr>
          <w:trHeight w:val="20"/>
        </w:trPr>
        <w:tc>
          <w:tcPr>
            <w:tcW w:w="1316" w:type="pct"/>
            <w:noWrap/>
            <w:vAlign w:val="center"/>
            <w:hideMark/>
          </w:tcPr>
          <w:p w14:paraId="41581007"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Almadraba</w:t>
            </w:r>
          </w:p>
        </w:tc>
        <w:tc>
          <w:tcPr>
            <w:tcW w:w="650" w:type="pct"/>
            <w:noWrap/>
            <w:vAlign w:val="center"/>
            <w:hideMark/>
          </w:tcPr>
          <w:p w14:paraId="6A6BC045"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130</w:t>
            </w:r>
          </w:p>
        </w:tc>
        <w:tc>
          <w:tcPr>
            <w:tcW w:w="219" w:type="pct"/>
          </w:tcPr>
          <w:p w14:paraId="42BC0E34"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5" w:type="pct"/>
            <w:noWrap/>
            <w:vAlign w:val="center"/>
            <w:hideMark/>
          </w:tcPr>
          <w:p w14:paraId="4379B363"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8" w:type="pct"/>
            <w:vAlign w:val="center"/>
            <w:hideMark/>
          </w:tcPr>
          <w:p w14:paraId="2EE3B648"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vAlign w:val="center"/>
            <w:hideMark/>
          </w:tcPr>
          <w:p w14:paraId="70D4AF69"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vAlign w:val="center"/>
            <w:hideMark/>
          </w:tcPr>
          <w:p w14:paraId="2A5A4562"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tcPr>
          <w:p w14:paraId="64248C5A"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4" w:type="pct"/>
          </w:tcPr>
          <w:p w14:paraId="69294B09"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92" w:type="pct"/>
            <w:vAlign w:val="center"/>
            <w:hideMark/>
          </w:tcPr>
          <w:p w14:paraId="70307926"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tcPr>
          <w:p w14:paraId="0EA4A1B1"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3" w:type="pct"/>
            <w:vAlign w:val="center"/>
            <w:hideMark/>
          </w:tcPr>
          <w:p w14:paraId="5CDBB294"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11" w:type="pct"/>
            <w:vAlign w:val="center"/>
            <w:hideMark/>
          </w:tcPr>
          <w:p w14:paraId="735EC934"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86" w:type="pct"/>
            <w:vAlign w:val="center"/>
            <w:hideMark/>
          </w:tcPr>
          <w:p w14:paraId="1659D03F"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86" w:type="pct"/>
            <w:vAlign w:val="center"/>
            <w:hideMark/>
          </w:tcPr>
          <w:p w14:paraId="0E96BA36"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86" w:type="pct"/>
            <w:vAlign w:val="center"/>
            <w:hideMark/>
          </w:tcPr>
          <w:p w14:paraId="47725B5F"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342" w:type="pct"/>
          </w:tcPr>
          <w:p w14:paraId="0928165E"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r>
      <w:tr w:rsidR="009123AC" w:rsidRPr="00F0379B" w14:paraId="285F7E88" w14:textId="77777777" w:rsidTr="00CA749B">
        <w:trPr>
          <w:trHeight w:val="20"/>
        </w:trPr>
        <w:tc>
          <w:tcPr>
            <w:tcW w:w="1316" w:type="pct"/>
            <w:vAlign w:val="center"/>
            <w:hideMark/>
          </w:tcPr>
          <w:p w14:paraId="23109868"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xml:space="preserve">Pequeños barcos costeros </w:t>
            </w:r>
          </w:p>
        </w:tc>
        <w:tc>
          <w:tcPr>
            <w:tcW w:w="650" w:type="pct"/>
            <w:noWrap/>
            <w:vAlign w:val="center"/>
            <w:hideMark/>
          </w:tcPr>
          <w:p w14:paraId="4EB39DCE"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No aplicable</w:t>
            </w:r>
          </w:p>
        </w:tc>
        <w:tc>
          <w:tcPr>
            <w:tcW w:w="219" w:type="pct"/>
          </w:tcPr>
          <w:p w14:paraId="5BB9C160"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5" w:type="pct"/>
            <w:noWrap/>
            <w:vAlign w:val="center"/>
            <w:hideMark/>
          </w:tcPr>
          <w:p w14:paraId="003C5C0B"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8" w:type="pct"/>
            <w:vAlign w:val="center"/>
            <w:hideMark/>
          </w:tcPr>
          <w:p w14:paraId="26A3AF25"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vAlign w:val="center"/>
            <w:hideMark/>
          </w:tcPr>
          <w:p w14:paraId="7082EB2B"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vAlign w:val="center"/>
            <w:hideMark/>
          </w:tcPr>
          <w:p w14:paraId="6984B8D8"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tcPr>
          <w:p w14:paraId="23B429C9"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4" w:type="pct"/>
          </w:tcPr>
          <w:p w14:paraId="51B3CC66"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92" w:type="pct"/>
            <w:vAlign w:val="center"/>
            <w:hideMark/>
          </w:tcPr>
          <w:p w14:paraId="79B550B9"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tcPr>
          <w:p w14:paraId="3BE6CA16"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3" w:type="pct"/>
            <w:vAlign w:val="center"/>
            <w:hideMark/>
          </w:tcPr>
          <w:p w14:paraId="1FE371A8"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11" w:type="pct"/>
            <w:vAlign w:val="center"/>
            <w:hideMark/>
          </w:tcPr>
          <w:p w14:paraId="738BEE54"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86" w:type="pct"/>
            <w:vAlign w:val="center"/>
            <w:hideMark/>
          </w:tcPr>
          <w:p w14:paraId="5A430479"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86" w:type="pct"/>
            <w:vAlign w:val="center"/>
            <w:hideMark/>
          </w:tcPr>
          <w:p w14:paraId="580F8ED1"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86" w:type="pct"/>
            <w:vAlign w:val="center"/>
            <w:hideMark/>
          </w:tcPr>
          <w:p w14:paraId="67E6C13D"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342" w:type="pct"/>
          </w:tcPr>
          <w:p w14:paraId="1A902EC8"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r>
      <w:tr w:rsidR="009123AC" w:rsidRPr="00F0379B" w14:paraId="539A1561" w14:textId="77777777" w:rsidTr="00CA749B">
        <w:trPr>
          <w:trHeight w:val="20"/>
        </w:trPr>
        <w:tc>
          <w:tcPr>
            <w:tcW w:w="1316" w:type="pct"/>
            <w:vAlign w:val="center"/>
            <w:hideMark/>
          </w:tcPr>
          <w:p w14:paraId="7285F302"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Otros (especificar)</w:t>
            </w:r>
          </w:p>
        </w:tc>
        <w:tc>
          <w:tcPr>
            <w:tcW w:w="650" w:type="pct"/>
            <w:noWrap/>
            <w:vAlign w:val="center"/>
            <w:hideMark/>
          </w:tcPr>
          <w:p w14:paraId="17C87822"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5</w:t>
            </w:r>
          </w:p>
        </w:tc>
        <w:tc>
          <w:tcPr>
            <w:tcW w:w="219" w:type="pct"/>
          </w:tcPr>
          <w:p w14:paraId="00B5731E"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5" w:type="pct"/>
            <w:noWrap/>
            <w:vAlign w:val="center"/>
            <w:hideMark/>
          </w:tcPr>
          <w:p w14:paraId="4C0DF34E"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8" w:type="pct"/>
            <w:vAlign w:val="center"/>
            <w:hideMark/>
          </w:tcPr>
          <w:p w14:paraId="4E3BD406"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vAlign w:val="center"/>
            <w:hideMark/>
          </w:tcPr>
          <w:p w14:paraId="6841C391"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vAlign w:val="center"/>
            <w:hideMark/>
          </w:tcPr>
          <w:p w14:paraId="3DF88644"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tcPr>
          <w:p w14:paraId="0243AA76"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4" w:type="pct"/>
          </w:tcPr>
          <w:p w14:paraId="78EF167A"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92" w:type="pct"/>
            <w:vAlign w:val="center"/>
            <w:hideMark/>
          </w:tcPr>
          <w:p w14:paraId="073E4D92"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tcPr>
          <w:p w14:paraId="7C329F32"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3" w:type="pct"/>
            <w:vAlign w:val="center"/>
            <w:hideMark/>
          </w:tcPr>
          <w:p w14:paraId="3D12341B"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11" w:type="pct"/>
            <w:vAlign w:val="center"/>
            <w:hideMark/>
          </w:tcPr>
          <w:p w14:paraId="7E65BBDB"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86" w:type="pct"/>
            <w:vAlign w:val="center"/>
            <w:hideMark/>
          </w:tcPr>
          <w:p w14:paraId="1FE4CEC6"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86" w:type="pct"/>
            <w:vAlign w:val="center"/>
            <w:hideMark/>
          </w:tcPr>
          <w:p w14:paraId="27DD527B"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86" w:type="pct"/>
            <w:vAlign w:val="center"/>
            <w:hideMark/>
          </w:tcPr>
          <w:p w14:paraId="70B1F646"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342" w:type="pct"/>
          </w:tcPr>
          <w:p w14:paraId="7641C11B"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r>
      <w:tr w:rsidR="009123AC" w:rsidRPr="00F0379B" w14:paraId="77EEE187" w14:textId="77777777" w:rsidTr="00CA749B">
        <w:trPr>
          <w:trHeight w:val="20"/>
        </w:trPr>
        <w:tc>
          <w:tcPr>
            <w:tcW w:w="1316" w:type="pct"/>
            <w:noWrap/>
            <w:vAlign w:val="center"/>
            <w:hideMark/>
          </w:tcPr>
          <w:p w14:paraId="59330BB8"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Capacidad pesquera/flota total</w:t>
            </w:r>
          </w:p>
        </w:tc>
        <w:tc>
          <w:tcPr>
            <w:tcW w:w="650" w:type="pct"/>
            <w:noWrap/>
            <w:vAlign w:val="center"/>
            <w:hideMark/>
          </w:tcPr>
          <w:p w14:paraId="165577C0" w14:textId="77777777" w:rsidR="009123AC" w:rsidRPr="00F0379B" w:rsidRDefault="009123AC" w:rsidP="009123AC">
            <w:pPr>
              <w:spacing w:after="0" w:line="240" w:lineRule="auto"/>
              <w:jc w:val="right"/>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9" w:type="pct"/>
          </w:tcPr>
          <w:p w14:paraId="67DFB56C"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5" w:type="pct"/>
            <w:noWrap/>
            <w:vAlign w:val="center"/>
            <w:hideMark/>
          </w:tcPr>
          <w:p w14:paraId="0C3FE4AD"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8" w:type="pct"/>
            <w:vAlign w:val="center"/>
            <w:hideMark/>
          </w:tcPr>
          <w:p w14:paraId="0A347EAB"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vAlign w:val="center"/>
            <w:hideMark/>
          </w:tcPr>
          <w:p w14:paraId="1AEC13FB"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vAlign w:val="center"/>
            <w:hideMark/>
          </w:tcPr>
          <w:p w14:paraId="6DC73DF3"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tcPr>
          <w:p w14:paraId="0FA09535"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4" w:type="pct"/>
          </w:tcPr>
          <w:p w14:paraId="1E88C488"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92" w:type="pct"/>
            <w:vAlign w:val="center"/>
            <w:hideMark/>
          </w:tcPr>
          <w:p w14:paraId="7FE86AAC"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163" w:type="pct"/>
          </w:tcPr>
          <w:p w14:paraId="12513D73"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3" w:type="pct"/>
            <w:vAlign w:val="center"/>
            <w:hideMark/>
          </w:tcPr>
          <w:p w14:paraId="51AF2D15"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11" w:type="pct"/>
            <w:vAlign w:val="center"/>
            <w:hideMark/>
          </w:tcPr>
          <w:p w14:paraId="48616355"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w:t>
            </w:r>
          </w:p>
        </w:tc>
        <w:tc>
          <w:tcPr>
            <w:tcW w:w="286" w:type="pct"/>
            <w:noWrap/>
            <w:hideMark/>
          </w:tcPr>
          <w:p w14:paraId="5B2C9283"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120,48</w:t>
            </w:r>
          </w:p>
        </w:tc>
        <w:tc>
          <w:tcPr>
            <w:tcW w:w="286" w:type="pct"/>
            <w:noWrap/>
            <w:hideMark/>
          </w:tcPr>
          <w:p w14:paraId="57FD953D"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120,48</w:t>
            </w:r>
          </w:p>
        </w:tc>
        <w:tc>
          <w:tcPr>
            <w:tcW w:w="286" w:type="pct"/>
            <w:noWrap/>
            <w:hideMark/>
          </w:tcPr>
          <w:p w14:paraId="36532359"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120,48</w:t>
            </w:r>
          </w:p>
        </w:tc>
        <w:tc>
          <w:tcPr>
            <w:tcW w:w="342" w:type="pct"/>
          </w:tcPr>
          <w:p w14:paraId="2E7FCD2C"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120,48</w:t>
            </w:r>
          </w:p>
        </w:tc>
      </w:tr>
      <w:tr w:rsidR="009123AC" w:rsidRPr="00F0379B" w14:paraId="5A167FA3" w14:textId="77777777" w:rsidTr="00CA749B">
        <w:trPr>
          <w:trHeight w:val="20"/>
        </w:trPr>
        <w:tc>
          <w:tcPr>
            <w:tcW w:w="1316" w:type="pct"/>
            <w:noWrap/>
            <w:vAlign w:val="center"/>
            <w:hideMark/>
          </w:tcPr>
          <w:p w14:paraId="224F025D"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Cuota inicial</w:t>
            </w:r>
          </w:p>
        </w:tc>
        <w:tc>
          <w:tcPr>
            <w:tcW w:w="650" w:type="pct"/>
            <w:noWrap/>
            <w:vAlign w:val="center"/>
            <w:hideMark/>
          </w:tcPr>
          <w:p w14:paraId="4C1A6940" w14:textId="77777777" w:rsidR="009123AC" w:rsidRPr="00F0379B" w:rsidRDefault="009123AC" w:rsidP="009123AC">
            <w:pPr>
              <w:spacing w:after="0" w:line="240" w:lineRule="auto"/>
              <w:jc w:val="right"/>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9" w:type="pct"/>
          </w:tcPr>
          <w:p w14:paraId="2C449052"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5" w:type="pct"/>
            <w:noWrap/>
            <w:vAlign w:val="center"/>
            <w:hideMark/>
          </w:tcPr>
          <w:p w14:paraId="5D616BFC"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8" w:type="pct"/>
            <w:vAlign w:val="center"/>
            <w:hideMark/>
          </w:tcPr>
          <w:p w14:paraId="7D788659"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13C70270"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54B55123"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4AF68C5F"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4" w:type="pct"/>
          </w:tcPr>
          <w:p w14:paraId="6F73FE7D"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92" w:type="pct"/>
            <w:vAlign w:val="center"/>
            <w:hideMark/>
          </w:tcPr>
          <w:p w14:paraId="4FF6E36A"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4D7F49D3"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3" w:type="pct"/>
            <w:vAlign w:val="center"/>
            <w:hideMark/>
          </w:tcPr>
          <w:p w14:paraId="27400835"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1" w:type="pct"/>
            <w:hideMark/>
          </w:tcPr>
          <w:p w14:paraId="5E87A9F3"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70,7</w:t>
            </w:r>
          </w:p>
        </w:tc>
        <w:tc>
          <w:tcPr>
            <w:tcW w:w="286" w:type="pct"/>
            <w:hideMark/>
          </w:tcPr>
          <w:p w14:paraId="158FC12C"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264</w:t>
            </w:r>
          </w:p>
        </w:tc>
        <w:tc>
          <w:tcPr>
            <w:tcW w:w="286" w:type="pct"/>
            <w:hideMark/>
          </w:tcPr>
          <w:p w14:paraId="46F26C0E"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264</w:t>
            </w:r>
          </w:p>
        </w:tc>
        <w:tc>
          <w:tcPr>
            <w:tcW w:w="286" w:type="pct"/>
            <w:hideMark/>
          </w:tcPr>
          <w:p w14:paraId="5D284254"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264</w:t>
            </w:r>
          </w:p>
        </w:tc>
        <w:tc>
          <w:tcPr>
            <w:tcW w:w="342" w:type="pct"/>
          </w:tcPr>
          <w:p w14:paraId="6C858A46"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457,37</w:t>
            </w:r>
          </w:p>
        </w:tc>
      </w:tr>
      <w:tr w:rsidR="009123AC" w:rsidRPr="00F0379B" w14:paraId="1A8CBE63" w14:textId="77777777" w:rsidTr="00CA749B">
        <w:trPr>
          <w:trHeight w:val="20"/>
        </w:trPr>
        <w:tc>
          <w:tcPr>
            <w:tcW w:w="1316" w:type="pct"/>
            <w:noWrap/>
            <w:vAlign w:val="center"/>
          </w:tcPr>
          <w:p w14:paraId="2C2B72BF" w14:textId="77777777" w:rsidR="009123AC" w:rsidRPr="00F0379B" w:rsidRDefault="009123AC" w:rsidP="009123AC">
            <w:pPr>
              <w:spacing w:after="0" w:line="240" w:lineRule="auto"/>
              <w:rPr>
                <w:rFonts w:ascii="Cambria" w:eastAsia="Times New Roman" w:hAnsi="Cambria" w:cs="Calibri"/>
                <w:b/>
                <w:bCs/>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 xml:space="preserve">Cuota ajustada (si procede) </w:t>
            </w:r>
          </w:p>
        </w:tc>
        <w:tc>
          <w:tcPr>
            <w:tcW w:w="650" w:type="pct"/>
            <w:noWrap/>
            <w:vAlign w:val="center"/>
          </w:tcPr>
          <w:p w14:paraId="19DDDDC2" w14:textId="77777777" w:rsidR="009123AC" w:rsidRPr="00F0379B" w:rsidRDefault="009123AC" w:rsidP="009123AC">
            <w:pPr>
              <w:spacing w:after="0" w:line="240" w:lineRule="auto"/>
              <w:jc w:val="right"/>
              <w:rPr>
                <w:rFonts w:ascii="Cambria" w:eastAsia="Times New Roman" w:hAnsi="Cambria" w:cs="Calibri"/>
                <w:kern w:val="2"/>
                <w:sz w:val="18"/>
                <w:szCs w:val="18"/>
                <w:lang w:val="en-GB" w:eastAsia="ja-JP"/>
                <w14:ligatures w14:val="standardContextual"/>
              </w:rPr>
            </w:pPr>
          </w:p>
        </w:tc>
        <w:tc>
          <w:tcPr>
            <w:tcW w:w="219" w:type="pct"/>
          </w:tcPr>
          <w:p w14:paraId="6F91232E" w14:textId="77777777" w:rsidR="009123AC" w:rsidRPr="00F0379B" w:rsidRDefault="009123AC" w:rsidP="009123AC">
            <w:pPr>
              <w:spacing w:after="0" w:line="240" w:lineRule="auto"/>
              <w:rPr>
                <w:rFonts w:ascii="Cambria" w:eastAsia="Times New Roman" w:hAnsi="Cambria" w:cs="Calibri"/>
                <w:kern w:val="2"/>
                <w:sz w:val="18"/>
                <w:szCs w:val="18"/>
                <w:lang w:val="en-GB" w:eastAsia="ja-JP"/>
                <w14:ligatures w14:val="standardContextual"/>
              </w:rPr>
            </w:pPr>
          </w:p>
        </w:tc>
        <w:tc>
          <w:tcPr>
            <w:tcW w:w="165" w:type="pct"/>
            <w:noWrap/>
            <w:vAlign w:val="center"/>
          </w:tcPr>
          <w:p w14:paraId="2DFF9565" w14:textId="77777777" w:rsidR="009123AC" w:rsidRPr="00F0379B" w:rsidRDefault="009123AC" w:rsidP="009123AC">
            <w:pPr>
              <w:spacing w:after="0" w:line="240" w:lineRule="auto"/>
              <w:rPr>
                <w:rFonts w:ascii="Cambria" w:eastAsia="Times New Roman" w:hAnsi="Cambria" w:cs="Calibri"/>
                <w:kern w:val="2"/>
                <w:sz w:val="18"/>
                <w:szCs w:val="18"/>
                <w:lang w:val="en-GB" w:eastAsia="ja-JP"/>
                <w14:ligatures w14:val="standardContextual"/>
              </w:rPr>
            </w:pPr>
          </w:p>
        </w:tc>
        <w:tc>
          <w:tcPr>
            <w:tcW w:w="168" w:type="pct"/>
            <w:vAlign w:val="center"/>
          </w:tcPr>
          <w:p w14:paraId="41131CEE" w14:textId="77777777" w:rsidR="009123AC" w:rsidRPr="00F0379B" w:rsidRDefault="009123AC" w:rsidP="009123AC">
            <w:pPr>
              <w:spacing w:after="0" w:line="240" w:lineRule="auto"/>
              <w:rPr>
                <w:rFonts w:ascii="Cambria" w:eastAsia="Times New Roman" w:hAnsi="Cambria" w:cs="Calibri"/>
                <w:kern w:val="2"/>
                <w:sz w:val="18"/>
                <w:szCs w:val="18"/>
                <w:lang w:val="en-GB" w:eastAsia="ja-JP"/>
                <w14:ligatures w14:val="standardContextual"/>
              </w:rPr>
            </w:pPr>
          </w:p>
        </w:tc>
        <w:tc>
          <w:tcPr>
            <w:tcW w:w="163" w:type="pct"/>
            <w:vAlign w:val="center"/>
          </w:tcPr>
          <w:p w14:paraId="1549BD1E" w14:textId="77777777" w:rsidR="009123AC" w:rsidRPr="00F0379B" w:rsidRDefault="009123AC" w:rsidP="009123AC">
            <w:pPr>
              <w:spacing w:after="0" w:line="240" w:lineRule="auto"/>
              <w:rPr>
                <w:rFonts w:ascii="Cambria" w:eastAsia="Times New Roman" w:hAnsi="Cambria" w:cs="Calibri"/>
                <w:kern w:val="2"/>
                <w:sz w:val="18"/>
                <w:szCs w:val="18"/>
                <w:lang w:val="en-GB" w:eastAsia="ja-JP"/>
                <w14:ligatures w14:val="standardContextual"/>
              </w:rPr>
            </w:pPr>
          </w:p>
        </w:tc>
        <w:tc>
          <w:tcPr>
            <w:tcW w:w="163" w:type="pct"/>
            <w:vAlign w:val="center"/>
          </w:tcPr>
          <w:p w14:paraId="48E8D588" w14:textId="77777777" w:rsidR="009123AC" w:rsidRPr="00F0379B" w:rsidRDefault="009123AC" w:rsidP="009123AC">
            <w:pPr>
              <w:spacing w:after="0" w:line="240" w:lineRule="auto"/>
              <w:rPr>
                <w:rFonts w:ascii="Cambria" w:eastAsia="Times New Roman" w:hAnsi="Cambria" w:cs="Calibri"/>
                <w:kern w:val="2"/>
                <w:sz w:val="18"/>
                <w:szCs w:val="18"/>
                <w:lang w:val="en-GB" w:eastAsia="ja-JP"/>
                <w14:ligatures w14:val="standardContextual"/>
              </w:rPr>
            </w:pPr>
          </w:p>
        </w:tc>
        <w:tc>
          <w:tcPr>
            <w:tcW w:w="163" w:type="pct"/>
          </w:tcPr>
          <w:p w14:paraId="27548DA3" w14:textId="77777777" w:rsidR="009123AC" w:rsidRPr="00F0379B" w:rsidRDefault="009123AC" w:rsidP="009123AC">
            <w:pPr>
              <w:spacing w:after="0" w:line="240" w:lineRule="auto"/>
              <w:rPr>
                <w:rFonts w:ascii="Cambria" w:eastAsia="Times New Roman" w:hAnsi="Cambria" w:cs="Calibri"/>
                <w:kern w:val="2"/>
                <w:sz w:val="18"/>
                <w:szCs w:val="18"/>
                <w:lang w:val="en-GB" w:eastAsia="ja-JP"/>
                <w14:ligatures w14:val="standardContextual"/>
              </w:rPr>
            </w:pPr>
          </w:p>
        </w:tc>
        <w:tc>
          <w:tcPr>
            <w:tcW w:w="164" w:type="pct"/>
          </w:tcPr>
          <w:p w14:paraId="71CA67C6" w14:textId="77777777" w:rsidR="009123AC" w:rsidRPr="00F0379B" w:rsidRDefault="009123AC" w:rsidP="009123AC">
            <w:pPr>
              <w:spacing w:after="0" w:line="240" w:lineRule="auto"/>
              <w:jc w:val="center"/>
              <w:rPr>
                <w:rFonts w:ascii="Cambria" w:eastAsia="Times New Roman" w:hAnsi="Cambria" w:cs="Calibri"/>
                <w:kern w:val="2"/>
                <w:sz w:val="18"/>
                <w:szCs w:val="18"/>
                <w:lang w:val="en-GB" w:eastAsia="ja-JP"/>
                <w14:ligatures w14:val="standardContextual"/>
              </w:rPr>
            </w:pPr>
          </w:p>
        </w:tc>
        <w:tc>
          <w:tcPr>
            <w:tcW w:w="92" w:type="pct"/>
            <w:vAlign w:val="center"/>
          </w:tcPr>
          <w:p w14:paraId="7CFC14A8" w14:textId="77777777" w:rsidR="009123AC" w:rsidRPr="00F0379B" w:rsidRDefault="009123AC" w:rsidP="009123AC">
            <w:pPr>
              <w:spacing w:after="0" w:line="240" w:lineRule="auto"/>
              <w:rPr>
                <w:rFonts w:ascii="Cambria" w:eastAsia="Times New Roman" w:hAnsi="Cambria" w:cs="Calibri"/>
                <w:kern w:val="2"/>
                <w:sz w:val="18"/>
                <w:szCs w:val="18"/>
                <w:lang w:val="en-GB" w:eastAsia="ja-JP"/>
                <w14:ligatures w14:val="standardContextual"/>
              </w:rPr>
            </w:pPr>
          </w:p>
        </w:tc>
        <w:tc>
          <w:tcPr>
            <w:tcW w:w="163" w:type="pct"/>
          </w:tcPr>
          <w:p w14:paraId="6DB16970" w14:textId="77777777" w:rsidR="009123AC" w:rsidRPr="00F0379B" w:rsidRDefault="009123AC" w:rsidP="009123AC">
            <w:pPr>
              <w:spacing w:after="0" w:line="240" w:lineRule="auto"/>
              <w:rPr>
                <w:rFonts w:ascii="Cambria" w:eastAsia="Times New Roman" w:hAnsi="Cambria" w:cs="Calibri"/>
                <w:kern w:val="2"/>
                <w:sz w:val="18"/>
                <w:szCs w:val="18"/>
                <w:lang w:val="en-GB" w:eastAsia="ja-JP"/>
                <w14:ligatures w14:val="standardContextual"/>
              </w:rPr>
            </w:pPr>
          </w:p>
        </w:tc>
        <w:tc>
          <w:tcPr>
            <w:tcW w:w="163" w:type="pct"/>
            <w:vAlign w:val="center"/>
          </w:tcPr>
          <w:p w14:paraId="4A26E9FE" w14:textId="77777777" w:rsidR="009123AC" w:rsidRPr="00F0379B" w:rsidRDefault="009123AC" w:rsidP="009123AC">
            <w:pPr>
              <w:spacing w:after="0" w:line="240" w:lineRule="auto"/>
              <w:rPr>
                <w:rFonts w:ascii="Cambria" w:eastAsia="Times New Roman" w:hAnsi="Cambria" w:cs="Calibri"/>
                <w:kern w:val="2"/>
                <w:sz w:val="18"/>
                <w:szCs w:val="18"/>
                <w:lang w:val="en-GB" w:eastAsia="ja-JP"/>
                <w14:ligatures w14:val="standardContextual"/>
              </w:rPr>
            </w:pPr>
          </w:p>
        </w:tc>
        <w:tc>
          <w:tcPr>
            <w:tcW w:w="211" w:type="pct"/>
          </w:tcPr>
          <w:p w14:paraId="51EB9C4D"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100</w:t>
            </w:r>
          </w:p>
        </w:tc>
        <w:tc>
          <w:tcPr>
            <w:tcW w:w="286" w:type="pct"/>
          </w:tcPr>
          <w:p w14:paraId="56D80672"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NA</w:t>
            </w:r>
          </w:p>
        </w:tc>
        <w:tc>
          <w:tcPr>
            <w:tcW w:w="286" w:type="pct"/>
          </w:tcPr>
          <w:p w14:paraId="387C2067"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NA</w:t>
            </w:r>
          </w:p>
        </w:tc>
        <w:tc>
          <w:tcPr>
            <w:tcW w:w="286" w:type="pct"/>
          </w:tcPr>
          <w:p w14:paraId="0CF3D2DB"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NA</w:t>
            </w:r>
          </w:p>
        </w:tc>
        <w:tc>
          <w:tcPr>
            <w:tcW w:w="342" w:type="pct"/>
          </w:tcPr>
          <w:p w14:paraId="00ECE152" w14:textId="77777777" w:rsidR="009123AC" w:rsidRPr="00F0379B" w:rsidRDefault="009123AC" w:rsidP="009123AC">
            <w:pPr>
              <w:spacing w:after="0" w:line="240" w:lineRule="auto"/>
              <w:jc w:val="center"/>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NA</w:t>
            </w:r>
          </w:p>
        </w:tc>
      </w:tr>
      <w:tr w:rsidR="009123AC" w:rsidRPr="00F0379B" w14:paraId="511AB5D9" w14:textId="77777777" w:rsidTr="00CA749B">
        <w:trPr>
          <w:trHeight w:val="20"/>
        </w:trPr>
        <w:tc>
          <w:tcPr>
            <w:tcW w:w="1316" w:type="pct"/>
            <w:noWrap/>
            <w:vAlign w:val="center"/>
            <w:hideMark/>
          </w:tcPr>
          <w:p w14:paraId="2470AD44"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Porcentaje asignado a captura fortuita</w:t>
            </w:r>
          </w:p>
        </w:tc>
        <w:tc>
          <w:tcPr>
            <w:tcW w:w="650" w:type="pct"/>
            <w:noWrap/>
            <w:vAlign w:val="center"/>
            <w:hideMark/>
          </w:tcPr>
          <w:p w14:paraId="11B3CBC1" w14:textId="77777777" w:rsidR="009123AC" w:rsidRPr="00F0379B" w:rsidRDefault="009123AC" w:rsidP="009123AC">
            <w:pPr>
              <w:spacing w:after="0" w:line="240" w:lineRule="auto"/>
              <w:jc w:val="right"/>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9" w:type="pct"/>
          </w:tcPr>
          <w:p w14:paraId="399C763B" w14:textId="77777777" w:rsidR="009123AC" w:rsidRPr="00F0379B" w:rsidRDefault="009123AC" w:rsidP="009123AC">
            <w:pPr>
              <w:spacing w:after="0" w:line="240" w:lineRule="auto"/>
              <w:rPr>
                <w:rFonts w:ascii="Cambria" w:eastAsiaTheme="minorEastAsia" w:hAnsi="Cambria"/>
                <w:kern w:val="2"/>
                <w:sz w:val="18"/>
                <w:szCs w:val="18"/>
                <w:lang w:eastAsia="ja-JP"/>
                <w14:ligatures w14:val="standardContextual"/>
              </w:rPr>
            </w:pPr>
          </w:p>
        </w:tc>
        <w:tc>
          <w:tcPr>
            <w:tcW w:w="165" w:type="pct"/>
            <w:noWrap/>
            <w:vAlign w:val="center"/>
            <w:hideMark/>
          </w:tcPr>
          <w:p w14:paraId="42707FBA"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8" w:type="pct"/>
            <w:vAlign w:val="center"/>
            <w:hideMark/>
          </w:tcPr>
          <w:p w14:paraId="70E0CCE6"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7B217495"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4D828106"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229C97A0" w14:textId="77777777" w:rsidR="009123AC" w:rsidRPr="00F0379B" w:rsidRDefault="009123AC" w:rsidP="009123AC">
            <w:pPr>
              <w:spacing w:after="0" w:line="240" w:lineRule="auto"/>
              <w:rPr>
                <w:rFonts w:ascii="Cambria" w:eastAsiaTheme="minorEastAsia" w:hAnsi="Cambria"/>
                <w:kern w:val="2"/>
                <w:sz w:val="18"/>
                <w:szCs w:val="18"/>
                <w:lang w:eastAsia="ja-JP"/>
                <w14:ligatures w14:val="standardContextual"/>
              </w:rPr>
            </w:pPr>
          </w:p>
        </w:tc>
        <w:tc>
          <w:tcPr>
            <w:tcW w:w="164" w:type="pct"/>
          </w:tcPr>
          <w:p w14:paraId="6C71A3CC" w14:textId="77777777" w:rsidR="009123AC" w:rsidRPr="00F0379B" w:rsidRDefault="009123AC" w:rsidP="009123AC">
            <w:pPr>
              <w:spacing w:after="0" w:line="240" w:lineRule="auto"/>
              <w:jc w:val="center"/>
              <w:rPr>
                <w:rFonts w:ascii="Cambria" w:eastAsiaTheme="minorEastAsia" w:hAnsi="Cambria"/>
                <w:kern w:val="2"/>
                <w:sz w:val="18"/>
                <w:szCs w:val="18"/>
                <w:lang w:eastAsia="ja-JP"/>
                <w14:ligatures w14:val="standardContextual"/>
              </w:rPr>
            </w:pPr>
          </w:p>
        </w:tc>
        <w:tc>
          <w:tcPr>
            <w:tcW w:w="92" w:type="pct"/>
            <w:vAlign w:val="center"/>
            <w:hideMark/>
          </w:tcPr>
          <w:p w14:paraId="5EA5BEAC"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1790A62D" w14:textId="77777777" w:rsidR="009123AC" w:rsidRPr="00F0379B" w:rsidRDefault="009123AC" w:rsidP="009123AC">
            <w:pPr>
              <w:spacing w:after="0" w:line="240" w:lineRule="auto"/>
              <w:rPr>
                <w:rFonts w:ascii="Cambria" w:eastAsiaTheme="minorEastAsia" w:hAnsi="Cambria"/>
                <w:kern w:val="2"/>
                <w:sz w:val="18"/>
                <w:szCs w:val="18"/>
                <w:lang w:eastAsia="ja-JP"/>
                <w14:ligatures w14:val="standardContextual"/>
              </w:rPr>
            </w:pPr>
          </w:p>
        </w:tc>
        <w:tc>
          <w:tcPr>
            <w:tcW w:w="163" w:type="pct"/>
            <w:vAlign w:val="center"/>
            <w:hideMark/>
          </w:tcPr>
          <w:p w14:paraId="2343D016"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1" w:type="pct"/>
            <w:vAlign w:val="center"/>
            <w:hideMark/>
          </w:tcPr>
          <w:p w14:paraId="7B929742"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86" w:type="pct"/>
            <w:hideMark/>
          </w:tcPr>
          <w:p w14:paraId="41C1B2D1"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0,56%</w:t>
            </w:r>
          </w:p>
        </w:tc>
        <w:tc>
          <w:tcPr>
            <w:tcW w:w="286" w:type="pct"/>
            <w:hideMark/>
          </w:tcPr>
          <w:p w14:paraId="3EF5CEDF"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0,38%</w:t>
            </w:r>
          </w:p>
        </w:tc>
        <w:tc>
          <w:tcPr>
            <w:tcW w:w="286" w:type="pct"/>
            <w:hideMark/>
          </w:tcPr>
          <w:p w14:paraId="770E1DC5"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0,38%</w:t>
            </w:r>
          </w:p>
        </w:tc>
        <w:tc>
          <w:tcPr>
            <w:tcW w:w="342" w:type="pct"/>
          </w:tcPr>
          <w:p w14:paraId="739909D2"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0,22%</w:t>
            </w:r>
          </w:p>
        </w:tc>
      </w:tr>
      <w:tr w:rsidR="009123AC" w:rsidRPr="00F0379B" w14:paraId="793A6F88" w14:textId="77777777" w:rsidTr="00CA749B">
        <w:trPr>
          <w:trHeight w:val="20"/>
        </w:trPr>
        <w:tc>
          <w:tcPr>
            <w:tcW w:w="1316" w:type="pct"/>
            <w:noWrap/>
            <w:vAlign w:val="center"/>
          </w:tcPr>
          <w:p w14:paraId="08BF29B7" w14:textId="77777777" w:rsidR="009123AC" w:rsidRPr="00F0379B" w:rsidRDefault="009123AC" w:rsidP="009123AC">
            <w:pPr>
              <w:spacing w:after="0" w:line="240" w:lineRule="auto"/>
              <w:rPr>
                <w:rFonts w:ascii="Cambria" w:eastAsia="Times New Roman" w:hAnsi="Cambria" w:cs="Calibri"/>
                <w:b/>
                <w:bCs/>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Asignación a la captura fortuita</w:t>
            </w:r>
          </w:p>
        </w:tc>
        <w:tc>
          <w:tcPr>
            <w:tcW w:w="650" w:type="pct"/>
            <w:noWrap/>
            <w:vAlign w:val="center"/>
          </w:tcPr>
          <w:p w14:paraId="28B009D4" w14:textId="77777777" w:rsidR="009123AC" w:rsidRPr="00F0379B" w:rsidRDefault="009123AC" w:rsidP="009123AC">
            <w:pPr>
              <w:spacing w:after="0" w:line="240" w:lineRule="auto"/>
              <w:jc w:val="right"/>
              <w:rPr>
                <w:rFonts w:ascii="Cambria" w:eastAsia="Times New Roman" w:hAnsi="Cambria" w:cs="Calibri"/>
                <w:kern w:val="2"/>
                <w:sz w:val="18"/>
                <w:szCs w:val="18"/>
                <w:lang w:eastAsia="ja-JP"/>
                <w14:ligatures w14:val="standardContextual"/>
              </w:rPr>
            </w:pPr>
          </w:p>
        </w:tc>
        <w:tc>
          <w:tcPr>
            <w:tcW w:w="219" w:type="pct"/>
          </w:tcPr>
          <w:p w14:paraId="0475D446" w14:textId="77777777" w:rsidR="009123AC" w:rsidRPr="00F0379B" w:rsidRDefault="009123AC" w:rsidP="009123AC">
            <w:pPr>
              <w:spacing w:after="0" w:line="240" w:lineRule="auto"/>
              <w:rPr>
                <w:rFonts w:ascii="Cambria" w:eastAsia="Times New Roman" w:hAnsi="Cambria" w:cs="Calibri"/>
                <w:kern w:val="2"/>
                <w:sz w:val="18"/>
                <w:szCs w:val="18"/>
                <w:lang w:eastAsia="ja-JP"/>
                <w14:ligatures w14:val="standardContextual"/>
              </w:rPr>
            </w:pPr>
          </w:p>
        </w:tc>
        <w:tc>
          <w:tcPr>
            <w:tcW w:w="165" w:type="pct"/>
            <w:noWrap/>
            <w:vAlign w:val="center"/>
          </w:tcPr>
          <w:p w14:paraId="375D3522" w14:textId="77777777" w:rsidR="009123AC" w:rsidRPr="00F0379B" w:rsidRDefault="009123AC" w:rsidP="009123AC">
            <w:pPr>
              <w:spacing w:after="0" w:line="240" w:lineRule="auto"/>
              <w:rPr>
                <w:rFonts w:ascii="Cambria" w:eastAsia="Times New Roman" w:hAnsi="Cambria" w:cs="Calibri"/>
                <w:kern w:val="2"/>
                <w:sz w:val="18"/>
                <w:szCs w:val="18"/>
                <w:lang w:eastAsia="ja-JP"/>
                <w14:ligatures w14:val="standardContextual"/>
              </w:rPr>
            </w:pPr>
          </w:p>
        </w:tc>
        <w:tc>
          <w:tcPr>
            <w:tcW w:w="168" w:type="pct"/>
            <w:vAlign w:val="center"/>
          </w:tcPr>
          <w:p w14:paraId="0DCC1992" w14:textId="77777777" w:rsidR="009123AC" w:rsidRPr="00F0379B" w:rsidRDefault="009123AC" w:rsidP="009123AC">
            <w:pPr>
              <w:spacing w:after="0" w:line="240" w:lineRule="auto"/>
              <w:rPr>
                <w:rFonts w:ascii="Cambria" w:eastAsia="Times New Roman" w:hAnsi="Cambria" w:cs="Calibri"/>
                <w:kern w:val="2"/>
                <w:sz w:val="18"/>
                <w:szCs w:val="18"/>
                <w:lang w:eastAsia="ja-JP"/>
                <w14:ligatures w14:val="standardContextual"/>
              </w:rPr>
            </w:pPr>
          </w:p>
        </w:tc>
        <w:tc>
          <w:tcPr>
            <w:tcW w:w="163" w:type="pct"/>
            <w:vAlign w:val="center"/>
          </w:tcPr>
          <w:p w14:paraId="69FD9CB3" w14:textId="77777777" w:rsidR="009123AC" w:rsidRPr="00F0379B" w:rsidRDefault="009123AC" w:rsidP="009123AC">
            <w:pPr>
              <w:spacing w:after="0" w:line="240" w:lineRule="auto"/>
              <w:rPr>
                <w:rFonts w:ascii="Cambria" w:eastAsia="Times New Roman" w:hAnsi="Cambria" w:cs="Calibri"/>
                <w:kern w:val="2"/>
                <w:sz w:val="18"/>
                <w:szCs w:val="18"/>
                <w:lang w:eastAsia="ja-JP"/>
                <w14:ligatures w14:val="standardContextual"/>
              </w:rPr>
            </w:pPr>
          </w:p>
        </w:tc>
        <w:tc>
          <w:tcPr>
            <w:tcW w:w="163" w:type="pct"/>
            <w:vAlign w:val="center"/>
          </w:tcPr>
          <w:p w14:paraId="417174BD" w14:textId="77777777" w:rsidR="009123AC" w:rsidRPr="00F0379B" w:rsidRDefault="009123AC" w:rsidP="009123AC">
            <w:pPr>
              <w:spacing w:after="0" w:line="240" w:lineRule="auto"/>
              <w:rPr>
                <w:rFonts w:ascii="Cambria" w:eastAsia="Times New Roman" w:hAnsi="Cambria" w:cs="Calibri"/>
                <w:kern w:val="2"/>
                <w:sz w:val="18"/>
                <w:szCs w:val="18"/>
                <w:lang w:eastAsia="ja-JP"/>
                <w14:ligatures w14:val="standardContextual"/>
              </w:rPr>
            </w:pPr>
          </w:p>
        </w:tc>
        <w:tc>
          <w:tcPr>
            <w:tcW w:w="163" w:type="pct"/>
          </w:tcPr>
          <w:p w14:paraId="38985E36" w14:textId="77777777" w:rsidR="009123AC" w:rsidRPr="00F0379B" w:rsidRDefault="009123AC" w:rsidP="009123AC">
            <w:pPr>
              <w:spacing w:after="0" w:line="240" w:lineRule="auto"/>
              <w:rPr>
                <w:rFonts w:ascii="Cambria" w:eastAsia="Times New Roman" w:hAnsi="Cambria" w:cs="Calibri"/>
                <w:kern w:val="2"/>
                <w:sz w:val="18"/>
                <w:szCs w:val="18"/>
                <w:lang w:eastAsia="ja-JP"/>
                <w14:ligatures w14:val="standardContextual"/>
              </w:rPr>
            </w:pPr>
          </w:p>
        </w:tc>
        <w:tc>
          <w:tcPr>
            <w:tcW w:w="164" w:type="pct"/>
          </w:tcPr>
          <w:p w14:paraId="48631881" w14:textId="77777777" w:rsidR="009123AC" w:rsidRPr="00F0379B" w:rsidRDefault="009123AC" w:rsidP="009123AC">
            <w:pPr>
              <w:spacing w:after="0" w:line="240" w:lineRule="auto"/>
              <w:jc w:val="center"/>
              <w:rPr>
                <w:rFonts w:ascii="Cambria" w:eastAsia="Times New Roman" w:hAnsi="Cambria" w:cs="Calibri"/>
                <w:kern w:val="2"/>
                <w:sz w:val="18"/>
                <w:szCs w:val="18"/>
                <w:lang w:eastAsia="ja-JP"/>
                <w14:ligatures w14:val="standardContextual"/>
              </w:rPr>
            </w:pPr>
          </w:p>
        </w:tc>
        <w:tc>
          <w:tcPr>
            <w:tcW w:w="92" w:type="pct"/>
            <w:vAlign w:val="center"/>
          </w:tcPr>
          <w:p w14:paraId="1CAFF35E" w14:textId="77777777" w:rsidR="009123AC" w:rsidRPr="00F0379B" w:rsidRDefault="009123AC" w:rsidP="009123AC">
            <w:pPr>
              <w:spacing w:after="0" w:line="240" w:lineRule="auto"/>
              <w:rPr>
                <w:rFonts w:ascii="Cambria" w:eastAsia="Times New Roman" w:hAnsi="Cambria" w:cs="Calibri"/>
                <w:kern w:val="2"/>
                <w:sz w:val="18"/>
                <w:szCs w:val="18"/>
                <w:lang w:eastAsia="ja-JP"/>
                <w14:ligatures w14:val="standardContextual"/>
              </w:rPr>
            </w:pPr>
          </w:p>
        </w:tc>
        <w:tc>
          <w:tcPr>
            <w:tcW w:w="163" w:type="pct"/>
          </w:tcPr>
          <w:p w14:paraId="25182335" w14:textId="77777777" w:rsidR="009123AC" w:rsidRPr="00F0379B" w:rsidRDefault="009123AC" w:rsidP="009123AC">
            <w:pPr>
              <w:spacing w:after="0" w:line="240" w:lineRule="auto"/>
              <w:rPr>
                <w:rFonts w:ascii="Cambria" w:eastAsia="Times New Roman" w:hAnsi="Cambria" w:cs="Calibri"/>
                <w:kern w:val="2"/>
                <w:sz w:val="18"/>
                <w:szCs w:val="18"/>
                <w:lang w:eastAsia="ja-JP"/>
                <w14:ligatures w14:val="standardContextual"/>
              </w:rPr>
            </w:pPr>
          </w:p>
        </w:tc>
        <w:tc>
          <w:tcPr>
            <w:tcW w:w="163" w:type="pct"/>
            <w:vAlign w:val="center"/>
          </w:tcPr>
          <w:p w14:paraId="2A0B7BBA" w14:textId="77777777" w:rsidR="009123AC" w:rsidRPr="00F0379B" w:rsidRDefault="009123AC" w:rsidP="009123AC">
            <w:pPr>
              <w:spacing w:after="0" w:line="240" w:lineRule="auto"/>
              <w:rPr>
                <w:rFonts w:ascii="Cambria" w:eastAsia="Times New Roman" w:hAnsi="Cambria" w:cs="Calibri"/>
                <w:kern w:val="2"/>
                <w:sz w:val="18"/>
                <w:szCs w:val="18"/>
                <w:lang w:eastAsia="ja-JP"/>
                <w14:ligatures w14:val="standardContextual"/>
              </w:rPr>
            </w:pPr>
          </w:p>
        </w:tc>
        <w:tc>
          <w:tcPr>
            <w:tcW w:w="211" w:type="pct"/>
            <w:vAlign w:val="center"/>
          </w:tcPr>
          <w:p w14:paraId="15964F63" w14:textId="77777777" w:rsidR="009123AC" w:rsidRPr="00F0379B" w:rsidRDefault="009123AC" w:rsidP="009123AC">
            <w:pPr>
              <w:spacing w:after="0" w:line="240" w:lineRule="auto"/>
              <w:rPr>
                <w:rFonts w:ascii="Cambria" w:eastAsia="Times New Roman" w:hAnsi="Cambria" w:cs="Calibri"/>
                <w:kern w:val="2"/>
                <w:sz w:val="18"/>
                <w:szCs w:val="18"/>
                <w:lang w:eastAsia="ja-JP"/>
                <w14:ligatures w14:val="standardContextual"/>
              </w:rPr>
            </w:pPr>
          </w:p>
        </w:tc>
        <w:tc>
          <w:tcPr>
            <w:tcW w:w="286" w:type="pct"/>
            <w:vAlign w:val="center"/>
          </w:tcPr>
          <w:p w14:paraId="42704103" w14:textId="77777777" w:rsidR="009123AC" w:rsidRPr="00F0379B" w:rsidRDefault="009123AC" w:rsidP="009123AC">
            <w:pPr>
              <w:spacing w:after="0" w:line="240" w:lineRule="auto"/>
              <w:jc w:val="center"/>
              <w:rPr>
                <w:rFonts w:ascii="Cambria" w:eastAsia="Times New Roman" w:hAnsi="Cambria" w:cs="Calibri"/>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w:t>
            </w:r>
          </w:p>
        </w:tc>
        <w:tc>
          <w:tcPr>
            <w:tcW w:w="286" w:type="pct"/>
            <w:vAlign w:val="center"/>
          </w:tcPr>
          <w:p w14:paraId="677AE4D5" w14:textId="77777777" w:rsidR="009123AC" w:rsidRPr="00F0379B" w:rsidRDefault="009123AC" w:rsidP="009123AC">
            <w:pPr>
              <w:spacing w:after="0" w:line="240" w:lineRule="auto"/>
              <w:jc w:val="center"/>
              <w:rPr>
                <w:rFonts w:ascii="Cambria" w:eastAsia="Times New Roman" w:hAnsi="Cambria" w:cs="Calibri"/>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w:t>
            </w:r>
          </w:p>
        </w:tc>
        <w:tc>
          <w:tcPr>
            <w:tcW w:w="286" w:type="pct"/>
            <w:vAlign w:val="center"/>
          </w:tcPr>
          <w:p w14:paraId="70A9A9ED" w14:textId="77777777" w:rsidR="009123AC" w:rsidRPr="00F0379B" w:rsidRDefault="009123AC" w:rsidP="009123AC">
            <w:pPr>
              <w:spacing w:after="0" w:line="240" w:lineRule="auto"/>
              <w:jc w:val="center"/>
              <w:rPr>
                <w:rFonts w:ascii="Cambria" w:eastAsia="Times New Roman" w:hAnsi="Cambria" w:cs="Calibri"/>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w:t>
            </w:r>
          </w:p>
        </w:tc>
        <w:tc>
          <w:tcPr>
            <w:tcW w:w="342" w:type="pct"/>
          </w:tcPr>
          <w:p w14:paraId="37E8CE2D" w14:textId="77777777" w:rsidR="009123AC" w:rsidRPr="00F0379B" w:rsidRDefault="009123AC" w:rsidP="009123AC">
            <w:pPr>
              <w:spacing w:after="0" w:line="240" w:lineRule="auto"/>
              <w:jc w:val="center"/>
              <w:rPr>
                <w:rFonts w:ascii="Cambria" w:eastAsia="Times New Roman" w:hAnsi="Cambria" w:cs="Calibri"/>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1</w:t>
            </w:r>
          </w:p>
        </w:tc>
      </w:tr>
      <w:tr w:rsidR="009123AC" w:rsidRPr="00F0379B" w14:paraId="77F6DD31" w14:textId="77777777" w:rsidTr="00CA749B">
        <w:trPr>
          <w:trHeight w:val="20"/>
        </w:trPr>
        <w:tc>
          <w:tcPr>
            <w:tcW w:w="1316" w:type="pct"/>
            <w:vAlign w:val="center"/>
          </w:tcPr>
          <w:p w14:paraId="51D5B6C8" w14:textId="77777777" w:rsidR="009123AC" w:rsidRPr="00F0379B" w:rsidRDefault="009123AC" w:rsidP="009123AC">
            <w:pPr>
              <w:spacing w:after="0" w:line="240" w:lineRule="auto"/>
              <w:rPr>
                <w:rFonts w:ascii="Cambria" w:eastAsia="Times New Roman" w:hAnsi="Cambria" w:cs="Calibri"/>
                <w:b/>
                <w:bCs/>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Cuota para investigación científica</w:t>
            </w:r>
          </w:p>
          <w:p w14:paraId="0ED1F299"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(si procede)</w:t>
            </w:r>
          </w:p>
        </w:tc>
        <w:tc>
          <w:tcPr>
            <w:tcW w:w="650" w:type="pct"/>
            <w:noWrap/>
            <w:vAlign w:val="center"/>
          </w:tcPr>
          <w:p w14:paraId="27548630" w14:textId="77777777" w:rsidR="009123AC" w:rsidRPr="00F0379B" w:rsidRDefault="009123AC" w:rsidP="009123AC">
            <w:pPr>
              <w:spacing w:after="0" w:line="240" w:lineRule="auto"/>
              <w:jc w:val="right"/>
              <w:rPr>
                <w:rFonts w:ascii="Cambria" w:eastAsiaTheme="minorEastAsia" w:hAnsi="Cambria"/>
                <w:b/>
                <w:kern w:val="2"/>
                <w:sz w:val="18"/>
                <w:szCs w:val="18"/>
                <w:lang w:eastAsia="ja-JP"/>
                <w14:ligatures w14:val="standardContextual"/>
              </w:rPr>
            </w:pPr>
          </w:p>
        </w:tc>
        <w:tc>
          <w:tcPr>
            <w:tcW w:w="219" w:type="pct"/>
          </w:tcPr>
          <w:p w14:paraId="70ACB886" w14:textId="77777777" w:rsidR="009123AC" w:rsidRPr="00F0379B" w:rsidRDefault="009123AC" w:rsidP="009123AC">
            <w:pPr>
              <w:spacing w:after="0" w:line="240" w:lineRule="auto"/>
              <w:rPr>
                <w:rFonts w:ascii="Cambria" w:eastAsiaTheme="minorEastAsia" w:hAnsi="Cambria"/>
                <w:b/>
                <w:kern w:val="2"/>
                <w:sz w:val="18"/>
                <w:szCs w:val="18"/>
                <w:lang w:eastAsia="ja-JP"/>
                <w14:ligatures w14:val="standardContextual"/>
              </w:rPr>
            </w:pPr>
          </w:p>
        </w:tc>
        <w:tc>
          <w:tcPr>
            <w:tcW w:w="165" w:type="pct"/>
            <w:noWrap/>
            <w:vAlign w:val="center"/>
          </w:tcPr>
          <w:p w14:paraId="2D2FEBC2" w14:textId="77777777" w:rsidR="009123AC" w:rsidRPr="00F0379B" w:rsidRDefault="009123AC" w:rsidP="009123AC">
            <w:pPr>
              <w:spacing w:after="0" w:line="240" w:lineRule="auto"/>
              <w:rPr>
                <w:rFonts w:ascii="Cambria" w:eastAsiaTheme="minorEastAsia" w:hAnsi="Cambria"/>
                <w:b/>
                <w:kern w:val="2"/>
                <w:sz w:val="18"/>
                <w:szCs w:val="18"/>
                <w:lang w:eastAsia="ja-JP"/>
                <w14:ligatures w14:val="standardContextual"/>
              </w:rPr>
            </w:pPr>
          </w:p>
        </w:tc>
        <w:tc>
          <w:tcPr>
            <w:tcW w:w="168" w:type="pct"/>
            <w:vAlign w:val="center"/>
          </w:tcPr>
          <w:p w14:paraId="22744DB7" w14:textId="77777777" w:rsidR="009123AC" w:rsidRPr="00F0379B" w:rsidRDefault="009123AC" w:rsidP="009123AC">
            <w:pPr>
              <w:spacing w:after="0" w:line="240" w:lineRule="auto"/>
              <w:rPr>
                <w:rFonts w:ascii="Cambria" w:eastAsiaTheme="minorEastAsia" w:hAnsi="Cambria"/>
                <w:b/>
                <w:kern w:val="2"/>
                <w:sz w:val="18"/>
                <w:szCs w:val="18"/>
                <w:lang w:eastAsia="ja-JP"/>
                <w14:ligatures w14:val="standardContextual"/>
              </w:rPr>
            </w:pPr>
          </w:p>
        </w:tc>
        <w:tc>
          <w:tcPr>
            <w:tcW w:w="163" w:type="pct"/>
            <w:vAlign w:val="center"/>
          </w:tcPr>
          <w:p w14:paraId="62D62FF5" w14:textId="77777777" w:rsidR="009123AC" w:rsidRPr="00F0379B" w:rsidRDefault="009123AC" w:rsidP="009123AC">
            <w:pPr>
              <w:spacing w:after="0" w:line="240" w:lineRule="auto"/>
              <w:rPr>
                <w:rFonts w:ascii="Cambria" w:eastAsiaTheme="minorEastAsia" w:hAnsi="Cambria"/>
                <w:b/>
                <w:kern w:val="2"/>
                <w:sz w:val="18"/>
                <w:szCs w:val="18"/>
                <w:lang w:eastAsia="ja-JP"/>
                <w14:ligatures w14:val="standardContextual"/>
              </w:rPr>
            </w:pPr>
          </w:p>
        </w:tc>
        <w:tc>
          <w:tcPr>
            <w:tcW w:w="163" w:type="pct"/>
            <w:vAlign w:val="center"/>
          </w:tcPr>
          <w:p w14:paraId="4DFAB8F9" w14:textId="77777777" w:rsidR="009123AC" w:rsidRPr="00F0379B" w:rsidRDefault="009123AC" w:rsidP="009123AC">
            <w:pPr>
              <w:spacing w:after="0" w:line="240" w:lineRule="auto"/>
              <w:rPr>
                <w:rFonts w:ascii="Cambria" w:eastAsiaTheme="minorEastAsia" w:hAnsi="Cambria"/>
                <w:b/>
                <w:kern w:val="2"/>
                <w:sz w:val="18"/>
                <w:szCs w:val="18"/>
                <w:lang w:eastAsia="ja-JP"/>
                <w14:ligatures w14:val="standardContextual"/>
              </w:rPr>
            </w:pPr>
          </w:p>
        </w:tc>
        <w:tc>
          <w:tcPr>
            <w:tcW w:w="163" w:type="pct"/>
          </w:tcPr>
          <w:p w14:paraId="269702AC" w14:textId="77777777" w:rsidR="009123AC" w:rsidRPr="00F0379B" w:rsidRDefault="009123AC" w:rsidP="009123AC">
            <w:pPr>
              <w:spacing w:after="0" w:line="240" w:lineRule="auto"/>
              <w:rPr>
                <w:rFonts w:ascii="Cambria" w:eastAsiaTheme="minorEastAsia" w:hAnsi="Cambria"/>
                <w:b/>
                <w:kern w:val="2"/>
                <w:sz w:val="18"/>
                <w:szCs w:val="18"/>
                <w:lang w:eastAsia="ja-JP"/>
                <w14:ligatures w14:val="standardContextual"/>
              </w:rPr>
            </w:pPr>
          </w:p>
        </w:tc>
        <w:tc>
          <w:tcPr>
            <w:tcW w:w="164" w:type="pct"/>
          </w:tcPr>
          <w:p w14:paraId="0A4E4EA3" w14:textId="77777777" w:rsidR="009123AC" w:rsidRPr="00F0379B" w:rsidRDefault="009123AC" w:rsidP="009123AC">
            <w:pPr>
              <w:spacing w:after="0" w:line="240" w:lineRule="auto"/>
              <w:jc w:val="center"/>
              <w:rPr>
                <w:rFonts w:ascii="Cambria" w:eastAsiaTheme="minorEastAsia" w:hAnsi="Cambria"/>
                <w:kern w:val="2"/>
                <w:sz w:val="18"/>
                <w:szCs w:val="18"/>
                <w:lang w:eastAsia="ja-JP"/>
                <w14:ligatures w14:val="standardContextual"/>
              </w:rPr>
            </w:pPr>
          </w:p>
        </w:tc>
        <w:tc>
          <w:tcPr>
            <w:tcW w:w="92" w:type="pct"/>
            <w:vAlign w:val="center"/>
          </w:tcPr>
          <w:p w14:paraId="792B87FF" w14:textId="77777777" w:rsidR="009123AC" w:rsidRPr="00F0379B" w:rsidRDefault="009123AC" w:rsidP="009123AC">
            <w:pPr>
              <w:spacing w:after="0" w:line="240" w:lineRule="auto"/>
              <w:rPr>
                <w:rFonts w:ascii="Cambria" w:eastAsiaTheme="minorEastAsia" w:hAnsi="Cambria"/>
                <w:b/>
                <w:kern w:val="2"/>
                <w:sz w:val="18"/>
                <w:szCs w:val="18"/>
                <w:lang w:eastAsia="ja-JP"/>
                <w14:ligatures w14:val="standardContextual"/>
              </w:rPr>
            </w:pPr>
          </w:p>
        </w:tc>
        <w:tc>
          <w:tcPr>
            <w:tcW w:w="163" w:type="pct"/>
          </w:tcPr>
          <w:p w14:paraId="160D381A" w14:textId="77777777" w:rsidR="009123AC" w:rsidRPr="00F0379B" w:rsidRDefault="009123AC" w:rsidP="009123AC">
            <w:pPr>
              <w:spacing w:after="0" w:line="240" w:lineRule="auto"/>
              <w:rPr>
                <w:rFonts w:ascii="Cambria" w:eastAsiaTheme="minorEastAsia" w:hAnsi="Cambria"/>
                <w:b/>
                <w:kern w:val="2"/>
                <w:sz w:val="18"/>
                <w:szCs w:val="18"/>
                <w:lang w:eastAsia="ja-JP"/>
                <w14:ligatures w14:val="standardContextual"/>
              </w:rPr>
            </w:pPr>
          </w:p>
        </w:tc>
        <w:tc>
          <w:tcPr>
            <w:tcW w:w="163" w:type="pct"/>
            <w:vAlign w:val="center"/>
          </w:tcPr>
          <w:p w14:paraId="142DF7AB" w14:textId="77777777" w:rsidR="009123AC" w:rsidRPr="00F0379B" w:rsidRDefault="009123AC" w:rsidP="009123AC">
            <w:pPr>
              <w:spacing w:after="0" w:line="240" w:lineRule="auto"/>
              <w:rPr>
                <w:rFonts w:ascii="Cambria" w:eastAsiaTheme="minorEastAsia" w:hAnsi="Cambria"/>
                <w:b/>
                <w:kern w:val="2"/>
                <w:sz w:val="18"/>
                <w:szCs w:val="18"/>
                <w:lang w:eastAsia="ja-JP"/>
                <w14:ligatures w14:val="standardContextual"/>
              </w:rPr>
            </w:pPr>
          </w:p>
        </w:tc>
        <w:tc>
          <w:tcPr>
            <w:tcW w:w="211" w:type="pct"/>
            <w:vAlign w:val="center"/>
          </w:tcPr>
          <w:p w14:paraId="428313C4" w14:textId="77777777" w:rsidR="009123AC" w:rsidRPr="00F0379B" w:rsidRDefault="009123AC" w:rsidP="009123AC">
            <w:pPr>
              <w:spacing w:after="0" w:line="240" w:lineRule="auto"/>
              <w:rPr>
                <w:rFonts w:ascii="Cambria" w:eastAsiaTheme="minorEastAsia" w:hAnsi="Cambria"/>
                <w:b/>
                <w:kern w:val="2"/>
                <w:sz w:val="18"/>
                <w:szCs w:val="18"/>
                <w:lang w:eastAsia="ja-JP"/>
                <w14:ligatures w14:val="standardContextual"/>
              </w:rPr>
            </w:pPr>
          </w:p>
        </w:tc>
        <w:tc>
          <w:tcPr>
            <w:tcW w:w="286" w:type="pct"/>
            <w:noWrap/>
            <w:vAlign w:val="center"/>
          </w:tcPr>
          <w:p w14:paraId="399A2C55" w14:textId="77777777" w:rsidR="009123AC" w:rsidRPr="00F0379B" w:rsidRDefault="009123AC" w:rsidP="009123AC">
            <w:pPr>
              <w:spacing w:after="0" w:line="240" w:lineRule="auto"/>
              <w:rPr>
                <w:rFonts w:ascii="Cambria" w:eastAsiaTheme="minorEastAsia" w:hAnsi="Cambria"/>
                <w:b/>
                <w:kern w:val="2"/>
                <w:sz w:val="18"/>
                <w:szCs w:val="18"/>
                <w:lang w:eastAsia="ja-JP"/>
                <w14:ligatures w14:val="standardContextual"/>
              </w:rPr>
            </w:pPr>
          </w:p>
        </w:tc>
        <w:tc>
          <w:tcPr>
            <w:tcW w:w="286" w:type="pct"/>
            <w:noWrap/>
            <w:vAlign w:val="center"/>
          </w:tcPr>
          <w:p w14:paraId="6AA38275" w14:textId="77777777" w:rsidR="009123AC" w:rsidRPr="00F0379B" w:rsidRDefault="009123AC" w:rsidP="009123AC">
            <w:pPr>
              <w:spacing w:after="0" w:line="240" w:lineRule="auto"/>
              <w:rPr>
                <w:rFonts w:ascii="Cambria" w:eastAsiaTheme="minorEastAsia" w:hAnsi="Cambria"/>
                <w:b/>
                <w:kern w:val="2"/>
                <w:sz w:val="18"/>
                <w:szCs w:val="18"/>
                <w:lang w:eastAsia="ja-JP"/>
                <w14:ligatures w14:val="standardContextual"/>
              </w:rPr>
            </w:pPr>
          </w:p>
        </w:tc>
        <w:tc>
          <w:tcPr>
            <w:tcW w:w="286" w:type="pct"/>
            <w:noWrap/>
            <w:vAlign w:val="center"/>
          </w:tcPr>
          <w:p w14:paraId="1DD0AA95" w14:textId="77777777" w:rsidR="009123AC" w:rsidRPr="00F0379B" w:rsidRDefault="009123AC" w:rsidP="009123AC">
            <w:pPr>
              <w:spacing w:after="0" w:line="240" w:lineRule="auto"/>
              <w:rPr>
                <w:rFonts w:ascii="Cambria" w:eastAsiaTheme="minorEastAsia" w:hAnsi="Cambria"/>
                <w:b/>
                <w:kern w:val="2"/>
                <w:sz w:val="18"/>
                <w:szCs w:val="18"/>
                <w:lang w:eastAsia="ja-JP"/>
                <w14:ligatures w14:val="standardContextual"/>
              </w:rPr>
            </w:pPr>
          </w:p>
        </w:tc>
        <w:tc>
          <w:tcPr>
            <w:tcW w:w="342" w:type="pct"/>
          </w:tcPr>
          <w:p w14:paraId="692CD511" w14:textId="77777777" w:rsidR="009123AC" w:rsidRPr="00F0379B" w:rsidRDefault="009123AC" w:rsidP="009123AC">
            <w:pPr>
              <w:spacing w:after="0" w:line="240" w:lineRule="auto"/>
              <w:rPr>
                <w:rFonts w:ascii="Cambria" w:eastAsiaTheme="minorEastAsia" w:hAnsi="Cambria"/>
                <w:b/>
                <w:kern w:val="2"/>
                <w:sz w:val="18"/>
                <w:szCs w:val="18"/>
                <w:lang w:eastAsia="ja-JP"/>
                <w14:ligatures w14:val="standardContextual"/>
              </w:rPr>
            </w:pPr>
          </w:p>
        </w:tc>
      </w:tr>
      <w:tr w:rsidR="009123AC" w:rsidRPr="00F0379B" w14:paraId="06A01E39" w14:textId="77777777" w:rsidTr="00CA749B">
        <w:trPr>
          <w:trHeight w:val="20"/>
        </w:trPr>
        <w:tc>
          <w:tcPr>
            <w:tcW w:w="1316" w:type="pct"/>
            <w:vAlign w:val="center"/>
          </w:tcPr>
          <w:p w14:paraId="54908FD8"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Tolerancia para pesca deportiva/de recreo</w:t>
            </w:r>
          </w:p>
          <w:p w14:paraId="48EB32CD"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(si procede)</w:t>
            </w:r>
          </w:p>
        </w:tc>
        <w:tc>
          <w:tcPr>
            <w:tcW w:w="650" w:type="pct"/>
            <w:noWrap/>
            <w:vAlign w:val="center"/>
          </w:tcPr>
          <w:p w14:paraId="0208BA71" w14:textId="77777777" w:rsidR="009123AC" w:rsidRPr="00F0379B" w:rsidRDefault="009123AC" w:rsidP="009123AC">
            <w:pPr>
              <w:spacing w:after="0" w:line="240" w:lineRule="auto"/>
              <w:jc w:val="right"/>
              <w:rPr>
                <w:rFonts w:ascii="Cambria" w:eastAsiaTheme="minorEastAsia" w:hAnsi="Cambria"/>
                <w:b/>
                <w:kern w:val="2"/>
                <w:sz w:val="18"/>
                <w:szCs w:val="18"/>
                <w:lang w:val="en-GB" w:eastAsia="ja-JP"/>
                <w14:ligatures w14:val="standardContextual"/>
              </w:rPr>
            </w:pPr>
          </w:p>
        </w:tc>
        <w:tc>
          <w:tcPr>
            <w:tcW w:w="219" w:type="pct"/>
          </w:tcPr>
          <w:p w14:paraId="23E53DF8"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5" w:type="pct"/>
            <w:noWrap/>
            <w:vAlign w:val="center"/>
          </w:tcPr>
          <w:p w14:paraId="2C87206C"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8" w:type="pct"/>
            <w:vAlign w:val="center"/>
          </w:tcPr>
          <w:p w14:paraId="56F3AB18"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3" w:type="pct"/>
            <w:vAlign w:val="center"/>
          </w:tcPr>
          <w:p w14:paraId="5CF7AC15"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3" w:type="pct"/>
            <w:vAlign w:val="center"/>
          </w:tcPr>
          <w:p w14:paraId="24917ED7"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3" w:type="pct"/>
          </w:tcPr>
          <w:p w14:paraId="7CBBD671"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4" w:type="pct"/>
          </w:tcPr>
          <w:p w14:paraId="4D1EB32C"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92" w:type="pct"/>
            <w:vAlign w:val="center"/>
          </w:tcPr>
          <w:p w14:paraId="2DCC7E38"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3" w:type="pct"/>
          </w:tcPr>
          <w:p w14:paraId="1912FF04"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163" w:type="pct"/>
            <w:vAlign w:val="center"/>
          </w:tcPr>
          <w:p w14:paraId="08CDF9AC"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211" w:type="pct"/>
            <w:vAlign w:val="center"/>
          </w:tcPr>
          <w:p w14:paraId="60EFFE52"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286" w:type="pct"/>
            <w:noWrap/>
            <w:vAlign w:val="center"/>
          </w:tcPr>
          <w:p w14:paraId="71FC6A86"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286" w:type="pct"/>
            <w:noWrap/>
            <w:vAlign w:val="center"/>
          </w:tcPr>
          <w:p w14:paraId="7B8F959B"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286" w:type="pct"/>
            <w:noWrap/>
            <w:vAlign w:val="center"/>
          </w:tcPr>
          <w:p w14:paraId="4E6B501F"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c>
          <w:tcPr>
            <w:tcW w:w="342" w:type="pct"/>
          </w:tcPr>
          <w:p w14:paraId="05ED95FF" w14:textId="77777777" w:rsidR="009123AC" w:rsidRPr="00F0379B" w:rsidRDefault="009123AC" w:rsidP="009123AC">
            <w:pPr>
              <w:spacing w:after="0" w:line="240" w:lineRule="auto"/>
              <w:rPr>
                <w:rFonts w:ascii="Cambria" w:eastAsiaTheme="minorEastAsia" w:hAnsi="Cambria"/>
                <w:b/>
                <w:kern w:val="2"/>
                <w:sz w:val="18"/>
                <w:szCs w:val="18"/>
                <w:lang w:val="en-GB" w:eastAsia="ja-JP"/>
                <w14:ligatures w14:val="standardContextual"/>
              </w:rPr>
            </w:pPr>
          </w:p>
        </w:tc>
      </w:tr>
      <w:tr w:rsidR="009123AC" w:rsidRPr="00F0379B" w14:paraId="2A873A22" w14:textId="77777777" w:rsidTr="00CA749B">
        <w:trPr>
          <w:trHeight w:val="20"/>
        </w:trPr>
        <w:tc>
          <w:tcPr>
            <w:tcW w:w="1316" w:type="pct"/>
            <w:vAlign w:val="center"/>
          </w:tcPr>
          <w:p w14:paraId="47B4283B" w14:textId="77777777" w:rsidR="009123AC" w:rsidRPr="00F0379B" w:rsidRDefault="009123AC" w:rsidP="009123AC">
            <w:pPr>
              <w:spacing w:after="0" w:line="240" w:lineRule="auto"/>
              <w:rPr>
                <w:rFonts w:ascii="Cambria" w:eastAsia="Times New Roman" w:hAnsi="Cambria" w:cs="Calibri"/>
                <w:b/>
                <w:bCs/>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Cuota disponible</w:t>
            </w:r>
          </w:p>
        </w:tc>
        <w:tc>
          <w:tcPr>
            <w:tcW w:w="650" w:type="pct"/>
            <w:noWrap/>
            <w:vAlign w:val="center"/>
          </w:tcPr>
          <w:p w14:paraId="657829C3" w14:textId="77777777" w:rsidR="009123AC" w:rsidRPr="00F0379B" w:rsidRDefault="009123AC" w:rsidP="009123AC">
            <w:pPr>
              <w:spacing w:after="0" w:line="240" w:lineRule="auto"/>
              <w:jc w:val="right"/>
              <w:rPr>
                <w:rFonts w:ascii="Cambria" w:eastAsia="Times New Roman" w:hAnsi="Cambria" w:cs="Calibri"/>
                <w:b/>
                <w:bCs/>
                <w:kern w:val="2"/>
                <w:sz w:val="18"/>
                <w:szCs w:val="18"/>
                <w:lang w:val="en-GB" w:eastAsia="ja-JP"/>
                <w14:ligatures w14:val="standardContextual"/>
              </w:rPr>
            </w:pPr>
          </w:p>
        </w:tc>
        <w:tc>
          <w:tcPr>
            <w:tcW w:w="219" w:type="pct"/>
          </w:tcPr>
          <w:p w14:paraId="4DE6FEDF" w14:textId="77777777" w:rsidR="009123AC" w:rsidRPr="00F0379B" w:rsidRDefault="009123AC" w:rsidP="009123AC">
            <w:pPr>
              <w:spacing w:after="0" w:line="240" w:lineRule="auto"/>
              <w:rPr>
                <w:rFonts w:ascii="Cambria" w:eastAsia="Times New Roman" w:hAnsi="Cambria" w:cs="Calibri"/>
                <w:b/>
                <w:bCs/>
                <w:kern w:val="2"/>
                <w:sz w:val="18"/>
                <w:szCs w:val="18"/>
                <w:lang w:val="en-GB" w:eastAsia="ja-JP"/>
                <w14:ligatures w14:val="standardContextual"/>
              </w:rPr>
            </w:pPr>
          </w:p>
        </w:tc>
        <w:tc>
          <w:tcPr>
            <w:tcW w:w="165" w:type="pct"/>
            <w:noWrap/>
            <w:vAlign w:val="center"/>
          </w:tcPr>
          <w:p w14:paraId="31CC9378" w14:textId="77777777" w:rsidR="009123AC" w:rsidRPr="00F0379B" w:rsidRDefault="009123AC" w:rsidP="009123AC">
            <w:pPr>
              <w:spacing w:after="0" w:line="240" w:lineRule="auto"/>
              <w:rPr>
                <w:rFonts w:ascii="Cambria" w:eastAsia="Times New Roman" w:hAnsi="Cambria" w:cs="Calibri"/>
                <w:b/>
                <w:bCs/>
                <w:kern w:val="2"/>
                <w:sz w:val="18"/>
                <w:szCs w:val="18"/>
                <w:lang w:val="en-GB" w:eastAsia="ja-JP"/>
                <w14:ligatures w14:val="standardContextual"/>
              </w:rPr>
            </w:pPr>
          </w:p>
        </w:tc>
        <w:tc>
          <w:tcPr>
            <w:tcW w:w="168" w:type="pct"/>
            <w:vAlign w:val="center"/>
          </w:tcPr>
          <w:p w14:paraId="10422FFF" w14:textId="77777777" w:rsidR="009123AC" w:rsidRPr="00F0379B" w:rsidRDefault="009123AC" w:rsidP="009123AC">
            <w:pPr>
              <w:spacing w:after="0" w:line="240" w:lineRule="auto"/>
              <w:rPr>
                <w:rFonts w:ascii="Cambria" w:eastAsia="Times New Roman" w:hAnsi="Cambria" w:cs="Calibri"/>
                <w:b/>
                <w:bCs/>
                <w:kern w:val="2"/>
                <w:sz w:val="18"/>
                <w:szCs w:val="18"/>
                <w:lang w:val="en-GB" w:eastAsia="ja-JP"/>
                <w14:ligatures w14:val="standardContextual"/>
              </w:rPr>
            </w:pPr>
          </w:p>
        </w:tc>
        <w:tc>
          <w:tcPr>
            <w:tcW w:w="163" w:type="pct"/>
            <w:vAlign w:val="center"/>
          </w:tcPr>
          <w:p w14:paraId="56381577" w14:textId="77777777" w:rsidR="009123AC" w:rsidRPr="00F0379B" w:rsidRDefault="009123AC" w:rsidP="009123AC">
            <w:pPr>
              <w:spacing w:after="0" w:line="240" w:lineRule="auto"/>
              <w:rPr>
                <w:rFonts w:ascii="Cambria" w:eastAsia="Times New Roman" w:hAnsi="Cambria" w:cs="Calibri"/>
                <w:b/>
                <w:bCs/>
                <w:kern w:val="2"/>
                <w:sz w:val="18"/>
                <w:szCs w:val="18"/>
                <w:lang w:val="en-GB" w:eastAsia="ja-JP"/>
                <w14:ligatures w14:val="standardContextual"/>
              </w:rPr>
            </w:pPr>
          </w:p>
        </w:tc>
        <w:tc>
          <w:tcPr>
            <w:tcW w:w="163" w:type="pct"/>
            <w:vAlign w:val="center"/>
          </w:tcPr>
          <w:p w14:paraId="409C492D" w14:textId="77777777" w:rsidR="009123AC" w:rsidRPr="00F0379B" w:rsidRDefault="009123AC" w:rsidP="009123AC">
            <w:pPr>
              <w:spacing w:after="0" w:line="240" w:lineRule="auto"/>
              <w:rPr>
                <w:rFonts w:ascii="Cambria" w:eastAsia="Times New Roman" w:hAnsi="Cambria" w:cs="Calibri"/>
                <w:b/>
                <w:bCs/>
                <w:kern w:val="2"/>
                <w:sz w:val="18"/>
                <w:szCs w:val="18"/>
                <w:lang w:val="en-GB" w:eastAsia="ja-JP"/>
                <w14:ligatures w14:val="standardContextual"/>
              </w:rPr>
            </w:pPr>
          </w:p>
        </w:tc>
        <w:tc>
          <w:tcPr>
            <w:tcW w:w="163" w:type="pct"/>
          </w:tcPr>
          <w:p w14:paraId="46B0201C" w14:textId="77777777" w:rsidR="009123AC" w:rsidRPr="00F0379B" w:rsidRDefault="009123AC" w:rsidP="009123AC">
            <w:pPr>
              <w:spacing w:after="0" w:line="240" w:lineRule="auto"/>
              <w:rPr>
                <w:rFonts w:ascii="Cambria" w:eastAsia="Times New Roman" w:hAnsi="Cambria" w:cs="Calibri"/>
                <w:b/>
                <w:bCs/>
                <w:kern w:val="2"/>
                <w:sz w:val="18"/>
                <w:szCs w:val="18"/>
                <w:lang w:val="en-GB" w:eastAsia="ja-JP"/>
                <w14:ligatures w14:val="standardContextual"/>
              </w:rPr>
            </w:pPr>
          </w:p>
        </w:tc>
        <w:tc>
          <w:tcPr>
            <w:tcW w:w="164" w:type="pct"/>
          </w:tcPr>
          <w:p w14:paraId="6DCCA710" w14:textId="77777777" w:rsidR="009123AC" w:rsidRPr="00F0379B" w:rsidRDefault="009123AC" w:rsidP="009123AC">
            <w:pPr>
              <w:spacing w:after="0" w:line="240" w:lineRule="auto"/>
              <w:jc w:val="center"/>
              <w:rPr>
                <w:rFonts w:ascii="Cambria" w:eastAsia="Times New Roman" w:hAnsi="Cambria" w:cs="Calibri"/>
                <w:kern w:val="2"/>
                <w:sz w:val="18"/>
                <w:szCs w:val="18"/>
                <w:lang w:val="en-GB" w:eastAsia="ja-JP"/>
                <w14:ligatures w14:val="standardContextual"/>
              </w:rPr>
            </w:pPr>
          </w:p>
        </w:tc>
        <w:tc>
          <w:tcPr>
            <w:tcW w:w="92" w:type="pct"/>
            <w:vAlign w:val="center"/>
          </w:tcPr>
          <w:p w14:paraId="5F32094C" w14:textId="77777777" w:rsidR="009123AC" w:rsidRPr="00F0379B" w:rsidRDefault="009123AC" w:rsidP="009123AC">
            <w:pPr>
              <w:spacing w:after="0" w:line="240" w:lineRule="auto"/>
              <w:rPr>
                <w:rFonts w:ascii="Cambria" w:eastAsia="Times New Roman" w:hAnsi="Cambria" w:cs="Calibri"/>
                <w:b/>
                <w:bCs/>
                <w:kern w:val="2"/>
                <w:sz w:val="18"/>
                <w:szCs w:val="18"/>
                <w:lang w:val="en-GB" w:eastAsia="ja-JP"/>
                <w14:ligatures w14:val="standardContextual"/>
              </w:rPr>
            </w:pPr>
          </w:p>
        </w:tc>
        <w:tc>
          <w:tcPr>
            <w:tcW w:w="163" w:type="pct"/>
          </w:tcPr>
          <w:p w14:paraId="1D9B8573" w14:textId="77777777" w:rsidR="009123AC" w:rsidRPr="00F0379B" w:rsidRDefault="009123AC" w:rsidP="009123AC">
            <w:pPr>
              <w:spacing w:after="0" w:line="240" w:lineRule="auto"/>
              <w:rPr>
                <w:rFonts w:ascii="Cambria" w:eastAsia="Times New Roman" w:hAnsi="Cambria" w:cs="Calibri"/>
                <w:b/>
                <w:bCs/>
                <w:kern w:val="2"/>
                <w:sz w:val="18"/>
                <w:szCs w:val="18"/>
                <w:lang w:val="en-GB" w:eastAsia="ja-JP"/>
                <w14:ligatures w14:val="standardContextual"/>
              </w:rPr>
            </w:pPr>
          </w:p>
        </w:tc>
        <w:tc>
          <w:tcPr>
            <w:tcW w:w="163" w:type="pct"/>
            <w:vAlign w:val="center"/>
          </w:tcPr>
          <w:p w14:paraId="725B4246" w14:textId="77777777" w:rsidR="009123AC" w:rsidRPr="00F0379B" w:rsidRDefault="009123AC" w:rsidP="009123AC">
            <w:pPr>
              <w:spacing w:after="0" w:line="240" w:lineRule="auto"/>
              <w:rPr>
                <w:rFonts w:ascii="Cambria" w:eastAsia="Times New Roman" w:hAnsi="Cambria" w:cs="Calibri"/>
                <w:b/>
                <w:bCs/>
                <w:kern w:val="2"/>
                <w:sz w:val="18"/>
                <w:szCs w:val="18"/>
                <w:lang w:val="en-GB" w:eastAsia="ja-JP"/>
                <w14:ligatures w14:val="standardContextual"/>
              </w:rPr>
            </w:pPr>
          </w:p>
        </w:tc>
        <w:tc>
          <w:tcPr>
            <w:tcW w:w="211" w:type="pct"/>
            <w:vAlign w:val="center"/>
          </w:tcPr>
          <w:p w14:paraId="320A6BCB" w14:textId="77777777" w:rsidR="009123AC" w:rsidRPr="00F0379B" w:rsidRDefault="009123AC" w:rsidP="009123AC">
            <w:pPr>
              <w:spacing w:after="0" w:line="240" w:lineRule="auto"/>
              <w:rPr>
                <w:rFonts w:ascii="Cambria" w:eastAsia="Times New Roman" w:hAnsi="Cambria" w:cs="Calibri"/>
                <w:b/>
                <w:bCs/>
                <w:kern w:val="2"/>
                <w:sz w:val="18"/>
                <w:szCs w:val="18"/>
                <w:lang w:val="en-GB" w:eastAsia="ja-JP"/>
                <w14:ligatures w14:val="standardContextual"/>
              </w:rPr>
            </w:pPr>
          </w:p>
        </w:tc>
        <w:tc>
          <w:tcPr>
            <w:tcW w:w="286" w:type="pct"/>
            <w:noWrap/>
            <w:vAlign w:val="center"/>
          </w:tcPr>
          <w:p w14:paraId="54D62808" w14:textId="77777777" w:rsidR="009123AC" w:rsidRPr="00F0379B" w:rsidRDefault="009123AC" w:rsidP="009123AC">
            <w:pPr>
              <w:spacing w:after="0" w:line="240" w:lineRule="auto"/>
              <w:jc w:val="center"/>
              <w:rPr>
                <w:rFonts w:ascii="Cambria" w:eastAsia="Times New Roman" w:hAnsi="Cambria" w:cs="Calibri"/>
                <w:b/>
                <w:bCs/>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177,5</w:t>
            </w:r>
          </w:p>
        </w:tc>
        <w:tc>
          <w:tcPr>
            <w:tcW w:w="286" w:type="pct"/>
            <w:noWrap/>
            <w:vAlign w:val="center"/>
          </w:tcPr>
          <w:p w14:paraId="36CA9A37" w14:textId="77777777" w:rsidR="009123AC" w:rsidRPr="00F0379B" w:rsidRDefault="009123AC" w:rsidP="009123AC">
            <w:pPr>
              <w:spacing w:after="0" w:line="240" w:lineRule="auto"/>
              <w:jc w:val="center"/>
              <w:rPr>
                <w:rFonts w:ascii="Cambria" w:eastAsia="Times New Roman" w:hAnsi="Cambria" w:cs="Calibri"/>
                <w:b/>
                <w:bCs/>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263</w:t>
            </w:r>
          </w:p>
        </w:tc>
        <w:tc>
          <w:tcPr>
            <w:tcW w:w="286" w:type="pct"/>
            <w:noWrap/>
            <w:vAlign w:val="center"/>
          </w:tcPr>
          <w:p w14:paraId="158B0B9F" w14:textId="77777777" w:rsidR="009123AC" w:rsidRPr="00F0379B" w:rsidRDefault="009123AC" w:rsidP="009123AC">
            <w:pPr>
              <w:spacing w:after="0" w:line="240" w:lineRule="auto"/>
              <w:jc w:val="center"/>
              <w:rPr>
                <w:rFonts w:ascii="Cambria" w:eastAsia="Times New Roman" w:hAnsi="Cambria" w:cs="Calibri"/>
                <w:b/>
                <w:bCs/>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263</w:t>
            </w:r>
          </w:p>
        </w:tc>
        <w:tc>
          <w:tcPr>
            <w:tcW w:w="342" w:type="pct"/>
          </w:tcPr>
          <w:p w14:paraId="12498BDC" w14:textId="77777777" w:rsidR="009123AC" w:rsidRPr="00F0379B" w:rsidRDefault="009123AC" w:rsidP="009123AC">
            <w:pPr>
              <w:spacing w:after="0" w:line="240" w:lineRule="auto"/>
              <w:jc w:val="center"/>
              <w:rPr>
                <w:rFonts w:ascii="Cambria" w:eastAsia="Times New Roman" w:hAnsi="Cambria" w:cs="Calibri"/>
                <w:b/>
                <w:bCs/>
                <w:kern w:val="2"/>
                <w:sz w:val="18"/>
                <w:szCs w:val="18"/>
                <w:lang w:eastAsia="es-ES_tradnl"/>
                <w14:ligatures w14:val="standardContextual"/>
              </w:rPr>
            </w:pPr>
            <w:r w:rsidRPr="00F0379B">
              <w:rPr>
                <w:rFonts w:ascii="Cambria" w:eastAsia="Aptos" w:hAnsi="Cambria"/>
                <w:b/>
                <w:kern w:val="2"/>
                <w:sz w:val="18"/>
                <w:szCs w:val="18"/>
                <w:lang w:eastAsia="es-ES_tradnl"/>
                <w14:ligatures w14:val="standardContextual"/>
              </w:rPr>
              <w:t>456,37</w:t>
            </w:r>
          </w:p>
        </w:tc>
      </w:tr>
      <w:tr w:rsidR="009123AC" w:rsidRPr="00F0379B" w14:paraId="0B26476C" w14:textId="77777777" w:rsidTr="00CA749B">
        <w:trPr>
          <w:trHeight w:val="20"/>
        </w:trPr>
        <w:tc>
          <w:tcPr>
            <w:tcW w:w="1316" w:type="pct"/>
            <w:noWrap/>
            <w:vAlign w:val="center"/>
            <w:hideMark/>
          </w:tcPr>
          <w:p w14:paraId="20CE0192" w14:textId="77777777" w:rsidR="009123AC" w:rsidRPr="00F0379B" w:rsidRDefault="009123AC" w:rsidP="009123AC">
            <w:pPr>
              <w:spacing w:after="0" w:line="240" w:lineRule="auto"/>
              <w:rPr>
                <w:rFonts w:ascii="Cambria" w:eastAsiaTheme="minorEastAsia" w:hAnsi="Cambria"/>
                <w:b/>
                <w:kern w:val="2"/>
                <w:sz w:val="18"/>
                <w:szCs w:val="18"/>
                <w:lang w:eastAsia="es-ES_tradnl"/>
                <w14:ligatures w14:val="standardContextual"/>
              </w:rPr>
            </w:pPr>
            <w:proofErr w:type="spellStart"/>
            <w:r w:rsidRPr="00F0379B">
              <w:rPr>
                <w:rFonts w:ascii="Cambria" w:eastAsia="Aptos" w:hAnsi="Cambria"/>
                <w:b/>
                <w:kern w:val="2"/>
                <w:sz w:val="18"/>
                <w:szCs w:val="18"/>
                <w:lang w:eastAsia="es-ES_tradnl"/>
                <w14:ligatures w14:val="standardContextual"/>
              </w:rPr>
              <w:t>Subcapacidad</w:t>
            </w:r>
            <w:proofErr w:type="spellEnd"/>
            <w:r w:rsidRPr="00F0379B">
              <w:rPr>
                <w:rFonts w:ascii="Cambria" w:eastAsia="Aptos" w:hAnsi="Cambria"/>
                <w:b/>
                <w:kern w:val="2"/>
                <w:sz w:val="18"/>
                <w:szCs w:val="18"/>
                <w:lang w:eastAsia="es-ES_tradnl"/>
                <w14:ligatures w14:val="standardContextual"/>
              </w:rPr>
              <w:t>/exceso de capacidad</w:t>
            </w:r>
          </w:p>
        </w:tc>
        <w:tc>
          <w:tcPr>
            <w:tcW w:w="650" w:type="pct"/>
            <w:noWrap/>
            <w:vAlign w:val="center"/>
            <w:hideMark/>
          </w:tcPr>
          <w:p w14:paraId="1A1F0200" w14:textId="77777777" w:rsidR="009123AC" w:rsidRPr="00F0379B" w:rsidRDefault="009123AC" w:rsidP="009123AC">
            <w:pPr>
              <w:spacing w:after="0" w:line="240" w:lineRule="auto"/>
              <w:jc w:val="right"/>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9" w:type="pct"/>
          </w:tcPr>
          <w:p w14:paraId="329C8A2D"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5" w:type="pct"/>
            <w:noWrap/>
            <w:vAlign w:val="center"/>
            <w:hideMark/>
          </w:tcPr>
          <w:p w14:paraId="3A6DA176"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8" w:type="pct"/>
            <w:vAlign w:val="center"/>
            <w:hideMark/>
          </w:tcPr>
          <w:p w14:paraId="1AD7FFCA"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6B7CACA4"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vAlign w:val="center"/>
            <w:hideMark/>
          </w:tcPr>
          <w:p w14:paraId="28F7FBA0"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4C7D0044"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4" w:type="pct"/>
          </w:tcPr>
          <w:p w14:paraId="7280140E" w14:textId="77777777" w:rsidR="009123AC" w:rsidRPr="00F0379B" w:rsidRDefault="009123AC" w:rsidP="009123AC">
            <w:pPr>
              <w:spacing w:after="0" w:line="240" w:lineRule="auto"/>
              <w:jc w:val="center"/>
              <w:rPr>
                <w:rFonts w:ascii="Cambria" w:eastAsiaTheme="minorEastAsia" w:hAnsi="Cambria"/>
                <w:kern w:val="2"/>
                <w:sz w:val="18"/>
                <w:szCs w:val="18"/>
                <w:lang w:val="en-GB" w:eastAsia="ja-JP"/>
                <w14:ligatures w14:val="standardContextual"/>
              </w:rPr>
            </w:pPr>
          </w:p>
        </w:tc>
        <w:tc>
          <w:tcPr>
            <w:tcW w:w="92" w:type="pct"/>
            <w:vAlign w:val="center"/>
            <w:hideMark/>
          </w:tcPr>
          <w:p w14:paraId="368E57BF"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163" w:type="pct"/>
          </w:tcPr>
          <w:p w14:paraId="0DC8FB34" w14:textId="77777777" w:rsidR="009123AC" w:rsidRPr="00F0379B" w:rsidRDefault="009123AC" w:rsidP="009123AC">
            <w:pPr>
              <w:spacing w:after="0" w:line="240" w:lineRule="auto"/>
              <w:rPr>
                <w:rFonts w:ascii="Cambria" w:eastAsiaTheme="minorEastAsia" w:hAnsi="Cambria"/>
                <w:kern w:val="2"/>
                <w:sz w:val="18"/>
                <w:szCs w:val="18"/>
                <w:lang w:val="en-GB" w:eastAsia="ja-JP"/>
                <w14:ligatures w14:val="standardContextual"/>
              </w:rPr>
            </w:pPr>
          </w:p>
        </w:tc>
        <w:tc>
          <w:tcPr>
            <w:tcW w:w="163" w:type="pct"/>
            <w:vAlign w:val="center"/>
            <w:hideMark/>
          </w:tcPr>
          <w:p w14:paraId="7259B1EF" w14:textId="77777777" w:rsidR="009123AC" w:rsidRPr="00F0379B" w:rsidRDefault="009123AC" w:rsidP="009123AC">
            <w:pPr>
              <w:spacing w:after="0" w:line="240" w:lineRule="auto"/>
              <w:rPr>
                <w:rFonts w:ascii="Cambria" w:eastAsiaTheme="minorEastAsia" w:hAnsi="Cambria"/>
                <w:kern w:val="2"/>
                <w:sz w:val="18"/>
                <w:szCs w:val="18"/>
                <w:lang w:eastAsia="es-ES_tradnl"/>
                <w14:ligatures w14:val="standardContextual"/>
              </w:rPr>
            </w:pPr>
            <w:r w:rsidRPr="00F0379B">
              <w:rPr>
                <w:rFonts w:ascii="Cambria" w:eastAsia="Aptos" w:hAnsi="Cambria"/>
                <w:kern w:val="2"/>
                <w:sz w:val="18"/>
                <w:szCs w:val="18"/>
                <w:lang w:eastAsia="es-ES_tradnl"/>
                <w14:ligatures w14:val="standardContextual"/>
              </w:rPr>
              <w:t> </w:t>
            </w:r>
          </w:p>
        </w:tc>
        <w:tc>
          <w:tcPr>
            <w:tcW w:w="211" w:type="pct"/>
            <w:hideMark/>
          </w:tcPr>
          <w:p w14:paraId="760C18EE" w14:textId="77777777" w:rsidR="009123AC" w:rsidRPr="00F0379B" w:rsidRDefault="009123AC" w:rsidP="009123AC">
            <w:pPr>
              <w:spacing w:after="0" w:line="240" w:lineRule="auto"/>
              <w:rPr>
                <w:rFonts w:ascii="Cambria" w:eastAsiaTheme="minorEastAsia" w:hAnsi="Cambria"/>
                <w:b/>
                <w:kern w:val="2"/>
                <w:sz w:val="16"/>
                <w:szCs w:val="16"/>
                <w:lang w:eastAsia="es-ES_tradnl"/>
                <w14:ligatures w14:val="standardContextual"/>
              </w:rPr>
            </w:pPr>
            <w:r w:rsidRPr="00F0379B">
              <w:rPr>
                <w:rFonts w:ascii="Cambria" w:eastAsia="Aptos" w:hAnsi="Cambria"/>
                <w:b/>
                <w:kern w:val="2"/>
                <w:sz w:val="16"/>
                <w:szCs w:val="16"/>
                <w:lang w:eastAsia="es-ES_tradnl"/>
                <w14:ligatures w14:val="standardContextual"/>
              </w:rPr>
              <w:t>-29,3</w:t>
            </w:r>
          </w:p>
        </w:tc>
        <w:tc>
          <w:tcPr>
            <w:tcW w:w="286" w:type="pct"/>
            <w:hideMark/>
          </w:tcPr>
          <w:p w14:paraId="49254D15" w14:textId="77777777" w:rsidR="009123AC" w:rsidRPr="00F0379B" w:rsidRDefault="009123AC" w:rsidP="009123AC">
            <w:pPr>
              <w:spacing w:after="0" w:line="240" w:lineRule="auto"/>
              <w:rPr>
                <w:rFonts w:ascii="Cambria" w:eastAsiaTheme="minorEastAsia" w:hAnsi="Cambria"/>
                <w:b/>
                <w:kern w:val="2"/>
                <w:sz w:val="16"/>
                <w:szCs w:val="16"/>
                <w:lang w:eastAsia="es-ES_tradnl"/>
                <w14:ligatures w14:val="standardContextual"/>
              </w:rPr>
            </w:pPr>
            <w:r w:rsidRPr="00F0379B">
              <w:rPr>
                <w:rFonts w:ascii="Cambria" w:eastAsia="Aptos" w:hAnsi="Cambria"/>
                <w:b/>
                <w:kern w:val="2"/>
                <w:sz w:val="16"/>
                <w:szCs w:val="16"/>
                <w:lang w:eastAsia="es-ES_tradnl"/>
                <w14:ligatures w14:val="standardContextual"/>
              </w:rPr>
              <w:t>-57,02</w:t>
            </w:r>
          </w:p>
        </w:tc>
        <w:tc>
          <w:tcPr>
            <w:tcW w:w="286" w:type="pct"/>
            <w:hideMark/>
          </w:tcPr>
          <w:p w14:paraId="370B0AC0" w14:textId="77777777" w:rsidR="009123AC" w:rsidRPr="00F0379B" w:rsidRDefault="009123AC" w:rsidP="009123AC">
            <w:pPr>
              <w:spacing w:after="0" w:line="240" w:lineRule="auto"/>
              <w:rPr>
                <w:rFonts w:ascii="Cambria" w:eastAsiaTheme="minorEastAsia" w:hAnsi="Cambria"/>
                <w:b/>
                <w:kern w:val="2"/>
                <w:sz w:val="16"/>
                <w:szCs w:val="16"/>
                <w:lang w:eastAsia="es-ES_tradnl"/>
                <w14:ligatures w14:val="standardContextual"/>
              </w:rPr>
            </w:pPr>
            <w:r w:rsidRPr="00F0379B">
              <w:rPr>
                <w:rFonts w:ascii="Cambria" w:eastAsia="Aptos" w:hAnsi="Cambria"/>
                <w:b/>
                <w:kern w:val="2"/>
                <w:sz w:val="16"/>
                <w:szCs w:val="16"/>
                <w:lang w:eastAsia="es-ES_tradnl"/>
                <w14:ligatures w14:val="standardContextual"/>
              </w:rPr>
              <w:t>-142,52</w:t>
            </w:r>
          </w:p>
        </w:tc>
        <w:tc>
          <w:tcPr>
            <w:tcW w:w="286" w:type="pct"/>
            <w:hideMark/>
          </w:tcPr>
          <w:p w14:paraId="3DA845B6" w14:textId="77777777" w:rsidR="009123AC" w:rsidRPr="00F0379B" w:rsidRDefault="009123AC" w:rsidP="009123AC">
            <w:pPr>
              <w:spacing w:after="0" w:line="240" w:lineRule="auto"/>
              <w:rPr>
                <w:rFonts w:ascii="Cambria" w:eastAsiaTheme="minorEastAsia" w:hAnsi="Cambria"/>
                <w:b/>
                <w:kern w:val="2"/>
                <w:sz w:val="16"/>
                <w:szCs w:val="16"/>
                <w:lang w:eastAsia="es-ES_tradnl"/>
                <w14:ligatures w14:val="standardContextual"/>
              </w:rPr>
            </w:pPr>
            <w:r w:rsidRPr="00F0379B">
              <w:rPr>
                <w:rFonts w:ascii="Cambria" w:eastAsia="Aptos" w:hAnsi="Cambria"/>
                <w:b/>
                <w:kern w:val="2"/>
                <w:sz w:val="16"/>
                <w:szCs w:val="16"/>
                <w:lang w:eastAsia="es-ES_tradnl"/>
                <w14:ligatures w14:val="standardContextual"/>
              </w:rPr>
              <w:t>-142,52</w:t>
            </w:r>
          </w:p>
        </w:tc>
        <w:tc>
          <w:tcPr>
            <w:tcW w:w="342" w:type="pct"/>
          </w:tcPr>
          <w:p w14:paraId="7B872869" w14:textId="77777777" w:rsidR="009123AC" w:rsidRPr="00F0379B" w:rsidRDefault="009123AC" w:rsidP="009123AC">
            <w:pPr>
              <w:spacing w:after="0" w:line="240" w:lineRule="auto"/>
              <w:rPr>
                <w:rFonts w:ascii="Cambria" w:eastAsiaTheme="minorEastAsia" w:hAnsi="Cambria"/>
                <w:b/>
                <w:kern w:val="2"/>
                <w:sz w:val="16"/>
                <w:szCs w:val="16"/>
                <w:lang w:eastAsia="es-ES_tradnl"/>
                <w14:ligatures w14:val="standardContextual"/>
              </w:rPr>
            </w:pPr>
            <w:r w:rsidRPr="00F0379B">
              <w:rPr>
                <w:rFonts w:ascii="Cambria" w:eastAsia="Aptos" w:hAnsi="Cambria"/>
                <w:b/>
                <w:kern w:val="2"/>
                <w:sz w:val="16"/>
                <w:szCs w:val="16"/>
                <w:lang w:eastAsia="es-ES_tradnl"/>
                <w14:ligatures w14:val="standardContextual"/>
              </w:rPr>
              <w:t>- 335,89</w:t>
            </w:r>
          </w:p>
        </w:tc>
      </w:tr>
    </w:tbl>
    <w:p w14:paraId="568EB6B3" w14:textId="77777777" w:rsidR="009123AC" w:rsidRPr="00F0379B" w:rsidRDefault="009123AC" w:rsidP="009123AC">
      <w:pPr>
        <w:tabs>
          <w:tab w:val="left" w:pos="142"/>
        </w:tabs>
        <w:spacing w:after="0" w:line="240" w:lineRule="auto"/>
        <w:rPr>
          <w:rFonts w:ascii="Cambria" w:eastAsiaTheme="minorEastAsia" w:hAnsi="Cambria"/>
          <w:kern w:val="2"/>
          <w:sz w:val="20"/>
          <w:szCs w:val="20"/>
          <w:lang w:val="en-GB" w:eastAsia="ja-JP"/>
          <w14:ligatures w14:val="standardContextual"/>
        </w:rPr>
      </w:pPr>
    </w:p>
    <w:p w14:paraId="3C03E145"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sectPr w:rsidR="009123AC" w:rsidRPr="00F0379B" w:rsidSect="009123AC">
          <w:headerReference w:type="default" r:id="rId86"/>
          <w:footerReference w:type="default" r:id="rId87"/>
          <w:headerReference w:type="first" r:id="rId88"/>
          <w:footerReference w:type="first" r:id="rId89"/>
          <w:footnotePr>
            <w:numFmt w:val="chicago"/>
          </w:footnotePr>
          <w:pgSz w:w="16838" w:h="11906" w:orient="landscape" w:code="9"/>
          <w:pgMar w:top="1418" w:right="1418" w:bottom="1418" w:left="1418" w:header="851" w:footer="1134" w:gutter="0"/>
          <w:cols w:space="425"/>
          <w:docGrid w:linePitch="360"/>
        </w:sectPr>
      </w:pPr>
    </w:p>
    <w:p w14:paraId="7BE5F1A6" w14:textId="01B56012"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Argelia</w:t>
      </w:r>
    </w:p>
    <w:p w14:paraId="3F74687D"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6FD94E90"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Año del plan de pesca: 2026</w:t>
      </w:r>
    </w:p>
    <w:p w14:paraId="7EA7CB44"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062DF1B5" w14:textId="77777777" w:rsidR="009123AC" w:rsidRPr="00F0379B" w:rsidRDefault="009123AC" w:rsidP="009123AC">
      <w:pPr>
        <w:spacing w:after="0" w:line="240" w:lineRule="auto"/>
        <w:ind w:left="426" w:hanging="426"/>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1. </w:t>
      </w:r>
      <w:r w:rsidRPr="00F0379B">
        <w:rPr>
          <w:rFonts w:ascii="Cambria" w:eastAsiaTheme="minorEastAsia" w:hAnsi="Cambria"/>
          <w:b/>
          <w:kern w:val="2"/>
          <w:sz w:val="20"/>
          <w:szCs w:val="20"/>
          <w:lang w:eastAsia="ja-JP"/>
          <w14:ligatures w14:val="standardContextual"/>
        </w:rPr>
        <w:tab/>
        <w:t>Detalles del plan anual de pesca para los buques de captura y las almadrabas</w:t>
      </w:r>
    </w:p>
    <w:p w14:paraId="2B9E65ED" w14:textId="77777777" w:rsidR="009123AC" w:rsidRPr="00F0379B" w:rsidRDefault="009123AC" w:rsidP="009123AC">
      <w:pPr>
        <w:spacing w:after="0" w:line="240" w:lineRule="auto"/>
        <w:jc w:val="both"/>
        <w:rPr>
          <w:rFonts w:ascii="Cambria" w:eastAsiaTheme="minorEastAsia" w:hAnsi="Cambria"/>
          <w:i/>
          <w:kern w:val="2"/>
          <w:sz w:val="20"/>
          <w:szCs w:val="20"/>
          <w:lang w:eastAsia="ja-JP"/>
          <w14:ligatures w14:val="standardContextual"/>
        </w:rPr>
      </w:pPr>
    </w:p>
    <w:p w14:paraId="76B8FF46" w14:textId="77777777" w:rsidR="009123AC" w:rsidRPr="00F0379B" w:rsidRDefault="009123AC" w:rsidP="009123AC">
      <w:pPr>
        <w:spacing w:after="0" w:line="240" w:lineRule="auto"/>
        <w:jc w:val="both"/>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i/>
          <w:kern w:val="2"/>
          <w:sz w:val="20"/>
          <w:szCs w:val="20"/>
          <w:lang w:eastAsia="ja-JP"/>
          <w14:ligatures w14:val="standardContextual"/>
        </w:rPr>
        <w:t>1 a) Presentación (párr. 12)</w:t>
      </w:r>
    </w:p>
    <w:p w14:paraId="322619E4"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7ABC043C"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Argelia presenta sus planes de pesca, inspección y ordenación de la capacidad para el atún rojo del Atlántico este y Mediterráneo para el año 2026, de conformidad con la Recomendación 25-04 de ICCAT y la normativa nacional vigente.</w:t>
      </w:r>
    </w:p>
    <w:p w14:paraId="19FB6BC8"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5D62A668"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De conformidad con el párrafo 4 de la Recomendación 25-04, la cuota de atún rojo asignada a Argelia para 2026 se fija en 2.460,64 t. Esta cuota se asigna principalmente al grupo de artes de pesca de cerqueros. Las cuotas individuales se asignan a los buques cerqueros autorizados (de 22 a 42 m de eslora total) según los criterios definidos por la normativa nacional. </w:t>
      </w:r>
    </w:p>
    <w:p w14:paraId="2C96B9F3"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2D6874C6"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cumplimiento de las cuotas individuales se garantiza mediante un sistema reforzado de seguimiento, control e inspección que incluye, en particular, inspecciones de salida, control diario de los cuadernos de pesca, seguimiento VMS, control de las operaciones de pesca y transferencia, análisis de los vídeos de transferencia e inspecciones a bordo y en tierra.</w:t>
      </w:r>
    </w:p>
    <w:p w14:paraId="1B548D13"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15B4CDC6"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lista de buques autorizados a pescar activamente atún rojo se remitirá a la Secretaría de la ICCAT en los plazos establecidos, de conformidad con el párrafo 52 de la Recomendación 25-04.</w:t>
      </w:r>
    </w:p>
    <w:p w14:paraId="5446DD6D"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3DA976CA"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temporada de pesca del atún rojo para los cerqueros estará abierta del 19 de mayo al 1 de julio de 2026, con la posibilidad de prorrogarla por un número de días equivalente a los perdidos por causas meteorológicas, hasta un máximo de diez (10) días.</w:t>
      </w:r>
    </w:p>
    <w:p w14:paraId="293EF53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6F51B337"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asigna un saldo de cuarenta (40) t a los pequeños barcos costeros y se reservan seis (6) toneladas para las capturas fortuitas. Todas las capturas fortuitas de atún rojo se deducirán de la cuota.</w:t>
      </w:r>
    </w:p>
    <w:p w14:paraId="2C553154"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5B52302A"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buques que no estén autorizados a pescar atún rojo y que no dispongan de una licencia específica para la pesca de esta especie no podrán capturarla. Las capturas realizadas de forma fortuita, muertas o vivas, se consignarán en los cuadernos de pesca.</w:t>
      </w:r>
    </w:p>
    <w:p w14:paraId="7B0EB47D"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7E2F1B90" w14:textId="77777777" w:rsidR="009123AC" w:rsidRPr="00F0379B" w:rsidRDefault="009123AC" w:rsidP="009123AC">
      <w:pPr>
        <w:spacing w:after="0" w:line="240" w:lineRule="auto"/>
        <w:jc w:val="both"/>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i/>
          <w:kern w:val="2"/>
          <w:sz w:val="20"/>
          <w:szCs w:val="20"/>
          <w:lang w:eastAsia="ja-JP"/>
          <w14:ligatures w14:val="standardContextual"/>
        </w:rPr>
        <w:t>1b) Traspaso (párr. 6)</w:t>
      </w:r>
    </w:p>
    <w:p w14:paraId="704162C3"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1776D1FF"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 conformidad con el párrafo 6 de la Rec. 25-04, Argelia solicita una transferencia de 4,64 t (0,23 %) de su cuota no consumida en 2025 al año 2026.</w:t>
      </w:r>
    </w:p>
    <w:p w14:paraId="4462E08E"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204D74EA" w14:textId="77777777" w:rsidR="009123AC" w:rsidRPr="00F0379B" w:rsidRDefault="009123AC" w:rsidP="009123AC">
      <w:pPr>
        <w:spacing w:after="0" w:line="240" w:lineRule="auto"/>
        <w:jc w:val="both"/>
        <w:rPr>
          <w:rFonts w:ascii="Cambria" w:eastAsiaTheme="minorEastAsia" w:hAnsi="Cambria"/>
          <w:i/>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 tal efecto, la cuota nacional total ajustada será de 2.465,28 t, incluidas las capturas fortuitas.</w:t>
      </w:r>
    </w:p>
    <w:p w14:paraId="568AF9DE" w14:textId="77777777" w:rsidR="009123AC" w:rsidRPr="00F0379B" w:rsidRDefault="009123AC" w:rsidP="009123AC">
      <w:pPr>
        <w:spacing w:after="0" w:line="240" w:lineRule="auto"/>
        <w:jc w:val="both"/>
        <w:rPr>
          <w:rFonts w:ascii="Cambria" w:eastAsiaTheme="minorEastAsia" w:hAnsi="Cambria"/>
          <w:b/>
          <w:bCs/>
          <w:i/>
          <w:kern w:val="2"/>
          <w:sz w:val="20"/>
          <w:szCs w:val="20"/>
          <w:lang w:eastAsia="ja-JP"/>
          <w14:ligatures w14:val="standardContextual"/>
        </w:rPr>
      </w:pPr>
      <w:r w:rsidRPr="00F0379B">
        <w:rPr>
          <w:rFonts w:ascii="Cambria" w:eastAsiaTheme="minorEastAsia" w:hAnsi="Cambria"/>
          <w:b/>
          <w:i/>
          <w:kern w:val="2"/>
          <w:sz w:val="20"/>
          <w:szCs w:val="20"/>
          <w:lang w:eastAsia="ja-JP"/>
          <w14:ligatures w14:val="standardContextual"/>
        </w:rPr>
        <w:t>1c) Destino de la captura</w:t>
      </w:r>
    </w:p>
    <w:p w14:paraId="2CA090B7"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26DC98DE"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capturas realizadas por los buques cerqueros se destinan principalmente al engorde en granjas autorizadas, aunque una parte de ellas puede desembarcarse muerta en los puertos argelinos autorizados. Las cantidades de atún rojo desembarcadas muertas serán objeto de una actualización del plan de pesca en los plazos requeridos, si procede.</w:t>
      </w:r>
    </w:p>
    <w:p w14:paraId="77E15510"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1A892D8B"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En el caso de los pequeños barcos costeros, las capturas se desembarcarán muertas en los puertos argelinos autorizados.</w:t>
      </w:r>
    </w:p>
    <w:p w14:paraId="1BA4E22C" w14:textId="77777777" w:rsidR="009123AC" w:rsidRPr="00F0379B" w:rsidRDefault="009123AC" w:rsidP="009123AC">
      <w:pPr>
        <w:spacing w:after="0" w:line="240" w:lineRule="auto"/>
        <w:rPr>
          <w:rFonts w:ascii="Cambria" w:eastAsiaTheme="minorEastAsia" w:hAnsi="Cambria"/>
          <w:b/>
          <w:bCs/>
          <w:i/>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br w:type="page"/>
      </w:r>
    </w:p>
    <w:p w14:paraId="1F858010" w14:textId="77777777" w:rsidR="009123AC" w:rsidRPr="00F0379B" w:rsidRDefault="009123AC" w:rsidP="009123AC">
      <w:pPr>
        <w:spacing w:after="0"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b/>
          <w:i/>
          <w:kern w:val="2"/>
          <w:sz w:val="20"/>
          <w:szCs w:val="20"/>
          <w:lang w:eastAsia="ja-JP"/>
          <w14:ligatures w14:val="standardContextual"/>
        </w:rPr>
        <w:lastRenderedPageBreak/>
        <w:t xml:space="preserve">1d) </w:t>
      </w:r>
    </w:p>
    <w:tbl>
      <w:tblPr>
        <w:tblStyle w:val="TableGrid"/>
        <w:tblW w:w="8926" w:type="dxa"/>
        <w:tblLayout w:type="fixed"/>
        <w:tblLook w:val="04A0" w:firstRow="1" w:lastRow="0" w:firstColumn="1" w:lastColumn="0" w:noHBand="0" w:noVBand="1"/>
      </w:tblPr>
      <w:tblGrid>
        <w:gridCol w:w="453"/>
        <w:gridCol w:w="1952"/>
        <w:gridCol w:w="3119"/>
        <w:gridCol w:w="2693"/>
        <w:gridCol w:w="709"/>
      </w:tblGrid>
      <w:tr w:rsidR="009123AC" w:rsidRPr="00F0379B" w14:paraId="2E04A53C" w14:textId="77777777" w:rsidTr="00CA749B">
        <w:tc>
          <w:tcPr>
            <w:tcW w:w="453" w:type="dxa"/>
          </w:tcPr>
          <w:p w14:paraId="5F8EA3A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952" w:type="dxa"/>
            <w:vAlign w:val="center"/>
          </w:tcPr>
          <w:p w14:paraId="7E282BB4"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Requisito ICCAT</w:t>
            </w:r>
          </w:p>
          <w:p w14:paraId="66219EE3"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 xml:space="preserve">(según </w:t>
            </w:r>
            <w:hyperlink r:id="rId90" w:history="1">
              <w:r w:rsidRPr="00F0379B">
                <w:rPr>
                  <w:rFonts w:ascii="Cambria" w:eastAsiaTheme="minorEastAsia" w:hAnsi="Cambria"/>
                  <w:i/>
                  <w:color w:val="0563C1" w:themeColor="hyperlink"/>
                  <w:kern w:val="2"/>
                  <w:sz w:val="20"/>
                  <w:szCs w:val="20"/>
                  <w:lang w:eastAsia="ja-JP"/>
                  <w14:ligatures w14:val="standardContextual"/>
                </w:rPr>
                <w:t>Rec. 25-04</w:t>
              </w:r>
            </w:hyperlink>
            <w:r w:rsidRPr="00F0379B">
              <w:rPr>
                <w:rFonts w:ascii="Cambria" w:eastAsiaTheme="minorEastAsia" w:hAnsi="Cambria"/>
                <w:i/>
                <w:kern w:val="2"/>
                <w:sz w:val="20"/>
                <w:szCs w:val="20"/>
                <w:lang w:eastAsia="ja-JP"/>
                <w14:ligatures w14:val="standardContextual"/>
              </w:rPr>
              <w:t>)</w:t>
            </w:r>
          </w:p>
        </w:tc>
        <w:tc>
          <w:tcPr>
            <w:tcW w:w="3119" w:type="dxa"/>
            <w:vAlign w:val="center"/>
          </w:tcPr>
          <w:p w14:paraId="32D9461A"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Explicación de las acciones emprendidas por la CPC con fines de implementación</w:t>
            </w:r>
          </w:p>
        </w:tc>
        <w:tc>
          <w:tcPr>
            <w:tcW w:w="2693" w:type="dxa"/>
            <w:vAlign w:val="center"/>
          </w:tcPr>
          <w:p w14:paraId="546332E7"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Leyes o reglamentos internos pertinentes</w:t>
            </w:r>
          </w:p>
          <w:p w14:paraId="7CA4B17D"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(si procede)</w:t>
            </w:r>
          </w:p>
        </w:tc>
        <w:tc>
          <w:tcPr>
            <w:tcW w:w="709" w:type="dxa"/>
            <w:vAlign w:val="center"/>
          </w:tcPr>
          <w:p w14:paraId="553A05FD"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Nota</w:t>
            </w:r>
          </w:p>
        </w:tc>
      </w:tr>
      <w:tr w:rsidR="009123AC" w:rsidRPr="00F0379B" w14:paraId="70A9E005" w14:textId="77777777" w:rsidTr="00CA749B">
        <w:tc>
          <w:tcPr>
            <w:tcW w:w="453" w:type="dxa"/>
          </w:tcPr>
          <w:p w14:paraId="0343BEF9"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w:t>
            </w:r>
          </w:p>
        </w:tc>
        <w:tc>
          <w:tcPr>
            <w:tcW w:w="1952" w:type="dxa"/>
          </w:tcPr>
          <w:p w14:paraId="59021792"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Consignación y comunicación de la captura (párrs. 74-88)</w:t>
            </w:r>
          </w:p>
        </w:tc>
        <w:tc>
          <w:tcPr>
            <w:tcW w:w="3119" w:type="dxa"/>
          </w:tcPr>
          <w:p w14:paraId="404F0FF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 Cuaderno de pesca:</w:t>
            </w:r>
          </w:p>
          <w:p w14:paraId="34242BA2"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Encuadernado y conservado a bordo del buque, de conformidad con la normativa nacional y los requisitos aplicables de ICCAT.</w:t>
            </w:r>
          </w:p>
          <w:p w14:paraId="6AAAA27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2F27AD6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B. Registro de capturas:</w:t>
            </w:r>
          </w:p>
          <w:p w14:paraId="20346A7D"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Todas las operaciones pesqueras se registran en el cuaderno de pesca, y las capturas nulas se declaran debidamente.</w:t>
            </w:r>
          </w:p>
          <w:p w14:paraId="15E612FB"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datos se registran diariamente.</w:t>
            </w:r>
          </w:p>
          <w:p w14:paraId="3672EB4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1B97A5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C. Información obligatoria consignada (párrafos 76-77, Rec. 25-04):</w:t>
            </w:r>
          </w:p>
          <w:p w14:paraId="7397D44A"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Fecha de la captura, hora de la captura, posición geográfica (latitud y longitud), peso total del atún rojo capturado, número total de atunes rojos capturados.</w:t>
            </w:r>
          </w:p>
          <w:p w14:paraId="22B815F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B30758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 Transmisión de datos:</w:t>
            </w:r>
          </w:p>
          <w:p w14:paraId="5D19CE74"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información diaria se comunica a la administración encargada de la pesca.</w:t>
            </w:r>
          </w:p>
          <w:p w14:paraId="42120F22"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plazos y modalidades de transmisión se ajustan a lo dispuesto en los párrafos 76 y 77 de la Rec. 25-04.</w:t>
            </w:r>
          </w:p>
          <w:p w14:paraId="49DB60C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01C421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 Gestión de los peces muertos:</w:t>
            </w:r>
          </w:p>
          <w:p w14:paraId="5720C5CC"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atunes rojos muertos, retenidos o descartados se registran en el cuaderno de pesca. Los peces muertos se deducen de la cuota aplicable.</w:t>
            </w:r>
          </w:p>
          <w:p w14:paraId="1F51019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1B70E5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F. Control y verificación:</w:t>
            </w:r>
          </w:p>
          <w:p w14:paraId="66AD1B0E"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El controlador nacional a bordo se encarga de supervisar y verificar la aplicación de estas medidas. </w:t>
            </w:r>
          </w:p>
          <w:p w14:paraId="19F3DBEE"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Cualquier incumplimiento se notifica de conformidad con los procedimientos nacionales.</w:t>
            </w:r>
          </w:p>
        </w:tc>
        <w:tc>
          <w:tcPr>
            <w:tcW w:w="2693" w:type="dxa"/>
          </w:tcPr>
          <w:p w14:paraId="3B48FCE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Artículo 32-34-36 y anexo n.º 8 del decreto de 24 de febrero de 2022 por el que se establecen las condiciones y modalidades de la pesca del atún rojo por parte de los buques que enarbolan pabellón nacional.</w:t>
            </w:r>
          </w:p>
        </w:tc>
        <w:tc>
          <w:tcPr>
            <w:tcW w:w="709" w:type="dxa"/>
          </w:tcPr>
          <w:p w14:paraId="7A1AC94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2DA1AD9D" w14:textId="77777777" w:rsidTr="00CA749B">
        <w:tc>
          <w:tcPr>
            <w:tcW w:w="453" w:type="dxa"/>
          </w:tcPr>
          <w:p w14:paraId="400417A1"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2</w:t>
            </w:r>
          </w:p>
        </w:tc>
        <w:tc>
          <w:tcPr>
            <w:tcW w:w="1952" w:type="dxa"/>
          </w:tcPr>
          <w:p w14:paraId="780B400B"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Temporadas de pesca abiertas (párrs. 28-32)</w:t>
            </w:r>
          </w:p>
        </w:tc>
        <w:tc>
          <w:tcPr>
            <w:tcW w:w="3119" w:type="dxa"/>
          </w:tcPr>
          <w:p w14:paraId="62A4EDEA"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pesca del atún rojo está abierta para los atuneros cerqueros desde el 19 de mayo hasta el 1 de julio.</w:t>
            </w:r>
          </w:p>
          <w:p w14:paraId="6C481707"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pesca se llevará a cabo en las zonas nacionales e internacionales del Mediterráneo. </w:t>
            </w:r>
          </w:p>
        </w:tc>
        <w:tc>
          <w:tcPr>
            <w:tcW w:w="2693" w:type="dxa"/>
          </w:tcPr>
          <w:p w14:paraId="24A84C66" w14:textId="77777777" w:rsidR="009123AC" w:rsidRPr="00F0379B" w:rsidRDefault="009123AC" w:rsidP="00CE0EC8">
            <w:pPr>
              <w:widowControl w:val="0"/>
              <w:numPr>
                <w:ilvl w:val="0"/>
                <w:numId w:val="71"/>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Artículo </w:t>
            </w:r>
            <w:proofErr w:type="gramStart"/>
            <w:r w:rsidRPr="00F0379B">
              <w:rPr>
                <w:rFonts w:ascii="Cambria" w:eastAsiaTheme="minorEastAsia" w:hAnsi="Cambria"/>
                <w:kern w:val="2"/>
                <w:sz w:val="20"/>
                <w:szCs w:val="20"/>
                <w:lang w:eastAsia="ja-JP"/>
                <w14:ligatures w14:val="standardContextual"/>
              </w:rPr>
              <w:t>62  del</w:t>
            </w:r>
            <w:proofErr w:type="gramEnd"/>
            <w:r w:rsidRPr="00F0379B">
              <w:rPr>
                <w:rFonts w:ascii="Cambria" w:eastAsiaTheme="minorEastAsia" w:hAnsi="Cambria"/>
                <w:kern w:val="2"/>
                <w:sz w:val="20"/>
                <w:szCs w:val="20"/>
                <w:lang w:eastAsia="ja-JP"/>
                <w14:ligatures w14:val="standardContextual"/>
              </w:rPr>
              <w:t xml:space="preserve"> decreto de 24 de febrero de 2022 por el que se establecen las condiciones y modalidades de la pesca del atún rojo por parte de los buques que enarbolan pabellón nacional.</w:t>
            </w:r>
          </w:p>
          <w:p w14:paraId="6787AB69" w14:textId="77777777" w:rsidR="009123AC" w:rsidRPr="00F0379B" w:rsidRDefault="009123AC" w:rsidP="00CE0EC8">
            <w:pPr>
              <w:widowControl w:val="0"/>
              <w:numPr>
                <w:ilvl w:val="0"/>
                <w:numId w:val="71"/>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No obstante, el período de pesca podrá ampliarse, en su caso, de conformidad con las disposiciones aplicables. </w:t>
            </w:r>
          </w:p>
          <w:p w14:paraId="5AC7CA7D"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Base jurídica: Párrafo 29 de la Recomendación 24-05</w:t>
            </w:r>
          </w:p>
          <w:p w14:paraId="3DAFF41A"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Motivo:</w:t>
            </w:r>
          </w:p>
          <w:p w14:paraId="2234695B" w14:textId="77777777" w:rsidR="009123AC" w:rsidRPr="00F0379B" w:rsidRDefault="009123AC" w:rsidP="009123AC">
            <w:pPr>
              <w:spacing w:line="240" w:lineRule="auto"/>
              <w:ind w:left="431"/>
              <w:contextualSpacing/>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Malas condiciones meteorológicas durante el período autorizado</w:t>
            </w:r>
          </w:p>
          <w:p w14:paraId="4FBA8EB7"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Umbral meteorológico:</w:t>
            </w:r>
          </w:p>
          <w:p w14:paraId="4301E756" w14:textId="77777777" w:rsidR="009123AC" w:rsidRPr="00F0379B" w:rsidRDefault="009123AC" w:rsidP="009123AC">
            <w:pPr>
              <w:spacing w:line="240" w:lineRule="auto"/>
              <w:ind w:left="431"/>
              <w:contextualSpacing/>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Viento ≥ fuerza 4 (escala de Beaufort)</w:t>
            </w:r>
          </w:p>
          <w:p w14:paraId="3B149473"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Duración máxima de la ampliación: 10 días</w:t>
            </w:r>
          </w:p>
          <w:p w14:paraId="1F8FE130"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Principio: ampliación equivalente a los días efectivamente perdidos.</w:t>
            </w:r>
          </w:p>
          <w:p w14:paraId="6DBEA702"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Método de evaluación:</w:t>
            </w:r>
          </w:p>
          <w:p w14:paraId="4619D6E3" w14:textId="77777777" w:rsidR="009123AC" w:rsidRPr="00F0379B" w:rsidRDefault="009123AC" w:rsidP="009123AC">
            <w:pPr>
              <w:spacing w:line="240" w:lineRule="auto"/>
              <w:ind w:left="431"/>
              <w:contextualSpacing/>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Análisis de informes VMS;</w:t>
            </w:r>
          </w:p>
          <w:p w14:paraId="68559050" w14:textId="77777777" w:rsidR="009123AC" w:rsidRPr="00F0379B" w:rsidRDefault="009123AC" w:rsidP="009123AC">
            <w:pPr>
              <w:spacing w:line="240" w:lineRule="auto"/>
              <w:ind w:left="431"/>
              <w:contextualSpacing/>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Identificación de los días de inactividad de los buques en cuestión.</w:t>
            </w:r>
          </w:p>
        </w:tc>
        <w:tc>
          <w:tcPr>
            <w:tcW w:w="709" w:type="dxa"/>
          </w:tcPr>
          <w:p w14:paraId="358E42B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4C7081DC" w14:textId="77777777" w:rsidTr="00CA749B">
        <w:tc>
          <w:tcPr>
            <w:tcW w:w="453" w:type="dxa"/>
          </w:tcPr>
          <w:p w14:paraId="2E8E18AF"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3</w:t>
            </w:r>
          </w:p>
        </w:tc>
        <w:tc>
          <w:tcPr>
            <w:tcW w:w="1952" w:type="dxa"/>
          </w:tcPr>
          <w:p w14:paraId="1C55B157"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Talla mínima (párrs. 33-35)</w:t>
            </w:r>
          </w:p>
        </w:tc>
        <w:tc>
          <w:tcPr>
            <w:tcW w:w="3119" w:type="dxa"/>
          </w:tcPr>
          <w:p w14:paraId="1E81203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-115 cm - 30 kg.</w:t>
            </w:r>
          </w:p>
          <w:p w14:paraId="5ABC932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F65FE1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obstante, se podrán autorizar capturas fortuitas de atún rojo. Los peces muertos (8-30 kg/75-115 cm) se declaran y se deducen de la cuota, y los peces vivos se liberan.</w:t>
            </w:r>
          </w:p>
        </w:tc>
        <w:tc>
          <w:tcPr>
            <w:tcW w:w="2693" w:type="dxa"/>
          </w:tcPr>
          <w:p w14:paraId="56D241D3"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Decreto ejecutivo n.º 20-266 del 22 de septiembre de 2020 que modifica y completa el Decreto ejecutivo del 18 de marzo de 2004 que fija las tallas mínimas de los recursos biológicos.</w:t>
            </w:r>
          </w:p>
          <w:p w14:paraId="5B342AB2"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Artículo </w:t>
            </w:r>
            <w:proofErr w:type="gramStart"/>
            <w:r w:rsidRPr="00F0379B">
              <w:rPr>
                <w:rFonts w:ascii="Cambria" w:eastAsiaTheme="minorEastAsia" w:hAnsi="Cambria"/>
                <w:kern w:val="2"/>
                <w:sz w:val="20"/>
                <w:szCs w:val="20"/>
                <w:lang w:eastAsia="ja-JP"/>
                <w14:ligatures w14:val="standardContextual"/>
              </w:rPr>
              <w:t>66  del</w:t>
            </w:r>
            <w:proofErr w:type="gramEnd"/>
            <w:r w:rsidRPr="00F0379B">
              <w:rPr>
                <w:rFonts w:ascii="Cambria" w:eastAsiaTheme="minorEastAsia" w:hAnsi="Cambria"/>
                <w:kern w:val="2"/>
                <w:sz w:val="20"/>
                <w:szCs w:val="20"/>
                <w:lang w:eastAsia="ja-JP"/>
                <w14:ligatures w14:val="standardContextual"/>
              </w:rPr>
              <w:t xml:space="preserve"> decreto de 24 de febrero de 2022 por el que se establecen las condiciones y modalidades de la pesca del atún rojo por parte de los buques que enarbolan pabellón nacional.</w:t>
            </w:r>
          </w:p>
        </w:tc>
        <w:tc>
          <w:tcPr>
            <w:tcW w:w="709" w:type="dxa"/>
          </w:tcPr>
          <w:p w14:paraId="7B56CFD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18CE0D5A" w14:textId="77777777" w:rsidTr="00CA749B">
        <w:tc>
          <w:tcPr>
            <w:tcW w:w="453" w:type="dxa"/>
          </w:tcPr>
          <w:p w14:paraId="1332C072"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4</w:t>
            </w:r>
          </w:p>
        </w:tc>
        <w:tc>
          <w:tcPr>
            <w:tcW w:w="1952" w:type="dxa"/>
          </w:tcPr>
          <w:p w14:paraId="1D0DA1FE"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Captura fortuita (párr.  37) </w:t>
            </w:r>
          </w:p>
        </w:tc>
        <w:tc>
          <w:tcPr>
            <w:tcW w:w="3119" w:type="dxa"/>
          </w:tcPr>
          <w:p w14:paraId="2F0C592D" w14:textId="77777777" w:rsidR="009123AC" w:rsidRPr="00F0379B" w:rsidRDefault="009123AC" w:rsidP="00CE0EC8">
            <w:pPr>
              <w:widowControl w:val="0"/>
              <w:numPr>
                <w:ilvl w:val="0"/>
                <w:numId w:val="72"/>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reserva un saldo de cinco (5) t para capturas fortuitas.</w:t>
            </w:r>
          </w:p>
          <w:p w14:paraId="07C5ED44" w14:textId="77777777" w:rsidR="009123AC" w:rsidRPr="00F0379B" w:rsidRDefault="009123AC" w:rsidP="00CE0EC8">
            <w:pPr>
              <w:widowControl w:val="0"/>
              <w:numPr>
                <w:ilvl w:val="0"/>
                <w:numId w:val="72"/>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atunes rojos muertos se deducen de la cuota de </w:t>
            </w:r>
            <w:r w:rsidRPr="00F0379B">
              <w:rPr>
                <w:rFonts w:ascii="Cambria" w:eastAsiaTheme="minorEastAsia" w:hAnsi="Cambria"/>
                <w:kern w:val="2"/>
                <w:sz w:val="20"/>
                <w:szCs w:val="20"/>
                <w:lang w:eastAsia="ja-JP"/>
                <w14:ligatures w14:val="standardContextual"/>
              </w:rPr>
              <w:lastRenderedPageBreak/>
              <w:t>capturas fortuitas o de la cuota nacional.</w:t>
            </w:r>
          </w:p>
          <w:p w14:paraId="4F2BFBFB" w14:textId="77777777" w:rsidR="009123AC" w:rsidRPr="00F0379B" w:rsidRDefault="009123AC" w:rsidP="00CE0EC8">
            <w:pPr>
              <w:widowControl w:val="0"/>
              <w:numPr>
                <w:ilvl w:val="0"/>
                <w:numId w:val="72"/>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capturas fortuitas se consignan en los cuadernos de pesca y se contabilizan.</w:t>
            </w:r>
          </w:p>
          <w:p w14:paraId="656EA173" w14:textId="77777777" w:rsidR="009123AC" w:rsidRPr="00F0379B" w:rsidRDefault="009123AC" w:rsidP="00CE0EC8">
            <w:pPr>
              <w:widowControl w:val="0"/>
              <w:numPr>
                <w:ilvl w:val="0"/>
                <w:numId w:val="72"/>
              </w:numPr>
              <w:spacing w:line="240" w:lineRule="auto"/>
              <w:contextualSpacing/>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control de las capturas se lleva a cabo en los accesos a los puertos y en los puntos de desembarque.</w:t>
            </w:r>
          </w:p>
        </w:tc>
        <w:tc>
          <w:tcPr>
            <w:tcW w:w="2693" w:type="dxa"/>
          </w:tcPr>
          <w:p w14:paraId="6034ADB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709" w:type="dxa"/>
          </w:tcPr>
          <w:p w14:paraId="5FFA1A41" w14:textId="77777777" w:rsidR="009123AC" w:rsidRPr="00F0379B" w:rsidRDefault="009123AC" w:rsidP="009123AC">
            <w:pPr>
              <w:spacing w:line="240" w:lineRule="auto"/>
              <w:rPr>
                <w:rFonts w:ascii="Cambria" w:eastAsia="Malgun Gothic" w:hAnsi="Cambria" w:cs="Cambria"/>
                <w:kern w:val="2"/>
                <w:sz w:val="20"/>
                <w:szCs w:val="20"/>
                <w:lang w:eastAsia="ko-KR"/>
                <w14:ligatures w14:val="standardContextual"/>
              </w:rPr>
            </w:pPr>
          </w:p>
        </w:tc>
      </w:tr>
      <w:tr w:rsidR="009123AC" w:rsidRPr="00F0379B" w14:paraId="591B3C9B" w14:textId="77777777" w:rsidTr="00CA749B">
        <w:tc>
          <w:tcPr>
            <w:tcW w:w="453" w:type="dxa"/>
          </w:tcPr>
          <w:p w14:paraId="33E2F217"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5</w:t>
            </w:r>
          </w:p>
        </w:tc>
        <w:tc>
          <w:tcPr>
            <w:tcW w:w="1952" w:type="dxa"/>
          </w:tcPr>
          <w:p w14:paraId="246E1F45" w14:textId="77777777" w:rsidR="009123AC" w:rsidRPr="00F0379B" w:rsidRDefault="009123AC" w:rsidP="009123AC">
            <w:pPr>
              <w:spacing w:line="240" w:lineRule="auto"/>
              <w:rPr>
                <w:rFonts w:ascii="Cambria" w:eastAsiaTheme="minorEastAsia" w:hAnsi="Cambria"/>
                <w:b/>
                <w:bCs/>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Pesquerías deportivas y de recreo (párrs. 38-46)</w:t>
            </w:r>
          </w:p>
        </w:tc>
        <w:tc>
          <w:tcPr>
            <w:tcW w:w="3119" w:type="dxa"/>
          </w:tcPr>
          <w:p w14:paraId="2FB2556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pesquerías de recreo y deportiva de atún rojo no están autorizadas en Argelia; no se asignan cuotas para estas actividades.</w:t>
            </w:r>
          </w:p>
        </w:tc>
        <w:tc>
          <w:tcPr>
            <w:tcW w:w="2693" w:type="dxa"/>
          </w:tcPr>
          <w:p w14:paraId="6783719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Decreto ejecutivo n.º 03-481, de 13 de diciembre de 2003, por el que se establecen las condiciones para el ejercicio de la pesca (modificado y completado).</w:t>
            </w:r>
          </w:p>
        </w:tc>
        <w:tc>
          <w:tcPr>
            <w:tcW w:w="709" w:type="dxa"/>
          </w:tcPr>
          <w:p w14:paraId="38A97C8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7B989776" w14:textId="77777777" w:rsidTr="00CA749B">
        <w:tc>
          <w:tcPr>
            <w:tcW w:w="453" w:type="dxa"/>
          </w:tcPr>
          <w:p w14:paraId="04F0DFED"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6</w:t>
            </w:r>
          </w:p>
        </w:tc>
        <w:tc>
          <w:tcPr>
            <w:tcW w:w="1952" w:type="dxa"/>
          </w:tcPr>
          <w:p w14:paraId="27CB43DE"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Transbordo (párrs. 89-94) </w:t>
            </w:r>
          </w:p>
        </w:tc>
        <w:tc>
          <w:tcPr>
            <w:tcW w:w="3119" w:type="dxa"/>
          </w:tcPr>
          <w:p w14:paraId="3BF75B0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transbordo de atún rojo en el mar está prohibido, de conformidad con la normativa nacional vigente.</w:t>
            </w:r>
          </w:p>
        </w:tc>
        <w:tc>
          <w:tcPr>
            <w:tcW w:w="2693" w:type="dxa"/>
          </w:tcPr>
          <w:p w14:paraId="1B6C5BB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Artículo 58 de la Ley 01-11, relativa a la pesca y la acuicultura, modificada y completada, decreto de 24 de febrero de 2022 por el que se establecen las condiciones y modalidades de la pesca del atún rojo por los buques que enarbolan pabellón nacional.</w:t>
            </w:r>
          </w:p>
        </w:tc>
        <w:tc>
          <w:tcPr>
            <w:tcW w:w="709" w:type="dxa"/>
          </w:tcPr>
          <w:p w14:paraId="2708119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60D71BD2" w14:textId="77777777" w:rsidTr="00CA749B">
        <w:tc>
          <w:tcPr>
            <w:tcW w:w="453" w:type="dxa"/>
          </w:tcPr>
          <w:p w14:paraId="27F78B7F"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7</w:t>
            </w:r>
          </w:p>
        </w:tc>
        <w:tc>
          <w:tcPr>
            <w:tcW w:w="1952" w:type="dxa"/>
          </w:tcPr>
          <w:p w14:paraId="5EAF43E7"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VMS (párrs. 222-228)</w:t>
            </w:r>
          </w:p>
        </w:tc>
        <w:tc>
          <w:tcPr>
            <w:tcW w:w="3119" w:type="dxa"/>
          </w:tcPr>
          <w:p w14:paraId="04CCDAA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 conformidad con las obligaciones legislativas y reglamentarias nacionales, todos los atuneros cerqueros están equipados con una baliza de posicionamiento (VMS), operativa cinco (5) días antes del inicio de la campaña pesquera y cinco (5) días después de su finalización.</w:t>
            </w:r>
          </w:p>
        </w:tc>
        <w:tc>
          <w:tcPr>
            <w:tcW w:w="2693" w:type="dxa"/>
          </w:tcPr>
          <w:p w14:paraId="41EDC596"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Artículo 20 bis de la Ley n.º 15-08, que modifica y completa la Ley n.º 01-11, relativa a la pesca y la acuicultura.</w:t>
            </w:r>
          </w:p>
          <w:p w14:paraId="59C1E1CF"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artículo 3 del decreto ejecutivo 22-58, de 2 de febrero de 2022, por el que se establecen las condiciones y modalidades de instalación de balizas de posicionamiento en los buques armados y equipados para la pesca.</w:t>
            </w:r>
          </w:p>
          <w:p w14:paraId="7E00A5A0" w14:textId="77777777" w:rsidR="009123AC" w:rsidRPr="00F0379B" w:rsidRDefault="009123AC" w:rsidP="00CE0EC8">
            <w:pPr>
              <w:widowControl w:val="0"/>
              <w:numPr>
                <w:ilvl w:val="0"/>
                <w:numId w:val="70"/>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Artículos 14-</w:t>
            </w:r>
            <w:proofErr w:type="gramStart"/>
            <w:r w:rsidRPr="00F0379B">
              <w:rPr>
                <w:rFonts w:ascii="Cambria" w:eastAsiaTheme="minorEastAsia" w:hAnsi="Cambria"/>
                <w:kern w:val="2"/>
                <w:sz w:val="20"/>
                <w:szCs w:val="20"/>
                <w:lang w:eastAsia="ja-JP"/>
                <w14:ligatures w14:val="standardContextual"/>
              </w:rPr>
              <w:t>15  del</w:t>
            </w:r>
            <w:proofErr w:type="gramEnd"/>
            <w:r w:rsidRPr="00F0379B">
              <w:rPr>
                <w:rFonts w:ascii="Cambria" w:eastAsiaTheme="minorEastAsia" w:hAnsi="Cambria"/>
                <w:kern w:val="2"/>
                <w:sz w:val="20"/>
                <w:szCs w:val="20"/>
                <w:lang w:eastAsia="ja-JP"/>
                <w14:ligatures w14:val="standardContextual"/>
              </w:rPr>
              <w:t xml:space="preserve"> decreto de 24 de febrero de 2022 por el que se establecen las condiciones y modalidades de la pesca del atún rojo por parte de los buques que enarbolan pabellón nacional.</w:t>
            </w:r>
          </w:p>
          <w:p w14:paraId="79DEECBF" w14:textId="77777777" w:rsidR="009123AC" w:rsidRPr="00F0379B" w:rsidRDefault="009123AC" w:rsidP="009123AC">
            <w:pPr>
              <w:spacing w:line="240" w:lineRule="auto"/>
              <w:ind w:left="71"/>
              <w:rPr>
                <w:rFonts w:ascii="Cambria" w:eastAsiaTheme="minorEastAsia" w:hAnsi="Cambria"/>
                <w:kern w:val="2"/>
                <w:sz w:val="20"/>
                <w:szCs w:val="20"/>
                <w:lang w:eastAsia="ja-JP"/>
                <w14:ligatures w14:val="standardContextual"/>
              </w:rPr>
            </w:pPr>
          </w:p>
          <w:p w14:paraId="782D64E1" w14:textId="77777777" w:rsidR="009123AC" w:rsidRPr="00F0379B" w:rsidRDefault="009123AC" w:rsidP="009123AC">
            <w:pPr>
              <w:spacing w:line="240" w:lineRule="auto"/>
              <w:ind w:left="71"/>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transmisión de mensajes VMS para los atuneros cerqueros se realiza cada hora, de conformidad con lo dispuesto en las Recomendaciones 25-04 y 18-10 de ICCAT.”</w:t>
            </w:r>
          </w:p>
        </w:tc>
        <w:tc>
          <w:tcPr>
            <w:tcW w:w="709" w:type="dxa"/>
          </w:tcPr>
          <w:p w14:paraId="0083F19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719C39DA" w14:textId="77777777" w:rsidTr="00CA749B">
        <w:tc>
          <w:tcPr>
            <w:tcW w:w="453" w:type="dxa"/>
          </w:tcPr>
          <w:p w14:paraId="37532075"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8</w:t>
            </w:r>
          </w:p>
        </w:tc>
        <w:tc>
          <w:tcPr>
            <w:tcW w:w="1952" w:type="dxa"/>
          </w:tcPr>
          <w:p w14:paraId="0B10ED4B"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Programa de observadores de las CPC (párrs. 95-100)</w:t>
            </w:r>
          </w:p>
        </w:tc>
        <w:tc>
          <w:tcPr>
            <w:tcW w:w="3119" w:type="dxa"/>
          </w:tcPr>
          <w:p w14:paraId="236BFFF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Embarque de un controlador/observador nacional a bordo de cada atunero cerquero que pesque activamente atún rojo y a bordo de cada remolcador, durante toda la temporada de pesca. La cobertura es del 100 % para los atuneros cerqueros y los remolcadores.</w:t>
            </w:r>
          </w:p>
        </w:tc>
        <w:tc>
          <w:tcPr>
            <w:tcW w:w="2693" w:type="dxa"/>
          </w:tcPr>
          <w:p w14:paraId="014820B2" w14:textId="17F58506"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Artículo </w:t>
            </w:r>
            <w:r w:rsidR="00907948" w:rsidRPr="00F0379B">
              <w:rPr>
                <w:rFonts w:ascii="Cambria" w:eastAsiaTheme="minorEastAsia" w:hAnsi="Cambria"/>
                <w:kern w:val="2"/>
                <w:sz w:val="20"/>
                <w:szCs w:val="20"/>
                <w:lang w:eastAsia="ja-JP"/>
                <w14:ligatures w14:val="standardContextual"/>
              </w:rPr>
              <w:t>17 del</w:t>
            </w:r>
            <w:r w:rsidRPr="00F0379B">
              <w:rPr>
                <w:rFonts w:ascii="Cambria" w:eastAsiaTheme="minorEastAsia" w:hAnsi="Cambria"/>
                <w:kern w:val="2"/>
                <w:sz w:val="20"/>
                <w:szCs w:val="20"/>
                <w:lang w:eastAsia="ja-JP"/>
                <w14:ligatures w14:val="standardContextual"/>
              </w:rPr>
              <w:t xml:space="preserve"> decreto de 24 de febrero de 2022 por el que se establecen las condiciones y modalidades de la pesca del atún rojo por parte de los buques que enarbolan pabellón nacional.</w:t>
            </w:r>
          </w:p>
        </w:tc>
        <w:tc>
          <w:tcPr>
            <w:tcW w:w="709" w:type="dxa"/>
          </w:tcPr>
          <w:p w14:paraId="471AFE5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2319C1A1" w14:textId="77777777" w:rsidTr="00CA749B">
        <w:tc>
          <w:tcPr>
            <w:tcW w:w="453" w:type="dxa"/>
          </w:tcPr>
          <w:p w14:paraId="11645B3B"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9</w:t>
            </w:r>
          </w:p>
        </w:tc>
        <w:tc>
          <w:tcPr>
            <w:tcW w:w="1952" w:type="dxa"/>
          </w:tcPr>
          <w:p w14:paraId="520CA3CD"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val="pt-BR" w:eastAsia="ja-JP"/>
                <w14:ligatures w14:val="standardContextual"/>
              </w:rPr>
              <w:t>Programa regional de observadores (párrs. </w:t>
            </w:r>
            <w:r w:rsidRPr="00F0379B">
              <w:rPr>
                <w:rFonts w:ascii="Cambria" w:eastAsiaTheme="minorEastAsia" w:hAnsi="Cambria"/>
                <w:b/>
                <w:kern w:val="2"/>
                <w:sz w:val="20"/>
                <w:szCs w:val="20"/>
                <w:lang w:eastAsia="ja-JP"/>
                <w14:ligatures w14:val="standardContextual"/>
              </w:rPr>
              <w:t>101-107)</w:t>
            </w:r>
          </w:p>
        </w:tc>
        <w:tc>
          <w:tcPr>
            <w:tcW w:w="3119" w:type="dxa"/>
          </w:tcPr>
          <w:p w14:paraId="49F4C03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Requisito reglamentario que obliga a los armadores de atuneros cerqueros a embarcar observadores regionales de ICCAT.</w:t>
            </w:r>
          </w:p>
        </w:tc>
        <w:tc>
          <w:tcPr>
            <w:tcW w:w="2693" w:type="dxa"/>
          </w:tcPr>
          <w:p w14:paraId="4D800362" w14:textId="4469622F"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Artículo </w:t>
            </w:r>
            <w:r w:rsidR="00907948" w:rsidRPr="00F0379B">
              <w:rPr>
                <w:rFonts w:ascii="Cambria" w:eastAsiaTheme="minorEastAsia" w:hAnsi="Cambria"/>
                <w:kern w:val="2"/>
                <w:sz w:val="20"/>
                <w:szCs w:val="20"/>
                <w:lang w:eastAsia="ja-JP"/>
                <w14:ligatures w14:val="standardContextual"/>
              </w:rPr>
              <w:t>25 del</w:t>
            </w:r>
            <w:r w:rsidRPr="00F0379B">
              <w:rPr>
                <w:rFonts w:ascii="Cambria" w:eastAsiaTheme="minorEastAsia" w:hAnsi="Cambria"/>
                <w:kern w:val="2"/>
                <w:sz w:val="20"/>
                <w:szCs w:val="20"/>
                <w:lang w:eastAsia="ja-JP"/>
                <w14:ligatures w14:val="standardContextual"/>
              </w:rPr>
              <w:t xml:space="preserve"> decreto de 24 de febrero de 2022 por el que se establecen las condiciones y modalidades de la pesca del atún rojo por parte de los buques que enarbolan pabellón nacional.</w:t>
            </w:r>
          </w:p>
        </w:tc>
        <w:tc>
          <w:tcPr>
            <w:tcW w:w="709" w:type="dxa"/>
          </w:tcPr>
          <w:p w14:paraId="430E9FE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74B0E69D" w14:textId="77777777" w:rsidTr="00CA749B">
        <w:tc>
          <w:tcPr>
            <w:tcW w:w="453" w:type="dxa"/>
          </w:tcPr>
          <w:p w14:paraId="2E260D5D" w14:textId="77777777" w:rsidR="009123AC" w:rsidRPr="00F0379B" w:rsidRDefault="009123AC" w:rsidP="009123AC">
            <w:pPr>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10</w:t>
            </w:r>
          </w:p>
        </w:tc>
        <w:tc>
          <w:tcPr>
            <w:tcW w:w="1952" w:type="dxa"/>
          </w:tcPr>
          <w:p w14:paraId="04DB7464" w14:textId="77777777" w:rsidR="009123AC" w:rsidRPr="00F0379B" w:rsidRDefault="009123AC" w:rsidP="009123AC">
            <w:pPr>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Legislación nacional</w:t>
            </w:r>
          </w:p>
        </w:tc>
        <w:tc>
          <w:tcPr>
            <w:tcW w:w="3119" w:type="dxa"/>
          </w:tcPr>
          <w:p w14:paraId="720CDE5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Sí. Las recomendaciones de ICCAT se transponen a la legislación nacional.</w:t>
            </w:r>
          </w:p>
        </w:tc>
        <w:tc>
          <w:tcPr>
            <w:tcW w:w="2693" w:type="dxa"/>
          </w:tcPr>
          <w:p w14:paraId="72BBA545" w14:textId="77777777" w:rsidR="009123AC" w:rsidRPr="00F0379B" w:rsidRDefault="009123AC" w:rsidP="00CE0EC8">
            <w:pPr>
              <w:widowControl w:val="0"/>
              <w:numPr>
                <w:ilvl w:val="0"/>
                <w:numId w:val="69"/>
              </w:numPr>
              <w:spacing w:line="240" w:lineRule="auto"/>
              <w:ind w:hanging="101"/>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01-11 sobre pesca y acuicultura, modificada y completada.</w:t>
            </w:r>
          </w:p>
          <w:p w14:paraId="23C04247" w14:textId="77777777" w:rsidR="009123AC" w:rsidRPr="00F0379B" w:rsidRDefault="009123AC" w:rsidP="00CE0EC8">
            <w:pPr>
              <w:widowControl w:val="0"/>
              <w:numPr>
                <w:ilvl w:val="0"/>
                <w:numId w:val="69"/>
              </w:numPr>
              <w:spacing w:line="240" w:lineRule="auto"/>
              <w:ind w:hanging="101"/>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Decreto ejecutivo n.º 03-481, de 13 de diciembre de 2003, por el que se establecen las condiciones para el ejercicio de la pesca, modificado y completado.</w:t>
            </w:r>
          </w:p>
          <w:p w14:paraId="21BB5B29" w14:textId="77777777" w:rsidR="009123AC" w:rsidRPr="00F0379B" w:rsidRDefault="009123AC" w:rsidP="00CE0EC8">
            <w:pPr>
              <w:widowControl w:val="0"/>
              <w:numPr>
                <w:ilvl w:val="0"/>
                <w:numId w:val="69"/>
              </w:numPr>
              <w:spacing w:line="240" w:lineRule="auto"/>
              <w:ind w:hanging="101"/>
              <w:contextualSpacing/>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Decreto de 24 de febrero de 2022 por el que se establecen las condiciones y modalidades de la pesca del atún rojo por parte de los buques que enarbolan pabellón nacional.</w:t>
            </w:r>
          </w:p>
        </w:tc>
        <w:tc>
          <w:tcPr>
            <w:tcW w:w="709" w:type="dxa"/>
          </w:tcPr>
          <w:p w14:paraId="2BA504A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2AE26A1F" w14:textId="77777777" w:rsidTr="00CA749B">
        <w:tc>
          <w:tcPr>
            <w:tcW w:w="453" w:type="dxa"/>
          </w:tcPr>
          <w:p w14:paraId="418C14B7"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p>
        </w:tc>
        <w:tc>
          <w:tcPr>
            <w:tcW w:w="1952" w:type="dxa"/>
          </w:tcPr>
          <w:p w14:paraId="360377BD"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Otros requisitos, como:</w:t>
            </w:r>
          </w:p>
          <w:p w14:paraId="3E155D89"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programa de marcado (párr. 44). etc.</w:t>
            </w:r>
          </w:p>
        </w:tc>
        <w:tc>
          <w:tcPr>
            <w:tcW w:w="3119" w:type="dxa"/>
          </w:tcPr>
          <w:p w14:paraId="54B21C5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693" w:type="dxa"/>
          </w:tcPr>
          <w:p w14:paraId="4FF74CE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709" w:type="dxa"/>
          </w:tcPr>
          <w:p w14:paraId="5D4E962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bl>
    <w:p w14:paraId="4B0E03F3" w14:textId="77777777" w:rsidR="009123AC" w:rsidRPr="00F0379B" w:rsidRDefault="009123AC" w:rsidP="009123AC">
      <w:pPr>
        <w:spacing w:after="0" w:line="240" w:lineRule="auto"/>
        <w:rPr>
          <w:rFonts w:ascii="Cambria" w:eastAsiaTheme="minorEastAsia" w:hAnsi="Cambria"/>
          <w:b/>
          <w:i/>
          <w:iCs/>
          <w:kern w:val="2"/>
          <w:sz w:val="20"/>
          <w:szCs w:val="20"/>
          <w:lang w:eastAsia="ja-JP"/>
          <w14:ligatures w14:val="standardContextual"/>
        </w:rPr>
      </w:pPr>
    </w:p>
    <w:p w14:paraId="73BA4F33" w14:textId="77777777" w:rsidR="009123AC" w:rsidRPr="00F0379B" w:rsidRDefault="009123AC" w:rsidP="009123AC">
      <w:pPr>
        <w:spacing w:after="0" w:line="240" w:lineRule="auto"/>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kern w:val="2"/>
          <w:sz w:val="20"/>
          <w:szCs w:val="20"/>
          <w:lang w:eastAsia="ja-JP"/>
          <w14:ligatures w14:val="standardContextual"/>
        </w:rPr>
        <w:t>1 e) Puertos designados (párr. 80)</w:t>
      </w:r>
    </w:p>
    <w:p w14:paraId="4D7D5422"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5C1178E3"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puertos designados para el desembarque de atún rojo para el año 2026 son: </w:t>
      </w:r>
    </w:p>
    <w:tbl>
      <w:tblPr>
        <w:tblStyle w:val="TableGrid"/>
        <w:tblW w:w="0" w:type="auto"/>
        <w:tblInd w:w="960" w:type="dxa"/>
        <w:tblLook w:val="04A0" w:firstRow="1" w:lastRow="0" w:firstColumn="1" w:lastColumn="0" w:noHBand="0" w:noVBand="1"/>
      </w:tblPr>
      <w:tblGrid>
        <w:gridCol w:w="988"/>
        <w:gridCol w:w="2268"/>
      </w:tblGrid>
      <w:tr w:rsidR="009123AC" w:rsidRPr="00F0379B" w14:paraId="73F919DB" w14:textId="77777777" w:rsidTr="00CA749B">
        <w:tc>
          <w:tcPr>
            <w:tcW w:w="988" w:type="dxa"/>
          </w:tcPr>
          <w:p w14:paraId="255782D2" w14:textId="77777777" w:rsidR="009123AC" w:rsidRPr="00F0379B" w:rsidRDefault="009123AC" w:rsidP="009123AC">
            <w:pPr>
              <w:spacing w:line="240" w:lineRule="auto"/>
              <w:rPr>
                <w:rFonts w:ascii="Cambria" w:eastAsiaTheme="minorEastAsia" w:hAnsi="Cambria"/>
                <w:i/>
                <w:iCs/>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N.º</w:t>
            </w:r>
          </w:p>
        </w:tc>
        <w:tc>
          <w:tcPr>
            <w:tcW w:w="2268" w:type="dxa"/>
          </w:tcPr>
          <w:p w14:paraId="29426A69" w14:textId="77777777" w:rsidR="009123AC" w:rsidRPr="00F0379B" w:rsidRDefault="009123AC" w:rsidP="009123AC">
            <w:pPr>
              <w:spacing w:line="240" w:lineRule="auto"/>
              <w:rPr>
                <w:rFonts w:ascii="Cambria" w:eastAsiaTheme="minorEastAsia" w:hAnsi="Cambria"/>
                <w:i/>
                <w:iCs/>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Puerto de desembarque</w:t>
            </w:r>
          </w:p>
        </w:tc>
      </w:tr>
      <w:tr w:rsidR="009123AC" w:rsidRPr="00F0379B" w14:paraId="1BF24877" w14:textId="77777777" w:rsidTr="00CA749B">
        <w:tc>
          <w:tcPr>
            <w:tcW w:w="988" w:type="dxa"/>
          </w:tcPr>
          <w:p w14:paraId="3661CCF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1</w:t>
            </w:r>
          </w:p>
        </w:tc>
        <w:tc>
          <w:tcPr>
            <w:tcW w:w="2268" w:type="dxa"/>
            <w:vAlign w:val="center"/>
          </w:tcPr>
          <w:p w14:paraId="6101C51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Puerto de Argel</w:t>
            </w:r>
          </w:p>
        </w:tc>
      </w:tr>
      <w:tr w:rsidR="009123AC" w:rsidRPr="00F0379B" w14:paraId="3436BB16" w14:textId="77777777" w:rsidTr="00CA749B">
        <w:tc>
          <w:tcPr>
            <w:tcW w:w="988" w:type="dxa"/>
          </w:tcPr>
          <w:p w14:paraId="38D2B98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2</w:t>
            </w:r>
          </w:p>
        </w:tc>
        <w:tc>
          <w:tcPr>
            <w:tcW w:w="2268" w:type="dxa"/>
            <w:vAlign w:val="center"/>
          </w:tcPr>
          <w:p w14:paraId="0725122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Annaba</w:t>
            </w:r>
          </w:p>
        </w:tc>
      </w:tr>
      <w:tr w:rsidR="009123AC" w:rsidRPr="00F0379B" w14:paraId="21574F89" w14:textId="77777777" w:rsidTr="00CA749B">
        <w:tc>
          <w:tcPr>
            <w:tcW w:w="988" w:type="dxa"/>
          </w:tcPr>
          <w:p w14:paraId="32B40F1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3</w:t>
            </w:r>
          </w:p>
        </w:tc>
        <w:tc>
          <w:tcPr>
            <w:tcW w:w="2268" w:type="dxa"/>
            <w:vAlign w:val="center"/>
          </w:tcPr>
          <w:p w14:paraId="40B2AB0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Azeffoun</w:t>
            </w:r>
            <w:proofErr w:type="spellEnd"/>
          </w:p>
        </w:tc>
      </w:tr>
      <w:tr w:rsidR="009123AC" w:rsidRPr="00F0379B" w14:paraId="04638A67" w14:textId="77777777" w:rsidTr="00CA749B">
        <w:tc>
          <w:tcPr>
            <w:tcW w:w="988" w:type="dxa"/>
          </w:tcPr>
          <w:p w14:paraId="2D92EC2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4</w:t>
            </w:r>
          </w:p>
        </w:tc>
        <w:tc>
          <w:tcPr>
            <w:tcW w:w="2268" w:type="dxa"/>
            <w:vAlign w:val="center"/>
          </w:tcPr>
          <w:p w14:paraId="787A3C2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Béjaia</w:t>
            </w:r>
            <w:proofErr w:type="spellEnd"/>
          </w:p>
        </w:tc>
      </w:tr>
      <w:tr w:rsidR="009123AC" w:rsidRPr="00F0379B" w14:paraId="6641E1D6" w14:textId="77777777" w:rsidTr="00CA749B">
        <w:tc>
          <w:tcPr>
            <w:tcW w:w="988" w:type="dxa"/>
          </w:tcPr>
          <w:p w14:paraId="79C1553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5</w:t>
            </w:r>
          </w:p>
        </w:tc>
        <w:tc>
          <w:tcPr>
            <w:tcW w:w="2268" w:type="dxa"/>
            <w:vAlign w:val="center"/>
          </w:tcPr>
          <w:p w14:paraId="08EF7AA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Béni-</w:t>
            </w:r>
            <w:proofErr w:type="spellStart"/>
            <w:r w:rsidRPr="00F0379B">
              <w:rPr>
                <w:rFonts w:ascii="Cambria" w:eastAsiaTheme="minorEastAsia" w:hAnsi="Cambria"/>
                <w:kern w:val="2"/>
                <w:sz w:val="20"/>
                <w:szCs w:val="20"/>
                <w:lang w:eastAsia="ja-JP"/>
                <w14:ligatures w14:val="standardContextual"/>
              </w:rPr>
              <w:t>Saf</w:t>
            </w:r>
            <w:proofErr w:type="spellEnd"/>
          </w:p>
        </w:tc>
      </w:tr>
      <w:tr w:rsidR="009123AC" w:rsidRPr="00F0379B" w14:paraId="239BE29D" w14:textId="77777777" w:rsidTr="00CA749B">
        <w:tc>
          <w:tcPr>
            <w:tcW w:w="988" w:type="dxa"/>
          </w:tcPr>
          <w:p w14:paraId="0881C84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6</w:t>
            </w:r>
          </w:p>
        </w:tc>
        <w:tc>
          <w:tcPr>
            <w:tcW w:w="2268" w:type="dxa"/>
            <w:vAlign w:val="center"/>
          </w:tcPr>
          <w:p w14:paraId="75ED171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Boudis</w:t>
            </w:r>
            <w:proofErr w:type="spellEnd"/>
          </w:p>
        </w:tc>
      </w:tr>
      <w:tr w:rsidR="009123AC" w:rsidRPr="00F0379B" w14:paraId="00710060" w14:textId="77777777" w:rsidTr="00CA749B">
        <w:tc>
          <w:tcPr>
            <w:tcW w:w="988" w:type="dxa"/>
          </w:tcPr>
          <w:p w14:paraId="2E51744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7</w:t>
            </w:r>
          </w:p>
        </w:tc>
        <w:tc>
          <w:tcPr>
            <w:tcW w:w="2268" w:type="dxa"/>
            <w:vAlign w:val="center"/>
          </w:tcPr>
          <w:p w14:paraId="05E6C06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Bouharoun</w:t>
            </w:r>
            <w:proofErr w:type="spellEnd"/>
          </w:p>
        </w:tc>
      </w:tr>
      <w:tr w:rsidR="009123AC" w:rsidRPr="00F0379B" w14:paraId="1620421E" w14:textId="77777777" w:rsidTr="00CA749B">
        <w:tc>
          <w:tcPr>
            <w:tcW w:w="988" w:type="dxa"/>
          </w:tcPr>
          <w:p w14:paraId="0A28102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8</w:t>
            </w:r>
          </w:p>
        </w:tc>
        <w:tc>
          <w:tcPr>
            <w:tcW w:w="2268" w:type="dxa"/>
            <w:vAlign w:val="center"/>
          </w:tcPr>
          <w:p w14:paraId="3DFFB71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Bouzedjar</w:t>
            </w:r>
            <w:proofErr w:type="spellEnd"/>
          </w:p>
        </w:tc>
      </w:tr>
      <w:tr w:rsidR="009123AC" w:rsidRPr="00F0379B" w14:paraId="4A05EF58" w14:textId="77777777" w:rsidTr="00CA749B">
        <w:tc>
          <w:tcPr>
            <w:tcW w:w="988" w:type="dxa"/>
          </w:tcPr>
          <w:p w14:paraId="6E9536A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9</w:t>
            </w:r>
          </w:p>
        </w:tc>
        <w:tc>
          <w:tcPr>
            <w:tcW w:w="2268" w:type="dxa"/>
            <w:vAlign w:val="center"/>
          </w:tcPr>
          <w:p w14:paraId="6D5DFED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Cherchell</w:t>
            </w:r>
            <w:proofErr w:type="spellEnd"/>
          </w:p>
        </w:tc>
      </w:tr>
      <w:tr w:rsidR="009123AC" w:rsidRPr="00F0379B" w14:paraId="03991229" w14:textId="77777777" w:rsidTr="00CA749B">
        <w:tc>
          <w:tcPr>
            <w:tcW w:w="988" w:type="dxa"/>
          </w:tcPr>
          <w:p w14:paraId="60BBE53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lastRenderedPageBreak/>
              <w:t>10</w:t>
            </w:r>
          </w:p>
        </w:tc>
        <w:tc>
          <w:tcPr>
            <w:tcW w:w="2268" w:type="dxa"/>
            <w:vAlign w:val="center"/>
          </w:tcPr>
          <w:p w14:paraId="2354B46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Collo</w:t>
            </w:r>
          </w:p>
        </w:tc>
      </w:tr>
      <w:tr w:rsidR="009123AC" w:rsidRPr="00F0379B" w14:paraId="31DEAA2A" w14:textId="77777777" w:rsidTr="00CA749B">
        <w:tc>
          <w:tcPr>
            <w:tcW w:w="988" w:type="dxa"/>
          </w:tcPr>
          <w:p w14:paraId="225A5A5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11</w:t>
            </w:r>
          </w:p>
        </w:tc>
        <w:tc>
          <w:tcPr>
            <w:tcW w:w="2268" w:type="dxa"/>
            <w:vAlign w:val="center"/>
          </w:tcPr>
          <w:p w14:paraId="7F49160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Dellys</w:t>
            </w:r>
            <w:proofErr w:type="spellEnd"/>
          </w:p>
        </w:tc>
      </w:tr>
      <w:tr w:rsidR="009123AC" w:rsidRPr="00F0379B" w14:paraId="20A7A7C0" w14:textId="77777777" w:rsidTr="00CA749B">
        <w:tc>
          <w:tcPr>
            <w:tcW w:w="988" w:type="dxa"/>
          </w:tcPr>
          <w:p w14:paraId="4632D9E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12</w:t>
            </w:r>
          </w:p>
        </w:tc>
        <w:tc>
          <w:tcPr>
            <w:tcW w:w="2268" w:type="dxa"/>
            <w:vAlign w:val="center"/>
          </w:tcPr>
          <w:p w14:paraId="27DE928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Djinet</w:t>
            </w:r>
            <w:proofErr w:type="spellEnd"/>
          </w:p>
        </w:tc>
      </w:tr>
      <w:tr w:rsidR="009123AC" w:rsidRPr="00F0379B" w14:paraId="61E2439D" w14:textId="77777777" w:rsidTr="00CA749B">
        <w:tc>
          <w:tcPr>
            <w:tcW w:w="988" w:type="dxa"/>
          </w:tcPr>
          <w:p w14:paraId="5ADB236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13</w:t>
            </w:r>
          </w:p>
        </w:tc>
        <w:tc>
          <w:tcPr>
            <w:tcW w:w="2268" w:type="dxa"/>
            <w:vAlign w:val="center"/>
          </w:tcPr>
          <w:p w14:paraId="23E9F82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Marsa</w:t>
            </w:r>
          </w:p>
        </w:tc>
      </w:tr>
      <w:tr w:rsidR="009123AC" w:rsidRPr="00F0379B" w14:paraId="25DE36BB" w14:textId="77777777" w:rsidTr="00CA749B">
        <w:tc>
          <w:tcPr>
            <w:tcW w:w="988" w:type="dxa"/>
          </w:tcPr>
          <w:p w14:paraId="4048CE8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14</w:t>
            </w:r>
          </w:p>
        </w:tc>
        <w:tc>
          <w:tcPr>
            <w:tcW w:w="2268" w:type="dxa"/>
            <w:vAlign w:val="center"/>
          </w:tcPr>
          <w:p w14:paraId="4426F6F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Djamila</w:t>
            </w:r>
          </w:p>
        </w:tc>
      </w:tr>
      <w:tr w:rsidR="009123AC" w:rsidRPr="00F0379B" w14:paraId="0A999D21" w14:textId="77777777" w:rsidTr="00CA749B">
        <w:tc>
          <w:tcPr>
            <w:tcW w:w="988" w:type="dxa"/>
          </w:tcPr>
          <w:p w14:paraId="58E6703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15</w:t>
            </w:r>
          </w:p>
        </w:tc>
        <w:tc>
          <w:tcPr>
            <w:tcW w:w="2268" w:type="dxa"/>
            <w:vAlign w:val="center"/>
          </w:tcPr>
          <w:p w14:paraId="1B6B9E0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Kala</w:t>
            </w:r>
          </w:p>
        </w:tc>
      </w:tr>
      <w:tr w:rsidR="009123AC" w:rsidRPr="00F0379B" w14:paraId="01627F3F" w14:textId="77777777" w:rsidTr="00CA749B">
        <w:tc>
          <w:tcPr>
            <w:tcW w:w="988" w:type="dxa"/>
          </w:tcPr>
          <w:p w14:paraId="422DABC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16</w:t>
            </w:r>
          </w:p>
        </w:tc>
        <w:tc>
          <w:tcPr>
            <w:tcW w:w="2268" w:type="dxa"/>
            <w:vAlign w:val="center"/>
          </w:tcPr>
          <w:p w14:paraId="6D23618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Ghazaouet</w:t>
            </w:r>
            <w:proofErr w:type="spellEnd"/>
          </w:p>
        </w:tc>
      </w:tr>
      <w:tr w:rsidR="009123AC" w:rsidRPr="00F0379B" w14:paraId="398CE9E5" w14:textId="77777777" w:rsidTr="00CA749B">
        <w:tc>
          <w:tcPr>
            <w:tcW w:w="988" w:type="dxa"/>
          </w:tcPr>
          <w:p w14:paraId="3AB854B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17</w:t>
            </w:r>
          </w:p>
        </w:tc>
        <w:tc>
          <w:tcPr>
            <w:tcW w:w="2268" w:type="dxa"/>
            <w:vAlign w:val="center"/>
          </w:tcPr>
          <w:p w14:paraId="4C96357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Gouraya</w:t>
            </w:r>
            <w:proofErr w:type="spellEnd"/>
          </w:p>
        </w:tc>
      </w:tr>
      <w:tr w:rsidR="009123AC" w:rsidRPr="00F0379B" w14:paraId="7C4AC69E" w14:textId="77777777" w:rsidTr="00CA749B">
        <w:tc>
          <w:tcPr>
            <w:tcW w:w="988" w:type="dxa"/>
          </w:tcPr>
          <w:p w14:paraId="6DF5D8B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18</w:t>
            </w:r>
          </w:p>
        </w:tc>
        <w:tc>
          <w:tcPr>
            <w:tcW w:w="2268" w:type="dxa"/>
            <w:vAlign w:val="center"/>
          </w:tcPr>
          <w:p w14:paraId="0B88059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Honaine</w:t>
            </w:r>
            <w:proofErr w:type="spellEnd"/>
          </w:p>
        </w:tc>
      </w:tr>
      <w:tr w:rsidR="009123AC" w:rsidRPr="00F0379B" w14:paraId="71181DB4" w14:textId="77777777" w:rsidTr="00CA749B">
        <w:tc>
          <w:tcPr>
            <w:tcW w:w="988" w:type="dxa"/>
          </w:tcPr>
          <w:p w14:paraId="5BB2A30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19</w:t>
            </w:r>
          </w:p>
        </w:tc>
        <w:tc>
          <w:tcPr>
            <w:tcW w:w="2268" w:type="dxa"/>
            <w:vAlign w:val="center"/>
          </w:tcPr>
          <w:p w14:paraId="6F24C7F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Khemisti</w:t>
            </w:r>
            <w:proofErr w:type="spellEnd"/>
          </w:p>
        </w:tc>
      </w:tr>
      <w:tr w:rsidR="009123AC" w:rsidRPr="00F0379B" w14:paraId="32045CB4" w14:textId="77777777" w:rsidTr="00CA749B">
        <w:tc>
          <w:tcPr>
            <w:tcW w:w="988" w:type="dxa"/>
          </w:tcPr>
          <w:p w14:paraId="45386D9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20</w:t>
            </w:r>
          </w:p>
        </w:tc>
        <w:tc>
          <w:tcPr>
            <w:tcW w:w="2268" w:type="dxa"/>
            <w:vAlign w:val="center"/>
          </w:tcPr>
          <w:p w14:paraId="20D1F72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Marsa</w:t>
            </w:r>
          </w:p>
        </w:tc>
      </w:tr>
      <w:tr w:rsidR="009123AC" w:rsidRPr="00F0379B" w14:paraId="24AC254A" w14:textId="77777777" w:rsidTr="00CA749B">
        <w:tc>
          <w:tcPr>
            <w:tcW w:w="988" w:type="dxa"/>
          </w:tcPr>
          <w:p w14:paraId="6C6539A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21</w:t>
            </w:r>
          </w:p>
        </w:tc>
        <w:tc>
          <w:tcPr>
            <w:tcW w:w="2268" w:type="dxa"/>
            <w:vAlign w:val="center"/>
          </w:tcPr>
          <w:p w14:paraId="0262D5A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Mostaganem</w:t>
            </w:r>
            <w:proofErr w:type="spellEnd"/>
          </w:p>
        </w:tc>
      </w:tr>
      <w:tr w:rsidR="009123AC" w:rsidRPr="00F0379B" w14:paraId="1C83F3D9" w14:textId="77777777" w:rsidTr="00CA749B">
        <w:tc>
          <w:tcPr>
            <w:tcW w:w="988" w:type="dxa"/>
          </w:tcPr>
          <w:p w14:paraId="7B1F60B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22</w:t>
            </w:r>
          </w:p>
        </w:tc>
        <w:tc>
          <w:tcPr>
            <w:tcW w:w="2268" w:type="dxa"/>
            <w:vAlign w:val="center"/>
          </w:tcPr>
          <w:p w14:paraId="7DCF808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Oran</w:t>
            </w:r>
          </w:p>
        </w:tc>
      </w:tr>
      <w:tr w:rsidR="009123AC" w:rsidRPr="00F0379B" w14:paraId="7DE293A9" w14:textId="77777777" w:rsidTr="00CA749B">
        <w:tc>
          <w:tcPr>
            <w:tcW w:w="988" w:type="dxa"/>
          </w:tcPr>
          <w:p w14:paraId="0D2E961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23</w:t>
            </w:r>
          </w:p>
        </w:tc>
        <w:tc>
          <w:tcPr>
            <w:tcW w:w="2268" w:type="dxa"/>
            <w:vAlign w:val="center"/>
          </w:tcPr>
          <w:p w14:paraId="4F40A40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Sidi </w:t>
            </w:r>
            <w:proofErr w:type="spellStart"/>
            <w:r w:rsidRPr="00F0379B">
              <w:rPr>
                <w:rFonts w:ascii="Cambria" w:eastAsiaTheme="minorEastAsia" w:hAnsi="Cambria"/>
                <w:kern w:val="2"/>
                <w:sz w:val="20"/>
                <w:szCs w:val="20"/>
                <w:lang w:eastAsia="ja-JP"/>
                <w14:ligatures w14:val="standardContextual"/>
              </w:rPr>
              <w:t>Lakhdar</w:t>
            </w:r>
            <w:proofErr w:type="spellEnd"/>
          </w:p>
        </w:tc>
      </w:tr>
      <w:tr w:rsidR="009123AC" w:rsidRPr="00F0379B" w14:paraId="470748C6" w14:textId="77777777" w:rsidTr="00CA749B">
        <w:tc>
          <w:tcPr>
            <w:tcW w:w="988" w:type="dxa"/>
          </w:tcPr>
          <w:p w14:paraId="7847ADC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24</w:t>
            </w:r>
          </w:p>
        </w:tc>
        <w:tc>
          <w:tcPr>
            <w:tcW w:w="2268" w:type="dxa"/>
            <w:vAlign w:val="center"/>
          </w:tcPr>
          <w:p w14:paraId="70E2C75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Stora</w:t>
            </w:r>
          </w:p>
        </w:tc>
      </w:tr>
      <w:tr w:rsidR="009123AC" w:rsidRPr="00F0379B" w14:paraId="270E19E5" w14:textId="77777777" w:rsidTr="00CA749B">
        <w:tc>
          <w:tcPr>
            <w:tcW w:w="988" w:type="dxa"/>
          </w:tcPr>
          <w:p w14:paraId="7D7FB5D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25</w:t>
            </w:r>
          </w:p>
        </w:tc>
        <w:tc>
          <w:tcPr>
            <w:tcW w:w="2268" w:type="dxa"/>
            <w:vAlign w:val="center"/>
          </w:tcPr>
          <w:p w14:paraId="2770A24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Ténes</w:t>
            </w:r>
            <w:proofErr w:type="spellEnd"/>
          </w:p>
        </w:tc>
      </w:tr>
      <w:tr w:rsidR="009123AC" w:rsidRPr="00F0379B" w14:paraId="02CF5AB0" w14:textId="77777777" w:rsidTr="00CA749B">
        <w:tc>
          <w:tcPr>
            <w:tcW w:w="988" w:type="dxa"/>
          </w:tcPr>
          <w:p w14:paraId="63041E1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26</w:t>
            </w:r>
          </w:p>
        </w:tc>
        <w:tc>
          <w:tcPr>
            <w:tcW w:w="2268" w:type="dxa"/>
            <w:vAlign w:val="center"/>
          </w:tcPr>
          <w:p w14:paraId="30031F2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Tigzirt</w:t>
            </w:r>
            <w:proofErr w:type="spellEnd"/>
          </w:p>
        </w:tc>
      </w:tr>
      <w:tr w:rsidR="009123AC" w:rsidRPr="00F0379B" w14:paraId="17CCCECD" w14:textId="77777777" w:rsidTr="00CA749B">
        <w:tc>
          <w:tcPr>
            <w:tcW w:w="988" w:type="dxa"/>
          </w:tcPr>
          <w:p w14:paraId="67D6CFE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27</w:t>
            </w:r>
          </w:p>
        </w:tc>
        <w:tc>
          <w:tcPr>
            <w:tcW w:w="2268" w:type="dxa"/>
            <w:vAlign w:val="center"/>
          </w:tcPr>
          <w:p w14:paraId="36F2B31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Zemmouri</w:t>
            </w:r>
          </w:p>
        </w:tc>
      </w:tr>
      <w:tr w:rsidR="009123AC" w:rsidRPr="00F0379B" w14:paraId="5CA75549" w14:textId="77777777" w:rsidTr="00CA749B">
        <w:tc>
          <w:tcPr>
            <w:tcW w:w="988" w:type="dxa"/>
          </w:tcPr>
          <w:p w14:paraId="27263B5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28</w:t>
            </w:r>
          </w:p>
        </w:tc>
        <w:tc>
          <w:tcPr>
            <w:tcW w:w="2268" w:type="dxa"/>
            <w:vAlign w:val="center"/>
          </w:tcPr>
          <w:p w14:paraId="00BFE45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Ziama</w:t>
            </w:r>
            <w:proofErr w:type="spellEnd"/>
            <w:r w:rsidRPr="00F0379B">
              <w:rPr>
                <w:rFonts w:ascii="Cambria" w:eastAsiaTheme="minorEastAsia" w:hAnsi="Cambria"/>
                <w:kern w:val="2"/>
                <w:sz w:val="20"/>
                <w:szCs w:val="20"/>
                <w:lang w:eastAsia="ja-JP"/>
                <w14:ligatures w14:val="standardContextual"/>
              </w:rPr>
              <w:t xml:space="preserve"> </w:t>
            </w:r>
            <w:proofErr w:type="spellStart"/>
            <w:r w:rsidRPr="00F0379B">
              <w:rPr>
                <w:rFonts w:ascii="Cambria" w:eastAsiaTheme="minorEastAsia" w:hAnsi="Cambria"/>
                <w:kern w:val="2"/>
                <w:sz w:val="20"/>
                <w:szCs w:val="20"/>
                <w:lang w:eastAsia="ja-JP"/>
                <w14:ligatures w14:val="standardContextual"/>
              </w:rPr>
              <w:t>Mansouria</w:t>
            </w:r>
            <w:proofErr w:type="spellEnd"/>
          </w:p>
        </w:tc>
      </w:tr>
      <w:tr w:rsidR="009123AC" w:rsidRPr="00F0379B" w14:paraId="58F0436A" w14:textId="77777777" w:rsidTr="00CA749B">
        <w:tc>
          <w:tcPr>
            <w:tcW w:w="988" w:type="dxa"/>
          </w:tcPr>
          <w:p w14:paraId="1A7FCB8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29</w:t>
            </w:r>
          </w:p>
        </w:tc>
        <w:tc>
          <w:tcPr>
            <w:tcW w:w="2268" w:type="dxa"/>
            <w:vAlign w:val="center"/>
          </w:tcPr>
          <w:p w14:paraId="33AEEE1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Salamandre</w:t>
            </w:r>
            <w:proofErr w:type="spellEnd"/>
          </w:p>
        </w:tc>
      </w:tr>
      <w:tr w:rsidR="009123AC" w:rsidRPr="00F0379B" w14:paraId="456BFF7F" w14:textId="77777777" w:rsidTr="00CA749B">
        <w:tc>
          <w:tcPr>
            <w:tcW w:w="988" w:type="dxa"/>
          </w:tcPr>
          <w:p w14:paraId="145724A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30</w:t>
            </w:r>
          </w:p>
        </w:tc>
        <w:tc>
          <w:tcPr>
            <w:tcW w:w="2268" w:type="dxa"/>
            <w:vAlign w:val="center"/>
          </w:tcPr>
          <w:p w14:paraId="6E26112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Beni-Haoua</w:t>
            </w:r>
          </w:p>
        </w:tc>
      </w:tr>
      <w:tr w:rsidR="009123AC" w:rsidRPr="00F0379B" w14:paraId="37F299CA" w14:textId="77777777" w:rsidTr="00CA749B">
        <w:tc>
          <w:tcPr>
            <w:tcW w:w="988" w:type="dxa"/>
          </w:tcPr>
          <w:p w14:paraId="5B35832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31</w:t>
            </w:r>
          </w:p>
        </w:tc>
        <w:tc>
          <w:tcPr>
            <w:tcW w:w="2268" w:type="dxa"/>
            <w:vAlign w:val="center"/>
          </w:tcPr>
          <w:p w14:paraId="2EF63F9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Sidna </w:t>
            </w:r>
            <w:proofErr w:type="spellStart"/>
            <w:r w:rsidRPr="00F0379B">
              <w:rPr>
                <w:rFonts w:ascii="Cambria" w:eastAsiaTheme="minorEastAsia" w:hAnsi="Cambria"/>
                <w:kern w:val="2"/>
                <w:sz w:val="20"/>
                <w:szCs w:val="20"/>
                <w:lang w:eastAsia="ja-JP"/>
                <w14:ligatures w14:val="standardContextual"/>
              </w:rPr>
              <w:t>Youchaa</w:t>
            </w:r>
            <w:proofErr w:type="spellEnd"/>
          </w:p>
        </w:tc>
      </w:tr>
    </w:tbl>
    <w:p w14:paraId="71029F9D" w14:textId="77777777" w:rsidR="009123AC" w:rsidRPr="00F0379B" w:rsidRDefault="009123AC" w:rsidP="009123AC">
      <w:pPr>
        <w:spacing w:after="0" w:line="240" w:lineRule="auto"/>
        <w:rPr>
          <w:rFonts w:ascii="Cambria" w:eastAsiaTheme="minorEastAsia" w:hAnsi="Cambria"/>
          <w:bCs/>
          <w:kern w:val="2"/>
          <w:sz w:val="20"/>
          <w:szCs w:val="20"/>
          <w:lang w:eastAsia="ja-JP"/>
          <w14:ligatures w14:val="standardContextual"/>
        </w:rPr>
      </w:pPr>
    </w:p>
    <w:p w14:paraId="0CB243F2"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tabla/formulario CP24_AuthPort se envía a la Secretaría de ICCAT).</w:t>
      </w:r>
    </w:p>
    <w:p w14:paraId="2DE562C6"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540B00D3"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452B6FA6" w14:textId="77777777" w:rsidR="009123AC" w:rsidRPr="00F0379B" w:rsidRDefault="009123AC" w:rsidP="009123AC">
      <w:pPr>
        <w:spacing w:after="0" w:line="240" w:lineRule="auto"/>
        <w:ind w:left="426" w:hanging="426"/>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2.</w:t>
      </w:r>
      <w:r w:rsidRPr="00F0379B">
        <w:rPr>
          <w:rFonts w:ascii="Cambria" w:eastAsiaTheme="minorEastAsia" w:hAnsi="Cambria"/>
          <w:b/>
          <w:kern w:val="2"/>
          <w:sz w:val="20"/>
          <w:szCs w:val="20"/>
          <w:lang w:eastAsia="ja-JP"/>
          <w14:ligatures w14:val="standardContextual"/>
        </w:rPr>
        <w:tab/>
        <w:t>Plan anual de ordenación de la capacidad pesquera (párrs. 14-21)</w:t>
      </w:r>
    </w:p>
    <w:p w14:paraId="2E671AB5"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44785EB5"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capacidad pesquera dedicada al atún rojo está compuesta por una flota de cuarenta y un (41) atuneros cerqueros. Esta capacidad se ajusta a la cuota asignada a Argelia y cumple con las estimaciones recomendadas por el SCRS.</w:t>
      </w:r>
    </w:p>
    <w:p w14:paraId="58D60E22"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26E91A06"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No se ha registrado ningún aumento significativo de la capacidad pesquera con respecto al año anterior. Por lo tanto, Argelia no presenta una situación de exceso de capacidad en la pesca del atún rojo. </w:t>
      </w:r>
    </w:p>
    <w:p w14:paraId="579832B1"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04DD9A54"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número definitivo de buques autorizados a capturar atún rojo se fijará de conformidad con los criterios establecidos en la normativa nacional vigente. Las cuotas individuales se atribuyen mediante el mecanismo de reparto definido por el decreto de 24 de febrero de 2022 por el que se establecen las condiciones y modalidades de la pesca del atún rojo por parte de los buques que enarbolan pabellón nacional.</w:t>
      </w:r>
    </w:p>
    <w:p w14:paraId="44763CD1"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0707EF87"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Sin embargo, tras repetidas solicitudes, se asigna una cuota de 40 t a los pequeños barcos costeros, inicialmente 90 en número. Este número se reducirá progresivamente en función de la adaptación y el cumplimiento de estos pequeños barcos costeros con los programas de control y trazabilidad establecidos.</w:t>
      </w:r>
    </w:p>
    <w:p w14:paraId="567CBA1A"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09FC49CC"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plan de ordenación de la capacidad pesquera y la lista de buques que participan en la campaña pesquera de 2026 podrán revisarse, si procede, y se notificarán a la Secretaría de ICCAT en los plazos previstos en los párrafos 13 y 52 de la Recomendación 25-04.</w:t>
      </w:r>
    </w:p>
    <w:p w14:paraId="2EA7BC20"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73E8E71F"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48F785C0" w14:textId="19E870FB" w:rsidR="009123AC" w:rsidRPr="00F0379B" w:rsidRDefault="009123AC" w:rsidP="009123AC">
      <w:pPr>
        <w:spacing w:after="0" w:line="240" w:lineRule="auto"/>
        <w:ind w:left="426" w:hanging="426"/>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3.</w:t>
      </w:r>
      <w:r w:rsidRPr="00F0379B">
        <w:rPr>
          <w:rFonts w:ascii="Cambria" w:eastAsiaTheme="minorEastAsia" w:hAnsi="Cambria"/>
          <w:b/>
          <w:kern w:val="2"/>
          <w:sz w:val="20"/>
          <w:szCs w:val="20"/>
          <w:lang w:eastAsia="ja-JP"/>
          <w14:ligatures w14:val="standardContextual"/>
        </w:rPr>
        <w:tab/>
        <w:t xml:space="preserve">Plan anual de ordenación de la </w:t>
      </w:r>
      <w:r w:rsidRPr="00F0379B">
        <w:rPr>
          <w:rFonts w:ascii="Cambria" w:eastAsiaTheme="minorEastAsia" w:hAnsi="Cambria"/>
          <w:b/>
          <w:color w:val="000000" w:themeColor="text1"/>
          <w:kern w:val="2"/>
          <w:sz w:val="20"/>
          <w:szCs w:val="20"/>
          <w:lang w:eastAsia="ja-JP"/>
          <w14:ligatures w14:val="standardContextual"/>
        </w:rPr>
        <w:t>cría (párrs</w:t>
      </w:r>
      <w:r w:rsidR="00907948" w:rsidRPr="00F0379B">
        <w:rPr>
          <w:rFonts w:ascii="Cambria" w:eastAsiaTheme="minorEastAsia" w:hAnsi="Cambria"/>
          <w:b/>
          <w:color w:val="000000" w:themeColor="text1"/>
          <w:kern w:val="2"/>
          <w:sz w:val="20"/>
          <w:szCs w:val="20"/>
          <w:lang w:eastAsia="ja-JP"/>
          <w14:ligatures w14:val="standardContextual"/>
        </w:rPr>
        <w:t>.</w:t>
      </w:r>
      <w:r w:rsidRPr="00F0379B">
        <w:rPr>
          <w:rFonts w:ascii="Cambria" w:eastAsiaTheme="minorEastAsia" w:hAnsi="Cambria"/>
          <w:b/>
          <w:color w:val="000000" w:themeColor="text1"/>
          <w:kern w:val="2"/>
          <w:sz w:val="20"/>
          <w:szCs w:val="20"/>
          <w:lang w:eastAsia="ja-JP"/>
          <w14:ligatures w14:val="standardContextual"/>
        </w:rPr>
        <w:t xml:space="preserve"> 22 y 23), si </w:t>
      </w:r>
      <w:r w:rsidRPr="00F0379B">
        <w:rPr>
          <w:rFonts w:ascii="Cambria" w:eastAsiaTheme="minorEastAsia" w:hAnsi="Cambria"/>
          <w:b/>
          <w:kern w:val="2"/>
          <w:sz w:val="20"/>
          <w:szCs w:val="20"/>
          <w:lang w:eastAsia="ja-JP"/>
          <w14:ligatures w14:val="standardContextual"/>
        </w:rPr>
        <w:t>es aplicable</w:t>
      </w:r>
    </w:p>
    <w:p w14:paraId="5AD2E965"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6850AEF1"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Una (01) granja de cría de atún rojo está autorizada a ejercer su actividad en 2026 (véase la tabla siguiente).</w:t>
      </w:r>
    </w:p>
    <w:p w14:paraId="7A5438ED"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0C18D316"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 conformidad con la Recomendación 25-04, el volumen de entrada de atún rojo en 2026 es proporcional a la cuota de pesca asignada a Argelia en 2026.</w:t>
      </w:r>
    </w:p>
    <w:p w14:paraId="2F66B78E"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129C7DC8"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lastRenderedPageBreak/>
        <w:t>No obstante, Argelia se reserva el derecho de presentar, si procede, planes de ordenación de la cría revisados a la Secretaría antes del 1 de junio de 2026, de conformidad con el párrafo 22 de la Recomendación 25-04 de ICCAT.</w:t>
      </w:r>
    </w:p>
    <w:p w14:paraId="1892282B"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3A1BAA2D"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Seguimiento del control de la introducción en jaulas y control aleatorio:</w:t>
      </w:r>
    </w:p>
    <w:p w14:paraId="525C4ECC"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3A47C8C4" w14:textId="77777777" w:rsidR="009123AC" w:rsidRPr="00F0379B" w:rsidRDefault="009123AC" w:rsidP="00CE0EC8">
      <w:pPr>
        <w:widowControl w:val="0"/>
        <w:numPr>
          <w:ilvl w:val="0"/>
          <w:numId w:val="73"/>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operaciones de introducción en jaula en la granja de engorde se llevarán a cabo en presencia de observadores nacionales y regionales y utilizando cámaras convencionales y estereoscópicas, de conformidad con las condiciones enumeradas en la Recomendación 25-04.</w:t>
      </w:r>
    </w:p>
    <w:p w14:paraId="6EEDED2E" w14:textId="77777777" w:rsidR="009123AC" w:rsidRPr="00F0379B" w:rsidRDefault="009123AC" w:rsidP="009123AC">
      <w:pPr>
        <w:spacing w:after="0" w:line="240" w:lineRule="auto"/>
        <w:ind w:left="720"/>
        <w:contextualSpacing/>
        <w:rPr>
          <w:rFonts w:ascii="Cambria" w:eastAsiaTheme="minorEastAsia" w:hAnsi="Cambria"/>
          <w:kern w:val="2"/>
          <w:sz w:val="20"/>
          <w:szCs w:val="20"/>
          <w:lang w:eastAsia="ja-JP"/>
          <w14:ligatures w14:val="standardContextual"/>
        </w:rPr>
      </w:pPr>
    </w:p>
    <w:p w14:paraId="38B0DFB8" w14:textId="77777777" w:rsidR="009123AC" w:rsidRPr="00F0379B" w:rsidRDefault="009123AC" w:rsidP="00CE0EC8">
      <w:pPr>
        <w:widowControl w:val="0"/>
        <w:numPr>
          <w:ilvl w:val="0"/>
          <w:numId w:val="73"/>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realizarán controles aleatorios de al menos el 10 % de las jaulas tras las operaciones de introducción en jaulas.</w:t>
      </w:r>
    </w:p>
    <w:p w14:paraId="74835FCC"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6EFEF9A9"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1709"/>
        <w:gridCol w:w="1527"/>
        <w:gridCol w:w="1860"/>
        <w:gridCol w:w="1396"/>
        <w:gridCol w:w="1813"/>
      </w:tblGrid>
      <w:tr w:rsidR="009123AC" w:rsidRPr="00F0379B" w14:paraId="31681FA2" w14:textId="77777777" w:rsidTr="00CA749B">
        <w:trPr>
          <w:trHeight w:val="478"/>
        </w:trPr>
        <w:tc>
          <w:tcPr>
            <w:tcW w:w="905" w:type="dxa"/>
            <w:vAlign w:val="center"/>
          </w:tcPr>
          <w:p w14:paraId="46BCBF9B" w14:textId="77777777" w:rsidR="009123AC" w:rsidRPr="00F0379B" w:rsidRDefault="009123AC" w:rsidP="009123AC">
            <w:pPr>
              <w:shd w:val="clear" w:color="auto" w:fill="FFFFFF" w:themeFill="background1"/>
              <w:spacing w:after="0" w:line="240" w:lineRule="auto"/>
              <w:jc w:val="center"/>
              <w:rPr>
                <w:rFonts w:ascii="Cambria" w:eastAsiaTheme="minorEastAsia" w:hAnsi="Cambria"/>
                <w:bCs/>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Nombre de la granja</w:t>
            </w:r>
          </w:p>
        </w:tc>
        <w:tc>
          <w:tcPr>
            <w:tcW w:w="1710" w:type="dxa"/>
            <w:vAlign w:val="center"/>
          </w:tcPr>
          <w:p w14:paraId="520F76D9" w14:textId="77777777" w:rsidR="009123AC" w:rsidRPr="00F0379B" w:rsidRDefault="009123AC" w:rsidP="009123AC">
            <w:pPr>
              <w:shd w:val="clear" w:color="auto" w:fill="FFFFFF" w:themeFill="background1"/>
              <w:spacing w:after="0" w:line="240" w:lineRule="auto"/>
              <w:jc w:val="center"/>
              <w:rPr>
                <w:rFonts w:ascii="Cambria" w:eastAsiaTheme="minorEastAsia" w:hAnsi="Cambria"/>
                <w:bCs/>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N.º ICCAT</w:t>
            </w:r>
          </w:p>
        </w:tc>
        <w:tc>
          <w:tcPr>
            <w:tcW w:w="1466" w:type="dxa"/>
            <w:vAlign w:val="center"/>
          </w:tcPr>
          <w:p w14:paraId="364F3EFF" w14:textId="77777777" w:rsidR="009123AC" w:rsidRPr="00F0379B" w:rsidRDefault="009123AC" w:rsidP="009123AC">
            <w:pPr>
              <w:shd w:val="clear" w:color="auto" w:fill="FFFFFF" w:themeFill="background1"/>
              <w:spacing w:after="0" w:line="240" w:lineRule="auto"/>
              <w:jc w:val="center"/>
              <w:rPr>
                <w:rFonts w:ascii="Cambria" w:eastAsiaTheme="minorEastAsia" w:hAnsi="Cambria"/>
                <w:bCs/>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Gerencia del establecimiento</w:t>
            </w:r>
          </w:p>
        </w:tc>
        <w:tc>
          <w:tcPr>
            <w:tcW w:w="1868" w:type="dxa"/>
            <w:vAlign w:val="center"/>
          </w:tcPr>
          <w:p w14:paraId="19308026" w14:textId="77777777" w:rsidR="009123AC" w:rsidRPr="00F0379B" w:rsidRDefault="009123AC" w:rsidP="009123AC">
            <w:pPr>
              <w:shd w:val="clear" w:color="auto" w:fill="FFFFFF" w:themeFill="background1"/>
              <w:spacing w:after="0" w:line="240" w:lineRule="auto"/>
              <w:jc w:val="center"/>
              <w:rPr>
                <w:rFonts w:ascii="Cambria" w:eastAsiaTheme="minorEastAsia" w:hAnsi="Cambria"/>
                <w:bCs/>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Detalles de contacto de la granja</w:t>
            </w:r>
          </w:p>
        </w:tc>
        <w:tc>
          <w:tcPr>
            <w:tcW w:w="1417" w:type="dxa"/>
            <w:vAlign w:val="center"/>
          </w:tcPr>
          <w:p w14:paraId="74B0FE87" w14:textId="77777777" w:rsidR="009123AC" w:rsidRPr="00F0379B" w:rsidRDefault="009123AC" w:rsidP="009123AC">
            <w:pPr>
              <w:shd w:val="clear" w:color="auto" w:fill="FFFFFF" w:themeFill="background1"/>
              <w:spacing w:after="0" w:line="240" w:lineRule="auto"/>
              <w:jc w:val="center"/>
              <w:rPr>
                <w:rFonts w:ascii="Cambria" w:eastAsiaTheme="minorEastAsia" w:hAnsi="Cambria"/>
                <w:bCs/>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 xml:space="preserve">Entrada en estado salvaje (t) </w:t>
            </w:r>
          </w:p>
        </w:tc>
        <w:tc>
          <w:tcPr>
            <w:tcW w:w="1843" w:type="dxa"/>
            <w:vAlign w:val="center"/>
          </w:tcPr>
          <w:p w14:paraId="4521813F" w14:textId="77777777" w:rsidR="009123AC" w:rsidRPr="00F0379B" w:rsidRDefault="009123AC" w:rsidP="009123AC">
            <w:pPr>
              <w:shd w:val="clear" w:color="auto" w:fill="FFFFFF" w:themeFill="background1"/>
              <w:spacing w:after="0" w:line="240" w:lineRule="auto"/>
              <w:jc w:val="center"/>
              <w:rPr>
                <w:rFonts w:ascii="Cambria" w:eastAsiaTheme="minorEastAsia" w:hAnsi="Cambria"/>
                <w:bCs/>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Capacidad de cría (t)</w:t>
            </w:r>
          </w:p>
        </w:tc>
      </w:tr>
      <w:tr w:rsidR="009123AC" w:rsidRPr="00F0379B" w14:paraId="1ABFC6A0" w14:textId="77777777" w:rsidTr="00CA749B">
        <w:trPr>
          <w:trHeight w:val="111"/>
        </w:trPr>
        <w:tc>
          <w:tcPr>
            <w:tcW w:w="905" w:type="dxa"/>
            <w:vMerge w:val="restart"/>
            <w:vAlign w:val="center"/>
          </w:tcPr>
          <w:p w14:paraId="02926A37" w14:textId="77777777" w:rsidR="009123AC" w:rsidRPr="00F0379B" w:rsidRDefault="009123AC" w:rsidP="009123AC">
            <w:pPr>
              <w:shd w:val="clear" w:color="auto" w:fill="FFFFFF" w:themeFill="background1"/>
              <w:spacing w:after="0" w:line="240" w:lineRule="auto"/>
              <w:jc w:val="center"/>
              <w:rPr>
                <w:rFonts w:ascii="Cambria" w:eastAsiaTheme="minorEastAsia" w:hAnsi="Cambria"/>
                <w:bCs/>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SOUFI TUNA</w:t>
            </w:r>
          </w:p>
          <w:p w14:paraId="460163B9" w14:textId="77777777" w:rsidR="009123AC" w:rsidRPr="00F0379B" w:rsidRDefault="009123AC" w:rsidP="009123AC">
            <w:pPr>
              <w:shd w:val="clear" w:color="auto" w:fill="FFFFFF" w:themeFill="background1"/>
              <w:spacing w:after="0" w:line="240" w:lineRule="auto"/>
              <w:rPr>
                <w:rFonts w:ascii="Cambria" w:eastAsiaTheme="minorEastAsia" w:hAnsi="Cambria"/>
                <w:b/>
                <w:bCs/>
                <w:kern w:val="2"/>
                <w:sz w:val="20"/>
                <w:szCs w:val="20"/>
                <w:lang w:eastAsia="ja-JP"/>
                <w14:ligatures w14:val="standardContextual"/>
              </w:rPr>
            </w:pPr>
          </w:p>
        </w:tc>
        <w:tc>
          <w:tcPr>
            <w:tcW w:w="1710" w:type="dxa"/>
            <w:vMerge w:val="restart"/>
            <w:vAlign w:val="center"/>
          </w:tcPr>
          <w:p w14:paraId="3E5B7C56" w14:textId="77777777" w:rsidR="009123AC" w:rsidRPr="00F0379B" w:rsidRDefault="009123AC" w:rsidP="009123AC">
            <w:pPr>
              <w:shd w:val="clear" w:color="auto" w:fill="FFFFFF" w:themeFill="background1"/>
              <w:spacing w:after="0" w:line="240" w:lineRule="auto"/>
              <w:jc w:val="center"/>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AT001DZA00001</w:t>
            </w:r>
          </w:p>
        </w:tc>
        <w:tc>
          <w:tcPr>
            <w:tcW w:w="1466" w:type="dxa"/>
            <w:vMerge w:val="restart"/>
            <w:vAlign w:val="center"/>
          </w:tcPr>
          <w:p w14:paraId="56BDCEB3" w14:textId="77777777" w:rsidR="009123AC" w:rsidRPr="00F0379B" w:rsidRDefault="009123AC" w:rsidP="009123AC">
            <w:pPr>
              <w:shd w:val="clear" w:color="auto" w:fill="FFFFFF" w:themeFill="background1"/>
              <w:spacing w:after="0" w:line="240" w:lineRule="auto"/>
              <w:jc w:val="center"/>
              <w:rPr>
                <w:rFonts w:ascii="Cambria" w:eastAsiaTheme="minorEastAsia" w:hAnsi="Cambria"/>
                <w:bCs/>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SARL SOUFI FISH</w:t>
            </w:r>
          </w:p>
          <w:p w14:paraId="4AAF929A" w14:textId="77777777" w:rsidR="009123AC" w:rsidRPr="00F0379B" w:rsidRDefault="009123AC" w:rsidP="009123AC">
            <w:pPr>
              <w:shd w:val="clear" w:color="auto" w:fill="FFFFFF" w:themeFill="background1"/>
              <w:spacing w:after="0" w:line="240" w:lineRule="auto"/>
              <w:rPr>
                <w:rFonts w:ascii="Cambria" w:eastAsiaTheme="minorEastAsia" w:hAnsi="Cambria"/>
                <w:kern w:val="2"/>
                <w:sz w:val="20"/>
                <w:szCs w:val="20"/>
                <w:lang w:eastAsia="ja-JP"/>
                <w14:ligatures w14:val="standardContextual"/>
              </w:rPr>
            </w:pPr>
          </w:p>
        </w:tc>
        <w:tc>
          <w:tcPr>
            <w:tcW w:w="1868" w:type="dxa"/>
            <w:vAlign w:val="center"/>
          </w:tcPr>
          <w:p w14:paraId="4C97F529" w14:textId="77777777" w:rsidR="009123AC" w:rsidRPr="00F0379B" w:rsidRDefault="009123AC" w:rsidP="009123AC">
            <w:pPr>
              <w:shd w:val="clear" w:color="auto" w:fill="FFFFFF" w:themeFill="background1"/>
              <w:spacing w:after="0" w:line="240" w:lineRule="auto"/>
              <w:jc w:val="center"/>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35°13’55,32’’N - 01°38’ 39,91’’</w:t>
            </w:r>
            <w:r w:rsidRPr="00F0379B">
              <w:rPr>
                <w:rFonts w:ascii="Cambria" w:eastAsiaTheme="minorEastAsia" w:hAnsi="Cambria"/>
                <w:kern w:val="2"/>
                <w:sz w:val="20"/>
                <w:szCs w:val="20"/>
                <w:vertAlign w:val="superscript"/>
                <w:lang w:eastAsia="ja-JP"/>
                <w14:ligatures w14:val="standardContextual"/>
              </w:rPr>
              <w:t xml:space="preserve"> </w:t>
            </w:r>
            <w:r w:rsidRPr="00F0379B">
              <w:rPr>
                <w:rFonts w:ascii="Cambria" w:eastAsiaTheme="minorEastAsia" w:hAnsi="Cambria"/>
                <w:kern w:val="2"/>
                <w:sz w:val="20"/>
                <w:szCs w:val="20"/>
                <w:lang w:eastAsia="ja-JP"/>
                <w14:ligatures w14:val="standardContextual"/>
              </w:rPr>
              <w:t>O</w:t>
            </w:r>
          </w:p>
        </w:tc>
        <w:tc>
          <w:tcPr>
            <w:tcW w:w="1417" w:type="dxa"/>
            <w:vMerge w:val="restart"/>
            <w:vAlign w:val="center"/>
          </w:tcPr>
          <w:p w14:paraId="7CA51037" w14:textId="77777777" w:rsidR="009123AC" w:rsidRPr="00F0379B" w:rsidRDefault="009123AC" w:rsidP="009123AC">
            <w:pPr>
              <w:shd w:val="clear" w:color="auto" w:fill="FFFFFF" w:themeFill="background1"/>
              <w:spacing w:after="0" w:line="240" w:lineRule="auto"/>
              <w:ind w:right="175"/>
              <w:jc w:val="center"/>
              <w:rPr>
                <w:rFonts w:ascii="Cambria" w:eastAsiaTheme="minorEastAsia" w:hAnsi="Cambria"/>
                <w:kern w:val="2"/>
                <w:sz w:val="20"/>
                <w:szCs w:val="20"/>
                <w:lang w:eastAsia="ja-JP"/>
                <w14:ligatures w14:val="standardContextual"/>
              </w:rPr>
            </w:pPr>
          </w:p>
          <w:p w14:paraId="636C0484" w14:textId="77777777" w:rsidR="009123AC" w:rsidRPr="00F0379B" w:rsidRDefault="009123AC" w:rsidP="009123AC">
            <w:pPr>
              <w:shd w:val="clear" w:color="auto" w:fill="FFFFFF" w:themeFill="background1"/>
              <w:spacing w:after="0" w:line="240" w:lineRule="auto"/>
              <w:ind w:right="175"/>
              <w:jc w:val="center"/>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950</w:t>
            </w:r>
          </w:p>
        </w:tc>
        <w:tc>
          <w:tcPr>
            <w:tcW w:w="1843" w:type="dxa"/>
            <w:vMerge w:val="restart"/>
            <w:vAlign w:val="center"/>
          </w:tcPr>
          <w:p w14:paraId="41F62394" w14:textId="77777777" w:rsidR="009123AC" w:rsidRPr="00F0379B" w:rsidRDefault="009123AC" w:rsidP="009123AC">
            <w:pPr>
              <w:shd w:val="clear" w:color="auto" w:fill="FFFFFF" w:themeFill="background1"/>
              <w:spacing w:after="0" w:line="240" w:lineRule="auto"/>
              <w:ind w:right="175"/>
              <w:jc w:val="center"/>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1.800</w:t>
            </w:r>
          </w:p>
        </w:tc>
      </w:tr>
      <w:tr w:rsidR="009123AC" w:rsidRPr="00F0379B" w14:paraId="3789EBE5" w14:textId="77777777" w:rsidTr="00CA749B">
        <w:trPr>
          <w:trHeight w:val="109"/>
        </w:trPr>
        <w:tc>
          <w:tcPr>
            <w:tcW w:w="905" w:type="dxa"/>
            <w:vMerge/>
            <w:vAlign w:val="center"/>
          </w:tcPr>
          <w:p w14:paraId="4A33A424" w14:textId="77777777" w:rsidR="009123AC" w:rsidRPr="00F0379B" w:rsidRDefault="009123AC" w:rsidP="009123AC">
            <w:pPr>
              <w:shd w:val="clear" w:color="auto" w:fill="FFFFFF" w:themeFill="background1"/>
              <w:spacing w:after="0" w:line="240" w:lineRule="auto"/>
              <w:rPr>
                <w:rFonts w:ascii="Cambria" w:eastAsiaTheme="minorEastAsia" w:hAnsi="Cambria"/>
                <w:b/>
                <w:bCs/>
                <w:kern w:val="2"/>
                <w:sz w:val="20"/>
                <w:szCs w:val="20"/>
                <w:lang w:eastAsia="ja-JP"/>
                <w14:ligatures w14:val="standardContextual"/>
              </w:rPr>
            </w:pPr>
          </w:p>
        </w:tc>
        <w:tc>
          <w:tcPr>
            <w:tcW w:w="1710" w:type="dxa"/>
            <w:vMerge/>
            <w:vAlign w:val="center"/>
          </w:tcPr>
          <w:p w14:paraId="3A2CE5E0" w14:textId="77777777" w:rsidR="009123AC" w:rsidRPr="00F0379B" w:rsidRDefault="009123AC" w:rsidP="009123AC">
            <w:pPr>
              <w:shd w:val="clear" w:color="auto" w:fill="FFFFFF" w:themeFill="background1"/>
              <w:spacing w:after="0" w:line="240" w:lineRule="auto"/>
              <w:rPr>
                <w:rFonts w:ascii="Cambria" w:eastAsiaTheme="minorEastAsia" w:hAnsi="Cambria"/>
                <w:kern w:val="2"/>
                <w:sz w:val="20"/>
                <w:szCs w:val="20"/>
                <w:lang w:eastAsia="ja-JP"/>
                <w14:ligatures w14:val="standardContextual"/>
              </w:rPr>
            </w:pPr>
          </w:p>
        </w:tc>
        <w:tc>
          <w:tcPr>
            <w:tcW w:w="1466" w:type="dxa"/>
            <w:vMerge/>
            <w:vAlign w:val="center"/>
          </w:tcPr>
          <w:p w14:paraId="677B9252" w14:textId="77777777" w:rsidR="009123AC" w:rsidRPr="00F0379B" w:rsidRDefault="009123AC" w:rsidP="009123AC">
            <w:pPr>
              <w:shd w:val="clear" w:color="auto" w:fill="FFFFFF" w:themeFill="background1"/>
              <w:spacing w:after="0" w:line="240" w:lineRule="auto"/>
              <w:rPr>
                <w:rFonts w:ascii="Cambria" w:eastAsiaTheme="minorEastAsia" w:hAnsi="Cambria"/>
                <w:kern w:val="2"/>
                <w:sz w:val="20"/>
                <w:szCs w:val="20"/>
                <w:lang w:eastAsia="ja-JP"/>
                <w14:ligatures w14:val="standardContextual"/>
              </w:rPr>
            </w:pPr>
          </w:p>
        </w:tc>
        <w:tc>
          <w:tcPr>
            <w:tcW w:w="1868" w:type="dxa"/>
            <w:vAlign w:val="center"/>
          </w:tcPr>
          <w:p w14:paraId="0AA94CBA" w14:textId="77777777" w:rsidR="009123AC" w:rsidRPr="00F0379B" w:rsidRDefault="009123AC" w:rsidP="009123AC">
            <w:pPr>
              <w:shd w:val="clear" w:color="auto" w:fill="FFFFFF" w:themeFill="background1"/>
              <w:spacing w:after="0" w:line="240" w:lineRule="auto"/>
              <w:jc w:val="center"/>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35°13’46,36’’N - 01°38’ 28,69’’</w:t>
            </w:r>
            <w:r w:rsidRPr="00F0379B">
              <w:rPr>
                <w:rFonts w:ascii="Cambria" w:eastAsiaTheme="minorEastAsia" w:hAnsi="Cambria"/>
                <w:kern w:val="2"/>
                <w:sz w:val="20"/>
                <w:szCs w:val="20"/>
                <w:vertAlign w:val="superscript"/>
                <w:lang w:eastAsia="ja-JP"/>
                <w14:ligatures w14:val="standardContextual"/>
              </w:rPr>
              <w:t xml:space="preserve"> </w:t>
            </w:r>
            <w:r w:rsidRPr="00F0379B">
              <w:rPr>
                <w:rFonts w:ascii="Cambria" w:eastAsiaTheme="minorEastAsia" w:hAnsi="Cambria"/>
                <w:kern w:val="2"/>
                <w:sz w:val="20"/>
                <w:szCs w:val="20"/>
                <w:lang w:eastAsia="ja-JP"/>
                <w14:ligatures w14:val="standardContextual"/>
              </w:rPr>
              <w:t>O</w:t>
            </w:r>
          </w:p>
        </w:tc>
        <w:tc>
          <w:tcPr>
            <w:tcW w:w="1417" w:type="dxa"/>
            <w:vMerge/>
            <w:vAlign w:val="center"/>
          </w:tcPr>
          <w:p w14:paraId="1BF1357E" w14:textId="77777777" w:rsidR="009123AC" w:rsidRPr="00F0379B" w:rsidRDefault="009123AC" w:rsidP="009123AC">
            <w:pPr>
              <w:shd w:val="clear" w:color="auto" w:fill="FFFFFF" w:themeFill="background1"/>
              <w:spacing w:after="0" w:line="240" w:lineRule="auto"/>
              <w:ind w:right="175"/>
              <w:jc w:val="center"/>
              <w:rPr>
                <w:rFonts w:ascii="Cambria" w:eastAsiaTheme="minorEastAsia" w:hAnsi="Cambria"/>
                <w:kern w:val="2"/>
                <w:sz w:val="20"/>
                <w:szCs w:val="20"/>
                <w:lang w:eastAsia="ja-JP"/>
                <w14:ligatures w14:val="standardContextual"/>
              </w:rPr>
            </w:pPr>
          </w:p>
        </w:tc>
        <w:tc>
          <w:tcPr>
            <w:tcW w:w="1843" w:type="dxa"/>
            <w:vMerge/>
            <w:vAlign w:val="center"/>
          </w:tcPr>
          <w:p w14:paraId="0F9DE5EA" w14:textId="77777777" w:rsidR="009123AC" w:rsidRPr="00F0379B" w:rsidRDefault="009123AC" w:rsidP="009123AC">
            <w:pPr>
              <w:shd w:val="clear" w:color="auto" w:fill="FFFFFF" w:themeFill="background1"/>
              <w:spacing w:after="0" w:line="240" w:lineRule="auto"/>
              <w:jc w:val="center"/>
              <w:rPr>
                <w:rFonts w:ascii="Cambria" w:eastAsiaTheme="minorEastAsia" w:hAnsi="Cambria"/>
                <w:kern w:val="2"/>
                <w:sz w:val="20"/>
                <w:szCs w:val="20"/>
                <w:lang w:eastAsia="ja-JP"/>
                <w14:ligatures w14:val="standardContextual"/>
              </w:rPr>
            </w:pPr>
          </w:p>
        </w:tc>
      </w:tr>
      <w:tr w:rsidR="009123AC" w:rsidRPr="00F0379B" w14:paraId="0D2C1E6D" w14:textId="77777777" w:rsidTr="00CA749B">
        <w:trPr>
          <w:trHeight w:val="109"/>
        </w:trPr>
        <w:tc>
          <w:tcPr>
            <w:tcW w:w="905" w:type="dxa"/>
            <w:vMerge/>
            <w:vAlign w:val="center"/>
          </w:tcPr>
          <w:p w14:paraId="412B7846" w14:textId="77777777" w:rsidR="009123AC" w:rsidRPr="00F0379B" w:rsidRDefault="009123AC" w:rsidP="009123AC">
            <w:pPr>
              <w:shd w:val="clear" w:color="auto" w:fill="FFFFFF" w:themeFill="background1"/>
              <w:spacing w:after="0" w:line="240" w:lineRule="auto"/>
              <w:rPr>
                <w:rFonts w:ascii="Cambria" w:eastAsiaTheme="minorEastAsia" w:hAnsi="Cambria"/>
                <w:b/>
                <w:bCs/>
                <w:kern w:val="2"/>
                <w:sz w:val="20"/>
                <w:szCs w:val="20"/>
                <w:lang w:eastAsia="ja-JP"/>
                <w14:ligatures w14:val="standardContextual"/>
              </w:rPr>
            </w:pPr>
          </w:p>
        </w:tc>
        <w:tc>
          <w:tcPr>
            <w:tcW w:w="1710" w:type="dxa"/>
            <w:vMerge/>
            <w:vAlign w:val="center"/>
          </w:tcPr>
          <w:p w14:paraId="3BB1E53B" w14:textId="77777777" w:rsidR="009123AC" w:rsidRPr="00F0379B" w:rsidRDefault="009123AC" w:rsidP="009123AC">
            <w:pPr>
              <w:shd w:val="clear" w:color="auto" w:fill="FFFFFF" w:themeFill="background1"/>
              <w:spacing w:after="0" w:line="240" w:lineRule="auto"/>
              <w:rPr>
                <w:rFonts w:ascii="Cambria" w:eastAsiaTheme="minorEastAsia" w:hAnsi="Cambria"/>
                <w:kern w:val="2"/>
                <w:sz w:val="20"/>
                <w:szCs w:val="20"/>
                <w:lang w:eastAsia="ja-JP"/>
                <w14:ligatures w14:val="standardContextual"/>
              </w:rPr>
            </w:pPr>
          </w:p>
        </w:tc>
        <w:tc>
          <w:tcPr>
            <w:tcW w:w="1466" w:type="dxa"/>
            <w:vMerge/>
            <w:vAlign w:val="center"/>
          </w:tcPr>
          <w:p w14:paraId="32B3CD12" w14:textId="77777777" w:rsidR="009123AC" w:rsidRPr="00F0379B" w:rsidRDefault="009123AC" w:rsidP="009123AC">
            <w:pPr>
              <w:shd w:val="clear" w:color="auto" w:fill="FFFFFF" w:themeFill="background1"/>
              <w:spacing w:after="0" w:line="240" w:lineRule="auto"/>
              <w:rPr>
                <w:rFonts w:ascii="Cambria" w:eastAsiaTheme="minorEastAsia" w:hAnsi="Cambria"/>
                <w:kern w:val="2"/>
                <w:sz w:val="20"/>
                <w:szCs w:val="20"/>
                <w:lang w:eastAsia="ja-JP"/>
                <w14:ligatures w14:val="standardContextual"/>
              </w:rPr>
            </w:pPr>
          </w:p>
        </w:tc>
        <w:tc>
          <w:tcPr>
            <w:tcW w:w="1868" w:type="dxa"/>
            <w:vAlign w:val="center"/>
          </w:tcPr>
          <w:p w14:paraId="36CEEDB4" w14:textId="77777777" w:rsidR="009123AC" w:rsidRPr="00F0379B" w:rsidRDefault="009123AC" w:rsidP="009123AC">
            <w:pPr>
              <w:shd w:val="clear" w:color="auto" w:fill="FFFFFF" w:themeFill="background1"/>
              <w:spacing w:after="0" w:line="240" w:lineRule="auto"/>
              <w:jc w:val="center"/>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35°14’14,33’’N - 01°38’ 8,79’’</w:t>
            </w:r>
            <w:r w:rsidRPr="00F0379B">
              <w:rPr>
                <w:rFonts w:ascii="Cambria" w:eastAsiaTheme="minorEastAsia" w:hAnsi="Cambria"/>
                <w:kern w:val="2"/>
                <w:sz w:val="20"/>
                <w:szCs w:val="20"/>
                <w:vertAlign w:val="superscript"/>
                <w:lang w:eastAsia="ja-JP"/>
                <w14:ligatures w14:val="standardContextual"/>
              </w:rPr>
              <w:t xml:space="preserve"> </w:t>
            </w:r>
            <w:r w:rsidRPr="00F0379B">
              <w:rPr>
                <w:rFonts w:ascii="Cambria" w:eastAsiaTheme="minorEastAsia" w:hAnsi="Cambria"/>
                <w:kern w:val="2"/>
                <w:sz w:val="20"/>
                <w:szCs w:val="20"/>
                <w:lang w:eastAsia="ja-JP"/>
                <w14:ligatures w14:val="standardContextual"/>
              </w:rPr>
              <w:t>O</w:t>
            </w:r>
          </w:p>
        </w:tc>
        <w:tc>
          <w:tcPr>
            <w:tcW w:w="1417" w:type="dxa"/>
            <w:vMerge/>
            <w:vAlign w:val="center"/>
          </w:tcPr>
          <w:p w14:paraId="3B81D4C7" w14:textId="77777777" w:rsidR="009123AC" w:rsidRPr="00F0379B" w:rsidRDefault="009123AC" w:rsidP="009123AC">
            <w:pPr>
              <w:shd w:val="clear" w:color="auto" w:fill="FFFFFF" w:themeFill="background1"/>
              <w:spacing w:after="0" w:line="240" w:lineRule="auto"/>
              <w:ind w:right="175"/>
              <w:jc w:val="center"/>
              <w:rPr>
                <w:rFonts w:ascii="Cambria" w:eastAsiaTheme="minorEastAsia" w:hAnsi="Cambria"/>
                <w:kern w:val="2"/>
                <w:sz w:val="20"/>
                <w:szCs w:val="20"/>
                <w:lang w:eastAsia="ja-JP"/>
                <w14:ligatures w14:val="standardContextual"/>
              </w:rPr>
            </w:pPr>
          </w:p>
        </w:tc>
        <w:tc>
          <w:tcPr>
            <w:tcW w:w="1843" w:type="dxa"/>
            <w:vMerge/>
            <w:vAlign w:val="center"/>
          </w:tcPr>
          <w:p w14:paraId="7ECCAD95" w14:textId="77777777" w:rsidR="009123AC" w:rsidRPr="00F0379B" w:rsidRDefault="009123AC" w:rsidP="009123AC">
            <w:pPr>
              <w:shd w:val="clear" w:color="auto" w:fill="FFFFFF" w:themeFill="background1"/>
              <w:spacing w:after="0" w:line="240" w:lineRule="auto"/>
              <w:jc w:val="center"/>
              <w:rPr>
                <w:rFonts w:ascii="Cambria" w:eastAsiaTheme="minorEastAsia" w:hAnsi="Cambria"/>
                <w:kern w:val="2"/>
                <w:sz w:val="20"/>
                <w:szCs w:val="20"/>
                <w:lang w:eastAsia="ja-JP"/>
                <w14:ligatures w14:val="standardContextual"/>
              </w:rPr>
            </w:pPr>
          </w:p>
        </w:tc>
      </w:tr>
      <w:tr w:rsidR="009123AC" w:rsidRPr="00F0379B" w14:paraId="0C1F636C" w14:textId="77777777" w:rsidTr="00CA749B">
        <w:trPr>
          <w:trHeight w:val="109"/>
        </w:trPr>
        <w:tc>
          <w:tcPr>
            <w:tcW w:w="905" w:type="dxa"/>
            <w:vMerge/>
            <w:vAlign w:val="center"/>
          </w:tcPr>
          <w:p w14:paraId="7097E149" w14:textId="77777777" w:rsidR="009123AC" w:rsidRPr="00F0379B" w:rsidRDefault="009123AC" w:rsidP="009123AC">
            <w:pPr>
              <w:shd w:val="clear" w:color="auto" w:fill="FFFFFF" w:themeFill="background1"/>
              <w:spacing w:after="0" w:line="240" w:lineRule="auto"/>
              <w:rPr>
                <w:rFonts w:ascii="Cambria" w:eastAsiaTheme="minorEastAsia" w:hAnsi="Cambria"/>
                <w:b/>
                <w:bCs/>
                <w:kern w:val="2"/>
                <w:sz w:val="20"/>
                <w:szCs w:val="20"/>
                <w:lang w:eastAsia="ja-JP"/>
                <w14:ligatures w14:val="standardContextual"/>
              </w:rPr>
            </w:pPr>
          </w:p>
        </w:tc>
        <w:tc>
          <w:tcPr>
            <w:tcW w:w="1710" w:type="dxa"/>
            <w:vMerge/>
            <w:vAlign w:val="center"/>
          </w:tcPr>
          <w:p w14:paraId="0DAA9560" w14:textId="77777777" w:rsidR="009123AC" w:rsidRPr="00F0379B" w:rsidRDefault="009123AC" w:rsidP="009123AC">
            <w:pPr>
              <w:shd w:val="clear" w:color="auto" w:fill="FFFFFF" w:themeFill="background1"/>
              <w:spacing w:after="0" w:line="240" w:lineRule="auto"/>
              <w:rPr>
                <w:rFonts w:ascii="Cambria" w:eastAsiaTheme="minorEastAsia" w:hAnsi="Cambria"/>
                <w:kern w:val="2"/>
                <w:sz w:val="20"/>
                <w:szCs w:val="20"/>
                <w:lang w:eastAsia="ja-JP"/>
                <w14:ligatures w14:val="standardContextual"/>
              </w:rPr>
            </w:pPr>
          </w:p>
        </w:tc>
        <w:tc>
          <w:tcPr>
            <w:tcW w:w="1466" w:type="dxa"/>
            <w:vMerge/>
            <w:vAlign w:val="center"/>
          </w:tcPr>
          <w:p w14:paraId="64312E0F" w14:textId="77777777" w:rsidR="009123AC" w:rsidRPr="00F0379B" w:rsidRDefault="009123AC" w:rsidP="009123AC">
            <w:pPr>
              <w:shd w:val="clear" w:color="auto" w:fill="FFFFFF" w:themeFill="background1"/>
              <w:spacing w:after="0" w:line="240" w:lineRule="auto"/>
              <w:rPr>
                <w:rFonts w:ascii="Cambria" w:eastAsiaTheme="minorEastAsia" w:hAnsi="Cambria"/>
                <w:kern w:val="2"/>
                <w:sz w:val="20"/>
                <w:szCs w:val="20"/>
                <w:lang w:eastAsia="ja-JP"/>
                <w14:ligatures w14:val="standardContextual"/>
              </w:rPr>
            </w:pPr>
          </w:p>
        </w:tc>
        <w:tc>
          <w:tcPr>
            <w:tcW w:w="1868" w:type="dxa"/>
            <w:vAlign w:val="center"/>
          </w:tcPr>
          <w:p w14:paraId="4DC0D967" w14:textId="77777777" w:rsidR="009123AC" w:rsidRPr="00F0379B" w:rsidRDefault="009123AC" w:rsidP="009123AC">
            <w:pPr>
              <w:shd w:val="clear" w:color="auto" w:fill="FFFFFF" w:themeFill="background1"/>
              <w:spacing w:after="0" w:line="240" w:lineRule="auto"/>
              <w:jc w:val="center"/>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35°14’5,78’’N - 01°37’ 57,46’’</w:t>
            </w:r>
            <w:r w:rsidRPr="00F0379B">
              <w:rPr>
                <w:rFonts w:ascii="Cambria" w:eastAsiaTheme="minorEastAsia" w:hAnsi="Cambria"/>
                <w:kern w:val="2"/>
                <w:sz w:val="20"/>
                <w:szCs w:val="20"/>
                <w:vertAlign w:val="superscript"/>
                <w:lang w:eastAsia="ja-JP"/>
                <w14:ligatures w14:val="standardContextual"/>
              </w:rPr>
              <w:t xml:space="preserve"> </w:t>
            </w:r>
            <w:r w:rsidRPr="00F0379B">
              <w:rPr>
                <w:rFonts w:ascii="Cambria" w:eastAsiaTheme="minorEastAsia" w:hAnsi="Cambria"/>
                <w:kern w:val="2"/>
                <w:sz w:val="20"/>
                <w:szCs w:val="20"/>
                <w:lang w:eastAsia="ja-JP"/>
                <w14:ligatures w14:val="standardContextual"/>
              </w:rPr>
              <w:t>O</w:t>
            </w:r>
          </w:p>
        </w:tc>
        <w:tc>
          <w:tcPr>
            <w:tcW w:w="1417" w:type="dxa"/>
            <w:vMerge/>
            <w:vAlign w:val="center"/>
          </w:tcPr>
          <w:p w14:paraId="7A612A18" w14:textId="77777777" w:rsidR="009123AC" w:rsidRPr="00F0379B" w:rsidRDefault="009123AC" w:rsidP="009123AC">
            <w:pPr>
              <w:shd w:val="clear" w:color="auto" w:fill="FFFFFF" w:themeFill="background1"/>
              <w:spacing w:after="0" w:line="240" w:lineRule="auto"/>
              <w:ind w:right="175"/>
              <w:jc w:val="center"/>
              <w:rPr>
                <w:rFonts w:ascii="Cambria" w:eastAsiaTheme="minorEastAsia" w:hAnsi="Cambria"/>
                <w:kern w:val="2"/>
                <w:sz w:val="20"/>
                <w:szCs w:val="20"/>
                <w:lang w:eastAsia="ja-JP"/>
                <w14:ligatures w14:val="standardContextual"/>
              </w:rPr>
            </w:pPr>
          </w:p>
        </w:tc>
        <w:tc>
          <w:tcPr>
            <w:tcW w:w="1843" w:type="dxa"/>
            <w:vMerge/>
            <w:vAlign w:val="center"/>
          </w:tcPr>
          <w:p w14:paraId="7C98C736" w14:textId="77777777" w:rsidR="009123AC" w:rsidRPr="00F0379B" w:rsidRDefault="009123AC" w:rsidP="009123AC">
            <w:pPr>
              <w:shd w:val="clear" w:color="auto" w:fill="FFFFFF" w:themeFill="background1"/>
              <w:spacing w:after="0" w:line="240" w:lineRule="auto"/>
              <w:jc w:val="center"/>
              <w:rPr>
                <w:rFonts w:ascii="Cambria" w:eastAsiaTheme="minorEastAsia" w:hAnsi="Cambria"/>
                <w:kern w:val="2"/>
                <w:sz w:val="20"/>
                <w:szCs w:val="20"/>
                <w:lang w:eastAsia="ja-JP"/>
                <w14:ligatures w14:val="standardContextual"/>
              </w:rPr>
            </w:pPr>
          </w:p>
        </w:tc>
      </w:tr>
      <w:tr w:rsidR="009123AC" w:rsidRPr="00F0379B" w14:paraId="66943E2B" w14:textId="77777777" w:rsidTr="00CA749B">
        <w:trPr>
          <w:trHeight w:val="109"/>
        </w:trPr>
        <w:tc>
          <w:tcPr>
            <w:tcW w:w="905" w:type="dxa"/>
            <w:vMerge/>
            <w:shd w:val="clear" w:color="auto" w:fill="FF7474"/>
            <w:vAlign w:val="center"/>
          </w:tcPr>
          <w:p w14:paraId="2B35E301" w14:textId="77777777" w:rsidR="009123AC" w:rsidRPr="00F0379B" w:rsidRDefault="009123AC" w:rsidP="009123AC">
            <w:pPr>
              <w:shd w:val="clear" w:color="auto" w:fill="FFFFFF" w:themeFill="background1"/>
              <w:spacing w:after="0" w:line="240" w:lineRule="auto"/>
              <w:rPr>
                <w:rFonts w:ascii="Cambria" w:eastAsiaTheme="minorEastAsia" w:hAnsi="Cambria"/>
                <w:b/>
                <w:bCs/>
                <w:kern w:val="2"/>
                <w:sz w:val="20"/>
                <w:szCs w:val="20"/>
                <w:lang w:eastAsia="ja-JP"/>
                <w14:ligatures w14:val="standardContextual"/>
              </w:rPr>
            </w:pPr>
          </w:p>
        </w:tc>
        <w:tc>
          <w:tcPr>
            <w:tcW w:w="1710" w:type="dxa"/>
            <w:vMerge/>
            <w:shd w:val="clear" w:color="auto" w:fill="FF7474"/>
            <w:vAlign w:val="center"/>
          </w:tcPr>
          <w:p w14:paraId="4D525CC1" w14:textId="77777777" w:rsidR="009123AC" w:rsidRPr="00F0379B" w:rsidRDefault="009123AC" w:rsidP="009123AC">
            <w:pPr>
              <w:shd w:val="clear" w:color="auto" w:fill="FFFFFF" w:themeFill="background1"/>
              <w:spacing w:after="0" w:line="240" w:lineRule="auto"/>
              <w:rPr>
                <w:rFonts w:ascii="Cambria" w:eastAsiaTheme="minorEastAsia" w:hAnsi="Cambria"/>
                <w:kern w:val="2"/>
                <w:sz w:val="20"/>
                <w:szCs w:val="20"/>
                <w:lang w:eastAsia="ja-JP"/>
                <w14:ligatures w14:val="standardContextual"/>
              </w:rPr>
            </w:pPr>
          </w:p>
        </w:tc>
        <w:tc>
          <w:tcPr>
            <w:tcW w:w="1466" w:type="dxa"/>
            <w:vMerge/>
            <w:shd w:val="clear" w:color="auto" w:fill="FF7474"/>
            <w:vAlign w:val="center"/>
          </w:tcPr>
          <w:p w14:paraId="6BBD2536" w14:textId="77777777" w:rsidR="009123AC" w:rsidRPr="00F0379B" w:rsidRDefault="009123AC" w:rsidP="009123AC">
            <w:pPr>
              <w:shd w:val="clear" w:color="auto" w:fill="FFFFFF" w:themeFill="background1"/>
              <w:spacing w:after="0" w:line="240" w:lineRule="auto"/>
              <w:rPr>
                <w:rFonts w:ascii="Cambria" w:eastAsiaTheme="minorEastAsia" w:hAnsi="Cambria"/>
                <w:kern w:val="2"/>
                <w:sz w:val="20"/>
                <w:szCs w:val="20"/>
                <w:lang w:eastAsia="ja-JP"/>
                <w14:ligatures w14:val="standardContextual"/>
              </w:rPr>
            </w:pPr>
          </w:p>
        </w:tc>
        <w:tc>
          <w:tcPr>
            <w:tcW w:w="1868" w:type="dxa"/>
            <w:vAlign w:val="center"/>
          </w:tcPr>
          <w:p w14:paraId="5249854C" w14:textId="77777777" w:rsidR="009123AC" w:rsidRPr="00F0379B" w:rsidRDefault="009123AC" w:rsidP="009123AC">
            <w:pPr>
              <w:shd w:val="clear" w:color="auto" w:fill="FFFFFF" w:themeFill="background1"/>
              <w:spacing w:after="0" w:line="240" w:lineRule="auto"/>
              <w:jc w:val="center"/>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36°57’37,213’’N-008°8’14,539’’E</w:t>
            </w:r>
          </w:p>
        </w:tc>
        <w:tc>
          <w:tcPr>
            <w:tcW w:w="1417" w:type="dxa"/>
            <w:vMerge/>
            <w:vAlign w:val="center"/>
          </w:tcPr>
          <w:p w14:paraId="698B9809" w14:textId="77777777" w:rsidR="009123AC" w:rsidRPr="00F0379B" w:rsidRDefault="009123AC" w:rsidP="009123AC">
            <w:pPr>
              <w:shd w:val="clear" w:color="auto" w:fill="FFFFFF" w:themeFill="background1"/>
              <w:spacing w:after="0" w:line="240" w:lineRule="auto"/>
              <w:ind w:right="175"/>
              <w:jc w:val="center"/>
              <w:rPr>
                <w:rFonts w:ascii="Cambria" w:eastAsiaTheme="minorEastAsia" w:hAnsi="Cambria"/>
                <w:kern w:val="2"/>
                <w:sz w:val="20"/>
                <w:szCs w:val="20"/>
                <w:lang w:eastAsia="ja-JP"/>
                <w14:ligatures w14:val="standardContextual"/>
              </w:rPr>
            </w:pPr>
          </w:p>
        </w:tc>
        <w:tc>
          <w:tcPr>
            <w:tcW w:w="1843" w:type="dxa"/>
            <w:vMerge/>
            <w:vAlign w:val="center"/>
          </w:tcPr>
          <w:p w14:paraId="2B5492E6" w14:textId="77777777" w:rsidR="009123AC" w:rsidRPr="00F0379B" w:rsidRDefault="009123AC" w:rsidP="009123AC">
            <w:pPr>
              <w:shd w:val="clear" w:color="auto" w:fill="FFFFFF" w:themeFill="background1"/>
              <w:spacing w:after="0" w:line="240" w:lineRule="auto"/>
              <w:jc w:val="center"/>
              <w:rPr>
                <w:rFonts w:ascii="Cambria" w:eastAsiaTheme="minorEastAsia" w:hAnsi="Cambria"/>
                <w:kern w:val="2"/>
                <w:sz w:val="20"/>
                <w:szCs w:val="20"/>
                <w:lang w:eastAsia="ja-JP"/>
                <w14:ligatures w14:val="standardContextual"/>
              </w:rPr>
            </w:pPr>
          </w:p>
        </w:tc>
      </w:tr>
      <w:tr w:rsidR="009123AC" w:rsidRPr="00F0379B" w14:paraId="11EE67AF" w14:textId="77777777" w:rsidTr="00CA749B">
        <w:trPr>
          <w:trHeight w:val="109"/>
        </w:trPr>
        <w:tc>
          <w:tcPr>
            <w:tcW w:w="905" w:type="dxa"/>
            <w:vMerge/>
            <w:shd w:val="clear" w:color="auto" w:fill="FF7474"/>
            <w:vAlign w:val="center"/>
          </w:tcPr>
          <w:p w14:paraId="6021F5CC" w14:textId="77777777" w:rsidR="009123AC" w:rsidRPr="00F0379B" w:rsidRDefault="009123AC" w:rsidP="009123AC">
            <w:pPr>
              <w:shd w:val="clear" w:color="auto" w:fill="FFFFFF" w:themeFill="background1"/>
              <w:spacing w:after="0" w:line="240" w:lineRule="auto"/>
              <w:rPr>
                <w:rFonts w:ascii="Cambria" w:eastAsiaTheme="minorEastAsia" w:hAnsi="Cambria"/>
                <w:b/>
                <w:bCs/>
                <w:kern w:val="2"/>
                <w:sz w:val="20"/>
                <w:szCs w:val="20"/>
                <w:lang w:eastAsia="ja-JP"/>
                <w14:ligatures w14:val="standardContextual"/>
              </w:rPr>
            </w:pPr>
          </w:p>
        </w:tc>
        <w:tc>
          <w:tcPr>
            <w:tcW w:w="1710" w:type="dxa"/>
            <w:vMerge/>
            <w:shd w:val="clear" w:color="auto" w:fill="FF7474"/>
            <w:vAlign w:val="center"/>
          </w:tcPr>
          <w:p w14:paraId="11DF8ED2" w14:textId="77777777" w:rsidR="009123AC" w:rsidRPr="00F0379B" w:rsidRDefault="009123AC" w:rsidP="009123AC">
            <w:pPr>
              <w:shd w:val="clear" w:color="auto" w:fill="FFFFFF" w:themeFill="background1"/>
              <w:spacing w:after="0" w:line="240" w:lineRule="auto"/>
              <w:rPr>
                <w:rFonts w:ascii="Cambria" w:eastAsiaTheme="minorEastAsia" w:hAnsi="Cambria"/>
                <w:kern w:val="2"/>
                <w:sz w:val="20"/>
                <w:szCs w:val="20"/>
                <w:lang w:eastAsia="ja-JP"/>
                <w14:ligatures w14:val="standardContextual"/>
              </w:rPr>
            </w:pPr>
          </w:p>
        </w:tc>
        <w:tc>
          <w:tcPr>
            <w:tcW w:w="1466" w:type="dxa"/>
            <w:vMerge/>
            <w:shd w:val="clear" w:color="auto" w:fill="FF7474"/>
            <w:vAlign w:val="center"/>
          </w:tcPr>
          <w:p w14:paraId="4876BD7E" w14:textId="77777777" w:rsidR="009123AC" w:rsidRPr="00F0379B" w:rsidRDefault="009123AC" w:rsidP="009123AC">
            <w:pPr>
              <w:shd w:val="clear" w:color="auto" w:fill="FFFFFF" w:themeFill="background1"/>
              <w:spacing w:after="0" w:line="240" w:lineRule="auto"/>
              <w:rPr>
                <w:rFonts w:ascii="Cambria" w:eastAsiaTheme="minorEastAsia" w:hAnsi="Cambria"/>
                <w:kern w:val="2"/>
                <w:sz w:val="20"/>
                <w:szCs w:val="20"/>
                <w:lang w:eastAsia="ja-JP"/>
                <w14:ligatures w14:val="standardContextual"/>
              </w:rPr>
            </w:pPr>
          </w:p>
        </w:tc>
        <w:tc>
          <w:tcPr>
            <w:tcW w:w="1868" w:type="dxa"/>
            <w:vAlign w:val="center"/>
          </w:tcPr>
          <w:p w14:paraId="0E507540" w14:textId="77777777" w:rsidR="009123AC" w:rsidRPr="00F0379B" w:rsidRDefault="009123AC" w:rsidP="009123AC">
            <w:pPr>
              <w:shd w:val="clear" w:color="auto" w:fill="FFFFFF" w:themeFill="background1"/>
              <w:spacing w:after="0" w:line="240" w:lineRule="auto"/>
              <w:jc w:val="center"/>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36°57’7,083’’N-008°8’12,166’’E</w:t>
            </w:r>
          </w:p>
        </w:tc>
        <w:tc>
          <w:tcPr>
            <w:tcW w:w="1417" w:type="dxa"/>
            <w:vMerge/>
            <w:vAlign w:val="center"/>
          </w:tcPr>
          <w:p w14:paraId="3FAECFFF" w14:textId="77777777" w:rsidR="009123AC" w:rsidRPr="00F0379B" w:rsidRDefault="009123AC" w:rsidP="009123AC">
            <w:pPr>
              <w:shd w:val="clear" w:color="auto" w:fill="FFFFFF" w:themeFill="background1"/>
              <w:spacing w:after="0" w:line="240" w:lineRule="auto"/>
              <w:ind w:right="175"/>
              <w:jc w:val="center"/>
              <w:rPr>
                <w:rFonts w:ascii="Cambria" w:eastAsiaTheme="minorEastAsia" w:hAnsi="Cambria"/>
                <w:kern w:val="2"/>
                <w:sz w:val="20"/>
                <w:szCs w:val="20"/>
                <w:lang w:eastAsia="ja-JP"/>
                <w14:ligatures w14:val="standardContextual"/>
              </w:rPr>
            </w:pPr>
          </w:p>
        </w:tc>
        <w:tc>
          <w:tcPr>
            <w:tcW w:w="1843" w:type="dxa"/>
            <w:vMerge/>
            <w:vAlign w:val="center"/>
          </w:tcPr>
          <w:p w14:paraId="306E48DF" w14:textId="77777777" w:rsidR="009123AC" w:rsidRPr="00F0379B" w:rsidRDefault="009123AC" w:rsidP="009123AC">
            <w:pPr>
              <w:shd w:val="clear" w:color="auto" w:fill="FFFFFF" w:themeFill="background1"/>
              <w:spacing w:after="0" w:line="240" w:lineRule="auto"/>
              <w:jc w:val="center"/>
              <w:rPr>
                <w:rFonts w:ascii="Cambria" w:eastAsiaTheme="minorEastAsia" w:hAnsi="Cambria"/>
                <w:kern w:val="2"/>
                <w:sz w:val="20"/>
                <w:szCs w:val="20"/>
                <w:lang w:eastAsia="ja-JP"/>
                <w14:ligatures w14:val="standardContextual"/>
              </w:rPr>
            </w:pPr>
          </w:p>
        </w:tc>
      </w:tr>
      <w:tr w:rsidR="009123AC" w:rsidRPr="00F0379B" w14:paraId="7818C00E" w14:textId="77777777" w:rsidTr="00CA749B">
        <w:trPr>
          <w:trHeight w:val="109"/>
        </w:trPr>
        <w:tc>
          <w:tcPr>
            <w:tcW w:w="905" w:type="dxa"/>
            <w:vMerge/>
            <w:shd w:val="clear" w:color="auto" w:fill="FF7474"/>
            <w:vAlign w:val="center"/>
          </w:tcPr>
          <w:p w14:paraId="020C61CB" w14:textId="77777777" w:rsidR="009123AC" w:rsidRPr="00F0379B" w:rsidRDefault="009123AC" w:rsidP="009123AC">
            <w:pPr>
              <w:shd w:val="clear" w:color="auto" w:fill="FFFFFF" w:themeFill="background1"/>
              <w:spacing w:after="0" w:line="240" w:lineRule="auto"/>
              <w:rPr>
                <w:rFonts w:ascii="Cambria" w:eastAsiaTheme="minorEastAsia" w:hAnsi="Cambria"/>
                <w:b/>
                <w:bCs/>
                <w:kern w:val="2"/>
                <w:sz w:val="20"/>
                <w:szCs w:val="20"/>
                <w:lang w:eastAsia="ja-JP"/>
                <w14:ligatures w14:val="standardContextual"/>
              </w:rPr>
            </w:pPr>
          </w:p>
        </w:tc>
        <w:tc>
          <w:tcPr>
            <w:tcW w:w="1710" w:type="dxa"/>
            <w:vMerge/>
            <w:shd w:val="clear" w:color="auto" w:fill="FF7474"/>
            <w:vAlign w:val="center"/>
          </w:tcPr>
          <w:p w14:paraId="30106B95" w14:textId="77777777" w:rsidR="009123AC" w:rsidRPr="00F0379B" w:rsidRDefault="009123AC" w:rsidP="009123AC">
            <w:pPr>
              <w:shd w:val="clear" w:color="auto" w:fill="FFFFFF" w:themeFill="background1"/>
              <w:spacing w:after="0" w:line="240" w:lineRule="auto"/>
              <w:rPr>
                <w:rFonts w:ascii="Cambria" w:eastAsiaTheme="minorEastAsia" w:hAnsi="Cambria"/>
                <w:kern w:val="2"/>
                <w:sz w:val="20"/>
                <w:szCs w:val="20"/>
                <w:lang w:eastAsia="ja-JP"/>
                <w14:ligatures w14:val="standardContextual"/>
              </w:rPr>
            </w:pPr>
          </w:p>
        </w:tc>
        <w:tc>
          <w:tcPr>
            <w:tcW w:w="1466" w:type="dxa"/>
            <w:vMerge/>
            <w:shd w:val="clear" w:color="auto" w:fill="FF7474"/>
            <w:vAlign w:val="center"/>
          </w:tcPr>
          <w:p w14:paraId="00FC0DE0" w14:textId="77777777" w:rsidR="009123AC" w:rsidRPr="00F0379B" w:rsidRDefault="009123AC" w:rsidP="009123AC">
            <w:pPr>
              <w:shd w:val="clear" w:color="auto" w:fill="FFFFFF" w:themeFill="background1"/>
              <w:spacing w:after="0" w:line="240" w:lineRule="auto"/>
              <w:rPr>
                <w:rFonts w:ascii="Cambria" w:eastAsiaTheme="minorEastAsia" w:hAnsi="Cambria"/>
                <w:kern w:val="2"/>
                <w:sz w:val="20"/>
                <w:szCs w:val="20"/>
                <w:lang w:eastAsia="ja-JP"/>
                <w14:ligatures w14:val="standardContextual"/>
              </w:rPr>
            </w:pPr>
          </w:p>
        </w:tc>
        <w:tc>
          <w:tcPr>
            <w:tcW w:w="1868" w:type="dxa"/>
            <w:vAlign w:val="center"/>
          </w:tcPr>
          <w:p w14:paraId="60ACED37" w14:textId="77777777" w:rsidR="009123AC" w:rsidRPr="00F0379B" w:rsidRDefault="009123AC" w:rsidP="009123AC">
            <w:pPr>
              <w:shd w:val="clear" w:color="auto" w:fill="FFFFFF" w:themeFill="background1"/>
              <w:spacing w:after="0" w:line="240" w:lineRule="auto"/>
              <w:jc w:val="center"/>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36°57’21,068’’N-08°8’34,732’’E</w:t>
            </w:r>
          </w:p>
        </w:tc>
        <w:tc>
          <w:tcPr>
            <w:tcW w:w="1417" w:type="dxa"/>
            <w:vMerge/>
            <w:vAlign w:val="center"/>
          </w:tcPr>
          <w:p w14:paraId="65154294" w14:textId="77777777" w:rsidR="009123AC" w:rsidRPr="00F0379B" w:rsidRDefault="009123AC" w:rsidP="009123AC">
            <w:pPr>
              <w:shd w:val="clear" w:color="auto" w:fill="FFFFFF" w:themeFill="background1"/>
              <w:spacing w:after="0" w:line="240" w:lineRule="auto"/>
              <w:ind w:right="175"/>
              <w:jc w:val="center"/>
              <w:rPr>
                <w:rFonts w:ascii="Cambria" w:eastAsiaTheme="minorEastAsia" w:hAnsi="Cambria"/>
                <w:kern w:val="2"/>
                <w:sz w:val="20"/>
                <w:szCs w:val="20"/>
                <w:lang w:eastAsia="ja-JP"/>
                <w14:ligatures w14:val="standardContextual"/>
              </w:rPr>
            </w:pPr>
          </w:p>
        </w:tc>
        <w:tc>
          <w:tcPr>
            <w:tcW w:w="1843" w:type="dxa"/>
            <w:vMerge/>
            <w:vAlign w:val="center"/>
          </w:tcPr>
          <w:p w14:paraId="7BA806C5" w14:textId="77777777" w:rsidR="009123AC" w:rsidRPr="00F0379B" w:rsidRDefault="009123AC" w:rsidP="009123AC">
            <w:pPr>
              <w:shd w:val="clear" w:color="auto" w:fill="FFFFFF" w:themeFill="background1"/>
              <w:spacing w:after="0" w:line="240" w:lineRule="auto"/>
              <w:jc w:val="center"/>
              <w:rPr>
                <w:rFonts w:ascii="Cambria" w:eastAsiaTheme="minorEastAsia" w:hAnsi="Cambria"/>
                <w:kern w:val="2"/>
                <w:sz w:val="20"/>
                <w:szCs w:val="20"/>
                <w:lang w:eastAsia="ja-JP"/>
                <w14:ligatures w14:val="standardContextual"/>
              </w:rPr>
            </w:pPr>
          </w:p>
        </w:tc>
      </w:tr>
      <w:tr w:rsidR="009123AC" w:rsidRPr="00F0379B" w14:paraId="2090084A" w14:textId="77777777" w:rsidTr="00CA749B">
        <w:trPr>
          <w:trHeight w:val="247"/>
        </w:trPr>
        <w:tc>
          <w:tcPr>
            <w:tcW w:w="5949" w:type="dxa"/>
            <w:gridSpan w:val="4"/>
            <w:vAlign w:val="center"/>
          </w:tcPr>
          <w:p w14:paraId="688CC91A" w14:textId="77777777" w:rsidR="009123AC" w:rsidRPr="00F0379B" w:rsidRDefault="009123AC" w:rsidP="009123AC">
            <w:pPr>
              <w:shd w:val="clear" w:color="auto" w:fill="FFFFFF" w:themeFill="background1"/>
              <w:spacing w:after="0" w:line="240" w:lineRule="auto"/>
              <w:ind w:right="35"/>
              <w:jc w:val="center"/>
              <w:rPr>
                <w:rFonts w:ascii="Cambria" w:eastAsiaTheme="minorEastAsia" w:hAnsi="Cambria"/>
                <w:b/>
                <w:bCs/>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TOTAL (t)</w:t>
            </w:r>
          </w:p>
        </w:tc>
        <w:tc>
          <w:tcPr>
            <w:tcW w:w="1417" w:type="dxa"/>
            <w:vAlign w:val="center"/>
          </w:tcPr>
          <w:p w14:paraId="7C0BD990" w14:textId="77777777" w:rsidR="009123AC" w:rsidRPr="00F0379B" w:rsidRDefault="009123AC" w:rsidP="009123AC">
            <w:pPr>
              <w:shd w:val="clear" w:color="auto" w:fill="FFFFFF" w:themeFill="background1"/>
              <w:spacing w:after="0" w:line="240" w:lineRule="auto"/>
              <w:ind w:right="175"/>
              <w:jc w:val="center"/>
              <w:rPr>
                <w:rFonts w:ascii="Cambria" w:eastAsiaTheme="minorEastAsia" w:hAnsi="Cambria"/>
                <w:b/>
                <w:bCs/>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950</w:t>
            </w:r>
          </w:p>
        </w:tc>
        <w:tc>
          <w:tcPr>
            <w:tcW w:w="1843" w:type="dxa"/>
            <w:vAlign w:val="center"/>
          </w:tcPr>
          <w:p w14:paraId="6DA65176" w14:textId="77777777" w:rsidR="009123AC" w:rsidRPr="00F0379B" w:rsidRDefault="009123AC" w:rsidP="009123AC">
            <w:pPr>
              <w:shd w:val="clear" w:color="auto" w:fill="FFFFFF" w:themeFill="background1"/>
              <w:spacing w:after="0" w:line="240" w:lineRule="auto"/>
              <w:ind w:right="317"/>
              <w:jc w:val="center"/>
              <w:rPr>
                <w:rFonts w:ascii="Cambria" w:eastAsiaTheme="minorEastAsia" w:hAnsi="Cambria"/>
                <w:b/>
                <w:bCs/>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1.800</w:t>
            </w:r>
          </w:p>
        </w:tc>
      </w:tr>
    </w:tbl>
    <w:p w14:paraId="509AD26D"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5E878DBE"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11558C51" w14:textId="77777777" w:rsidR="009123AC" w:rsidRPr="00F0379B" w:rsidRDefault="009123AC" w:rsidP="00CE0EC8">
      <w:pPr>
        <w:widowControl w:val="0"/>
        <w:numPr>
          <w:ilvl w:val="0"/>
          <w:numId w:val="77"/>
        </w:numPr>
        <w:tabs>
          <w:tab w:val="left" w:pos="426"/>
        </w:tabs>
        <w:spacing w:after="0" w:line="240" w:lineRule="auto"/>
        <w:contextualSpacing/>
        <w:rPr>
          <w:rFonts w:ascii="Cambria" w:eastAsiaTheme="minorEastAsia" w:hAnsi="Cambria"/>
          <w:b/>
          <w:bCs/>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 xml:space="preserve">Plan de acuicultura anual (párr. 10 e de la </w:t>
      </w:r>
      <w:hyperlink r:id="rId91" w:history="1">
        <w:r w:rsidRPr="00F0379B">
          <w:rPr>
            <w:rFonts w:ascii="Cambria" w:eastAsiaTheme="minorEastAsia" w:hAnsi="Cambria"/>
            <w:color w:val="0563C1" w:themeColor="hyperlink"/>
            <w:kern w:val="2"/>
            <w:sz w:val="20"/>
            <w:szCs w:val="20"/>
            <w:lang w:eastAsia="ja-JP"/>
            <w14:ligatures w14:val="standardContextual"/>
          </w:rPr>
          <w:t xml:space="preserve">Rec. 25-04 </w:t>
        </w:r>
      </w:hyperlink>
      <w:r w:rsidRPr="00F0379B">
        <w:rPr>
          <w:rFonts w:ascii="Cambria" w:eastAsiaTheme="minorEastAsia" w:hAnsi="Cambria"/>
          <w:b/>
          <w:bCs/>
          <w:kern w:val="2"/>
          <w:sz w:val="20"/>
          <w:szCs w:val="20"/>
          <w:lang w:eastAsia="ja-JP"/>
          <w14:ligatures w14:val="standardContextual"/>
        </w:rPr>
        <w:t xml:space="preserve">de conformidad con la </w:t>
      </w:r>
      <w:hyperlink r:id="rId92" w:history="1">
        <w:r w:rsidRPr="00F0379B">
          <w:rPr>
            <w:rFonts w:ascii="Cambria" w:eastAsiaTheme="minorEastAsia" w:hAnsi="Cambria"/>
            <w:color w:val="0563C1" w:themeColor="hyperlink"/>
            <w:kern w:val="2"/>
            <w:sz w:val="20"/>
            <w:szCs w:val="20"/>
            <w:lang w:eastAsia="ja-JP"/>
            <w14:ligatures w14:val="standardContextual"/>
          </w:rPr>
          <w:t>Rec. 24-07</w:t>
        </w:r>
      </w:hyperlink>
      <w:r w:rsidRPr="00F0379B">
        <w:rPr>
          <w:rFonts w:ascii="Cambria" w:eastAsiaTheme="minorEastAsia" w:hAnsi="Cambria"/>
          <w:b/>
          <w:bCs/>
          <w:kern w:val="2"/>
          <w:sz w:val="20"/>
          <w:szCs w:val="20"/>
          <w:lang w:eastAsia="ja-JP"/>
          <w14:ligatures w14:val="standardContextual"/>
        </w:rPr>
        <w:t>), si es aplicable</w:t>
      </w:r>
    </w:p>
    <w:p w14:paraId="19F4AE2F"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5ACB01BC" w14:textId="77777777" w:rsidR="009123AC" w:rsidRPr="00F0379B" w:rsidRDefault="009123AC" w:rsidP="009123AC">
      <w:pPr>
        <w:widowControl w:val="0"/>
        <w:autoSpaceDE w:val="0"/>
        <w:autoSpaceDN w:val="0"/>
        <w:spacing w:after="0" w:line="240" w:lineRule="auto"/>
        <w:jc w:val="both"/>
        <w:rPr>
          <w:rFonts w:ascii="Cambria" w:eastAsia="Cambria" w:hAnsi="Cambria" w:cs="Cambria"/>
          <w:iCs/>
          <w:sz w:val="20"/>
          <w:szCs w:val="20"/>
        </w:rPr>
      </w:pPr>
      <w:r w:rsidRPr="00F0379B">
        <w:rPr>
          <w:rFonts w:ascii="Cambria" w:eastAsia="Cambria" w:hAnsi="Cambria" w:cs="Cambria"/>
          <w:sz w:val="20"/>
          <w:szCs w:val="20"/>
        </w:rPr>
        <w:t>Argelia no se verá afectada por las actividades relacionadas con el atún rojo procedente de la acuicultura en 2026.</w:t>
      </w:r>
    </w:p>
    <w:p w14:paraId="390E8022"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7C567556"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1BE04E0B" w14:textId="77777777" w:rsidR="009123AC" w:rsidRPr="00F0379B" w:rsidRDefault="009123AC" w:rsidP="009123AC">
      <w:pPr>
        <w:spacing w:after="0" w:line="240" w:lineRule="auto"/>
        <w:ind w:left="426" w:hanging="426"/>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5. </w:t>
      </w:r>
      <w:r w:rsidRPr="00F0379B">
        <w:rPr>
          <w:rFonts w:ascii="Cambria" w:eastAsiaTheme="minorEastAsia" w:hAnsi="Cambria"/>
          <w:b/>
          <w:kern w:val="2"/>
          <w:sz w:val="20"/>
          <w:szCs w:val="20"/>
          <w:lang w:eastAsia="ja-JP"/>
          <w14:ligatures w14:val="standardContextual"/>
        </w:rPr>
        <w:tab/>
        <w:t>Plan de inspección, control y seguimiento</w:t>
      </w:r>
    </w:p>
    <w:p w14:paraId="071EC1C2"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41FBE713"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kern w:val="2"/>
          <w:sz w:val="20"/>
          <w:szCs w:val="20"/>
          <w:lang w:eastAsia="ja-JP"/>
          <w14:ligatures w14:val="standardContextual"/>
        </w:rPr>
        <w:t>5 a) Inspección, control y seguimiento de la CPC (párr. 10c)</w:t>
      </w:r>
    </w:p>
    <w:p w14:paraId="77DC9532"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6454A270"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autoridad competente en materia de control es el Ministerio de Agricultura, Desarrollo Rural y Pesca, representado por la Dirección General de Pesca y Acuicultura a través de la Dirección de Control de las Actividades Pesqueras y Acuícolas.</w:t>
      </w:r>
    </w:p>
    <w:p w14:paraId="1DE8858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7C570931"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puntos de contacto designados como responsables de la implementación de dicho plan de seguimiento, control e inspección son los siguientes:</w:t>
      </w:r>
    </w:p>
    <w:p w14:paraId="3208A0C0"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100BBAA6" w14:textId="77777777" w:rsidR="009123AC" w:rsidRPr="00F0379B" w:rsidRDefault="009123AC" w:rsidP="00CE0EC8">
      <w:pPr>
        <w:widowControl w:val="0"/>
        <w:numPr>
          <w:ilvl w:val="0"/>
          <w:numId w:val="74"/>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Señor HENTOUR Abderrahmane: Director de control (e-mail: abdou.hentour@gmail.com; tel.: 213559139817/ 21323495333</w:t>
      </w:r>
    </w:p>
    <w:p w14:paraId="2D041E10" w14:textId="77777777" w:rsidR="009123AC" w:rsidRPr="00F0379B" w:rsidRDefault="009123AC" w:rsidP="00CE0EC8">
      <w:pPr>
        <w:widowControl w:val="0"/>
        <w:numPr>
          <w:ilvl w:val="0"/>
          <w:numId w:val="74"/>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Señor HABTICHE Amirouche: Subdirector de control (e-mail: habticheamirouche@hotmail.fr; tel.: 213553091710).</w:t>
      </w:r>
    </w:p>
    <w:p w14:paraId="120228A7"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77DE442A"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De conformidad con las disposiciones pertinentes de las Recomendaciones de ICCAT, Argelia aplicará, para la campaña de pesca del atún rojo de 2026, un plan nacional de seguimiento, control e inspección destinado </w:t>
      </w:r>
      <w:r w:rsidRPr="00F0379B">
        <w:rPr>
          <w:rFonts w:ascii="Cambria" w:eastAsiaTheme="minorEastAsia" w:hAnsi="Cambria"/>
          <w:kern w:val="2"/>
          <w:sz w:val="20"/>
          <w:szCs w:val="20"/>
          <w:lang w:eastAsia="ja-JP"/>
          <w14:ligatures w14:val="standardContextual"/>
        </w:rPr>
        <w:lastRenderedPageBreak/>
        <w:t>a garantizar la aplicación efectiva de las medidas previstas en la Recomendación 25-04, incluidas las relativas a las transferencias y a la introducción en jaulas de atún rojo (párrafos 108 a 139 y 157).</w:t>
      </w:r>
    </w:p>
    <w:p w14:paraId="24E9F3A0"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3E33F80C"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establece un programa nacional de inspección que abarca todas las operaciones de pesca de atún rojo para la campaña de 2026. Este programa prevé:</w:t>
      </w:r>
    </w:p>
    <w:p w14:paraId="6ABFC3AA"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59C252C2" w14:textId="77777777" w:rsidR="009123AC" w:rsidRPr="00F0379B" w:rsidRDefault="009123AC" w:rsidP="00CE0EC8">
      <w:pPr>
        <w:widowControl w:val="0"/>
        <w:numPr>
          <w:ilvl w:val="0"/>
          <w:numId w:val="75"/>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Inspecciones en el puerto, antes y después de la campaña, de los buques autorizados.</w:t>
      </w:r>
    </w:p>
    <w:p w14:paraId="0EEDBBF0" w14:textId="77777777" w:rsidR="009123AC" w:rsidRPr="00F0379B" w:rsidRDefault="009123AC" w:rsidP="00CE0EC8">
      <w:pPr>
        <w:widowControl w:val="0"/>
        <w:numPr>
          <w:ilvl w:val="0"/>
          <w:numId w:val="75"/>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Seguimiento y control en el mar de los atuneros cerqueros durante toda la campaña.</w:t>
      </w:r>
    </w:p>
    <w:p w14:paraId="514FA966" w14:textId="77777777" w:rsidR="009123AC" w:rsidRPr="00F0379B" w:rsidRDefault="009123AC" w:rsidP="00CE0EC8">
      <w:pPr>
        <w:widowControl w:val="0"/>
        <w:numPr>
          <w:ilvl w:val="0"/>
          <w:numId w:val="75"/>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Embarque de controladores/observadores.</w:t>
      </w:r>
    </w:p>
    <w:p w14:paraId="78228545"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p>
    <w:p w14:paraId="5F5F9263"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Un controlador/observador nacional, inspector jurado dependiente de la Administración de Pesca, embarca en cada atunero cerquero durante toda la temporada de pesca, lo que garantiza una cobertura del 100 %.</w:t>
      </w:r>
    </w:p>
    <w:p w14:paraId="707FD693"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p>
    <w:p w14:paraId="7357B3D8"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controladores/observadores se encargan de supervisar las operaciones de pesca y transferencia, verificar los datos y documentos de a bordo, y garantizar el cumplimiento de las disposiciones de la normativa nacional y las recomendaciones de ICCAT. En caso de infracción, se remitirá sin demora un informe a la autoridad competente.</w:t>
      </w:r>
    </w:p>
    <w:p w14:paraId="069B5BC9" w14:textId="77777777" w:rsidR="009123AC" w:rsidRPr="00F0379B" w:rsidRDefault="009123AC" w:rsidP="009123AC">
      <w:pPr>
        <w:spacing w:after="0" w:line="240" w:lineRule="auto"/>
        <w:contextualSpacing/>
        <w:rPr>
          <w:rFonts w:ascii="Cambria" w:eastAsiaTheme="minorEastAsia" w:hAnsi="Cambria"/>
          <w:b/>
          <w:bCs/>
          <w:kern w:val="2"/>
          <w:sz w:val="20"/>
          <w:szCs w:val="20"/>
          <w:lang w:eastAsia="ja-JP"/>
          <w14:ligatures w14:val="standardContextual"/>
        </w:rPr>
      </w:pPr>
    </w:p>
    <w:p w14:paraId="111CDA4E" w14:textId="77777777" w:rsidR="009123AC" w:rsidRPr="00F0379B" w:rsidRDefault="009123AC" w:rsidP="009123AC">
      <w:pPr>
        <w:spacing w:after="0" w:line="240" w:lineRule="auto"/>
        <w:contextualSpacing/>
        <w:rPr>
          <w:rFonts w:ascii="Cambria" w:eastAsiaTheme="minorEastAsia" w:hAnsi="Cambria"/>
          <w:b/>
          <w:bCs/>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Control de las operaciones de pesca y de transferencia</w:t>
      </w:r>
    </w:p>
    <w:p w14:paraId="1AEFA33A"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p>
    <w:p w14:paraId="7655A715"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 conformidad con la normativa nacional, los controladores/observadores se encargan, en particular, de:</w:t>
      </w:r>
    </w:p>
    <w:p w14:paraId="4EF7C79D"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p>
    <w:p w14:paraId="12B1BCF6" w14:textId="77777777" w:rsidR="009123AC" w:rsidRPr="00F0379B" w:rsidRDefault="009123AC" w:rsidP="00CE0EC8">
      <w:pPr>
        <w:widowControl w:val="0"/>
        <w:numPr>
          <w:ilvl w:val="0"/>
          <w:numId w:val="76"/>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inspección de salida de los buques antes del inicio de la campaña;</w:t>
      </w:r>
    </w:p>
    <w:p w14:paraId="47AAE48F" w14:textId="77777777" w:rsidR="009123AC" w:rsidRPr="00F0379B" w:rsidRDefault="009123AC" w:rsidP="00CE0EC8">
      <w:pPr>
        <w:widowControl w:val="0"/>
        <w:numPr>
          <w:ilvl w:val="0"/>
          <w:numId w:val="76"/>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control diario de los cuadernos de pesca;</w:t>
      </w:r>
    </w:p>
    <w:p w14:paraId="020F2ED3" w14:textId="77777777" w:rsidR="009123AC" w:rsidRPr="00F0379B" w:rsidRDefault="009123AC" w:rsidP="00CE0EC8">
      <w:pPr>
        <w:widowControl w:val="0"/>
        <w:numPr>
          <w:ilvl w:val="0"/>
          <w:numId w:val="76"/>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seguimiento del funcionamiento del VMS;</w:t>
      </w:r>
    </w:p>
    <w:p w14:paraId="1B840535" w14:textId="77777777" w:rsidR="009123AC" w:rsidRPr="00F0379B" w:rsidRDefault="009123AC" w:rsidP="00CE0EC8">
      <w:pPr>
        <w:widowControl w:val="0"/>
        <w:numPr>
          <w:ilvl w:val="0"/>
          <w:numId w:val="76"/>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control de las operaciones de pesca, transferencia e introducción en jaula del atún rojo;</w:t>
      </w:r>
    </w:p>
    <w:p w14:paraId="32C890B5" w14:textId="77777777" w:rsidR="009123AC" w:rsidRPr="00F0379B" w:rsidRDefault="009123AC" w:rsidP="00CE0EC8">
      <w:pPr>
        <w:widowControl w:val="0"/>
        <w:numPr>
          <w:ilvl w:val="0"/>
          <w:numId w:val="76"/>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verificación de los documentos de transferencia después de cada operación;</w:t>
      </w:r>
    </w:p>
    <w:p w14:paraId="5364410D" w14:textId="77777777" w:rsidR="009123AC" w:rsidRPr="00F0379B" w:rsidRDefault="009123AC" w:rsidP="00CE0EC8">
      <w:pPr>
        <w:widowControl w:val="0"/>
        <w:numPr>
          <w:ilvl w:val="0"/>
          <w:numId w:val="76"/>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análisis de las grabaciones de vídeo de las transferencias;</w:t>
      </w:r>
    </w:p>
    <w:p w14:paraId="48206CA2" w14:textId="77777777" w:rsidR="009123AC" w:rsidRPr="00F0379B" w:rsidRDefault="009123AC" w:rsidP="00CE0EC8">
      <w:pPr>
        <w:widowControl w:val="0"/>
        <w:numPr>
          <w:ilvl w:val="0"/>
          <w:numId w:val="76"/>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inspección de los espacios de almacenamiento y las cámaras frigoríficas;</w:t>
      </w:r>
    </w:p>
    <w:p w14:paraId="1EF465AF" w14:textId="77777777" w:rsidR="009123AC" w:rsidRPr="00F0379B" w:rsidRDefault="009123AC" w:rsidP="00CE0EC8">
      <w:pPr>
        <w:widowControl w:val="0"/>
        <w:numPr>
          <w:ilvl w:val="0"/>
          <w:numId w:val="76"/>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elaboración de informes relativos a los incumplimientos y las infracciones constatados;</w:t>
      </w:r>
    </w:p>
    <w:p w14:paraId="20EDB475" w14:textId="77777777" w:rsidR="009123AC" w:rsidRPr="00F0379B" w:rsidRDefault="009123AC" w:rsidP="00CE0EC8">
      <w:pPr>
        <w:widowControl w:val="0"/>
        <w:numPr>
          <w:ilvl w:val="0"/>
          <w:numId w:val="76"/>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controladores/observadores mantienen un contacto permanente con la administración pesquera y transmiten toda la información relativa a las operaciones de pesca y de transferencia;</w:t>
      </w:r>
    </w:p>
    <w:p w14:paraId="5A30A3BA" w14:textId="77777777" w:rsidR="009123AC" w:rsidRPr="00F0379B" w:rsidRDefault="009123AC" w:rsidP="00CE0EC8">
      <w:pPr>
        <w:widowControl w:val="0"/>
        <w:numPr>
          <w:ilvl w:val="0"/>
          <w:numId w:val="76"/>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Seguimiento por VMS.</w:t>
      </w:r>
    </w:p>
    <w:p w14:paraId="1705EB64"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p>
    <w:p w14:paraId="5924267B"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buques atuneros autorizados están equipados con un sistema de seguimiento por satélite (VMS) operativo durante toda la campaña.</w:t>
      </w:r>
    </w:p>
    <w:p w14:paraId="5AE51DA4"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p>
    <w:p w14:paraId="22AEF811"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transmisión de datos VMS comienza cinco (5) días antes del inicio del período autorizado y continúa cinco (5) días después del final de la campaña, con una frecuencia de transmisión horaria, de conformidad con los requisitos de ICCAT.</w:t>
      </w:r>
    </w:p>
    <w:p w14:paraId="2D6F75B3"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p>
    <w:p w14:paraId="28031F7B"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Una célula central de seguimiento se encarga de controlar las posiciones de los buques.</w:t>
      </w:r>
    </w:p>
    <w:p w14:paraId="1ADB8827"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p>
    <w:p w14:paraId="73030B2B" w14:textId="77777777" w:rsidR="009123AC" w:rsidRPr="00F0379B" w:rsidRDefault="009123AC" w:rsidP="009123AC">
      <w:pPr>
        <w:spacing w:after="0" w:line="240" w:lineRule="auto"/>
        <w:contextualSpacing/>
        <w:jc w:val="both"/>
        <w:rPr>
          <w:rFonts w:ascii="Cambria" w:eastAsiaTheme="minorEastAsia" w:hAnsi="Cambria"/>
          <w:b/>
          <w:bCs/>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Control de los desembarques</w:t>
      </w:r>
    </w:p>
    <w:p w14:paraId="56D06A01"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p>
    <w:p w14:paraId="147F8C19"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buques atuneros que enarbolan pabellón nacional solo pueden desembarcar el atún rojo capturado en puertos autorizados. Las operaciones de desembarque y los documentos de a bordo son objeto de inspecciones por parte de las autoridades competentes, en particular la Administración de Pesca y la Guardia Costera.</w:t>
      </w:r>
    </w:p>
    <w:p w14:paraId="7C2E457D"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p>
    <w:p w14:paraId="162CC546"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Queda prohibido el desembarque de atún rojo por parte de buques extranjeros.</w:t>
      </w:r>
    </w:p>
    <w:p w14:paraId="4E98C175"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p>
    <w:p w14:paraId="554273BA"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En el caso de los pequeños barcos costeros, el control y el seguimiento corren a cargo de los inspectores de pesca desplegados en los puertos autorizados. Tan pronto como se agota la cuota global asignada a los pequeños barcos costeros, cesan las actividades de estos buques.</w:t>
      </w:r>
    </w:p>
    <w:p w14:paraId="715E98AF"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p>
    <w:p w14:paraId="551463EA"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distribución de la cuota para los buques costeros se realiza de conformidad con una medida interna que también incluye el control a nivel de puertos designados y el período de pesca, de acuerdo con las recomendaciones de ICCAT y los requisitos reglamentarios establecidos.</w:t>
      </w:r>
    </w:p>
    <w:p w14:paraId="0A49E90B" w14:textId="77777777" w:rsidR="009123AC" w:rsidRPr="00F0379B" w:rsidRDefault="009123AC" w:rsidP="009123AC">
      <w:pPr>
        <w:spacing w:after="0" w:line="240" w:lineRule="auto"/>
        <w:ind w:left="426" w:hanging="426"/>
        <w:jc w:val="both"/>
        <w:rPr>
          <w:rFonts w:ascii="Cambria" w:eastAsiaTheme="minorEastAsia" w:hAnsi="Cambria"/>
          <w:b/>
          <w:i/>
          <w:iCs/>
          <w:kern w:val="2"/>
          <w:sz w:val="20"/>
          <w:szCs w:val="20"/>
          <w:lang w:eastAsia="ja-JP"/>
          <w14:ligatures w14:val="standardContextual"/>
        </w:rPr>
      </w:pPr>
    </w:p>
    <w:p w14:paraId="507E0717" w14:textId="77777777" w:rsidR="009123AC" w:rsidRPr="00F0379B" w:rsidRDefault="009123AC" w:rsidP="009123AC">
      <w:pPr>
        <w:spacing w:after="0" w:line="240" w:lineRule="auto"/>
        <w:ind w:left="426" w:hanging="426"/>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kern w:val="2"/>
          <w:sz w:val="20"/>
          <w:szCs w:val="20"/>
          <w:lang w:eastAsia="ja-JP"/>
          <w14:ligatures w14:val="standardContextual"/>
        </w:rPr>
        <w:t>5b) Programa conjunto de Inspección internacional (JIS) (párrs. 232-235)</w:t>
      </w:r>
    </w:p>
    <w:p w14:paraId="0DE2CAC3"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p>
    <w:p w14:paraId="5089404E"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De conformidad con los párrafos 232 a 235 de la Recomendación 25-04 de ICCAT y su anexo 7, Argelia proporciona información relativa a la aplicación de las inspecciones internacionales conjuntas (Joint International </w:t>
      </w:r>
      <w:proofErr w:type="spellStart"/>
      <w:r w:rsidRPr="00F0379B">
        <w:rPr>
          <w:rFonts w:ascii="Cambria" w:eastAsiaTheme="minorEastAsia" w:hAnsi="Cambria"/>
          <w:kern w:val="2"/>
          <w:sz w:val="20"/>
          <w:szCs w:val="20"/>
          <w:lang w:eastAsia="ja-JP"/>
          <w14:ligatures w14:val="standardContextual"/>
        </w:rPr>
        <w:t>Inspections</w:t>
      </w:r>
      <w:proofErr w:type="spellEnd"/>
      <w:r w:rsidRPr="00F0379B">
        <w:rPr>
          <w:rFonts w:ascii="Cambria" w:eastAsiaTheme="minorEastAsia" w:hAnsi="Cambria"/>
          <w:kern w:val="2"/>
          <w:sz w:val="20"/>
          <w:szCs w:val="20"/>
          <w:lang w:eastAsia="ja-JP"/>
          <w14:ligatures w14:val="standardContextual"/>
        </w:rPr>
        <w:t>, JIS) aplicables a la pesquería de atún rojo.</w:t>
      </w:r>
    </w:p>
    <w:p w14:paraId="3C74C348" w14:textId="77777777" w:rsidR="009123AC" w:rsidRPr="00F0379B" w:rsidRDefault="009123AC" w:rsidP="009123AC">
      <w:pPr>
        <w:spacing w:after="0" w:line="240" w:lineRule="auto"/>
        <w:rPr>
          <w:rFonts w:ascii="Cambria" w:eastAsiaTheme="minorEastAsia" w:hAnsi="Cambria"/>
          <w:iCs/>
          <w:kern w:val="2"/>
          <w:sz w:val="20"/>
          <w:szCs w:val="20"/>
          <w:lang w:eastAsia="ja-JP"/>
          <w14:ligatures w14:val="standardContextual"/>
        </w:rPr>
      </w:pPr>
    </w:p>
    <w:p w14:paraId="66747DEA"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Dado que la flota nacional cuenta con más de quince (15) atuneros cerqueros, Argelia se adhiere al programa conjunto de inspección internacional (JIS), de conformidad con lo dispuesto en la Recomendación 25-04.</w:t>
      </w:r>
    </w:p>
    <w:p w14:paraId="1E0F7544"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521283D3"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En este sentido, Argelia participará en el programa JIS durante la campaña pesquera de 2026, a través del buque Grine Belkacem (AL405). Los inspectores a bordo llevarán a cabo las misiones de inspección previstas por ICCAT para los buques argelinos y extranjeros que faenen en la zona de pesca del atún rojo en el Mediterráneo durante todo el período autorizado de pesca.</w:t>
      </w:r>
    </w:p>
    <w:p w14:paraId="2B58127D"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6CCA2145"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Como complemento a su participación en el JIS, Argelia está aplicando un conjunto de medidas nacionales reforzadas de seguimiento, control e inspección, destinadas a garantizar un alto nivel de cumplimiento de las medidas de conservación y ordenación de ICCAT.</w:t>
      </w:r>
    </w:p>
    <w:p w14:paraId="216B486F"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2BC68140" w14:textId="77777777" w:rsidR="009123AC" w:rsidRPr="00F0379B" w:rsidRDefault="009123AC" w:rsidP="009123AC">
      <w:pPr>
        <w:spacing w:after="0" w:line="240" w:lineRule="auto"/>
        <w:jc w:val="both"/>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Medidas nacionales complementarias de seguimiento, control e inspección</w:t>
      </w:r>
    </w:p>
    <w:p w14:paraId="79592D31"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6D27B2CD" w14:textId="77777777" w:rsidR="009123AC" w:rsidRPr="00F0379B" w:rsidRDefault="009123AC" w:rsidP="009123AC">
      <w:pPr>
        <w:widowControl w:val="0"/>
        <w:autoSpaceDE w:val="0"/>
        <w:autoSpaceDN w:val="0"/>
        <w:spacing w:after="0" w:line="240" w:lineRule="auto"/>
        <w:jc w:val="both"/>
        <w:rPr>
          <w:rFonts w:ascii="Cambria" w:eastAsia="Cambria" w:hAnsi="Cambria" w:cs="Cambria"/>
          <w:iCs/>
          <w:sz w:val="20"/>
          <w:szCs w:val="20"/>
        </w:rPr>
      </w:pPr>
      <w:r w:rsidRPr="00F0379B">
        <w:rPr>
          <w:rFonts w:ascii="Cambria" w:eastAsia="Cambria" w:hAnsi="Cambria" w:cs="Cambria"/>
          <w:sz w:val="20"/>
          <w:szCs w:val="20"/>
        </w:rPr>
        <w:t>(i) Control e inspección antes del inicio de la pesca de atún rojo</w:t>
      </w:r>
    </w:p>
    <w:p w14:paraId="27034202"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430810FB"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atuneros cerqueros están sujetos a inspecciones destinadas a controlar los artes de pesca y los documentos requeridos, de conformidad con la Orden Ministerial de 24 de febrero de 2022 (artículo 9 y anexos 2, 4 y 5).</w:t>
      </w:r>
    </w:p>
    <w:p w14:paraId="27804740"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7F3A2276"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w:t>
      </w:r>
      <w:proofErr w:type="spellStart"/>
      <w:r w:rsidRPr="00F0379B">
        <w:rPr>
          <w:rFonts w:ascii="Cambria" w:eastAsiaTheme="minorEastAsia" w:hAnsi="Cambria"/>
          <w:kern w:val="2"/>
          <w:sz w:val="20"/>
          <w:szCs w:val="20"/>
          <w:lang w:eastAsia="ja-JP"/>
          <w14:ligatures w14:val="standardContextual"/>
        </w:rPr>
        <w:t>ii</w:t>
      </w:r>
      <w:proofErr w:type="spellEnd"/>
      <w:r w:rsidRPr="00F0379B">
        <w:rPr>
          <w:rFonts w:ascii="Cambria" w:eastAsiaTheme="minorEastAsia" w:hAnsi="Cambria"/>
          <w:kern w:val="2"/>
          <w:sz w:val="20"/>
          <w:szCs w:val="20"/>
          <w:lang w:eastAsia="ja-JP"/>
          <w14:ligatures w14:val="standardContextual"/>
        </w:rPr>
        <w:t>) Control previo a la salida</w:t>
      </w:r>
    </w:p>
    <w:p w14:paraId="7448FC41"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2F023F54"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atuneros cerqueros son objeto de inspecciones previas a la salida, de conformidad con el artículo 23 y el anexo 6 de la orden ministerial de 24 de febrero de 2022.</w:t>
      </w:r>
    </w:p>
    <w:p w14:paraId="04443AC8"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488FC626"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w:t>
      </w:r>
      <w:proofErr w:type="spellStart"/>
      <w:r w:rsidRPr="00F0379B">
        <w:rPr>
          <w:rFonts w:ascii="Cambria" w:eastAsiaTheme="minorEastAsia" w:hAnsi="Cambria"/>
          <w:kern w:val="2"/>
          <w:sz w:val="20"/>
          <w:szCs w:val="20"/>
          <w:lang w:eastAsia="ja-JP"/>
          <w14:ligatures w14:val="standardContextual"/>
        </w:rPr>
        <w:t>iii</w:t>
      </w:r>
      <w:proofErr w:type="spellEnd"/>
      <w:r w:rsidRPr="00F0379B">
        <w:rPr>
          <w:rFonts w:ascii="Cambria" w:eastAsiaTheme="minorEastAsia" w:hAnsi="Cambria"/>
          <w:kern w:val="2"/>
          <w:sz w:val="20"/>
          <w:szCs w:val="20"/>
          <w:lang w:eastAsia="ja-JP"/>
          <w14:ligatures w14:val="standardContextual"/>
        </w:rPr>
        <w:t>) Control y seguimiento durante la temporada de pesca</w:t>
      </w:r>
    </w:p>
    <w:p w14:paraId="4EB1822F"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0ADC31E0"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Durante todo el período de pesca autorizado, se embarcan inspectores nacionales oficiales en cada atunero cerquero, lo que garantiza una cobertura del 100 % de la flota, de conformidad con la normativa nacional vigente.</w:t>
      </w:r>
    </w:p>
    <w:p w14:paraId="3C7207F6"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7DA83AEF"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w:t>
      </w:r>
      <w:proofErr w:type="spellStart"/>
      <w:r w:rsidRPr="00F0379B">
        <w:rPr>
          <w:rFonts w:ascii="Cambria" w:eastAsiaTheme="minorEastAsia" w:hAnsi="Cambria"/>
          <w:kern w:val="2"/>
          <w:sz w:val="20"/>
          <w:szCs w:val="20"/>
          <w:lang w:eastAsia="ja-JP"/>
          <w14:ligatures w14:val="standardContextual"/>
        </w:rPr>
        <w:t>iv</w:t>
      </w:r>
      <w:proofErr w:type="spellEnd"/>
      <w:r w:rsidRPr="00F0379B">
        <w:rPr>
          <w:rFonts w:ascii="Cambria" w:eastAsiaTheme="minorEastAsia" w:hAnsi="Cambria"/>
          <w:kern w:val="2"/>
          <w:sz w:val="20"/>
          <w:szCs w:val="20"/>
          <w:lang w:eastAsia="ja-JP"/>
          <w14:ligatures w14:val="standardContextual"/>
        </w:rPr>
        <w:t>) Coordinación del seguimiento y del control</w:t>
      </w:r>
    </w:p>
    <w:p w14:paraId="39E9E979"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5DAE8A2B"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Una célula ministerial de seguimiento y de control se encarga de la coordinación con los inspectores a bordo y centraliza en tiempo real la información relativa a las operaciones pesqueras.</w:t>
      </w:r>
    </w:p>
    <w:p w14:paraId="0BF76AD7"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2DCA7E11"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(v) Utilización del VMS</w:t>
      </w:r>
    </w:p>
    <w:p w14:paraId="4C532259"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2C5997CF"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datos del VMS son utilizados por el Servicio Nacional de Guardacostas y la unidad ministerial de seguimiento. En caso de avería del VMS, los patrones y los inspectores a bordo transmiten periódicamente las posiciones de los buques.</w:t>
      </w:r>
    </w:p>
    <w:p w14:paraId="0421B41F"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1C07CD86"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(vi) Control a la vuelta a los puertos de desembarque</w:t>
      </w:r>
    </w:p>
    <w:p w14:paraId="7264535C"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0DDEEDC8"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atuneros cerqueros son inspeccionados a su regreso a los puertos designados por los inspectores de pesca y los agentes del Servicio Nacional de Guardacostas. El desembarque de atún rojo solo está autorizado en puertos designados.</w:t>
      </w:r>
    </w:p>
    <w:p w14:paraId="3C54C0C9"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768004EF" w14:textId="77777777" w:rsidR="00907948" w:rsidRPr="00F0379B" w:rsidRDefault="00907948">
      <w:pPr>
        <w:spacing w:line="259"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br w:type="page"/>
      </w:r>
    </w:p>
    <w:p w14:paraId="1A74C287" w14:textId="054300BD" w:rsidR="009123AC" w:rsidRPr="00F0379B" w:rsidRDefault="009123AC" w:rsidP="00907948">
      <w:pPr>
        <w:spacing w:after="0" w:line="240" w:lineRule="exact"/>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lastRenderedPageBreak/>
        <w:t>(</w:t>
      </w:r>
      <w:proofErr w:type="spellStart"/>
      <w:r w:rsidRPr="00F0379B">
        <w:rPr>
          <w:rFonts w:ascii="Cambria" w:eastAsiaTheme="minorEastAsia" w:hAnsi="Cambria"/>
          <w:kern w:val="2"/>
          <w:sz w:val="20"/>
          <w:szCs w:val="20"/>
          <w:lang w:eastAsia="ja-JP"/>
          <w14:ligatures w14:val="standardContextual"/>
        </w:rPr>
        <w:t>vii</w:t>
      </w:r>
      <w:proofErr w:type="spellEnd"/>
      <w:r w:rsidRPr="00F0379B">
        <w:rPr>
          <w:rFonts w:ascii="Cambria" w:eastAsiaTheme="minorEastAsia" w:hAnsi="Cambria"/>
          <w:kern w:val="2"/>
          <w:sz w:val="20"/>
          <w:szCs w:val="20"/>
          <w:lang w:eastAsia="ja-JP"/>
          <w14:ligatures w14:val="standardContextual"/>
        </w:rPr>
        <w:t>) Cotejamiento y análisis de datos</w:t>
      </w:r>
    </w:p>
    <w:p w14:paraId="0C5770EA" w14:textId="77777777" w:rsidR="009123AC" w:rsidRPr="00F0379B" w:rsidRDefault="009123AC" w:rsidP="00907948">
      <w:pPr>
        <w:spacing w:after="0" w:line="240" w:lineRule="exact"/>
        <w:jc w:val="both"/>
        <w:rPr>
          <w:rFonts w:ascii="Cambria" w:eastAsiaTheme="minorEastAsia" w:hAnsi="Cambria"/>
          <w:iCs/>
          <w:kern w:val="2"/>
          <w:sz w:val="20"/>
          <w:szCs w:val="20"/>
          <w:lang w:eastAsia="ja-JP"/>
          <w14:ligatures w14:val="standardContextual"/>
        </w:rPr>
      </w:pPr>
    </w:p>
    <w:p w14:paraId="11937982" w14:textId="77777777" w:rsidR="009123AC" w:rsidRPr="00F0379B" w:rsidRDefault="009123AC" w:rsidP="00907948">
      <w:pPr>
        <w:spacing w:after="0" w:line="240" w:lineRule="exact"/>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datos procedentes del VMS, las inspecciones a bordo, los informes de los patrones y los observadores/controladores se cotejan para garantizar un seguimiento riguroso de las operaciones y mejorar el sistema de control.</w:t>
      </w:r>
    </w:p>
    <w:p w14:paraId="61A9220D" w14:textId="77777777" w:rsidR="009123AC" w:rsidRPr="00F0379B" w:rsidRDefault="009123AC" w:rsidP="00907948">
      <w:pPr>
        <w:spacing w:after="0" w:line="240" w:lineRule="exact"/>
        <w:jc w:val="both"/>
        <w:rPr>
          <w:rFonts w:ascii="Cambria" w:eastAsiaTheme="minorEastAsia" w:hAnsi="Cambria"/>
          <w:iCs/>
          <w:kern w:val="2"/>
          <w:sz w:val="20"/>
          <w:szCs w:val="20"/>
          <w:lang w:eastAsia="ja-JP"/>
          <w14:ligatures w14:val="standardContextual"/>
        </w:rPr>
      </w:pPr>
    </w:p>
    <w:p w14:paraId="308C44E9" w14:textId="77777777" w:rsidR="009123AC" w:rsidRPr="00F0379B" w:rsidRDefault="009123AC" w:rsidP="00907948">
      <w:pPr>
        <w:spacing w:after="0" w:line="240" w:lineRule="exact"/>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w:t>
      </w:r>
      <w:proofErr w:type="spellStart"/>
      <w:r w:rsidRPr="00F0379B">
        <w:rPr>
          <w:rFonts w:ascii="Cambria" w:eastAsiaTheme="minorEastAsia" w:hAnsi="Cambria"/>
          <w:kern w:val="2"/>
          <w:sz w:val="20"/>
          <w:szCs w:val="20"/>
          <w:lang w:eastAsia="ja-JP"/>
          <w14:ligatures w14:val="standardContextual"/>
        </w:rPr>
        <w:t>viii</w:t>
      </w:r>
      <w:proofErr w:type="spellEnd"/>
      <w:r w:rsidRPr="00F0379B">
        <w:rPr>
          <w:rFonts w:ascii="Cambria" w:eastAsiaTheme="minorEastAsia" w:hAnsi="Cambria"/>
          <w:kern w:val="2"/>
          <w:sz w:val="20"/>
          <w:szCs w:val="20"/>
          <w:lang w:eastAsia="ja-JP"/>
          <w14:ligatures w14:val="standardContextual"/>
        </w:rPr>
        <w:t>) Fortalecimiento del marco legislativo y reglamentario</w:t>
      </w:r>
    </w:p>
    <w:p w14:paraId="103C5F9C" w14:textId="77777777" w:rsidR="009123AC" w:rsidRPr="00F0379B" w:rsidRDefault="009123AC" w:rsidP="00907948">
      <w:pPr>
        <w:spacing w:after="0" w:line="240" w:lineRule="exact"/>
        <w:jc w:val="both"/>
        <w:rPr>
          <w:rFonts w:ascii="Cambria" w:eastAsiaTheme="minorEastAsia" w:hAnsi="Cambria"/>
          <w:iCs/>
          <w:kern w:val="2"/>
          <w:sz w:val="20"/>
          <w:szCs w:val="20"/>
          <w:lang w:eastAsia="ja-JP"/>
          <w14:ligatures w14:val="standardContextual"/>
        </w:rPr>
      </w:pPr>
    </w:p>
    <w:p w14:paraId="772CA9A7" w14:textId="77777777" w:rsidR="009123AC" w:rsidRPr="00F0379B" w:rsidRDefault="009123AC" w:rsidP="00907948">
      <w:pPr>
        <w:spacing w:after="0" w:line="240" w:lineRule="exact"/>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Ley n.º 15-08, que modifica y completa la Ley n.º 01-11, así como los artículos 54 a 56 del Decreto de 24 de febrero de 2022, prevén sanciones disuasorias en caso de infracción de las medidas de ICCAT.</w:t>
      </w:r>
    </w:p>
    <w:p w14:paraId="07755E89" w14:textId="77777777" w:rsidR="009123AC" w:rsidRPr="00F0379B" w:rsidRDefault="009123AC" w:rsidP="00907948">
      <w:pPr>
        <w:spacing w:after="0" w:line="240" w:lineRule="exact"/>
        <w:rPr>
          <w:rFonts w:ascii="Cambria" w:eastAsiaTheme="minorEastAsia" w:hAnsi="Cambria"/>
          <w:iCs/>
          <w:kern w:val="2"/>
          <w:sz w:val="20"/>
          <w:szCs w:val="20"/>
          <w:lang w:eastAsia="ja-JP"/>
          <w14:ligatures w14:val="standardContextual"/>
        </w:rPr>
      </w:pPr>
    </w:p>
    <w:p w14:paraId="3CB872C7" w14:textId="77777777" w:rsidR="009123AC" w:rsidRPr="00F0379B" w:rsidRDefault="009123AC" w:rsidP="00907948">
      <w:pPr>
        <w:spacing w:after="0" w:line="240" w:lineRule="exact"/>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w:t>
      </w:r>
      <w:proofErr w:type="spellStart"/>
      <w:r w:rsidRPr="00F0379B">
        <w:rPr>
          <w:rFonts w:ascii="Cambria" w:eastAsiaTheme="minorEastAsia" w:hAnsi="Cambria"/>
          <w:kern w:val="2"/>
          <w:sz w:val="20"/>
          <w:szCs w:val="20"/>
          <w:lang w:eastAsia="ja-JP"/>
          <w14:ligatures w14:val="standardContextual"/>
        </w:rPr>
        <w:t>ix</w:t>
      </w:r>
      <w:proofErr w:type="spellEnd"/>
      <w:r w:rsidRPr="00F0379B">
        <w:rPr>
          <w:rFonts w:ascii="Cambria" w:eastAsiaTheme="minorEastAsia" w:hAnsi="Cambria"/>
          <w:kern w:val="2"/>
          <w:sz w:val="20"/>
          <w:szCs w:val="20"/>
          <w:lang w:eastAsia="ja-JP"/>
          <w14:ligatures w14:val="standardContextual"/>
        </w:rPr>
        <w:t>) Fortalecimiento de las capacidades de los inspectores-observadores</w:t>
      </w:r>
    </w:p>
    <w:p w14:paraId="0B18214D" w14:textId="77777777" w:rsidR="009123AC" w:rsidRPr="00F0379B" w:rsidRDefault="009123AC" w:rsidP="00907948">
      <w:pPr>
        <w:spacing w:after="0" w:line="240" w:lineRule="exact"/>
        <w:rPr>
          <w:rFonts w:ascii="Cambria" w:eastAsiaTheme="minorEastAsia" w:hAnsi="Cambria"/>
          <w:iCs/>
          <w:kern w:val="2"/>
          <w:sz w:val="20"/>
          <w:szCs w:val="20"/>
          <w:lang w:eastAsia="ja-JP"/>
          <w14:ligatures w14:val="standardContextual"/>
        </w:rPr>
      </w:pPr>
    </w:p>
    <w:p w14:paraId="37C234C1" w14:textId="77777777" w:rsidR="009123AC" w:rsidRPr="00F0379B" w:rsidRDefault="009123AC" w:rsidP="00907948">
      <w:pPr>
        <w:spacing w:after="0" w:line="240" w:lineRule="exact"/>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organizan sesiones de formación y creación de capacidad para los inspectores-observadores. Se pone a su disposición una guía armonizada de procedimientos de seguimiento, control e inspección.</w:t>
      </w:r>
    </w:p>
    <w:p w14:paraId="306EA947" w14:textId="77777777" w:rsidR="009123AC" w:rsidRPr="00F0379B" w:rsidRDefault="009123AC" w:rsidP="00907948">
      <w:pPr>
        <w:spacing w:after="0" w:line="240" w:lineRule="exact"/>
        <w:rPr>
          <w:rFonts w:ascii="Cambria" w:eastAsiaTheme="minorEastAsia" w:hAnsi="Cambria"/>
          <w:iCs/>
          <w:kern w:val="2"/>
          <w:sz w:val="20"/>
          <w:szCs w:val="20"/>
          <w:lang w:eastAsia="ja-JP"/>
          <w14:ligatures w14:val="standardContextual"/>
        </w:rPr>
      </w:pPr>
    </w:p>
    <w:p w14:paraId="2060E87B" w14:textId="77777777" w:rsidR="009123AC" w:rsidRPr="00F0379B" w:rsidRDefault="009123AC" w:rsidP="00907948">
      <w:pPr>
        <w:spacing w:after="0" w:line="240" w:lineRule="exact"/>
        <w:rPr>
          <w:rFonts w:ascii="Cambria" w:eastAsiaTheme="minorEastAsia" w:hAnsi="Cambria"/>
          <w:iCs/>
          <w:kern w:val="2"/>
          <w:sz w:val="20"/>
          <w:szCs w:val="20"/>
          <w:lang w:eastAsia="ja-JP"/>
          <w14:ligatures w14:val="standardContextual"/>
        </w:rPr>
      </w:pPr>
    </w:p>
    <w:p w14:paraId="40C36870" w14:textId="77777777" w:rsidR="009123AC" w:rsidRPr="00F0379B" w:rsidRDefault="009123AC" w:rsidP="00907948">
      <w:pPr>
        <w:spacing w:after="0" w:line="240" w:lineRule="exact"/>
        <w:ind w:left="426" w:hanging="426"/>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6.</w:t>
      </w:r>
      <w:r w:rsidRPr="00F0379B">
        <w:rPr>
          <w:rFonts w:ascii="Cambria" w:eastAsiaTheme="minorEastAsia" w:hAnsi="Cambria"/>
          <w:b/>
          <w:kern w:val="2"/>
          <w:sz w:val="20"/>
          <w:szCs w:val="20"/>
          <w:lang w:eastAsia="ja-JP"/>
          <w14:ligatures w14:val="standardContextual"/>
        </w:rPr>
        <w:tab/>
        <w:t>Otros</w:t>
      </w:r>
    </w:p>
    <w:p w14:paraId="238A5B8B" w14:textId="77777777" w:rsidR="009123AC" w:rsidRPr="00F0379B" w:rsidRDefault="009123AC" w:rsidP="00907948">
      <w:pPr>
        <w:spacing w:after="0" w:line="240" w:lineRule="exact"/>
        <w:rPr>
          <w:rFonts w:ascii="Cambria" w:eastAsiaTheme="minorEastAsia" w:hAnsi="Cambria"/>
          <w:b/>
          <w:kern w:val="2"/>
          <w:sz w:val="20"/>
          <w:szCs w:val="20"/>
          <w:lang w:eastAsia="ja-JP"/>
          <w14:ligatures w14:val="standardContextual"/>
        </w:rPr>
      </w:pPr>
    </w:p>
    <w:p w14:paraId="0DE6A895" w14:textId="77777777" w:rsidR="009123AC" w:rsidRPr="00F0379B" w:rsidRDefault="009123AC" w:rsidP="00907948">
      <w:pPr>
        <w:spacing w:after="0" w:line="240" w:lineRule="exact"/>
        <w:rPr>
          <w:rFonts w:ascii="Cambria" w:eastAsiaTheme="minorEastAsia" w:hAnsi="Cambria"/>
          <w:i/>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aplicable.</w:t>
      </w:r>
      <w:r w:rsidRPr="00F0379B">
        <w:rPr>
          <w:rFonts w:ascii="Cambria" w:eastAsiaTheme="minorEastAsia" w:hAnsi="Cambria"/>
          <w:kern w:val="2"/>
          <w:sz w:val="20"/>
          <w:szCs w:val="20"/>
          <w:lang w:eastAsia="ja-JP"/>
          <w14:ligatures w14:val="standardContextual"/>
        </w:rPr>
        <w:br w:type="page"/>
      </w:r>
    </w:p>
    <w:p w14:paraId="64DE21BC" w14:textId="77777777" w:rsidR="009123AC" w:rsidRPr="00F0379B" w:rsidRDefault="009123AC" w:rsidP="009123AC">
      <w:pPr>
        <w:spacing w:after="0" w:line="240" w:lineRule="auto"/>
        <w:rPr>
          <w:rFonts w:ascii="Cambria" w:eastAsiaTheme="minorEastAsia" w:hAnsi="Cambria"/>
          <w:i/>
          <w:kern w:val="2"/>
          <w:sz w:val="20"/>
          <w:szCs w:val="20"/>
          <w:lang w:eastAsia="ja-JP"/>
          <w14:ligatures w14:val="standardContextual"/>
        </w:rPr>
        <w:sectPr w:rsidR="009123AC" w:rsidRPr="00F0379B" w:rsidSect="009123AC">
          <w:footnotePr>
            <w:numFmt w:val="chicago"/>
          </w:footnotePr>
          <w:pgSz w:w="11906" w:h="16838" w:code="9"/>
          <w:pgMar w:top="1418" w:right="1418" w:bottom="1418" w:left="1418" w:header="851" w:footer="1134" w:gutter="0"/>
          <w:cols w:space="425"/>
          <w:docGrid w:linePitch="360"/>
        </w:sectPr>
      </w:pPr>
    </w:p>
    <w:p w14:paraId="38C11FAF" w14:textId="77777777" w:rsidR="009123AC" w:rsidRPr="00F0379B" w:rsidRDefault="009123AC" w:rsidP="009123AC">
      <w:pPr>
        <w:spacing w:after="0" w:line="240" w:lineRule="auto"/>
        <w:rPr>
          <w:rFonts w:ascii="Cambria" w:eastAsiaTheme="minorEastAsia" w:hAnsi="Cambria"/>
          <w:b/>
          <w:bCs/>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Tabla de capacidad</w:t>
      </w:r>
    </w:p>
    <w:tbl>
      <w:tblPr>
        <w:tblW w:w="14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276"/>
        <w:gridCol w:w="709"/>
        <w:gridCol w:w="658"/>
        <w:gridCol w:w="634"/>
        <w:gridCol w:w="634"/>
        <w:gridCol w:w="625"/>
        <w:gridCol w:w="643"/>
        <w:gridCol w:w="547"/>
        <w:gridCol w:w="253"/>
        <w:gridCol w:w="716"/>
        <w:gridCol w:w="808"/>
        <w:gridCol w:w="719"/>
        <w:gridCol w:w="738"/>
        <w:gridCol w:w="963"/>
        <w:gridCol w:w="746"/>
        <w:gridCol w:w="853"/>
      </w:tblGrid>
      <w:tr w:rsidR="009123AC" w:rsidRPr="00F0379B" w14:paraId="10860627" w14:textId="77777777" w:rsidTr="00CA749B">
        <w:trPr>
          <w:trHeight w:val="20"/>
        </w:trPr>
        <w:tc>
          <w:tcPr>
            <w:tcW w:w="2972" w:type="dxa"/>
            <w:noWrap/>
            <w:vAlign w:val="center"/>
            <w:hideMark/>
          </w:tcPr>
          <w:p w14:paraId="63E9561D" w14:textId="77777777" w:rsidR="009123AC" w:rsidRPr="00F0379B" w:rsidRDefault="009123AC" w:rsidP="009123AC">
            <w:pPr>
              <w:spacing w:after="0" w:line="276" w:lineRule="auto"/>
              <w:jc w:val="center"/>
              <w:rPr>
                <w:rFonts w:ascii="Cambria" w:eastAsia="Times New Roman" w:hAnsi="Cambria" w:cs="Calibri"/>
                <w:i/>
                <w:iCs/>
                <w:kern w:val="2"/>
                <w:sz w:val="14"/>
                <w:szCs w:val="14"/>
                <w:lang w:eastAsia="fr-FR" w:bidi="fr-FR"/>
                <w14:ligatures w14:val="standardContextual"/>
              </w:rPr>
            </w:pPr>
            <w:r w:rsidRPr="00F0379B">
              <w:rPr>
                <w:rFonts w:ascii="Cambria" w:eastAsia="MS Gothic" w:hAnsi="Cambria" w:cs="Times New Roman"/>
                <w:i/>
                <w:sz w:val="14"/>
                <w:szCs w:val="14"/>
                <w:lang w:eastAsia="fr-FR" w:bidi="fr-FR"/>
              </w:rPr>
              <w:t>Tipo de buque atunero</w:t>
            </w:r>
          </w:p>
        </w:tc>
        <w:tc>
          <w:tcPr>
            <w:tcW w:w="1276" w:type="dxa"/>
            <w:noWrap/>
            <w:vAlign w:val="center"/>
            <w:hideMark/>
          </w:tcPr>
          <w:p w14:paraId="099972B3"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2001" w:type="dxa"/>
            <w:gridSpan w:val="3"/>
          </w:tcPr>
          <w:p w14:paraId="5ED20089" w14:textId="77777777" w:rsidR="009123AC" w:rsidRPr="00F0379B" w:rsidRDefault="009123AC" w:rsidP="009123AC">
            <w:pPr>
              <w:spacing w:after="0" w:line="276" w:lineRule="auto"/>
              <w:jc w:val="center"/>
              <w:rPr>
                <w:rFonts w:ascii="Cambria" w:eastAsia="Times New Roman" w:hAnsi="Cambria" w:cs="Calibri"/>
                <w:i/>
                <w:iCs/>
                <w:kern w:val="2"/>
                <w:sz w:val="14"/>
                <w:szCs w:val="14"/>
                <w:lang w:eastAsia="fr-FR" w:bidi="fr-FR"/>
                <w14:ligatures w14:val="standardContextual"/>
              </w:rPr>
            </w:pPr>
            <w:r w:rsidRPr="00F0379B">
              <w:rPr>
                <w:rFonts w:ascii="Cambria" w:eastAsia="MS Gothic" w:hAnsi="Cambria" w:cs="Times New Roman"/>
                <w:i/>
                <w:sz w:val="14"/>
                <w:szCs w:val="14"/>
                <w:lang w:eastAsia="fr-FR" w:bidi="fr-FR"/>
              </w:rPr>
              <w:t>Años de referencia</w:t>
            </w:r>
          </w:p>
        </w:tc>
        <w:tc>
          <w:tcPr>
            <w:tcW w:w="2449" w:type="dxa"/>
            <w:gridSpan w:val="4"/>
            <w:vAlign w:val="center"/>
          </w:tcPr>
          <w:p w14:paraId="396B7ADC" w14:textId="77777777" w:rsidR="009123AC" w:rsidRPr="00F0379B" w:rsidRDefault="009123AC" w:rsidP="009123AC">
            <w:pPr>
              <w:spacing w:after="0" w:line="276" w:lineRule="auto"/>
              <w:jc w:val="center"/>
              <w:rPr>
                <w:rFonts w:ascii="Cambria" w:eastAsia="Times New Roman" w:hAnsi="Cambria" w:cs="Cambria"/>
                <w:kern w:val="2"/>
                <w:sz w:val="14"/>
                <w:szCs w:val="14"/>
                <w:lang w:eastAsia="fr-FR" w:bidi="fr-FR"/>
                <w14:ligatures w14:val="standardContextual"/>
              </w:rPr>
            </w:pPr>
            <w:r w:rsidRPr="00F0379B">
              <w:rPr>
                <w:rFonts w:ascii="Cambria" w:eastAsia="MS Gothic" w:hAnsi="Cambria" w:cs="Times New Roman"/>
                <w:i/>
                <w:sz w:val="16"/>
                <w:szCs w:val="16"/>
                <w:lang w:eastAsia="fr-FR" w:bidi="fr-FR"/>
              </w:rPr>
              <w:t>N.º de buques</w:t>
            </w:r>
          </w:p>
        </w:tc>
        <w:tc>
          <w:tcPr>
            <w:tcW w:w="253" w:type="dxa"/>
            <w:shd w:val="clear" w:color="auto" w:fill="D9D9D9"/>
            <w:vAlign w:val="center"/>
            <w:hideMark/>
          </w:tcPr>
          <w:p w14:paraId="6B5523C2" w14:textId="77777777" w:rsidR="009123AC" w:rsidRPr="00F0379B" w:rsidRDefault="009123AC" w:rsidP="009123AC">
            <w:pPr>
              <w:spacing w:after="0" w:line="276" w:lineRule="auto"/>
              <w:jc w:val="center"/>
              <w:rPr>
                <w:rFonts w:ascii="Cambria" w:eastAsia="Times New Roman" w:hAnsi="Cambria" w:cs="Cambria"/>
                <w:kern w:val="2"/>
                <w:sz w:val="14"/>
                <w:szCs w:val="14"/>
                <w:lang w:eastAsia="ja-JP"/>
                <w14:ligatures w14:val="standardContextual"/>
              </w:rPr>
            </w:pPr>
          </w:p>
        </w:tc>
        <w:tc>
          <w:tcPr>
            <w:tcW w:w="2243" w:type="dxa"/>
            <w:gridSpan w:val="3"/>
          </w:tcPr>
          <w:p w14:paraId="3C49C183" w14:textId="77777777" w:rsidR="009123AC" w:rsidRPr="00F0379B" w:rsidRDefault="009123AC" w:rsidP="009123AC">
            <w:pPr>
              <w:spacing w:after="0" w:line="276" w:lineRule="auto"/>
              <w:jc w:val="center"/>
              <w:rPr>
                <w:rFonts w:ascii="Cambria" w:eastAsia="Times New Roman" w:hAnsi="Cambria" w:cs="Calibri"/>
                <w:i/>
                <w:iCs/>
                <w:kern w:val="2"/>
                <w:sz w:val="14"/>
                <w:szCs w:val="14"/>
                <w:lang w:eastAsia="fr-FR" w:bidi="fr-FR"/>
                <w14:ligatures w14:val="standardContextual"/>
              </w:rPr>
            </w:pPr>
            <w:r w:rsidRPr="00F0379B">
              <w:rPr>
                <w:rFonts w:ascii="Cambria" w:eastAsia="MS Gothic" w:hAnsi="Cambria" w:cs="Times New Roman"/>
                <w:i/>
                <w:sz w:val="14"/>
                <w:szCs w:val="14"/>
                <w:lang w:eastAsia="fr-FR" w:bidi="fr-FR"/>
              </w:rPr>
              <w:t>Año de referencia</w:t>
            </w:r>
          </w:p>
        </w:tc>
        <w:tc>
          <w:tcPr>
            <w:tcW w:w="3300" w:type="dxa"/>
            <w:gridSpan w:val="4"/>
          </w:tcPr>
          <w:p w14:paraId="74919820" w14:textId="77777777" w:rsidR="009123AC" w:rsidRPr="00F0379B" w:rsidRDefault="009123AC" w:rsidP="009123AC">
            <w:pPr>
              <w:spacing w:after="0" w:line="276" w:lineRule="auto"/>
              <w:jc w:val="center"/>
              <w:rPr>
                <w:rFonts w:ascii="Cambria" w:eastAsia="Times New Roman" w:hAnsi="Cambria" w:cs="Calibri"/>
                <w:i/>
                <w:iCs/>
                <w:kern w:val="2"/>
                <w:sz w:val="14"/>
                <w:szCs w:val="14"/>
                <w:lang w:eastAsia="fr-FR" w:bidi="fr-FR"/>
                <w14:ligatures w14:val="standardContextual"/>
              </w:rPr>
            </w:pPr>
            <w:r w:rsidRPr="00F0379B">
              <w:rPr>
                <w:rFonts w:ascii="Cambria" w:eastAsia="MS Gothic" w:hAnsi="Cambria" w:cs="Times New Roman"/>
                <w:i/>
                <w:sz w:val="14"/>
                <w:szCs w:val="14"/>
                <w:lang w:eastAsia="fr-FR" w:bidi="fr-FR"/>
              </w:rPr>
              <w:t>Capacidad de pesca</w:t>
            </w:r>
          </w:p>
        </w:tc>
      </w:tr>
      <w:tr w:rsidR="009123AC" w:rsidRPr="00F0379B" w14:paraId="0FA577EC" w14:textId="77777777" w:rsidTr="00CA749B">
        <w:trPr>
          <w:trHeight w:val="20"/>
        </w:trPr>
        <w:tc>
          <w:tcPr>
            <w:tcW w:w="2972" w:type="dxa"/>
            <w:noWrap/>
            <w:vAlign w:val="center"/>
            <w:hideMark/>
          </w:tcPr>
          <w:p w14:paraId="00A6C9D5" w14:textId="77777777" w:rsidR="009123AC" w:rsidRPr="00F0379B" w:rsidRDefault="009123AC" w:rsidP="009123AC">
            <w:pPr>
              <w:spacing w:after="0" w:line="276" w:lineRule="auto"/>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Tipo</w:t>
            </w:r>
          </w:p>
        </w:tc>
        <w:tc>
          <w:tcPr>
            <w:tcW w:w="1276" w:type="dxa"/>
            <w:vAlign w:val="center"/>
            <w:hideMark/>
          </w:tcPr>
          <w:p w14:paraId="1999A4AE"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Mejores tasas de captura definidas por el SCRS en 2009 (t)</w:t>
            </w:r>
          </w:p>
        </w:tc>
        <w:tc>
          <w:tcPr>
            <w:tcW w:w="709" w:type="dxa"/>
            <w:vAlign w:val="center"/>
          </w:tcPr>
          <w:p w14:paraId="364F78CF"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2006</w:t>
            </w:r>
          </w:p>
        </w:tc>
        <w:tc>
          <w:tcPr>
            <w:tcW w:w="658" w:type="dxa"/>
            <w:noWrap/>
            <w:vAlign w:val="center"/>
            <w:hideMark/>
          </w:tcPr>
          <w:p w14:paraId="21DA7B2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2008</w:t>
            </w:r>
          </w:p>
        </w:tc>
        <w:tc>
          <w:tcPr>
            <w:tcW w:w="634" w:type="dxa"/>
            <w:vAlign w:val="center"/>
            <w:hideMark/>
          </w:tcPr>
          <w:p w14:paraId="55B23538"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2018</w:t>
            </w:r>
          </w:p>
        </w:tc>
        <w:tc>
          <w:tcPr>
            <w:tcW w:w="634" w:type="dxa"/>
            <w:vAlign w:val="center"/>
            <w:hideMark/>
          </w:tcPr>
          <w:p w14:paraId="30B080D5"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2023</w:t>
            </w:r>
          </w:p>
        </w:tc>
        <w:tc>
          <w:tcPr>
            <w:tcW w:w="625" w:type="dxa"/>
            <w:vAlign w:val="center"/>
            <w:hideMark/>
          </w:tcPr>
          <w:p w14:paraId="7E4B3CE6"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2024</w:t>
            </w:r>
          </w:p>
        </w:tc>
        <w:tc>
          <w:tcPr>
            <w:tcW w:w="643" w:type="dxa"/>
            <w:vAlign w:val="center"/>
          </w:tcPr>
          <w:p w14:paraId="276C355F"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2025</w:t>
            </w:r>
          </w:p>
        </w:tc>
        <w:tc>
          <w:tcPr>
            <w:tcW w:w="547" w:type="dxa"/>
            <w:vAlign w:val="center"/>
          </w:tcPr>
          <w:p w14:paraId="7D48540D"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2026</w:t>
            </w:r>
          </w:p>
        </w:tc>
        <w:tc>
          <w:tcPr>
            <w:tcW w:w="253" w:type="dxa"/>
            <w:shd w:val="clear" w:color="000000" w:fill="D9D9D9"/>
            <w:vAlign w:val="center"/>
            <w:hideMark/>
          </w:tcPr>
          <w:p w14:paraId="5ACD6F0E"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716" w:type="dxa"/>
            <w:vAlign w:val="center"/>
          </w:tcPr>
          <w:p w14:paraId="162A618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2006</w:t>
            </w:r>
          </w:p>
        </w:tc>
        <w:tc>
          <w:tcPr>
            <w:tcW w:w="808" w:type="dxa"/>
            <w:vAlign w:val="center"/>
            <w:hideMark/>
          </w:tcPr>
          <w:p w14:paraId="72EB372D"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2008</w:t>
            </w:r>
          </w:p>
        </w:tc>
        <w:tc>
          <w:tcPr>
            <w:tcW w:w="719" w:type="dxa"/>
            <w:vAlign w:val="center"/>
            <w:hideMark/>
          </w:tcPr>
          <w:p w14:paraId="44B0A4B8"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2018</w:t>
            </w:r>
          </w:p>
        </w:tc>
        <w:tc>
          <w:tcPr>
            <w:tcW w:w="738" w:type="dxa"/>
            <w:vAlign w:val="center"/>
            <w:hideMark/>
          </w:tcPr>
          <w:p w14:paraId="47AC0BEC"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2023</w:t>
            </w:r>
          </w:p>
        </w:tc>
        <w:tc>
          <w:tcPr>
            <w:tcW w:w="963" w:type="dxa"/>
            <w:vAlign w:val="center"/>
            <w:hideMark/>
          </w:tcPr>
          <w:p w14:paraId="2E5237D9"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2024</w:t>
            </w:r>
          </w:p>
        </w:tc>
        <w:tc>
          <w:tcPr>
            <w:tcW w:w="746" w:type="dxa"/>
            <w:vAlign w:val="center"/>
            <w:hideMark/>
          </w:tcPr>
          <w:p w14:paraId="233554E1"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2025</w:t>
            </w:r>
          </w:p>
        </w:tc>
        <w:tc>
          <w:tcPr>
            <w:tcW w:w="853" w:type="dxa"/>
            <w:vAlign w:val="center"/>
          </w:tcPr>
          <w:p w14:paraId="5005F56F"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2026</w:t>
            </w:r>
          </w:p>
        </w:tc>
      </w:tr>
      <w:tr w:rsidR="009123AC" w:rsidRPr="00F0379B" w14:paraId="1C3ABD1B" w14:textId="77777777" w:rsidTr="00CA749B">
        <w:trPr>
          <w:trHeight w:val="20"/>
        </w:trPr>
        <w:tc>
          <w:tcPr>
            <w:tcW w:w="2972" w:type="dxa"/>
            <w:noWrap/>
            <w:vAlign w:val="center"/>
            <w:hideMark/>
          </w:tcPr>
          <w:p w14:paraId="59F64EFB" w14:textId="77777777" w:rsidR="009123AC" w:rsidRPr="00F0379B" w:rsidRDefault="009123AC" w:rsidP="009123AC">
            <w:pPr>
              <w:spacing w:after="0" w:line="276" w:lineRule="auto"/>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Cerqueros de más de 40 m</w:t>
            </w:r>
          </w:p>
        </w:tc>
        <w:tc>
          <w:tcPr>
            <w:tcW w:w="1276" w:type="dxa"/>
            <w:noWrap/>
            <w:vAlign w:val="center"/>
            <w:hideMark/>
          </w:tcPr>
          <w:p w14:paraId="5940E081"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70,66</w:t>
            </w:r>
          </w:p>
        </w:tc>
        <w:tc>
          <w:tcPr>
            <w:tcW w:w="709" w:type="dxa"/>
            <w:vAlign w:val="center"/>
          </w:tcPr>
          <w:p w14:paraId="28F18F3B"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58" w:type="dxa"/>
            <w:noWrap/>
            <w:vAlign w:val="center"/>
            <w:hideMark/>
          </w:tcPr>
          <w:p w14:paraId="56108028"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5211617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7FD3D688"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25" w:type="dxa"/>
            <w:vAlign w:val="center"/>
            <w:hideMark/>
          </w:tcPr>
          <w:p w14:paraId="7CDA1F3B"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w:t>
            </w:r>
          </w:p>
        </w:tc>
        <w:tc>
          <w:tcPr>
            <w:tcW w:w="643" w:type="dxa"/>
            <w:vAlign w:val="center"/>
          </w:tcPr>
          <w:p w14:paraId="56ED1624"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w:t>
            </w:r>
          </w:p>
        </w:tc>
        <w:tc>
          <w:tcPr>
            <w:tcW w:w="547" w:type="dxa"/>
            <w:vAlign w:val="center"/>
          </w:tcPr>
          <w:p w14:paraId="607738B8" w14:textId="77777777" w:rsidR="009123AC" w:rsidRPr="00F0379B" w:rsidRDefault="009123AC" w:rsidP="009123AC">
            <w:pPr>
              <w:spacing w:after="0" w:line="276" w:lineRule="auto"/>
              <w:jc w:val="center"/>
              <w:rPr>
                <w:rFonts w:ascii="Cambria" w:eastAsia="MS Gothic" w:hAnsi="Cambria" w:cs="Times New Roman"/>
                <w:sz w:val="14"/>
                <w:szCs w:val="14"/>
                <w:lang w:eastAsia="fr-FR" w:bidi="fr-FR"/>
              </w:rPr>
            </w:pPr>
            <w:r w:rsidRPr="00F0379B">
              <w:rPr>
                <w:rFonts w:ascii="Cambria" w:eastAsia="MS Gothic" w:hAnsi="Cambria" w:cs="Times New Roman"/>
                <w:sz w:val="14"/>
                <w:szCs w:val="14"/>
                <w:lang w:eastAsia="fr-FR" w:bidi="fr-FR"/>
              </w:rPr>
              <w:t>2</w:t>
            </w:r>
          </w:p>
        </w:tc>
        <w:tc>
          <w:tcPr>
            <w:tcW w:w="253" w:type="dxa"/>
            <w:shd w:val="clear" w:color="000000" w:fill="D9D9D9"/>
            <w:vAlign w:val="center"/>
            <w:hideMark/>
          </w:tcPr>
          <w:p w14:paraId="58C7DC49"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716" w:type="dxa"/>
            <w:vAlign w:val="center"/>
          </w:tcPr>
          <w:p w14:paraId="065AB683"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808" w:type="dxa"/>
            <w:vAlign w:val="center"/>
            <w:hideMark/>
          </w:tcPr>
          <w:p w14:paraId="611878D5"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19" w:type="dxa"/>
            <w:vAlign w:val="center"/>
            <w:hideMark/>
          </w:tcPr>
          <w:p w14:paraId="02E07AE5"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38" w:type="dxa"/>
            <w:vAlign w:val="center"/>
          </w:tcPr>
          <w:p w14:paraId="78D74BCD"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963" w:type="dxa"/>
            <w:vAlign w:val="center"/>
          </w:tcPr>
          <w:p w14:paraId="7683E28B"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141,32</w:t>
            </w:r>
          </w:p>
        </w:tc>
        <w:tc>
          <w:tcPr>
            <w:tcW w:w="746" w:type="dxa"/>
            <w:vAlign w:val="center"/>
          </w:tcPr>
          <w:p w14:paraId="3C96F4FE"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141,32</w:t>
            </w:r>
          </w:p>
        </w:tc>
        <w:tc>
          <w:tcPr>
            <w:tcW w:w="853" w:type="dxa"/>
            <w:vAlign w:val="center"/>
          </w:tcPr>
          <w:p w14:paraId="06418FEA"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141,32</w:t>
            </w:r>
          </w:p>
        </w:tc>
      </w:tr>
      <w:tr w:rsidR="009123AC" w:rsidRPr="00F0379B" w14:paraId="230B3FA9" w14:textId="77777777" w:rsidTr="00CA749B">
        <w:trPr>
          <w:trHeight w:val="20"/>
        </w:trPr>
        <w:tc>
          <w:tcPr>
            <w:tcW w:w="2972" w:type="dxa"/>
            <w:noWrap/>
            <w:vAlign w:val="center"/>
            <w:hideMark/>
          </w:tcPr>
          <w:p w14:paraId="14757806" w14:textId="77777777" w:rsidR="009123AC" w:rsidRPr="00F0379B" w:rsidRDefault="009123AC" w:rsidP="009123AC">
            <w:pPr>
              <w:spacing w:after="0" w:line="276" w:lineRule="auto"/>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Cerqueros entre 24 y 40 m</w:t>
            </w:r>
          </w:p>
        </w:tc>
        <w:tc>
          <w:tcPr>
            <w:tcW w:w="1276" w:type="dxa"/>
            <w:noWrap/>
            <w:vAlign w:val="center"/>
            <w:hideMark/>
          </w:tcPr>
          <w:p w14:paraId="798A2F08"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49,78</w:t>
            </w:r>
          </w:p>
        </w:tc>
        <w:tc>
          <w:tcPr>
            <w:tcW w:w="709" w:type="dxa"/>
            <w:vAlign w:val="center"/>
          </w:tcPr>
          <w:p w14:paraId="453B303B"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3</w:t>
            </w:r>
          </w:p>
        </w:tc>
        <w:tc>
          <w:tcPr>
            <w:tcW w:w="658" w:type="dxa"/>
            <w:noWrap/>
            <w:vAlign w:val="center"/>
            <w:hideMark/>
          </w:tcPr>
          <w:p w14:paraId="0AB617AF"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8</w:t>
            </w:r>
          </w:p>
        </w:tc>
        <w:tc>
          <w:tcPr>
            <w:tcW w:w="634" w:type="dxa"/>
            <w:vAlign w:val="center"/>
            <w:hideMark/>
          </w:tcPr>
          <w:p w14:paraId="06B75CA9"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12</w:t>
            </w:r>
          </w:p>
        </w:tc>
        <w:tc>
          <w:tcPr>
            <w:tcW w:w="634" w:type="dxa"/>
            <w:vAlign w:val="center"/>
            <w:hideMark/>
          </w:tcPr>
          <w:p w14:paraId="436A68D4"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34</w:t>
            </w:r>
          </w:p>
        </w:tc>
        <w:tc>
          <w:tcPr>
            <w:tcW w:w="625" w:type="dxa"/>
            <w:vAlign w:val="center"/>
            <w:hideMark/>
          </w:tcPr>
          <w:p w14:paraId="64447803"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37</w:t>
            </w:r>
          </w:p>
        </w:tc>
        <w:tc>
          <w:tcPr>
            <w:tcW w:w="643" w:type="dxa"/>
            <w:vAlign w:val="center"/>
          </w:tcPr>
          <w:p w14:paraId="31BCF39E"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37</w:t>
            </w:r>
          </w:p>
        </w:tc>
        <w:tc>
          <w:tcPr>
            <w:tcW w:w="547" w:type="dxa"/>
            <w:vAlign w:val="center"/>
          </w:tcPr>
          <w:p w14:paraId="38DAB6C9" w14:textId="77777777" w:rsidR="009123AC" w:rsidRPr="00F0379B" w:rsidRDefault="009123AC" w:rsidP="009123AC">
            <w:pPr>
              <w:spacing w:after="0" w:line="276" w:lineRule="auto"/>
              <w:jc w:val="center"/>
              <w:rPr>
                <w:rFonts w:ascii="Cambria" w:eastAsia="MS Gothic" w:hAnsi="Cambria" w:cs="Times New Roman"/>
                <w:sz w:val="14"/>
                <w:szCs w:val="14"/>
                <w:lang w:eastAsia="fr-FR" w:bidi="fr-FR"/>
              </w:rPr>
            </w:pPr>
            <w:r w:rsidRPr="00F0379B">
              <w:rPr>
                <w:rFonts w:ascii="Cambria" w:eastAsia="MS Gothic" w:hAnsi="Cambria" w:cs="Times New Roman"/>
                <w:sz w:val="14"/>
                <w:szCs w:val="14"/>
                <w:lang w:eastAsia="fr-FR" w:bidi="fr-FR"/>
              </w:rPr>
              <w:t>38</w:t>
            </w:r>
          </w:p>
        </w:tc>
        <w:tc>
          <w:tcPr>
            <w:tcW w:w="253" w:type="dxa"/>
            <w:shd w:val="clear" w:color="000000" w:fill="D9D9D9"/>
            <w:vAlign w:val="center"/>
            <w:hideMark/>
          </w:tcPr>
          <w:p w14:paraId="39A3145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716" w:type="dxa"/>
            <w:vAlign w:val="center"/>
          </w:tcPr>
          <w:p w14:paraId="404F0BFE"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149,34</w:t>
            </w:r>
          </w:p>
        </w:tc>
        <w:tc>
          <w:tcPr>
            <w:tcW w:w="808" w:type="dxa"/>
            <w:vAlign w:val="center"/>
            <w:hideMark/>
          </w:tcPr>
          <w:p w14:paraId="338BDB54"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398,24</w:t>
            </w:r>
          </w:p>
        </w:tc>
        <w:tc>
          <w:tcPr>
            <w:tcW w:w="719" w:type="dxa"/>
            <w:vAlign w:val="center"/>
            <w:hideMark/>
          </w:tcPr>
          <w:p w14:paraId="1769E701"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597,36</w:t>
            </w:r>
          </w:p>
        </w:tc>
        <w:tc>
          <w:tcPr>
            <w:tcW w:w="738" w:type="dxa"/>
            <w:vAlign w:val="center"/>
          </w:tcPr>
          <w:p w14:paraId="54CFE1C3"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1692,52</w:t>
            </w:r>
          </w:p>
        </w:tc>
        <w:tc>
          <w:tcPr>
            <w:tcW w:w="963" w:type="dxa"/>
            <w:vAlign w:val="center"/>
          </w:tcPr>
          <w:p w14:paraId="4614CBDC"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1841,86</w:t>
            </w:r>
          </w:p>
        </w:tc>
        <w:tc>
          <w:tcPr>
            <w:tcW w:w="746" w:type="dxa"/>
            <w:vAlign w:val="center"/>
          </w:tcPr>
          <w:p w14:paraId="26DD7E7B"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1841,86</w:t>
            </w:r>
          </w:p>
        </w:tc>
        <w:tc>
          <w:tcPr>
            <w:tcW w:w="853" w:type="dxa"/>
            <w:vAlign w:val="center"/>
          </w:tcPr>
          <w:p w14:paraId="1A49FA12"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1891,64</w:t>
            </w:r>
          </w:p>
        </w:tc>
      </w:tr>
      <w:tr w:rsidR="009123AC" w:rsidRPr="00F0379B" w14:paraId="32C69EE7" w14:textId="77777777" w:rsidTr="00CA749B">
        <w:trPr>
          <w:trHeight w:val="20"/>
        </w:trPr>
        <w:tc>
          <w:tcPr>
            <w:tcW w:w="2972" w:type="dxa"/>
            <w:noWrap/>
            <w:vAlign w:val="center"/>
            <w:hideMark/>
          </w:tcPr>
          <w:p w14:paraId="0195F5F0" w14:textId="77777777" w:rsidR="009123AC" w:rsidRPr="00F0379B" w:rsidRDefault="009123AC" w:rsidP="009123AC">
            <w:pPr>
              <w:spacing w:after="0" w:line="276" w:lineRule="auto"/>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Cerqueros de menos de 24 m</w:t>
            </w:r>
          </w:p>
        </w:tc>
        <w:tc>
          <w:tcPr>
            <w:tcW w:w="1276" w:type="dxa"/>
            <w:noWrap/>
            <w:vAlign w:val="center"/>
            <w:hideMark/>
          </w:tcPr>
          <w:p w14:paraId="7108ACDC"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33,68</w:t>
            </w:r>
          </w:p>
        </w:tc>
        <w:tc>
          <w:tcPr>
            <w:tcW w:w="709" w:type="dxa"/>
            <w:vAlign w:val="center"/>
          </w:tcPr>
          <w:p w14:paraId="74DC685C"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w:t>
            </w:r>
          </w:p>
        </w:tc>
        <w:tc>
          <w:tcPr>
            <w:tcW w:w="658" w:type="dxa"/>
            <w:noWrap/>
            <w:vAlign w:val="center"/>
            <w:hideMark/>
          </w:tcPr>
          <w:p w14:paraId="469C8124"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7D131552"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w:t>
            </w:r>
          </w:p>
        </w:tc>
        <w:tc>
          <w:tcPr>
            <w:tcW w:w="634" w:type="dxa"/>
            <w:vAlign w:val="center"/>
            <w:hideMark/>
          </w:tcPr>
          <w:p w14:paraId="6025E36C"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w:t>
            </w:r>
          </w:p>
        </w:tc>
        <w:tc>
          <w:tcPr>
            <w:tcW w:w="625" w:type="dxa"/>
            <w:vAlign w:val="center"/>
            <w:hideMark/>
          </w:tcPr>
          <w:p w14:paraId="28929129"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w:t>
            </w:r>
          </w:p>
        </w:tc>
        <w:tc>
          <w:tcPr>
            <w:tcW w:w="643" w:type="dxa"/>
            <w:vAlign w:val="center"/>
          </w:tcPr>
          <w:p w14:paraId="19D78D17"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w:t>
            </w:r>
          </w:p>
        </w:tc>
        <w:tc>
          <w:tcPr>
            <w:tcW w:w="547" w:type="dxa"/>
            <w:vAlign w:val="center"/>
          </w:tcPr>
          <w:p w14:paraId="7D4C71DC" w14:textId="77777777" w:rsidR="009123AC" w:rsidRPr="00F0379B" w:rsidRDefault="009123AC" w:rsidP="009123AC">
            <w:pPr>
              <w:spacing w:after="0" w:line="276" w:lineRule="auto"/>
              <w:jc w:val="center"/>
              <w:rPr>
                <w:rFonts w:ascii="Cambria" w:eastAsia="MS Gothic" w:hAnsi="Cambria" w:cs="Times New Roman"/>
                <w:sz w:val="14"/>
                <w:szCs w:val="14"/>
                <w:lang w:eastAsia="fr-FR" w:bidi="fr-FR"/>
              </w:rPr>
            </w:pPr>
            <w:r w:rsidRPr="00F0379B">
              <w:rPr>
                <w:rFonts w:ascii="Cambria" w:eastAsia="MS Gothic" w:hAnsi="Cambria" w:cs="Times New Roman"/>
                <w:sz w:val="14"/>
                <w:szCs w:val="14"/>
                <w:lang w:eastAsia="fr-FR" w:bidi="fr-FR"/>
              </w:rPr>
              <w:t>1</w:t>
            </w:r>
          </w:p>
        </w:tc>
        <w:tc>
          <w:tcPr>
            <w:tcW w:w="253" w:type="dxa"/>
            <w:shd w:val="clear" w:color="000000" w:fill="D9D9D9"/>
            <w:vAlign w:val="center"/>
            <w:hideMark/>
          </w:tcPr>
          <w:p w14:paraId="78B90233"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716" w:type="dxa"/>
            <w:vAlign w:val="center"/>
          </w:tcPr>
          <w:p w14:paraId="6C965357"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33,68</w:t>
            </w:r>
          </w:p>
        </w:tc>
        <w:tc>
          <w:tcPr>
            <w:tcW w:w="808" w:type="dxa"/>
            <w:vAlign w:val="center"/>
            <w:hideMark/>
          </w:tcPr>
          <w:p w14:paraId="5E081156"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33,68</w:t>
            </w:r>
          </w:p>
        </w:tc>
        <w:tc>
          <w:tcPr>
            <w:tcW w:w="719" w:type="dxa"/>
            <w:vAlign w:val="center"/>
            <w:hideMark/>
          </w:tcPr>
          <w:p w14:paraId="768DFD43"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67,36</w:t>
            </w:r>
          </w:p>
        </w:tc>
        <w:tc>
          <w:tcPr>
            <w:tcW w:w="738" w:type="dxa"/>
            <w:vAlign w:val="center"/>
          </w:tcPr>
          <w:p w14:paraId="4039D832"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33,68</w:t>
            </w:r>
          </w:p>
        </w:tc>
        <w:tc>
          <w:tcPr>
            <w:tcW w:w="963" w:type="dxa"/>
            <w:vAlign w:val="center"/>
          </w:tcPr>
          <w:p w14:paraId="0627BC87"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33,68</w:t>
            </w:r>
          </w:p>
        </w:tc>
        <w:tc>
          <w:tcPr>
            <w:tcW w:w="746" w:type="dxa"/>
            <w:vAlign w:val="center"/>
          </w:tcPr>
          <w:p w14:paraId="3D7829A9"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33,68</w:t>
            </w:r>
          </w:p>
        </w:tc>
        <w:tc>
          <w:tcPr>
            <w:tcW w:w="853" w:type="dxa"/>
            <w:vAlign w:val="center"/>
          </w:tcPr>
          <w:p w14:paraId="45E30F16"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33,68</w:t>
            </w:r>
          </w:p>
        </w:tc>
      </w:tr>
      <w:tr w:rsidR="009123AC" w:rsidRPr="00F0379B" w14:paraId="3C51D995" w14:textId="77777777" w:rsidTr="00CA749B">
        <w:trPr>
          <w:trHeight w:val="20"/>
        </w:trPr>
        <w:tc>
          <w:tcPr>
            <w:tcW w:w="2972" w:type="dxa"/>
            <w:noWrap/>
            <w:vAlign w:val="center"/>
            <w:hideMark/>
          </w:tcPr>
          <w:p w14:paraId="08CACA94" w14:textId="77777777" w:rsidR="009123AC" w:rsidRPr="00F0379B" w:rsidRDefault="009123AC" w:rsidP="009123AC">
            <w:pPr>
              <w:spacing w:after="0" w:line="276" w:lineRule="auto"/>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Total flota de cerco</w:t>
            </w:r>
          </w:p>
        </w:tc>
        <w:tc>
          <w:tcPr>
            <w:tcW w:w="1276" w:type="dxa"/>
            <w:noWrap/>
            <w:vAlign w:val="center"/>
            <w:hideMark/>
          </w:tcPr>
          <w:p w14:paraId="66CA4E41" w14:textId="77777777" w:rsidR="009123AC" w:rsidRPr="00F0379B" w:rsidRDefault="009123AC" w:rsidP="009123AC">
            <w:pPr>
              <w:spacing w:after="0" w:line="276" w:lineRule="auto"/>
              <w:rPr>
                <w:rFonts w:ascii="Cambria" w:eastAsia="Times New Roman" w:hAnsi="Cambria" w:cs="Cambria"/>
                <w:kern w:val="2"/>
                <w:sz w:val="14"/>
                <w:szCs w:val="14"/>
                <w:lang w:eastAsia="fr-FR" w:bidi="fr-FR"/>
                <w14:ligatures w14:val="standardContextual"/>
              </w:rPr>
            </w:pPr>
            <w:r w:rsidRPr="00F0379B">
              <w:rPr>
                <w:rFonts w:ascii="Cambria" w:eastAsia="MS Gothic" w:hAnsi="Cambria" w:cs="Times New Roman"/>
                <w:sz w:val="14"/>
                <w:szCs w:val="14"/>
                <w:lang w:eastAsia="fr-FR" w:bidi="fr-FR"/>
              </w:rPr>
              <w:t> </w:t>
            </w:r>
          </w:p>
        </w:tc>
        <w:tc>
          <w:tcPr>
            <w:tcW w:w="709" w:type="dxa"/>
            <w:vAlign w:val="center"/>
          </w:tcPr>
          <w:p w14:paraId="7A29002E"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4</w:t>
            </w:r>
          </w:p>
        </w:tc>
        <w:tc>
          <w:tcPr>
            <w:tcW w:w="658" w:type="dxa"/>
            <w:noWrap/>
            <w:vAlign w:val="center"/>
            <w:hideMark/>
          </w:tcPr>
          <w:p w14:paraId="11F8EC7C"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8</w:t>
            </w:r>
          </w:p>
        </w:tc>
        <w:tc>
          <w:tcPr>
            <w:tcW w:w="634" w:type="dxa"/>
            <w:vAlign w:val="center"/>
            <w:hideMark/>
          </w:tcPr>
          <w:p w14:paraId="1595099F"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14</w:t>
            </w:r>
          </w:p>
        </w:tc>
        <w:tc>
          <w:tcPr>
            <w:tcW w:w="634" w:type="dxa"/>
            <w:vAlign w:val="center"/>
            <w:hideMark/>
          </w:tcPr>
          <w:p w14:paraId="119ED18F"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35</w:t>
            </w:r>
          </w:p>
        </w:tc>
        <w:tc>
          <w:tcPr>
            <w:tcW w:w="625" w:type="dxa"/>
            <w:vAlign w:val="center"/>
            <w:hideMark/>
          </w:tcPr>
          <w:p w14:paraId="14DA28A7"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40</w:t>
            </w:r>
          </w:p>
        </w:tc>
        <w:tc>
          <w:tcPr>
            <w:tcW w:w="643" w:type="dxa"/>
            <w:vAlign w:val="center"/>
          </w:tcPr>
          <w:p w14:paraId="10565002"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40</w:t>
            </w:r>
          </w:p>
        </w:tc>
        <w:tc>
          <w:tcPr>
            <w:tcW w:w="547" w:type="dxa"/>
            <w:vAlign w:val="center"/>
          </w:tcPr>
          <w:p w14:paraId="5A481F30" w14:textId="77777777" w:rsidR="009123AC" w:rsidRPr="00F0379B" w:rsidRDefault="009123AC" w:rsidP="009123AC">
            <w:pPr>
              <w:spacing w:after="0" w:line="276" w:lineRule="auto"/>
              <w:jc w:val="center"/>
              <w:rPr>
                <w:rFonts w:ascii="Cambria" w:eastAsia="MS Gothic" w:hAnsi="Cambria" w:cs="Times New Roman"/>
                <w:b/>
                <w:bCs/>
                <w:sz w:val="14"/>
                <w:szCs w:val="14"/>
                <w:lang w:eastAsia="fr-FR" w:bidi="fr-FR"/>
              </w:rPr>
            </w:pPr>
            <w:r w:rsidRPr="00F0379B">
              <w:rPr>
                <w:rFonts w:ascii="Cambria" w:eastAsia="MS Gothic" w:hAnsi="Cambria" w:cs="Times New Roman"/>
                <w:b/>
                <w:sz w:val="14"/>
                <w:szCs w:val="14"/>
                <w:lang w:eastAsia="fr-FR" w:bidi="fr-FR"/>
              </w:rPr>
              <w:t>41</w:t>
            </w:r>
          </w:p>
        </w:tc>
        <w:tc>
          <w:tcPr>
            <w:tcW w:w="253" w:type="dxa"/>
            <w:shd w:val="clear" w:color="000000" w:fill="D9D9D9"/>
            <w:vAlign w:val="center"/>
            <w:hideMark/>
          </w:tcPr>
          <w:p w14:paraId="1BE152B3"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p>
        </w:tc>
        <w:tc>
          <w:tcPr>
            <w:tcW w:w="716" w:type="dxa"/>
            <w:vAlign w:val="center"/>
          </w:tcPr>
          <w:p w14:paraId="2E2E63D6"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183,02</w:t>
            </w:r>
          </w:p>
        </w:tc>
        <w:tc>
          <w:tcPr>
            <w:tcW w:w="808" w:type="dxa"/>
            <w:vAlign w:val="center"/>
            <w:hideMark/>
          </w:tcPr>
          <w:p w14:paraId="44B8D52B"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398,24</w:t>
            </w:r>
          </w:p>
        </w:tc>
        <w:tc>
          <w:tcPr>
            <w:tcW w:w="719" w:type="dxa"/>
            <w:vAlign w:val="center"/>
            <w:hideMark/>
          </w:tcPr>
          <w:p w14:paraId="01D6B6F4"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664,72</w:t>
            </w:r>
          </w:p>
        </w:tc>
        <w:tc>
          <w:tcPr>
            <w:tcW w:w="738" w:type="dxa"/>
            <w:vAlign w:val="center"/>
          </w:tcPr>
          <w:p w14:paraId="25356A6F"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1726,2</w:t>
            </w:r>
          </w:p>
        </w:tc>
        <w:tc>
          <w:tcPr>
            <w:tcW w:w="963" w:type="dxa"/>
            <w:vAlign w:val="center"/>
          </w:tcPr>
          <w:p w14:paraId="0D40FC39"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bCs/>
                <w:sz w:val="14"/>
                <w:szCs w:val="14"/>
                <w:lang w:eastAsia="fr-FR" w:bidi="fr-FR"/>
              </w:rPr>
              <w:t>2016,86</w:t>
            </w:r>
          </w:p>
        </w:tc>
        <w:tc>
          <w:tcPr>
            <w:tcW w:w="746" w:type="dxa"/>
            <w:vAlign w:val="center"/>
          </w:tcPr>
          <w:p w14:paraId="1118BD4C" w14:textId="77777777" w:rsidR="009123AC" w:rsidRPr="00F0379B" w:rsidRDefault="009123AC" w:rsidP="009123AC">
            <w:pPr>
              <w:spacing w:after="0" w:line="276" w:lineRule="auto"/>
              <w:ind w:right="-147"/>
              <w:jc w:val="both"/>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bCs/>
                <w:sz w:val="14"/>
                <w:szCs w:val="14"/>
                <w:lang w:eastAsia="fr-FR" w:bidi="fr-FR"/>
              </w:rPr>
              <w:t>2016,86</w:t>
            </w:r>
          </w:p>
        </w:tc>
        <w:tc>
          <w:tcPr>
            <w:tcW w:w="853" w:type="dxa"/>
            <w:vAlign w:val="center"/>
          </w:tcPr>
          <w:p w14:paraId="7D22D4FD"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bCs/>
                <w:sz w:val="14"/>
                <w:szCs w:val="14"/>
                <w:lang w:eastAsia="fr-FR" w:bidi="fr-FR"/>
              </w:rPr>
              <w:t>2066,64</w:t>
            </w:r>
          </w:p>
        </w:tc>
      </w:tr>
      <w:tr w:rsidR="009123AC" w:rsidRPr="00F0379B" w14:paraId="314DF8DD" w14:textId="77777777" w:rsidTr="00CA749B">
        <w:trPr>
          <w:trHeight w:val="20"/>
        </w:trPr>
        <w:tc>
          <w:tcPr>
            <w:tcW w:w="2972" w:type="dxa"/>
            <w:noWrap/>
            <w:vAlign w:val="center"/>
            <w:hideMark/>
          </w:tcPr>
          <w:p w14:paraId="2B1503B8" w14:textId="77777777" w:rsidR="009123AC" w:rsidRPr="00F0379B" w:rsidRDefault="009123AC" w:rsidP="009123AC">
            <w:pPr>
              <w:spacing w:after="0" w:line="276" w:lineRule="auto"/>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Palangreros de más de 40 m</w:t>
            </w:r>
          </w:p>
        </w:tc>
        <w:tc>
          <w:tcPr>
            <w:tcW w:w="1276" w:type="dxa"/>
            <w:noWrap/>
            <w:vAlign w:val="center"/>
            <w:hideMark/>
          </w:tcPr>
          <w:p w14:paraId="603C7478"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25</w:t>
            </w:r>
          </w:p>
        </w:tc>
        <w:tc>
          <w:tcPr>
            <w:tcW w:w="709" w:type="dxa"/>
            <w:vAlign w:val="center"/>
          </w:tcPr>
          <w:p w14:paraId="0A4D1C81"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15</w:t>
            </w:r>
          </w:p>
        </w:tc>
        <w:tc>
          <w:tcPr>
            <w:tcW w:w="658" w:type="dxa"/>
            <w:noWrap/>
            <w:vAlign w:val="center"/>
            <w:hideMark/>
          </w:tcPr>
          <w:p w14:paraId="4B4B2C79"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1DF5ECDC"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7E8C71A9"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25" w:type="dxa"/>
            <w:vAlign w:val="center"/>
            <w:hideMark/>
          </w:tcPr>
          <w:p w14:paraId="6CF15402"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43" w:type="dxa"/>
            <w:vAlign w:val="center"/>
          </w:tcPr>
          <w:p w14:paraId="0130B50F"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547" w:type="dxa"/>
            <w:vAlign w:val="center"/>
          </w:tcPr>
          <w:p w14:paraId="449EBC51" w14:textId="77777777" w:rsidR="009123AC" w:rsidRPr="00F0379B" w:rsidRDefault="009123AC" w:rsidP="009123AC">
            <w:pPr>
              <w:spacing w:after="0" w:line="276" w:lineRule="auto"/>
              <w:jc w:val="center"/>
              <w:rPr>
                <w:rFonts w:ascii="Cambria" w:eastAsia="MS Gothic" w:hAnsi="Cambria" w:cs="Times New Roman"/>
                <w:sz w:val="14"/>
                <w:szCs w:val="14"/>
                <w:lang w:eastAsia="fr-FR" w:bidi="fr-FR"/>
              </w:rPr>
            </w:pPr>
            <w:r w:rsidRPr="00F0379B">
              <w:rPr>
                <w:rFonts w:ascii="Cambria" w:eastAsia="MS Gothic" w:hAnsi="Cambria" w:cs="Times New Roman"/>
                <w:sz w:val="14"/>
                <w:szCs w:val="14"/>
                <w:lang w:eastAsia="fr-FR" w:bidi="fr-FR"/>
              </w:rPr>
              <w:t>0</w:t>
            </w:r>
          </w:p>
        </w:tc>
        <w:tc>
          <w:tcPr>
            <w:tcW w:w="253" w:type="dxa"/>
            <w:shd w:val="clear" w:color="000000" w:fill="D9D9D9"/>
            <w:vAlign w:val="center"/>
            <w:hideMark/>
          </w:tcPr>
          <w:p w14:paraId="18AB4E4A"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716" w:type="dxa"/>
            <w:vAlign w:val="center"/>
          </w:tcPr>
          <w:p w14:paraId="7EE72A2C"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375</w:t>
            </w:r>
          </w:p>
        </w:tc>
        <w:tc>
          <w:tcPr>
            <w:tcW w:w="808" w:type="dxa"/>
            <w:vAlign w:val="center"/>
            <w:hideMark/>
          </w:tcPr>
          <w:p w14:paraId="0549CA28"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19" w:type="dxa"/>
            <w:vAlign w:val="center"/>
            <w:hideMark/>
          </w:tcPr>
          <w:p w14:paraId="7ADD10DB"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38" w:type="dxa"/>
            <w:vAlign w:val="center"/>
            <w:hideMark/>
          </w:tcPr>
          <w:p w14:paraId="0DDCA7D5"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963" w:type="dxa"/>
            <w:vAlign w:val="center"/>
            <w:hideMark/>
          </w:tcPr>
          <w:p w14:paraId="651F5D09"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46" w:type="dxa"/>
            <w:vAlign w:val="center"/>
            <w:hideMark/>
          </w:tcPr>
          <w:p w14:paraId="7F41071F"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853" w:type="dxa"/>
            <w:vAlign w:val="center"/>
          </w:tcPr>
          <w:p w14:paraId="7CBB1CD4"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r>
      <w:tr w:rsidR="009123AC" w:rsidRPr="00F0379B" w14:paraId="52C840EB" w14:textId="77777777" w:rsidTr="00CA749B">
        <w:trPr>
          <w:trHeight w:val="20"/>
        </w:trPr>
        <w:tc>
          <w:tcPr>
            <w:tcW w:w="2972" w:type="dxa"/>
            <w:noWrap/>
            <w:vAlign w:val="center"/>
            <w:hideMark/>
          </w:tcPr>
          <w:p w14:paraId="1750F5E7" w14:textId="77777777" w:rsidR="009123AC" w:rsidRPr="00F0379B" w:rsidRDefault="009123AC" w:rsidP="009123AC">
            <w:pPr>
              <w:spacing w:after="0" w:line="276" w:lineRule="auto"/>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Palangreros entre 24 y 40 m</w:t>
            </w:r>
          </w:p>
        </w:tc>
        <w:tc>
          <w:tcPr>
            <w:tcW w:w="1276" w:type="dxa"/>
            <w:noWrap/>
            <w:vAlign w:val="center"/>
            <w:hideMark/>
          </w:tcPr>
          <w:p w14:paraId="17F65A9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5,68</w:t>
            </w:r>
          </w:p>
        </w:tc>
        <w:tc>
          <w:tcPr>
            <w:tcW w:w="709" w:type="dxa"/>
            <w:vAlign w:val="center"/>
          </w:tcPr>
          <w:p w14:paraId="60FD1044"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w:t>
            </w:r>
          </w:p>
        </w:tc>
        <w:tc>
          <w:tcPr>
            <w:tcW w:w="658" w:type="dxa"/>
            <w:noWrap/>
            <w:vAlign w:val="center"/>
            <w:hideMark/>
          </w:tcPr>
          <w:p w14:paraId="6765E541"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w:t>
            </w:r>
          </w:p>
        </w:tc>
        <w:tc>
          <w:tcPr>
            <w:tcW w:w="634" w:type="dxa"/>
            <w:vAlign w:val="center"/>
            <w:hideMark/>
          </w:tcPr>
          <w:p w14:paraId="4B18E5AD"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w:t>
            </w:r>
          </w:p>
        </w:tc>
        <w:tc>
          <w:tcPr>
            <w:tcW w:w="634" w:type="dxa"/>
            <w:vAlign w:val="center"/>
            <w:hideMark/>
          </w:tcPr>
          <w:p w14:paraId="152FE961"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25" w:type="dxa"/>
            <w:vAlign w:val="center"/>
            <w:hideMark/>
          </w:tcPr>
          <w:p w14:paraId="6A18E54F"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43" w:type="dxa"/>
            <w:vAlign w:val="center"/>
          </w:tcPr>
          <w:p w14:paraId="5821F4F2"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547" w:type="dxa"/>
            <w:vAlign w:val="center"/>
          </w:tcPr>
          <w:p w14:paraId="29BEBB50" w14:textId="77777777" w:rsidR="009123AC" w:rsidRPr="00F0379B" w:rsidRDefault="009123AC" w:rsidP="009123AC">
            <w:pPr>
              <w:spacing w:after="0" w:line="276" w:lineRule="auto"/>
              <w:jc w:val="center"/>
              <w:rPr>
                <w:rFonts w:ascii="Cambria" w:eastAsia="MS Gothic" w:hAnsi="Cambria" w:cs="Times New Roman"/>
                <w:sz w:val="14"/>
                <w:szCs w:val="14"/>
                <w:lang w:eastAsia="fr-FR" w:bidi="fr-FR"/>
              </w:rPr>
            </w:pPr>
            <w:r w:rsidRPr="00F0379B">
              <w:rPr>
                <w:rFonts w:ascii="Cambria" w:eastAsia="MS Gothic" w:hAnsi="Cambria" w:cs="Times New Roman"/>
                <w:sz w:val="14"/>
                <w:szCs w:val="14"/>
                <w:lang w:eastAsia="fr-FR" w:bidi="fr-FR"/>
              </w:rPr>
              <w:t>0</w:t>
            </w:r>
          </w:p>
        </w:tc>
        <w:tc>
          <w:tcPr>
            <w:tcW w:w="253" w:type="dxa"/>
            <w:shd w:val="clear" w:color="000000" w:fill="D9D9D9"/>
            <w:vAlign w:val="center"/>
            <w:hideMark/>
          </w:tcPr>
          <w:p w14:paraId="1524A5E9"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716" w:type="dxa"/>
            <w:vAlign w:val="center"/>
          </w:tcPr>
          <w:p w14:paraId="39FD97D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5,68</w:t>
            </w:r>
          </w:p>
        </w:tc>
        <w:tc>
          <w:tcPr>
            <w:tcW w:w="808" w:type="dxa"/>
            <w:vAlign w:val="center"/>
            <w:hideMark/>
          </w:tcPr>
          <w:p w14:paraId="50B5DAEE"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5,68</w:t>
            </w:r>
          </w:p>
        </w:tc>
        <w:tc>
          <w:tcPr>
            <w:tcW w:w="719" w:type="dxa"/>
            <w:vAlign w:val="center"/>
            <w:hideMark/>
          </w:tcPr>
          <w:p w14:paraId="6B9CCA87"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5,68</w:t>
            </w:r>
          </w:p>
        </w:tc>
        <w:tc>
          <w:tcPr>
            <w:tcW w:w="738" w:type="dxa"/>
            <w:vAlign w:val="center"/>
            <w:hideMark/>
          </w:tcPr>
          <w:p w14:paraId="791296B9"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963" w:type="dxa"/>
            <w:vAlign w:val="center"/>
            <w:hideMark/>
          </w:tcPr>
          <w:p w14:paraId="592D36CF"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46" w:type="dxa"/>
            <w:vAlign w:val="center"/>
            <w:hideMark/>
          </w:tcPr>
          <w:p w14:paraId="369C89ED"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853" w:type="dxa"/>
            <w:vAlign w:val="center"/>
          </w:tcPr>
          <w:p w14:paraId="2E64241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r>
      <w:tr w:rsidR="009123AC" w:rsidRPr="00F0379B" w14:paraId="00522409" w14:textId="77777777" w:rsidTr="00CA749B">
        <w:trPr>
          <w:trHeight w:val="20"/>
        </w:trPr>
        <w:tc>
          <w:tcPr>
            <w:tcW w:w="2972" w:type="dxa"/>
            <w:noWrap/>
            <w:vAlign w:val="center"/>
            <w:hideMark/>
          </w:tcPr>
          <w:p w14:paraId="676F5FAB" w14:textId="77777777" w:rsidR="009123AC" w:rsidRPr="00F0379B" w:rsidRDefault="009123AC" w:rsidP="009123AC">
            <w:pPr>
              <w:spacing w:after="0" w:line="276" w:lineRule="auto"/>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Palangreros de menos de 24 m</w:t>
            </w:r>
          </w:p>
        </w:tc>
        <w:tc>
          <w:tcPr>
            <w:tcW w:w="1276" w:type="dxa"/>
            <w:noWrap/>
            <w:vAlign w:val="center"/>
            <w:hideMark/>
          </w:tcPr>
          <w:p w14:paraId="36B61D54"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5</w:t>
            </w:r>
          </w:p>
        </w:tc>
        <w:tc>
          <w:tcPr>
            <w:tcW w:w="709" w:type="dxa"/>
            <w:vAlign w:val="center"/>
          </w:tcPr>
          <w:p w14:paraId="0390032D"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w:t>
            </w:r>
          </w:p>
        </w:tc>
        <w:tc>
          <w:tcPr>
            <w:tcW w:w="658" w:type="dxa"/>
            <w:noWrap/>
            <w:vAlign w:val="center"/>
            <w:hideMark/>
          </w:tcPr>
          <w:p w14:paraId="46D678CA"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w:t>
            </w:r>
          </w:p>
        </w:tc>
        <w:tc>
          <w:tcPr>
            <w:tcW w:w="634" w:type="dxa"/>
            <w:vAlign w:val="center"/>
            <w:hideMark/>
          </w:tcPr>
          <w:p w14:paraId="2CE4B40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5CDA3CF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25" w:type="dxa"/>
            <w:vAlign w:val="center"/>
            <w:hideMark/>
          </w:tcPr>
          <w:p w14:paraId="3B60B454"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43" w:type="dxa"/>
            <w:vAlign w:val="center"/>
          </w:tcPr>
          <w:p w14:paraId="07F2DF0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547" w:type="dxa"/>
            <w:vAlign w:val="center"/>
          </w:tcPr>
          <w:p w14:paraId="0B61A65F" w14:textId="77777777" w:rsidR="009123AC" w:rsidRPr="00F0379B" w:rsidRDefault="009123AC" w:rsidP="009123AC">
            <w:pPr>
              <w:spacing w:after="0" w:line="276" w:lineRule="auto"/>
              <w:jc w:val="center"/>
              <w:rPr>
                <w:rFonts w:ascii="Cambria" w:eastAsia="MS Gothic" w:hAnsi="Cambria" w:cs="Times New Roman"/>
                <w:sz w:val="14"/>
                <w:szCs w:val="14"/>
                <w:lang w:eastAsia="fr-FR" w:bidi="fr-FR"/>
              </w:rPr>
            </w:pPr>
            <w:r w:rsidRPr="00F0379B">
              <w:rPr>
                <w:rFonts w:ascii="Cambria" w:eastAsia="MS Gothic" w:hAnsi="Cambria" w:cs="Times New Roman"/>
                <w:sz w:val="14"/>
                <w:szCs w:val="14"/>
                <w:lang w:eastAsia="fr-FR" w:bidi="fr-FR"/>
              </w:rPr>
              <w:t>0</w:t>
            </w:r>
          </w:p>
        </w:tc>
        <w:tc>
          <w:tcPr>
            <w:tcW w:w="253" w:type="dxa"/>
            <w:shd w:val="clear" w:color="000000" w:fill="D9D9D9"/>
            <w:vAlign w:val="center"/>
            <w:hideMark/>
          </w:tcPr>
          <w:p w14:paraId="3C3833CC"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716" w:type="dxa"/>
            <w:vAlign w:val="center"/>
          </w:tcPr>
          <w:p w14:paraId="5327F62B"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5</w:t>
            </w:r>
          </w:p>
        </w:tc>
        <w:tc>
          <w:tcPr>
            <w:tcW w:w="808" w:type="dxa"/>
            <w:vAlign w:val="center"/>
            <w:hideMark/>
          </w:tcPr>
          <w:p w14:paraId="3F1BC063"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5</w:t>
            </w:r>
          </w:p>
        </w:tc>
        <w:tc>
          <w:tcPr>
            <w:tcW w:w="719" w:type="dxa"/>
            <w:vAlign w:val="center"/>
            <w:hideMark/>
          </w:tcPr>
          <w:p w14:paraId="26B07DF8"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38" w:type="dxa"/>
            <w:vAlign w:val="center"/>
            <w:hideMark/>
          </w:tcPr>
          <w:p w14:paraId="5BDD4B1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963" w:type="dxa"/>
            <w:vAlign w:val="center"/>
            <w:hideMark/>
          </w:tcPr>
          <w:p w14:paraId="539598F3"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46" w:type="dxa"/>
            <w:vAlign w:val="center"/>
            <w:hideMark/>
          </w:tcPr>
          <w:p w14:paraId="2D1990F3"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853" w:type="dxa"/>
            <w:vAlign w:val="center"/>
          </w:tcPr>
          <w:p w14:paraId="48DA789E"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r>
      <w:tr w:rsidR="009123AC" w:rsidRPr="00F0379B" w14:paraId="3BED88E1" w14:textId="77777777" w:rsidTr="00CA749B">
        <w:trPr>
          <w:trHeight w:val="20"/>
        </w:trPr>
        <w:tc>
          <w:tcPr>
            <w:tcW w:w="2972" w:type="dxa"/>
            <w:noWrap/>
            <w:vAlign w:val="center"/>
            <w:hideMark/>
          </w:tcPr>
          <w:p w14:paraId="6A3D308E" w14:textId="77777777" w:rsidR="009123AC" w:rsidRPr="00F0379B" w:rsidRDefault="009123AC" w:rsidP="009123AC">
            <w:pPr>
              <w:spacing w:after="0" w:line="276" w:lineRule="auto"/>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Total flota de palangre</w:t>
            </w:r>
          </w:p>
        </w:tc>
        <w:tc>
          <w:tcPr>
            <w:tcW w:w="1276" w:type="dxa"/>
            <w:noWrap/>
            <w:vAlign w:val="center"/>
            <w:hideMark/>
          </w:tcPr>
          <w:p w14:paraId="487C95C6" w14:textId="77777777" w:rsidR="009123AC" w:rsidRPr="00F0379B" w:rsidRDefault="009123AC" w:rsidP="009123AC">
            <w:pPr>
              <w:spacing w:after="0" w:line="276" w:lineRule="auto"/>
              <w:rPr>
                <w:rFonts w:ascii="Cambria" w:eastAsia="Times New Roman" w:hAnsi="Cambria" w:cs="Cambria"/>
                <w:kern w:val="2"/>
                <w:sz w:val="14"/>
                <w:szCs w:val="14"/>
                <w:lang w:eastAsia="fr-FR" w:bidi="fr-FR"/>
                <w14:ligatures w14:val="standardContextual"/>
              </w:rPr>
            </w:pPr>
            <w:r w:rsidRPr="00F0379B">
              <w:rPr>
                <w:rFonts w:ascii="Cambria" w:eastAsia="MS Gothic" w:hAnsi="Cambria" w:cs="Times New Roman"/>
                <w:sz w:val="14"/>
                <w:szCs w:val="14"/>
                <w:lang w:eastAsia="fr-FR" w:bidi="fr-FR"/>
              </w:rPr>
              <w:t> </w:t>
            </w:r>
          </w:p>
        </w:tc>
        <w:tc>
          <w:tcPr>
            <w:tcW w:w="709" w:type="dxa"/>
            <w:vAlign w:val="center"/>
          </w:tcPr>
          <w:p w14:paraId="6E8A9B27"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17</w:t>
            </w:r>
          </w:p>
        </w:tc>
        <w:tc>
          <w:tcPr>
            <w:tcW w:w="658" w:type="dxa"/>
            <w:noWrap/>
            <w:vAlign w:val="center"/>
            <w:hideMark/>
          </w:tcPr>
          <w:p w14:paraId="566F1948"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2</w:t>
            </w:r>
          </w:p>
        </w:tc>
        <w:tc>
          <w:tcPr>
            <w:tcW w:w="634" w:type="dxa"/>
            <w:vAlign w:val="center"/>
            <w:hideMark/>
          </w:tcPr>
          <w:p w14:paraId="7F29D191"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1</w:t>
            </w:r>
          </w:p>
        </w:tc>
        <w:tc>
          <w:tcPr>
            <w:tcW w:w="634" w:type="dxa"/>
            <w:vAlign w:val="center"/>
            <w:hideMark/>
          </w:tcPr>
          <w:p w14:paraId="0259B5E5"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625" w:type="dxa"/>
            <w:vAlign w:val="center"/>
            <w:hideMark/>
          </w:tcPr>
          <w:p w14:paraId="46A3BC60"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643" w:type="dxa"/>
            <w:vAlign w:val="center"/>
          </w:tcPr>
          <w:p w14:paraId="127E92D6"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547" w:type="dxa"/>
            <w:vAlign w:val="center"/>
          </w:tcPr>
          <w:p w14:paraId="1CD3CBB3" w14:textId="77777777" w:rsidR="009123AC" w:rsidRPr="00F0379B" w:rsidRDefault="009123AC" w:rsidP="009123AC">
            <w:pPr>
              <w:spacing w:after="0" w:line="276" w:lineRule="auto"/>
              <w:jc w:val="center"/>
              <w:rPr>
                <w:rFonts w:ascii="Cambria" w:eastAsia="MS Gothic" w:hAnsi="Cambria" w:cs="Times New Roman"/>
                <w:sz w:val="14"/>
                <w:szCs w:val="14"/>
                <w:lang w:eastAsia="fr-FR" w:bidi="fr-FR"/>
              </w:rPr>
            </w:pPr>
            <w:r w:rsidRPr="00F0379B">
              <w:rPr>
                <w:rFonts w:ascii="Cambria" w:eastAsia="MS Gothic" w:hAnsi="Cambria" w:cs="Times New Roman"/>
                <w:sz w:val="14"/>
                <w:szCs w:val="14"/>
                <w:lang w:eastAsia="fr-FR" w:bidi="fr-FR"/>
              </w:rPr>
              <w:t>0</w:t>
            </w:r>
          </w:p>
        </w:tc>
        <w:tc>
          <w:tcPr>
            <w:tcW w:w="253" w:type="dxa"/>
            <w:shd w:val="clear" w:color="000000" w:fill="D9D9D9"/>
            <w:vAlign w:val="center"/>
            <w:hideMark/>
          </w:tcPr>
          <w:p w14:paraId="043A4F19"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p>
        </w:tc>
        <w:tc>
          <w:tcPr>
            <w:tcW w:w="716" w:type="dxa"/>
            <w:vAlign w:val="center"/>
          </w:tcPr>
          <w:p w14:paraId="4BF926FB"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385,68</w:t>
            </w:r>
          </w:p>
        </w:tc>
        <w:tc>
          <w:tcPr>
            <w:tcW w:w="808" w:type="dxa"/>
            <w:vAlign w:val="center"/>
            <w:hideMark/>
          </w:tcPr>
          <w:p w14:paraId="30594E2A"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10,68</w:t>
            </w:r>
          </w:p>
        </w:tc>
        <w:tc>
          <w:tcPr>
            <w:tcW w:w="719" w:type="dxa"/>
            <w:vAlign w:val="center"/>
            <w:hideMark/>
          </w:tcPr>
          <w:p w14:paraId="6D187912"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5,68</w:t>
            </w:r>
          </w:p>
        </w:tc>
        <w:tc>
          <w:tcPr>
            <w:tcW w:w="738" w:type="dxa"/>
            <w:vAlign w:val="center"/>
            <w:hideMark/>
          </w:tcPr>
          <w:p w14:paraId="5EE9A33E"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963" w:type="dxa"/>
            <w:vAlign w:val="center"/>
            <w:hideMark/>
          </w:tcPr>
          <w:p w14:paraId="44287D88"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746" w:type="dxa"/>
            <w:vAlign w:val="center"/>
            <w:hideMark/>
          </w:tcPr>
          <w:p w14:paraId="6064957C"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853" w:type="dxa"/>
            <w:vAlign w:val="center"/>
          </w:tcPr>
          <w:p w14:paraId="0DC7900A"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r>
      <w:tr w:rsidR="009123AC" w:rsidRPr="00F0379B" w14:paraId="7E7478F1" w14:textId="77777777" w:rsidTr="00CA749B">
        <w:trPr>
          <w:trHeight w:val="20"/>
        </w:trPr>
        <w:tc>
          <w:tcPr>
            <w:tcW w:w="2972" w:type="dxa"/>
            <w:noWrap/>
            <w:vAlign w:val="center"/>
            <w:hideMark/>
          </w:tcPr>
          <w:p w14:paraId="22A8F0E3" w14:textId="77777777" w:rsidR="009123AC" w:rsidRPr="00F0379B" w:rsidRDefault="009123AC" w:rsidP="009123AC">
            <w:pPr>
              <w:spacing w:after="0" w:line="276" w:lineRule="auto"/>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Cebo vivo</w:t>
            </w:r>
          </w:p>
        </w:tc>
        <w:tc>
          <w:tcPr>
            <w:tcW w:w="1276" w:type="dxa"/>
            <w:noWrap/>
            <w:vAlign w:val="center"/>
            <w:hideMark/>
          </w:tcPr>
          <w:p w14:paraId="462E037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19,75</w:t>
            </w:r>
          </w:p>
        </w:tc>
        <w:tc>
          <w:tcPr>
            <w:tcW w:w="709" w:type="dxa"/>
            <w:vAlign w:val="center"/>
          </w:tcPr>
          <w:p w14:paraId="6E46CAC2"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58" w:type="dxa"/>
            <w:noWrap/>
            <w:vAlign w:val="center"/>
            <w:hideMark/>
          </w:tcPr>
          <w:p w14:paraId="2CDD63F9"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445105B9"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735561DF"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25" w:type="dxa"/>
            <w:vAlign w:val="center"/>
            <w:hideMark/>
          </w:tcPr>
          <w:p w14:paraId="2D9895C8"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43" w:type="dxa"/>
            <w:vAlign w:val="center"/>
          </w:tcPr>
          <w:p w14:paraId="51B6F78A"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547" w:type="dxa"/>
            <w:vAlign w:val="center"/>
          </w:tcPr>
          <w:p w14:paraId="734359D2" w14:textId="77777777" w:rsidR="009123AC" w:rsidRPr="00F0379B" w:rsidRDefault="009123AC" w:rsidP="009123AC">
            <w:pPr>
              <w:spacing w:after="0" w:line="276" w:lineRule="auto"/>
              <w:jc w:val="center"/>
              <w:rPr>
                <w:rFonts w:ascii="Cambria" w:eastAsia="MS Gothic" w:hAnsi="Cambria" w:cs="Times New Roman"/>
                <w:sz w:val="14"/>
                <w:szCs w:val="14"/>
                <w:lang w:eastAsia="fr-FR" w:bidi="fr-FR"/>
              </w:rPr>
            </w:pPr>
            <w:r w:rsidRPr="00F0379B">
              <w:rPr>
                <w:rFonts w:ascii="Cambria" w:eastAsia="MS Gothic" w:hAnsi="Cambria" w:cs="Times New Roman"/>
                <w:sz w:val="14"/>
                <w:szCs w:val="14"/>
                <w:lang w:eastAsia="fr-FR" w:bidi="fr-FR"/>
              </w:rPr>
              <w:t>0</w:t>
            </w:r>
          </w:p>
        </w:tc>
        <w:tc>
          <w:tcPr>
            <w:tcW w:w="253" w:type="dxa"/>
            <w:shd w:val="clear" w:color="000000" w:fill="D9D9D9"/>
            <w:vAlign w:val="center"/>
            <w:hideMark/>
          </w:tcPr>
          <w:p w14:paraId="79D9D4AE"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p>
        </w:tc>
        <w:tc>
          <w:tcPr>
            <w:tcW w:w="716" w:type="dxa"/>
            <w:vAlign w:val="center"/>
          </w:tcPr>
          <w:p w14:paraId="34C1201B"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808" w:type="dxa"/>
            <w:vAlign w:val="center"/>
            <w:hideMark/>
          </w:tcPr>
          <w:p w14:paraId="6FF98040"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19" w:type="dxa"/>
            <w:vAlign w:val="center"/>
            <w:hideMark/>
          </w:tcPr>
          <w:p w14:paraId="51BA0C4A"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38" w:type="dxa"/>
            <w:vAlign w:val="center"/>
            <w:hideMark/>
          </w:tcPr>
          <w:p w14:paraId="6976423B"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963" w:type="dxa"/>
            <w:vAlign w:val="center"/>
            <w:hideMark/>
          </w:tcPr>
          <w:p w14:paraId="78D7B8FB"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46" w:type="dxa"/>
            <w:vAlign w:val="center"/>
            <w:hideMark/>
          </w:tcPr>
          <w:p w14:paraId="06E07670"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853" w:type="dxa"/>
            <w:vAlign w:val="center"/>
          </w:tcPr>
          <w:p w14:paraId="6C2C66E6"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r>
      <w:tr w:rsidR="009123AC" w:rsidRPr="00F0379B" w14:paraId="47403368" w14:textId="77777777" w:rsidTr="00CA749B">
        <w:trPr>
          <w:trHeight w:val="20"/>
        </w:trPr>
        <w:tc>
          <w:tcPr>
            <w:tcW w:w="2972" w:type="dxa"/>
            <w:noWrap/>
            <w:vAlign w:val="center"/>
            <w:hideMark/>
          </w:tcPr>
          <w:p w14:paraId="5550AB43" w14:textId="77777777" w:rsidR="009123AC" w:rsidRPr="00F0379B" w:rsidRDefault="009123AC" w:rsidP="009123AC">
            <w:pPr>
              <w:spacing w:after="0" w:line="276" w:lineRule="auto"/>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Liña de mano</w:t>
            </w:r>
          </w:p>
        </w:tc>
        <w:tc>
          <w:tcPr>
            <w:tcW w:w="1276" w:type="dxa"/>
            <w:noWrap/>
            <w:vAlign w:val="center"/>
            <w:hideMark/>
          </w:tcPr>
          <w:p w14:paraId="12C710F8"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5</w:t>
            </w:r>
          </w:p>
        </w:tc>
        <w:tc>
          <w:tcPr>
            <w:tcW w:w="709" w:type="dxa"/>
            <w:vAlign w:val="center"/>
          </w:tcPr>
          <w:p w14:paraId="79E2B595"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58" w:type="dxa"/>
            <w:noWrap/>
            <w:vAlign w:val="center"/>
            <w:hideMark/>
          </w:tcPr>
          <w:p w14:paraId="095D1DE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544FE0E2"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17731505"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25" w:type="dxa"/>
            <w:vAlign w:val="center"/>
            <w:hideMark/>
          </w:tcPr>
          <w:p w14:paraId="34FA2F44"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43" w:type="dxa"/>
            <w:vAlign w:val="center"/>
          </w:tcPr>
          <w:p w14:paraId="7CF4245B"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547" w:type="dxa"/>
            <w:vAlign w:val="center"/>
          </w:tcPr>
          <w:p w14:paraId="3D23C366" w14:textId="77777777" w:rsidR="009123AC" w:rsidRPr="00F0379B" w:rsidRDefault="009123AC" w:rsidP="009123AC">
            <w:pPr>
              <w:spacing w:after="0" w:line="276" w:lineRule="auto"/>
              <w:jc w:val="center"/>
              <w:rPr>
                <w:rFonts w:ascii="Cambria" w:eastAsia="MS Gothic" w:hAnsi="Cambria" w:cs="Times New Roman"/>
                <w:sz w:val="14"/>
                <w:szCs w:val="14"/>
                <w:lang w:eastAsia="fr-FR" w:bidi="fr-FR"/>
              </w:rPr>
            </w:pPr>
            <w:r w:rsidRPr="00F0379B">
              <w:rPr>
                <w:rFonts w:ascii="Cambria" w:eastAsia="MS Gothic" w:hAnsi="Cambria" w:cs="Times New Roman"/>
                <w:sz w:val="14"/>
                <w:szCs w:val="14"/>
                <w:lang w:eastAsia="fr-FR" w:bidi="fr-FR"/>
              </w:rPr>
              <w:t>0</w:t>
            </w:r>
          </w:p>
        </w:tc>
        <w:tc>
          <w:tcPr>
            <w:tcW w:w="253" w:type="dxa"/>
            <w:shd w:val="clear" w:color="000000" w:fill="D9D9D9"/>
            <w:vAlign w:val="center"/>
            <w:hideMark/>
          </w:tcPr>
          <w:p w14:paraId="200C0223"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716" w:type="dxa"/>
            <w:vAlign w:val="center"/>
          </w:tcPr>
          <w:p w14:paraId="07BAC9A4"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808" w:type="dxa"/>
            <w:vAlign w:val="center"/>
            <w:hideMark/>
          </w:tcPr>
          <w:p w14:paraId="23D652A6"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19" w:type="dxa"/>
            <w:vAlign w:val="center"/>
            <w:hideMark/>
          </w:tcPr>
          <w:p w14:paraId="702D7B6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38" w:type="dxa"/>
            <w:vAlign w:val="center"/>
            <w:hideMark/>
          </w:tcPr>
          <w:p w14:paraId="1BE3003F"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963" w:type="dxa"/>
            <w:vAlign w:val="center"/>
            <w:hideMark/>
          </w:tcPr>
          <w:p w14:paraId="6E8D39CA"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46" w:type="dxa"/>
            <w:vAlign w:val="center"/>
            <w:hideMark/>
          </w:tcPr>
          <w:p w14:paraId="3AEEF078"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853" w:type="dxa"/>
            <w:vAlign w:val="center"/>
          </w:tcPr>
          <w:p w14:paraId="7B8C0F9F"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r>
      <w:tr w:rsidR="009123AC" w:rsidRPr="00F0379B" w14:paraId="290B866B" w14:textId="77777777" w:rsidTr="00CA749B">
        <w:trPr>
          <w:trHeight w:val="20"/>
        </w:trPr>
        <w:tc>
          <w:tcPr>
            <w:tcW w:w="2972" w:type="dxa"/>
            <w:noWrap/>
            <w:vAlign w:val="center"/>
            <w:hideMark/>
          </w:tcPr>
          <w:p w14:paraId="0501054F" w14:textId="77777777" w:rsidR="009123AC" w:rsidRPr="00F0379B" w:rsidRDefault="009123AC" w:rsidP="009123AC">
            <w:pPr>
              <w:spacing w:after="0" w:line="276" w:lineRule="auto"/>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Arrastreros</w:t>
            </w:r>
          </w:p>
        </w:tc>
        <w:tc>
          <w:tcPr>
            <w:tcW w:w="1276" w:type="dxa"/>
            <w:noWrap/>
            <w:vAlign w:val="center"/>
            <w:hideMark/>
          </w:tcPr>
          <w:p w14:paraId="13356A17"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10</w:t>
            </w:r>
          </w:p>
        </w:tc>
        <w:tc>
          <w:tcPr>
            <w:tcW w:w="709" w:type="dxa"/>
            <w:vAlign w:val="center"/>
          </w:tcPr>
          <w:p w14:paraId="0333A54A"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58" w:type="dxa"/>
            <w:noWrap/>
            <w:vAlign w:val="center"/>
            <w:hideMark/>
          </w:tcPr>
          <w:p w14:paraId="6F58AC72"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37DC83D5"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21BA5ADF"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25" w:type="dxa"/>
            <w:vAlign w:val="center"/>
            <w:hideMark/>
          </w:tcPr>
          <w:p w14:paraId="053CE459"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43" w:type="dxa"/>
            <w:vAlign w:val="center"/>
          </w:tcPr>
          <w:p w14:paraId="0C10DAD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547" w:type="dxa"/>
            <w:vAlign w:val="center"/>
          </w:tcPr>
          <w:p w14:paraId="7DA7250A" w14:textId="77777777" w:rsidR="009123AC" w:rsidRPr="00F0379B" w:rsidRDefault="009123AC" w:rsidP="009123AC">
            <w:pPr>
              <w:spacing w:after="0" w:line="276" w:lineRule="auto"/>
              <w:jc w:val="center"/>
              <w:rPr>
                <w:rFonts w:ascii="Cambria" w:eastAsia="MS Gothic" w:hAnsi="Cambria" w:cs="Times New Roman"/>
                <w:sz w:val="14"/>
                <w:szCs w:val="14"/>
                <w:lang w:eastAsia="fr-FR" w:bidi="fr-FR"/>
              </w:rPr>
            </w:pPr>
            <w:r w:rsidRPr="00F0379B">
              <w:rPr>
                <w:rFonts w:ascii="Cambria" w:eastAsia="MS Gothic" w:hAnsi="Cambria" w:cs="Times New Roman"/>
                <w:sz w:val="14"/>
                <w:szCs w:val="14"/>
                <w:lang w:eastAsia="fr-FR" w:bidi="fr-FR"/>
              </w:rPr>
              <w:t>0</w:t>
            </w:r>
          </w:p>
        </w:tc>
        <w:tc>
          <w:tcPr>
            <w:tcW w:w="253" w:type="dxa"/>
            <w:shd w:val="clear" w:color="000000" w:fill="D9D9D9"/>
            <w:vAlign w:val="center"/>
            <w:hideMark/>
          </w:tcPr>
          <w:p w14:paraId="1044FBC7"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716" w:type="dxa"/>
            <w:vAlign w:val="center"/>
          </w:tcPr>
          <w:p w14:paraId="417BC09C"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808" w:type="dxa"/>
            <w:vAlign w:val="center"/>
            <w:hideMark/>
          </w:tcPr>
          <w:p w14:paraId="4398E6CE"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19" w:type="dxa"/>
            <w:vAlign w:val="center"/>
            <w:hideMark/>
          </w:tcPr>
          <w:p w14:paraId="5BDB4746"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38" w:type="dxa"/>
            <w:vAlign w:val="center"/>
            <w:hideMark/>
          </w:tcPr>
          <w:p w14:paraId="064A2B7D"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963" w:type="dxa"/>
            <w:vAlign w:val="center"/>
            <w:hideMark/>
          </w:tcPr>
          <w:p w14:paraId="667312D4"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46" w:type="dxa"/>
            <w:vAlign w:val="center"/>
            <w:hideMark/>
          </w:tcPr>
          <w:p w14:paraId="67A64699"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853" w:type="dxa"/>
            <w:vAlign w:val="center"/>
          </w:tcPr>
          <w:p w14:paraId="70EF57E3"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r>
      <w:tr w:rsidR="009123AC" w:rsidRPr="00F0379B" w14:paraId="4605E6B7" w14:textId="77777777" w:rsidTr="00CA749B">
        <w:trPr>
          <w:trHeight w:val="20"/>
        </w:trPr>
        <w:tc>
          <w:tcPr>
            <w:tcW w:w="2972" w:type="dxa"/>
            <w:noWrap/>
            <w:vAlign w:val="center"/>
            <w:hideMark/>
          </w:tcPr>
          <w:p w14:paraId="3A308087" w14:textId="77777777" w:rsidR="009123AC" w:rsidRPr="00F0379B" w:rsidRDefault="009123AC" w:rsidP="009123AC">
            <w:pPr>
              <w:spacing w:after="0" w:line="276" w:lineRule="auto"/>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Almadrabas</w:t>
            </w:r>
          </w:p>
        </w:tc>
        <w:tc>
          <w:tcPr>
            <w:tcW w:w="1276" w:type="dxa"/>
            <w:noWrap/>
            <w:vAlign w:val="center"/>
            <w:hideMark/>
          </w:tcPr>
          <w:p w14:paraId="71BF83B9"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130</w:t>
            </w:r>
          </w:p>
        </w:tc>
        <w:tc>
          <w:tcPr>
            <w:tcW w:w="709" w:type="dxa"/>
            <w:vAlign w:val="center"/>
          </w:tcPr>
          <w:p w14:paraId="5B2D3163"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58" w:type="dxa"/>
            <w:noWrap/>
            <w:vAlign w:val="center"/>
            <w:hideMark/>
          </w:tcPr>
          <w:p w14:paraId="6FCC936E"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1640D574"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50498B98"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25" w:type="dxa"/>
            <w:vAlign w:val="center"/>
            <w:hideMark/>
          </w:tcPr>
          <w:p w14:paraId="307D38DC"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43" w:type="dxa"/>
            <w:vAlign w:val="center"/>
          </w:tcPr>
          <w:p w14:paraId="4EFB2650"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547" w:type="dxa"/>
            <w:vAlign w:val="center"/>
          </w:tcPr>
          <w:p w14:paraId="13F9B577" w14:textId="77777777" w:rsidR="009123AC" w:rsidRPr="00F0379B" w:rsidRDefault="009123AC" w:rsidP="009123AC">
            <w:pPr>
              <w:spacing w:after="0" w:line="276" w:lineRule="auto"/>
              <w:jc w:val="center"/>
              <w:rPr>
                <w:rFonts w:ascii="Cambria" w:eastAsia="MS Gothic" w:hAnsi="Cambria" w:cs="Times New Roman"/>
                <w:sz w:val="14"/>
                <w:szCs w:val="14"/>
                <w:lang w:eastAsia="fr-FR" w:bidi="fr-FR"/>
              </w:rPr>
            </w:pPr>
            <w:r w:rsidRPr="00F0379B">
              <w:rPr>
                <w:rFonts w:ascii="Cambria" w:eastAsia="MS Gothic" w:hAnsi="Cambria" w:cs="Times New Roman"/>
                <w:sz w:val="14"/>
                <w:szCs w:val="14"/>
                <w:lang w:eastAsia="fr-FR" w:bidi="fr-FR"/>
              </w:rPr>
              <w:t>0</w:t>
            </w:r>
          </w:p>
        </w:tc>
        <w:tc>
          <w:tcPr>
            <w:tcW w:w="253" w:type="dxa"/>
            <w:shd w:val="clear" w:color="000000" w:fill="D9D9D9"/>
            <w:vAlign w:val="center"/>
            <w:hideMark/>
          </w:tcPr>
          <w:p w14:paraId="6DB34702"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p>
        </w:tc>
        <w:tc>
          <w:tcPr>
            <w:tcW w:w="716" w:type="dxa"/>
            <w:vAlign w:val="center"/>
          </w:tcPr>
          <w:p w14:paraId="11B7FB16"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808" w:type="dxa"/>
            <w:vAlign w:val="center"/>
            <w:hideMark/>
          </w:tcPr>
          <w:p w14:paraId="5A282912"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19" w:type="dxa"/>
            <w:vAlign w:val="center"/>
            <w:hideMark/>
          </w:tcPr>
          <w:p w14:paraId="51BC8C94"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38" w:type="dxa"/>
            <w:vAlign w:val="center"/>
            <w:hideMark/>
          </w:tcPr>
          <w:p w14:paraId="4969D8F7"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963" w:type="dxa"/>
            <w:vAlign w:val="center"/>
            <w:hideMark/>
          </w:tcPr>
          <w:p w14:paraId="7CB55557"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46" w:type="dxa"/>
            <w:vAlign w:val="center"/>
            <w:hideMark/>
          </w:tcPr>
          <w:p w14:paraId="5397F419"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853" w:type="dxa"/>
            <w:vAlign w:val="center"/>
          </w:tcPr>
          <w:p w14:paraId="077C48EA"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r>
      <w:tr w:rsidR="009123AC" w:rsidRPr="00F0379B" w14:paraId="1B35B6FE" w14:textId="77777777" w:rsidTr="00CA749B">
        <w:trPr>
          <w:trHeight w:val="20"/>
        </w:trPr>
        <w:tc>
          <w:tcPr>
            <w:tcW w:w="2972" w:type="dxa"/>
            <w:vAlign w:val="center"/>
            <w:hideMark/>
          </w:tcPr>
          <w:p w14:paraId="6B70CCAD" w14:textId="77777777" w:rsidR="009123AC" w:rsidRPr="00F0379B" w:rsidRDefault="009123AC" w:rsidP="009123AC">
            <w:pPr>
              <w:spacing w:after="0" w:line="276" w:lineRule="auto"/>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Pequeños barcos costeros</w:t>
            </w:r>
          </w:p>
        </w:tc>
        <w:tc>
          <w:tcPr>
            <w:tcW w:w="1276" w:type="dxa"/>
            <w:noWrap/>
            <w:vAlign w:val="center"/>
            <w:hideMark/>
          </w:tcPr>
          <w:p w14:paraId="6168ECA7"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No aplicable</w:t>
            </w:r>
          </w:p>
        </w:tc>
        <w:tc>
          <w:tcPr>
            <w:tcW w:w="709" w:type="dxa"/>
            <w:vAlign w:val="center"/>
          </w:tcPr>
          <w:p w14:paraId="114B9A6A"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658" w:type="dxa"/>
            <w:noWrap/>
            <w:vAlign w:val="center"/>
            <w:hideMark/>
          </w:tcPr>
          <w:p w14:paraId="1C6F7C86"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7C08D401"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79BA1475"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25" w:type="dxa"/>
            <w:vAlign w:val="center"/>
            <w:hideMark/>
          </w:tcPr>
          <w:p w14:paraId="72AFD47F"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43" w:type="dxa"/>
            <w:vAlign w:val="center"/>
          </w:tcPr>
          <w:p w14:paraId="5E78000D"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547" w:type="dxa"/>
            <w:vAlign w:val="center"/>
          </w:tcPr>
          <w:p w14:paraId="3CA6CC90" w14:textId="77777777" w:rsidR="009123AC" w:rsidRPr="00F0379B" w:rsidRDefault="009123AC" w:rsidP="009123AC">
            <w:pPr>
              <w:spacing w:after="0" w:line="276" w:lineRule="auto"/>
              <w:jc w:val="center"/>
              <w:rPr>
                <w:rFonts w:ascii="Cambria" w:eastAsia="MS Gothic" w:hAnsi="Cambria" w:cs="Times New Roman"/>
                <w:sz w:val="14"/>
                <w:szCs w:val="14"/>
                <w:lang w:eastAsia="fr-FR" w:bidi="fr-FR"/>
              </w:rPr>
            </w:pPr>
            <w:r w:rsidRPr="00F0379B">
              <w:rPr>
                <w:rFonts w:ascii="Cambria" w:eastAsia="MS Gothic" w:hAnsi="Cambria" w:cs="Times New Roman"/>
                <w:sz w:val="14"/>
                <w:szCs w:val="14"/>
                <w:lang w:eastAsia="fr-FR" w:bidi="fr-FR"/>
              </w:rPr>
              <w:t>90</w:t>
            </w:r>
          </w:p>
        </w:tc>
        <w:tc>
          <w:tcPr>
            <w:tcW w:w="253" w:type="dxa"/>
            <w:shd w:val="clear" w:color="000000" w:fill="D9D9D9"/>
            <w:vAlign w:val="center"/>
            <w:hideMark/>
          </w:tcPr>
          <w:p w14:paraId="660281FB"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p>
        </w:tc>
        <w:tc>
          <w:tcPr>
            <w:tcW w:w="716" w:type="dxa"/>
            <w:vAlign w:val="center"/>
          </w:tcPr>
          <w:p w14:paraId="094179F1"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808" w:type="dxa"/>
            <w:vAlign w:val="center"/>
            <w:hideMark/>
          </w:tcPr>
          <w:p w14:paraId="2FEFBA6A"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19" w:type="dxa"/>
            <w:vAlign w:val="center"/>
            <w:hideMark/>
          </w:tcPr>
          <w:p w14:paraId="1ACF4043"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38" w:type="dxa"/>
            <w:vAlign w:val="center"/>
            <w:hideMark/>
          </w:tcPr>
          <w:p w14:paraId="1BE11652"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963" w:type="dxa"/>
            <w:vAlign w:val="center"/>
            <w:hideMark/>
          </w:tcPr>
          <w:p w14:paraId="2522024F"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46" w:type="dxa"/>
            <w:vAlign w:val="center"/>
            <w:hideMark/>
          </w:tcPr>
          <w:p w14:paraId="24BF6538"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853" w:type="dxa"/>
            <w:vAlign w:val="center"/>
          </w:tcPr>
          <w:p w14:paraId="5D9AEAFC"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40</w:t>
            </w:r>
          </w:p>
        </w:tc>
      </w:tr>
      <w:tr w:rsidR="009123AC" w:rsidRPr="00F0379B" w14:paraId="618607BB" w14:textId="77777777" w:rsidTr="00CA749B">
        <w:trPr>
          <w:trHeight w:val="20"/>
        </w:trPr>
        <w:tc>
          <w:tcPr>
            <w:tcW w:w="2972" w:type="dxa"/>
            <w:vAlign w:val="center"/>
            <w:hideMark/>
          </w:tcPr>
          <w:p w14:paraId="76B9E1E5" w14:textId="77777777" w:rsidR="009123AC" w:rsidRPr="00F0379B" w:rsidRDefault="009123AC" w:rsidP="009123AC">
            <w:pPr>
              <w:spacing w:after="0" w:line="276" w:lineRule="auto"/>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Otros (especificar)</w:t>
            </w:r>
          </w:p>
        </w:tc>
        <w:tc>
          <w:tcPr>
            <w:tcW w:w="1276" w:type="dxa"/>
            <w:noWrap/>
            <w:vAlign w:val="center"/>
            <w:hideMark/>
          </w:tcPr>
          <w:p w14:paraId="541C142A"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5</w:t>
            </w:r>
          </w:p>
        </w:tc>
        <w:tc>
          <w:tcPr>
            <w:tcW w:w="709" w:type="dxa"/>
            <w:vAlign w:val="center"/>
          </w:tcPr>
          <w:p w14:paraId="543E6067"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58" w:type="dxa"/>
            <w:noWrap/>
            <w:vAlign w:val="center"/>
            <w:hideMark/>
          </w:tcPr>
          <w:p w14:paraId="780544C1"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7D2B8B2F"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34" w:type="dxa"/>
            <w:vAlign w:val="center"/>
            <w:hideMark/>
          </w:tcPr>
          <w:p w14:paraId="0A8779A5"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25" w:type="dxa"/>
            <w:vAlign w:val="center"/>
            <w:hideMark/>
          </w:tcPr>
          <w:p w14:paraId="0A527441"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643" w:type="dxa"/>
            <w:vAlign w:val="center"/>
          </w:tcPr>
          <w:p w14:paraId="184295C4"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547" w:type="dxa"/>
            <w:vAlign w:val="center"/>
          </w:tcPr>
          <w:p w14:paraId="4D7843DD" w14:textId="77777777" w:rsidR="009123AC" w:rsidRPr="00F0379B" w:rsidRDefault="009123AC" w:rsidP="009123AC">
            <w:pPr>
              <w:spacing w:after="0" w:line="276" w:lineRule="auto"/>
              <w:jc w:val="center"/>
              <w:rPr>
                <w:rFonts w:ascii="Cambria" w:eastAsia="MS Gothic" w:hAnsi="Cambria" w:cs="Times New Roman"/>
                <w:sz w:val="14"/>
                <w:szCs w:val="14"/>
                <w:lang w:eastAsia="fr-FR" w:bidi="fr-FR"/>
              </w:rPr>
            </w:pPr>
            <w:r w:rsidRPr="00F0379B">
              <w:rPr>
                <w:rFonts w:ascii="Cambria" w:eastAsia="MS Gothic" w:hAnsi="Cambria" w:cs="Times New Roman"/>
                <w:sz w:val="14"/>
                <w:szCs w:val="14"/>
                <w:lang w:eastAsia="fr-FR" w:bidi="fr-FR"/>
              </w:rPr>
              <w:t>0</w:t>
            </w:r>
          </w:p>
        </w:tc>
        <w:tc>
          <w:tcPr>
            <w:tcW w:w="253" w:type="dxa"/>
            <w:shd w:val="clear" w:color="000000" w:fill="D9D9D9"/>
            <w:vAlign w:val="center"/>
            <w:hideMark/>
          </w:tcPr>
          <w:p w14:paraId="19D04FF3"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p>
        </w:tc>
        <w:tc>
          <w:tcPr>
            <w:tcW w:w="716" w:type="dxa"/>
            <w:vAlign w:val="center"/>
          </w:tcPr>
          <w:p w14:paraId="6797EEDF"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808" w:type="dxa"/>
            <w:vAlign w:val="center"/>
            <w:hideMark/>
          </w:tcPr>
          <w:p w14:paraId="4AB3D9CC"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19" w:type="dxa"/>
            <w:vAlign w:val="center"/>
            <w:hideMark/>
          </w:tcPr>
          <w:p w14:paraId="70B73974"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38" w:type="dxa"/>
            <w:vAlign w:val="center"/>
            <w:hideMark/>
          </w:tcPr>
          <w:p w14:paraId="402408E2"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963" w:type="dxa"/>
            <w:vAlign w:val="center"/>
            <w:hideMark/>
          </w:tcPr>
          <w:p w14:paraId="417595C0"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746" w:type="dxa"/>
            <w:vAlign w:val="center"/>
            <w:hideMark/>
          </w:tcPr>
          <w:p w14:paraId="56FEC3CF"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c>
          <w:tcPr>
            <w:tcW w:w="853" w:type="dxa"/>
            <w:vAlign w:val="center"/>
          </w:tcPr>
          <w:p w14:paraId="06AACCF8"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sz w:val="14"/>
                <w:szCs w:val="14"/>
                <w:lang w:eastAsia="fr-FR" w:bidi="fr-FR"/>
              </w:rPr>
              <w:t>0</w:t>
            </w:r>
          </w:p>
        </w:tc>
      </w:tr>
      <w:tr w:rsidR="009123AC" w:rsidRPr="00F0379B" w14:paraId="166542B1" w14:textId="77777777" w:rsidTr="00CA749B">
        <w:trPr>
          <w:trHeight w:val="225"/>
        </w:trPr>
        <w:tc>
          <w:tcPr>
            <w:tcW w:w="2972" w:type="dxa"/>
            <w:noWrap/>
            <w:vAlign w:val="center"/>
            <w:hideMark/>
          </w:tcPr>
          <w:p w14:paraId="6DE36F44" w14:textId="77777777" w:rsidR="009123AC" w:rsidRPr="00F0379B" w:rsidRDefault="009123AC" w:rsidP="009123AC">
            <w:pPr>
              <w:spacing w:after="0" w:line="276" w:lineRule="auto"/>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Capacidad pesquera/flota total</w:t>
            </w:r>
          </w:p>
        </w:tc>
        <w:tc>
          <w:tcPr>
            <w:tcW w:w="1276" w:type="dxa"/>
            <w:noWrap/>
            <w:vAlign w:val="center"/>
            <w:hideMark/>
          </w:tcPr>
          <w:p w14:paraId="493077D7" w14:textId="77777777" w:rsidR="009123AC" w:rsidRPr="00F0379B" w:rsidRDefault="009123AC" w:rsidP="009123AC">
            <w:pPr>
              <w:spacing w:after="0" w:line="276" w:lineRule="auto"/>
              <w:jc w:val="right"/>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 </w:t>
            </w:r>
          </w:p>
        </w:tc>
        <w:tc>
          <w:tcPr>
            <w:tcW w:w="709" w:type="dxa"/>
            <w:vAlign w:val="center"/>
          </w:tcPr>
          <w:p w14:paraId="637261EC"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21</w:t>
            </w:r>
          </w:p>
        </w:tc>
        <w:tc>
          <w:tcPr>
            <w:tcW w:w="658" w:type="dxa"/>
            <w:noWrap/>
            <w:vAlign w:val="center"/>
            <w:hideMark/>
          </w:tcPr>
          <w:p w14:paraId="36238D60"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10</w:t>
            </w:r>
          </w:p>
        </w:tc>
        <w:tc>
          <w:tcPr>
            <w:tcW w:w="634" w:type="dxa"/>
            <w:vAlign w:val="center"/>
            <w:hideMark/>
          </w:tcPr>
          <w:p w14:paraId="0CF37245"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15</w:t>
            </w:r>
          </w:p>
        </w:tc>
        <w:tc>
          <w:tcPr>
            <w:tcW w:w="634" w:type="dxa"/>
            <w:vAlign w:val="center"/>
            <w:hideMark/>
          </w:tcPr>
          <w:p w14:paraId="72738519"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35</w:t>
            </w:r>
          </w:p>
        </w:tc>
        <w:tc>
          <w:tcPr>
            <w:tcW w:w="625" w:type="dxa"/>
            <w:vAlign w:val="center"/>
            <w:hideMark/>
          </w:tcPr>
          <w:p w14:paraId="54C60D96"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40</w:t>
            </w:r>
          </w:p>
        </w:tc>
        <w:tc>
          <w:tcPr>
            <w:tcW w:w="643" w:type="dxa"/>
            <w:vAlign w:val="center"/>
          </w:tcPr>
          <w:p w14:paraId="4D0416EC"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40</w:t>
            </w:r>
          </w:p>
        </w:tc>
        <w:tc>
          <w:tcPr>
            <w:tcW w:w="547" w:type="dxa"/>
            <w:vAlign w:val="center"/>
          </w:tcPr>
          <w:p w14:paraId="30F0370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131</w:t>
            </w:r>
          </w:p>
        </w:tc>
        <w:tc>
          <w:tcPr>
            <w:tcW w:w="253" w:type="dxa"/>
            <w:shd w:val="clear" w:color="000000" w:fill="D9D9D9"/>
            <w:vAlign w:val="center"/>
            <w:hideMark/>
          </w:tcPr>
          <w:p w14:paraId="0A7AB79F"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p>
        </w:tc>
        <w:tc>
          <w:tcPr>
            <w:tcW w:w="716" w:type="dxa"/>
            <w:vAlign w:val="center"/>
          </w:tcPr>
          <w:p w14:paraId="20E30037" w14:textId="77777777" w:rsidR="009123AC" w:rsidRPr="00F0379B" w:rsidRDefault="009123AC" w:rsidP="009123AC">
            <w:pPr>
              <w:spacing w:after="0" w:line="276" w:lineRule="auto"/>
              <w:ind w:right="-69"/>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568,70</w:t>
            </w:r>
          </w:p>
        </w:tc>
        <w:tc>
          <w:tcPr>
            <w:tcW w:w="808" w:type="dxa"/>
            <w:vAlign w:val="center"/>
            <w:hideMark/>
          </w:tcPr>
          <w:p w14:paraId="3F8C1353"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408,92</w:t>
            </w:r>
          </w:p>
        </w:tc>
        <w:tc>
          <w:tcPr>
            <w:tcW w:w="719" w:type="dxa"/>
            <w:vAlign w:val="center"/>
            <w:hideMark/>
          </w:tcPr>
          <w:p w14:paraId="7BCE2CB8" w14:textId="77777777" w:rsidR="009123AC" w:rsidRPr="00F0379B" w:rsidRDefault="009123AC" w:rsidP="009123AC">
            <w:pPr>
              <w:spacing w:after="0" w:line="276" w:lineRule="auto"/>
              <w:ind w:right="-114"/>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664,72</w:t>
            </w:r>
          </w:p>
        </w:tc>
        <w:tc>
          <w:tcPr>
            <w:tcW w:w="738" w:type="dxa"/>
            <w:noWrap/>
            <w:vAlign w:val="center"/>
          </w:tcPr>
          <w:p w14:paraId="2F967951"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1726,2</w:t>
            </w:r>
          </w:p>
        </w:tc>
        <w:tc>
          <w:tcPr>
            <w:tcW w:w="963" w:type="dxa"/>
            <w:noWrap/>
            <w:vAlign w:val="center"/>
          </w:tcPr>
          <w:p w14:paraId="3AB8F69C"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bCs/>
                <w:sz w:val="14"/>
                <w:szCs w:val="14"/>
                <w:lang w:eastAsia="fr-FR" w:bidi="fr-FR"/>
              </w:rPr>
              <w:t>2016,86</w:t>
            </w:r>
          </w:p>
        </w:tc>
        <w:tc>
          <w:tcPr>
            <w:tcW w:w="746" w:type="dxa"/>
            <w:noWrap/>
            <w:vAlign w:val="center"/>
          </w:tcPr>
          <w:p w14:paraId="64D9A4DF" w14:textId="77777777" w:rsidR="009123AC" w:rsidRPr="00F0379B" w:rsidRDefault="009123AC" w:rsidP="009123AC">
            <w:pPr>
              <w:spacing w:after="0" w:line="276" w:lineRule="auto"/>
              <w:ind w:right="-147"/>
              <w:jc w:val="both"/>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bCs/>
                <w:sz w:val="14"/>
                <w:szCs w:val="14"/>
                <w:lang w:eastAsia="fr-FR" w:bidi="fr-FR"/>
              </w:rPr>
              <w:t>2016,86</w:t>
            </w:r>
          </w:p>
        </w:tc>
        <w:tc>
          <w:tcPr>
            <w:tcW w:w="853" w:type="dxa"/>
            <w:vAlign w:val="center"/>
          </w:tcPr>
          <w:p w14:paraId="0C96F5ED"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bCs/>
                <w:sz w:val="14"/>
                <w:szCs w:val="14"/>
                <w:lang w:eastAsia="fr-FR" w:bidi="fr-FR"/>
              </w:rPr>
              <w:t>2106,64</w:t>
            </w:r>
          </w:p>
        </w:tc>
      </w:tr>
      <w:tr w:rsidR="009123AC" w:rsidRPr="00F0379B" w14:paraId="577E4E49" w14:textId="77777777" w:rsidTr="00CA749B">
        <w:trPr>
          <w:trHeight w:val="20"/>
        </w:trPr>
        <w:tc>
          <w:tcPr>
            <w:tcW w:w="2972" w:type="dxa"/>
            <w:shd w:val="clear" w:color="auto" w:fill="D9D9D9"/>
            <w:noWrap/>
            <w:vAlign w:val="center"/>
            <w:hideMark/>
          </w:tcPr>
          <w:p w14:paraId="45BC3F9D" w14:textId="77777777" w:rsidR="009123AC" w:rsidRPr="00F0379B" w:rsidRDefault="009123AC" w:rsidP="009123AC">
            <w:pPr>
              <w:spacing w:after="0" w:line="276" w:lineRule="auto"/>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Cuota inicial</w:t>
            </w:r>
          </w:p>
        </w:tc>
        <w:tc>
          <w:tcPr>
            <w:tcW w:w="1276" w:type="dxa"/>
            <w:shd w:val="clear" w:color="auto" w:fill="D9D9D9"/>
            <w:noWrap/>
            <w:vAlign w:val="center"/>
            <w:hideMark/>
          </w:tcPr>
          <w:p w14:paraId="61E15688" w14:textId="77777777" w:rsidR="009123AC" w:rsidRPr="00F0379B" w:rsidRDefault="009123AC" w:rsidP="009123AC">
            <w:pPr>
              <w:spacing w:after="0" w:line="276" w:lineRule="auto"/>
              <w:jc w:val="right"/>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 </w:t>
            </w:r>
          </w:p>
        </w:tc>
        <w:tc>
          <w:tcPr>
            <w:tcW w:w="709" w:type="dxa"/>
            <w:shd w:val="clear" w:color="auto" w:fill="D9D9D9"/>
            <w:vAlign w:val="center"/>
          </w:tcPr>
          <w:p w14:paraId="1CC179D9"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658" w:type="dxa"/>
            <w:shd w:val="clear" w:color="auto" w:fill="D9D9D9"/>
            <w:noWrap/>
            <w:vAlign w:val="center"/>
            <w:hideMark/>
          </w:tcPr>
          <w:p w14:paraId="456C3686"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634" w:type="dxa"/>
            <w:shd w:val="clear" w:color="auto" w:fill="D9D9D9"/>
            <w:vAlign w:val="center"/>
            <w:hideMark/>
          </w:tcPr>
          <w:p w14:paraId="63749176"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634" w:type="dxa"/>
            <w:shd w:val="clear" w:color="auto" w:fill="D9D9D9"/>
            <w:vAlign w:val="center"/>
            <w:hideMark/>
          </w:tcPr>
          <w:p w14:paraId="09FD5375"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625" w:type="dxa"/>
            <w:shd w:val="clear" w:color="auto" w:fill="D9D9D9"/>
            <w:vAlign w:val="center"/>
            <w:hideMark/>
          </w:tcPr>
          <w:p w14:paraId="56775F15"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643" w:type="dxa"/>
            <w:shd w:val="clear" w:color="auto" w:fill="D9D9D9"/>
            <w:vAlign w:val="center"/>
          </w:tcPr>
          <w:p w14:paraId="3C878F95"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547" w:type="dxa"/>
            <w:shd w:val="clear" w:color="auto" w:fill="D9D9D9"/>
            <w:vAlign w:val="center"/>
          </w:tcPr>
          <w:p w14:paraId="379C10A2"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253" w:type="dxa"/>
            <w:shd w:val="clear" w:color="auto" w:fill="D9D9D9"/>
            <w:vAlign w:val="center"/>
            <w:hideMark/>
          </w:tcPr>
          <w:p w14:paraId="7936F7F5"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716" w:type="dxa"/>
            <w:shd w:val="clear" w:color="auto" w:fill="D9D9D9"/>
            <w:vAlign w:val="center"/>
          </w:tcPr>
          <w:p w14:paraId="4CD35B6D"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1700</w:t>
            </w:r>
          </w:p>
        </w:tc>
        <w:tc>
          <w:tcPr>
            <w:tcW w:w="808" w:type="dxa"/>
            <w:shd w:val="clear" w:color="auto" w:fill="D9D9D9"/>
            <w:vAlign w:val="center"/>
            <w:hideMark/>
          </w:tcPr>
          <w:p w14:paraId="63675450" w14:textId="77777777" w:rsidR="009123AC" w:rsidRPr="00F0379B" w:rsidRDefault="009123AC" w:rsidP="009123AC">
            <w:pPr>
              <w:spacing w:after="0" w:line="276" w:lineRule="auto"/>
              <w:ind w:right="-15"/>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1460,04</w:t>
            </w:r>
          </w:p>
        </w:tc>
        <w:tc>
          <w:tcPr>
            <w:tcW w:w="719" w:type="dxa"/>
            <w:shd w:val="clear" w:color="auto" w:fill="D9D9D9"/>
            <w:vAlign w:val="center"/>
            <w:hideMark/>
          </w:tcPr>
          <w:p w14:paraId="0E1A7A99"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1260</w:t>
            </w:r>
          </w:p>
        </w:tc>
        <w:tc>
          <w:tcPr>
            <w:tcW w:w="738" w:type="dxa"/>
            <w:shd w:val="clear" w:color="auto" w:fill="D9D9D9"/>
            <w:vAlign w:val="center"/>
          </w:tcPr>
          <w:p w14:paraId="28DE0AE3"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2023</w:t>
            </w:r>
          </w:p>
        </w:tc>
        <w:tc>
          <w:tcPr>
            <w:tcW w:w="963" w:type="dxa"/>
            <w:shd w:val="clear" w:color="auto" w:fill="D9D9D9"/>
            <w:vAlign w:val="center"/>
          </w:tcPr>
          <w:p w14:paraId="69546EFE"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2023</w:t>
            </w:r>
          </w:p>
        </w:tc>
        <w:tc>
          <w:tcPr>
            <w:tcW w:w="746" w:type="dxa"/>
            <w:shd w:val="clear" w:color="auto" w:fill="D9D9D9"/>
            <w:vAlign w:val="center"/>
          </w:tcPr>
          <w:p w14:paraId="6732FFE1"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2023</w:t>
            </w:r>
          </w:p>
        </w:tc>
        <w:tc>
          <w:tcPr>
            <w:tcW w:w="853" w:type="dxa"/>
            <w:shd w:val="clear" w:color="auto" w:fill="D9D9D9"/>
            <w:vAlign w:val="center"/>
          </w:tcPr>
          <w:p w14:paraId="2A8F536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2460,64</w:t>
            </w:r>
          </w:p>
        </w:tc>
      </w:tr>
      <w:tr w:rsidR="009123AC" w:rsidRPr="00F0379B" w14:paraId="366E915F" w14:textId="77777777" w:rsidTr="00CA749B">
        <w:trPr>
          <w:trHeight w:val="20"/>
        </w:trPr>
        <w:tc>
          <w:tcPr>
            <w:tcW w:w="2972" w:type="dxa"/>
            <w:shd w:val="clear" w:color="auto" w:fill="D9D9D9"/>
            <w:noWrap/>
            <w:vAlign w:val="center"/>
          </w:tcPr>
          <w:p w14:paraId="238E1A24" w14:textId="77777777" w:rsidR="009123AC" w:rsidRPr="00F0379B" w:rsidRDefault="009123AC" w:rsidP="009123AC">
            <w:pPr>
              <w:spacing w:after="0" w:line="276" w:lineRule="auto"/>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Cuota ajustada (si procede)</w:t>
            </w:r>
          </w:p>
        </w:tc>
        <w:tc>
          <w:tcPr>
            <w:tcW w:w="1276" w:type="dxa"/>
            <w:shd w:val="clear" w:color="auto" w:fill="D9D9D9"/>
            <w:noWrap/>
            <w:vAlign w:val="center"/>
          </w:tcPr>
          <w:p w14:paraId="1D8DA5D5" w14:textId="77777777" w:rsidR="009123AC" w:rsidRPr="00F0379B" w:rsidRDefault="009123AC" w:rsidP="009123AC">
            <w:pPr>
              <w:spacing w:after="0" w:line="276" w:lineRule="auto"/>
              <w:jc w:val="right"/>
              <w:rPr>
                <w:rFonts w:ascii="Cambria" w:eastAsia="Times New Roman" w:hAnsi="Cambria" w:cs="Calibri"/>
                <w:kern w:val="2"/>
                <w:sz w:val="14"/>
                <w:szCs w:val="14"/>
                <w:lang w:eastAsia="ja-JP"/>
                <w14:ligatures w14:val="standardContextual"/>
              </w:rPr>
            </w:pPr>
          </w:p>
        </w:tc>
        <w:tc>
          <w:tcPr>
            <w:tcW w:w="709" w:type="dxa"/>
            <w:shd w:val="clear" w:color="auto" w:fill="D9D9D9"/>
            <w:vAlign w:val="center"/>
          </w:tcPr>
          <w:p w14:paraId="5E1F8C2F"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658" w:type="dxa"/>
            <w:shd w:val="clear" w:color="auto" w:fill="D9D9D9"/>
            <w:noWrap/>
            <w:vAlign w:val="center"/>
          </w:tcPr>
          <w:p w14:paraId="7B51BC90"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634" w:type="dxa"/>
            <w:shd w:val="clear" w:color="auto" w:fill="D9D9D9"/>
            <w:vAlign w:val="center"/>
          </w:tcPr>
          <w:p w14:paraId="09BBEA2F"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634" w:type="dxa"/>
            <w:shd w:val="clear" w:color="auto" w:fill="D9D9D9"/>
            <w:vAlign w:val="center"/>
          </w:tcPr>
          <w:p w14:paraId="0913C8F2"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625" w:type="dxa"/>
            <w:shd w:val="clear" w:color="auto" w:fill="D9D9D9"/>
            <w:vAlign w:val="center"/>
          </w:tcPr>
          <w:p w14:paraId="5710A469"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643" w:type="dxa"/>
            <w:shd w:val="clear" w:color="auto" w:fill="D9D9D9"/>
            <w:vAlign w:val="center"/>
          </w:tcPr>
          <w:p w14:paraId="34802856"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547" w:type="dxa"/>
            <w:shd w:val="clear" w:color="auto" w:fill="D9D9D9"/>
            <w:vAlign w:val="center"/>
          </w:tcPr>
          <w:p w14:paraId="33983D11"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253" w:type="dxa"/>
            <w:shd w:val="clear" w:color="auto" w:fill="D9D9D9"/>
            <w:vAlign w:val="center"/>
          </w:tcPr>
          <w:p w14:paraId="726B7623"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716" w:type="dxa"/>
            <w:shd w:val="clear" w:color="auto" w:fill="D9D9D9"/>
            <w:vAlign w:val="center"/>
          </w:tcPr>
          <w:p w14:paraId="1FA0091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1700</w:t>
            </w:r>
          </w:p>
        </w:tc>
        <w:tc>
          <w:tcPr>
            <w:tcW w:w="808" w:type="dxa"/>
            <w:shd w:val="clear" w:color="auto" w:fill="D9D9D9"/>
            <w:vAlign w:val="center"/>
          </w:tcPr>
          <w:p w14:paraId="59887777" w14:textId="77777777" w:rsidR="009123AC" w:rsidRPr="00F0379B" w:rsidRDefault="009123AC" w:rsidP="009123AC">
            <w:pPr>
              <w:spacing w:after="0" w:line="276" w:lineRule="auto"/>
              <w:ind w:right="-15"/>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1460,04</w:t>
            </w:r>
          </w:p>
        </w:tc>
        <w:tc>
          <w:tcPr>
            <w:tcW w:w="719" w:type="dxa"/>
            <w:shd w:val="clear" w:color="auto" w:fill="D9D9D9"/>
            <w:vAlign w:val="center"/>
          </w:tcPr>
          <w:p w14:paraId="635BE319"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1300,0</w:t>
            </w:r>
          </w:p>
        </w:tc>
        <w:tc>
          <w:tcPr>
            <w:tcW w:w="738" w:type="dxa"/>
            <w:shd w:val="clear" w:color="auto" w:fill="D9D9D9"/>
            <w:vAlign w:val="center"/>
          </w:tcPr>
          <w:p w14:paraId="5724323D"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2018</w:t>
            </w:r>
          </w:p>
        </w:tc>
        <w:tc>
          <w:tcPr>
            <w:tcW w:w="963" w:type="dxa"/>
            <w:shd w:val="clear" w:color="auto" w:fill="D9D9D9"/>
            <w:vAlign w:val="center"/>
          </w:tcPr>
          <w:p w14:paraId="22A8272D"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2041</w:t>
            </w:r>
          </w:p>
        </w:tc>
        <w:tc>
          <w:tcPr>
            <w:tcW w:w="746" w:type="dxa"/>
            <w:shd w:val="clear" w:color="auto" w:fill="D9D9D9"/>
            <w:vAlign w:val="center"/>
          </w:tcPr>
          <w:p w14:paraId="27F3BB19" w14:textId="77777777" w:rsidR="009123AC" w:rsidRPr="00F0379B" w:rsidRDefault="009123AC" w:rsidP="009123AC">
            <w:pPr>
              <w:spacing w:after="0" w:line="276" w:lineRule="auto"/>
              <w:ind w:right="-147" w:hanging="36"/>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2047,65</w:t>
            </w:r>
          </w:p>
        </w:tc>
        <w:tc>
          <w:tcPr>
            <w:tcW w:w="853" w:type="dxa"/>
            <w:shd w:val="clear" w:color="auto" w:fill="D9D9D9"/>
            <w:vAlign w:val="center"/>
          </w:tcPr>
          <w:p w14:paraId="4C5D6813"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2465,28</w:t>
            </w:r>
          </w:p>
        </w:tc>
      </w:tr>
      <w:tr w:rsidR="009123AC" w:rsidRPr="00F0379B" w14:paraId="54525281" w14:textId="77777777" w:rsidTr="00CA749B">
        <w:trPr>
          <w:trHeight w:val="20"/>
        </w:trPr>
        <w:tc>
          <w:tcPr>
            <w:tcW w:w="2972" w:type="dxa"/>
            <w:noWrap/>
            <w:vAlign w:val="center"/>
            <w:hideMark/>
          </w:tcPr>
          <w:p w14:paraId="4ACBB5A3" w14:textId="77777777" w:rsidR="009123AC" w:rsidRPr="00F0379B" w:rsidRDefault="009123AC" w:rsidP="009123AC">
            <w:pPr>
              <w:spacing w:after="0" w:line="276" w:lineRule="auto"/>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Porcentaje asignado a captura fortuita</w:t>
            </w:r>
          </w:p>
        </w:tc>
        <w:tc>
          <w:tcPr>
            <w:tcW w:w="1276" w:type="dxa"/>
            <w:noWrap/>
            <w:vAlign w:val="center"/>
            <w:hideMark/>
          </w:tcPr>
          <w:p w14:paraId="04041D0A" w14:textId="77777777" w:rsidR="009123AC" w:rsidRPr="00F0379B" w:rsidRDefault="009123AC" w:rsidP="009123AC">
            <w:pPr>
              <w:spacing w:after="0" w:line="276" w:lineRule="auto"/>
              <w:jc w:val="right"/>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 </w:t>
            </w:r>
          </w:p>
        </w:tc>
        <w:tc>
          <w:tcPr>
            <w:tcW w:w="709" w:type="dxa"/>
            <w:vAlign w:val="center"/>
          </w:tcPr>
          <w:p w14:paraId="2CDAAE8C"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658" w:type="dxa"/>
            <w:noWrap/>
            <w:vAlign w:val="center"/>
            <w:hideMark/>
          </w:tcPr>
          <w:p w14:paraId="5C67074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634" w:type="dxa"/>
            <w:vAlign w:val="center"/>
            <w:hideMark/>
          </w:tcPr>
          <w:p w14:paraId="778E0CA5"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0,46%</w:t>
            </w:r>
          </w:p>
        </w:tc>
        <w:tc>
          <w:tcPr>
            <w:tcW w:w="634" w:type="dxa"/>
            <w:vAlign w:val="center"/>
            <w:hideMark/>
          </w:tcPr>
          <w:p w14:paraId="1F881373"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0,24%</w:t>
            </w:r>
          </w:p>
        </w:tc>
        <w:tc>
          <w:tcPr>
            <w:tcW w:w="625" w:type="dxa"/>
            <w:vAlign w:val="center"/>
            <w:hideMark/>
          </w:tcPr>
          <w:p w14:paraId="425EDFD8" w14:textId="77777777" w:rsidR="009123AC" w:rsidRPr="00F0379B" w:rsidRDefault="009123AC" w:rsidP="009123AC">
            <w:pPr>
              <w:spacing w:after="0" w:line="276" w:lineRule="auto"/>
              <w:ind w:left="-65" w:right="-66"/>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0,24%</w:t>
            </w:r>
          </w:p>
        </w:tc>
        <w:tc>
          <w:tcPr>
            <w:tcW w:w="643" w:type="dxa"/>
            <w:vAlign w:val="center"/>
          </w:tcPr>
          <w:p w14:paraId="4CBE3CBB"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0,24%</w:t>
            </w:r>
          </w:p>
        </w:tc>
        <w:tc>
          <w:tcPr>
            <w:tcW w:w="547" w:type="dxa"/>
            <w:vAlign w:val="center"/>
          </w:tcPr>
          <w:p w14:paraId="392CB4EA" w14:textId="77777777" w:rsidR="009123AC" w:rsidRPr="00F0379B" w:rsidRDefault="009123AC" w:rsidP="009123AC">
            <w:pPr>
              <w:spacing w:after="0" w:line="276" w:lineRule="auto"/>
              <w:ind w:left="-73" w:right="-43"/>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0,24%</w:t>
            </w:r>
          </w:p>
        </w:tc>
        <w:tc>
          <w:tcPr>
            <w:tcW w:w="253" w:type="dxa"/>
            <w:shd w:val="clear" w:color="000000" w:fill="D9D9D9"/>
            <w:vAlign w:val="center"/>
            <w:hideMark/>
          </w:tcPr>
          <w:p w14:paraId="03254CD4"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716" w:type="dxa"/>
            <w:vAlign w:val="center"/>
          </w:tcPr>
          <w:p w14:paraId="49010FFF"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808" w:type="dxa"/>
            <w:vAlign w:val="center"/>
          </w:tcPr>
          <w:p w14:paraId="48CF7F35" w14:textId="77777777" w:rsidR="009123AC" w:rsidRPr="00F0379B" w:rsidRDefault="009123AC" w:rsidP="009123AC">
            <w:pPr>
              <w:spacing w:after="0" w:line="276" w:lineRule="auto"/>
              <w:jc w:val="center"/>
              <w:rPr>
                <w:rFonts w:ascii="Cambria" w:eastAsia="Times New Roman" w:hAnsi="Cambria" w:cs="Calibri"/>
                <w:kern w:val="2"/>
                <w:sz w:val="14"/>
                <w:szCs w:val="14"/>
                <w:lang w:eastAsia="ko-KR"/>
                <w14:ligatures w14:val="standardContextual"/>
              </w:rPr>
            </w:pPr>
          </w:p>
        </w:tc>
        <w:tc>
          <w:tcPr>
            <w:tcW w:w="719" w:type="dxa"/>
            <w:vAlign w:val="center"/>
          </w:tcPr>
          <w:p w14:paraId="5B4FEF5E" w14:textId="77777777" w:rsidR="009123AC" w:rsidRPr="00F0379B" w:rsidRDefault="009123AC" w:rsidP="009123AC">
            <w:pPr>
              <w:spacing w:after="0" w:line="276" w:lineRule="auto"/>
              <w:jc w:val="center"/>
              <w:rPr>
                <w:rFonts w:ascii="Cambria" w:eastAsia="Times New Roman" w:hAnsi="Cambria" w:cs="Calibri"/>
                <w:kern w:val="2"/>
                <w:sz w:val="14"/>
                <w:szCs w:val="14"/>
                <w:lang w:eastAsia="ko-KR"/>
                <w14:ligatures w14:val="standardContextual"/>
              </w:rPr>
            </w:pPr>
          </w:p>
        </w:tc>
        <w:tc>
          <w:tcPr>
            <w:tcW w:w="738" w:type="dxa"/>
            <w:vAlign w:val="center"/>
          </w:tcPr>
          <w:p w14:paraId="249EBE32" w14:textId="77777777" w:rsidR="009123AC" w:rsidRPr="00F0379B" w:rsidRDefault="009123AC" w:rsidP="009123AC">
            <w:pPr>
              <w:spacing w:after="0" w:line="276" w:lineRule="auto"/>
              <w:jc w:val="center"/>
              <w:rPr>
                <w:rFonts w:ascii="Cambria" w:eastAsia="Times New Roman" w:hAnsi="Cambria" w:cs="Calibri"/>
                <w:kern w:val="2"/>
                <w:sz w:val="14"/>
                <w:szCs w:val="14"/>
                <w:lang w:eastAsia="ko-KR"/>
                <w14:ligatures w14:val="standardContextual"/>
              </w:rPr>
            </w:pPr>
          </w:p>
        </w:tc>
        <w:tc>
          <w:tcPr>
            <w:tcW w:w="963" w:type="dxa"/>
            <w:vAlign w:val="center"/>
          </w:tcPr>
          <w:p w14:paraId="78F33DDB" w14:textId="77777777" w:rsidR="009123AC" w:rsidRPr="00F0379B" w:rsidRDefault="009123AC" w:rsidP="009123AC">
            <w:pPr>
              <w:spacing w:after="0" w:line="276" w:lineRule="auto"/>
              <w:jc w:val="center"/>
              <w:rPr>
                <w:rFonts w:ascii="Cambria" w:eastAsia="Times New Roman" w:hAnsi="Cambria" w:cs="Calibri"/>
                <w:kern w:val="2"/>
                <w:sz w:val="14"/>
                <w:szCs w:val="14"/>
                <w:lang w:eastAsia="ko-KR"/>
                <w14:ligatures w14:val="standardContextual"/>
              </w:rPr>
            </w:pPr>
          </w:p>
        </w:tc>
        <w:tc>
          <w:tcPr>
            <w:tcW w:w="746" w:type="dxa"/>
            <w:vAlign w:val="center"/>
          </w:tcPr>
          <w:p w14:paraId="2698F585" w14:textId="77777777" w:rsidR="009123AC" w:rsidRPr="00F0379B" w:rsidRDefault="009123AC" w:rsidP="009123AC">
            <w:pPr>
              <w:spacing w:after="0" w:line="276" w:lineRule="auto"/>
              <w:jc w:val="center"/>
              <w:rPr>
                <w:rFonts w:ascii="Cambria" w:eastAsia="Times New Roman" w:hAnsi="Cambria" w:cs="Calibri"/>
                <w:kern w:val="2"/>
                <w:sz w:val="14"/>
                <w:szCs w:val="14"/>
                <w:lang w:eastAsia="ko-KR"/>
                <w14:ligatures w14:val="standardContextual"/>
              </w:rPr>
            </w:pPr>
          </w:p>
        </w:tc>
        <w:tc>
          <w:tcPr>
            <w:tcW w:w="853" w:type="dxa"/>
            <w:vAlign w:val="center"/>
          </w:tcPr>
          <w:p w14:paraId="550FA5A3"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0,24%</w:t>
            </w:r>
          </w:p>
        </w:tc>
      </w:tr>
      <w:tr w:rsidR="009123AC" w:rsidRPr="00F0379B" w14:paraId="522150EB" w14:textId="77777777" w:rsidTr="00CA749B">
        <w:trPr>
          <w:trHeight w:val="20"/>
        </w:trPr>
        <w:tc>
          <w:tcPr>
            <w:tcW w:w="2972" w:type="dxa"/>
            <w:noWrap/>
            <w:vAlign w:val="center"/>
          </w:tcPr>
          <w:p w14:paraId="7533F51A" w14:textId="77777777" w:rsidR="009123AC" w:rsidRPr="00F0379B" w:rsidRDefault="009123AC" w:rsidP="009123AC">
            <w:pPr>
              <w:spacing w:after="0" w:line="276" w:lineRule="auto"/>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Asignación a la captura fortuita</w:t>
            </w:r>
          </w:p>
        </w:tc>
        <w:tc>
          <w:tcPr>
            <w:tcW w:w="1276" w:type="dxa"/>
            <w:noWrap/>
            <w:vAlign w:val="center"/>
          </w:tcPr>
          <w:p w14:paraId="654EE945" w14:textId="77777777" w:rsidR="009123AC" w:rsidRPr="00F0379B" w:rsidRDefault="009123AC" w:rsidP="009123AC">
            <w:pPr>
              <w:spacing w:after="0" w:line="276" w:lineRule="auto"/>
              <w:jc w:val="right"/>
              <w:rPr>
                <w:rFonts w:ascii="Cambria" w:eastAsia="Times New Roman" w:hAnsi="Cambria" w:cs="Calibri"/>
                <w:kern w:val="2"/>
                <w:sz w:val="14"/>
                <w:szCs w:val="14"/>
                <w:lang w:eastAsia="ja-JP"/>
                <w14:ligatures w14:val="standardContextual"/>
              </w:rPr>
            </w:pPr>
          </w:p>
        </w:tc>
        <w:tc>
          <w:tcPr>
            <w:tcW w:w="709" w:type="dxa"/>
            <w:vAlign w:val="center"/>
          </w:tcPr>
          <w:p w14:paraId="1F57DB9A"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658" w:type="dxa"/>
            <w:noWrap/>
            <w:vAlign w:val="center"/>
          </w:tcPr>
          <w:p w14:paraId="08906D21"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634" w:type="dxa"/>
            <w:vAlign w:val="center"/>
          </w:tcPr>
          <w:p w14:paraId="27B737B9"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634" w:type="dxa"/>
            <w:vAlign w:val="center"/>
          </w:tcPr>
          <w:p w14:paraId="3AE1788B"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625" w:type="dxa"/>
            <w:vAlign w:val="center"/>
          </w:tcPr>
          <w:p w14:paraId="76DA3925"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643" w:type="dxa"/>
            <w:vAlign w:val="center"/>
          </w:tcPr>
          <w:p w14:paraId="2CCF39AD"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547" w:type="dxa"/>
            <w:vAlign w:val="center"/>
          </w:tcPr>
          <w:p w14:paraId="24E477CB"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253" w:type="dxa"/>
            <w:shd w:val="clear" w:color="000000" w:fill="D9D9D9"/>
            <w:vAlign w:val="center"/>
          </w:tcPr>
          <w:p w14:paraId="6BD46755"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716" w:type="dxa"/>
            <w:vAlign w:val="center"/>
          </w:tcPr>
          <w:p w14:paraId="4E8D17BF"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808" w:type="dxa"/>
            <w:vAlign w:val="center"/>
          </w:tcPr>
          <w:p w14:paraId="15D4DB92"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719" w:type="dxa"/>
            <w:vAlign w:val="center"/>
          </w:tcPr>
          <w:p w14:paraId="21F83A12"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6</w:t>
            </w:r>
          </w:p>
        </w:tc>
        <w:tc>
          <w:tcPr>
            <w:tcW w:w="738" w:type="dxa"/>
            <w:vAlign w:val="center"/>
          </w:tcPr>
          <w:p w14:paraId="4AD889B3"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5</w:t>
            </w:r>
          </w:p>
        </w:tc>
        <w:tc>
          <w:tcPr>
            <w:tcW w:w="963" w:type="dxa"/>
            <w:vAlign w:val="center"/>
          </w:tcPr>
          <w:p w14:paraId="7027649A"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5</w:t>
            </w:r>
          </w:p>
        </w:tc>
        <w:tc>
          <w:tcPr>
            <w:tcW w:w="746" w:type="dxa"/>
            <w:vAlign w:val="center"/>
          </w:tcPr>
          <w:p w14:paraId="324B5A36"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b/>
                <w:sz w:val="14"/>
                <w:szCs w:val="14"/>
                <w:lang w:eastAsia="fr-FR" w:bidi="fr-FR"/>
              </w:rPr>
              <w:t>5</w:t>
            </w:r>
          </w:p>
        </w:tc>
        <w:tc>
          <w:tcPr>
            <w:tcW w:w="853" w:type="dxa"/>
            <w:vAlign w:val="center"/>
          </w:tcPr>
          <w:p w14:paraId="0FD0A39C"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6</w:t>
            </w:r>
          </w:p>
        </w:tc>
      </w:tr>
      <w:tr w:rsidR="009123AC" w:rsidRPr="00F0379B" w14:paraId="688CEE9A" w14:textId="77777777" w:rsidTr="00CA749B">
        <w:trPr>
          <w:trHeight w:val="20"/>
        </w:trPr>
        <w:tc>
          <w:tcPr>
            <w:tcW w:w="2972" w:type="dxa"/>
            <w:vAlign w:val="center"/>
          </w:tcPr>
          <w:p w14:paraId="632A1884" w14:textId="77777777" w:rsidR="009123AC" w:rsidRPr="00F0379B" w:rsidRDefault="009123AC" w:rsidP="009123AC">
            <w:pPr>
              <w:spacing w:after="0" w:line="276" w:lineRule="auto"/>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Cuota para investigación científica (si procede)</w:t>
            </w:r>
          </w:p>
        </w:tc>
        <w:tc>
          <w:tcPr>
            <w:tcW w:w="1276" w:type="dxa"/>
            <w:noWrap/>
            <w:vAlign w:val="center"/>
          </w:tcPr>
          <w:p w14:paraId="60FB754A" w14:textId="77777777" w:rsidR="009123AC" w:rsidRPr="00F0379B" w:rsidRDefault="009123AC" w:rsidP="009123AC">
            <w:pPr>
              <w:spacing w:after="0" w:line="276" w:lineRule="auto"/>
              <w:jc w:val="right"/>
              <w:rPr>
                <w:rFonts w:ascii="Cambria" w:eastAsia="Times New Roman" w:hAnsi="Cambria" w:cs="Calibri"/>
                <w:b/>
                <w:bCs/>
                <w:kern w:val="2"/>
                <w:sz w:val="14"/>
                <w:szCs w:val="14"/>
                <w:lang w:eastAsia="ja-JP"/>
                <w14:ligatures w14:val="standardContextual"/>
              </w:rPr>
            </w:pPr>
          </w:p>
        </w:tc>
        <w:tc>
          <w:tcPr>
            <w:tcW w:w="709" w:type="dxa"/>
            <w:vAlign w:val="center"/>
          </w:tcPr>
          <w:p w14:paraId="29CF82F5"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658" w:type="dxa"/>
            <w:noWrap/>
            <w:vAlign w:val="center"/>
          </w:tcPr>
          <w:p w14:paraId="18DFBA23"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634" w:type="dxa"/>
            <w:vAlign w:val="center"/>
          </w:tcPr>
          <w:p w14:paraId="59F48EFB"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634" w:type="dxa"/>
            <w:vAlign w:val="center"/>
          </w:tcPr>
          <w:p w14:paraId="161E0ADA"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625" w:type="dxa"/>
            <w:vAlign w:val="center"/>
          </w:tcPr>
          <w:p w14:paraId="1993149B"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643" w:type="dxa"/>
            <w:vAlign w:val="center"/>
          </w:tcPr>
          <w:p w14:paraId="3A8A35C2"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547" w:type="dxa"/>
            <w:vAlign w:val="center"/>
          </w:tcPr>
          <w:p w14:paraId="633D16D6"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253" w:type="dxa"/>
            <w:shd w:val="clear" w:color="000000" w:fill="D9D9D9"/>
            <w:vAlign w:val="center"/>
          </w:tcPr>
          <w:p w14:paraId="39A1F4E5"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716" w:type="dxa"/>
            <w:vAlign w:val="center"/>
          </w:tcPr>
          <w:p w14:paraId="153CD747"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808" w:type="dxa"/>
            <w:vAlign w:val="center"/>
          </w:tcPr>
          <w:p w14:paraId="5A1B695A"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719" w:type="dxa"/>
            <w:vAlign w:val="center"/>
          </w:tcPr>
          <w:p w14:paraId="68A58220"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738" w:type="dxa"/>
            <w:noWrap/>
            <w:vAlign w:val="center"/>
          </w:tcPr>
          <w:p w14:paraId="307DFD10"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963" w:type="dxa"/>
            <w:noWrap/>
            <w:vAlign w:val="center"/>
          </w:tcPr>
          <w:p w14:paraId="6C6216D1"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746" w:type="dxa"/>
            <w:noWrap/>
            <w:vAlign w:val="center"/>
          </w:tcPr>
          <w:p w14:paraId="0A123F1F"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853" w:type="dxa"/>
            <w:vAlign w:val="center"/>
          </w:tcPr>
          <w:p w14:paraId="790C5104"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r>
      <w:tr w:rsidR="009123AC" w:rsidRPr="00F0379B" w14:paraId="72095B3E" w14:textId="77777777" w:rsidTr="00CA749B">
        <w:trPr>
          <w:trHeight w:val="20"/>
        </w:trPr>
        <w:tc>
          <w:tcPr>
            <w:tcW w:w="2972" w:type="dxa"/>
            <w:vAlign w:val="center"/>
          </w:tcPr>
          <w:p w14:paraId="01AA765F" w14:textId="77777777" w:rsidR="009123AC" w:rsidRPr="00F0379B" w:rsidRDefault="009123AC" w:rsidP="009123AC">
            <w:pPr>
              <w:spacing w:after="0" w:line="276" w:lineRule="auto"/>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Tolerancia para pesca deportiva/de recreo (si procede)</w:t>
            </w:r>
          </w:p>
        </w:tc>
        <w:tc>
          <w:tcPr>
            <w:tcW w:w="1276" w:type="dxa"/>
            <w:noWrap/>
            <w:vAlign w:val="center"/>
          </w:tcPr>
          <w:p w14:paraId="038BC79F" w14:textId="77777777" w:rsidR="009123AC" w:rsidRPr="00F0379B" w:rsidRDefault="009123AC" w:rsidP="009123AC">
            <w:pPr>
              <w:spacing w:after="0" w:line="276" w:lineRule="auto"/>
              <w:jc w:val="right"/>
              <w:rPr>
                <w:rFonts w:ascii="Cambria" w:eastAsia="Times New Roman" w:hAnsi="Cambria" w:cs="Calibri"/>
                <w:b/>
                <w:bCs/>
                <w:kern w:val="2"/>
                <w:sz w:val="14"/>
                <w:szCs w:val="14"/>
                <w:lang w:eastAsia="ja-JP"/>
                <w14:ligatures w14:val="standardContextual"/>
              </w:rPr>
            </w:pPr>
          </w:p>
        </w:tc>
        <w:tc>
          <w:tcPr>
            <w:tcW w:w="709" w:type="dxa"/>
            <w:vAlign w:val="center"/>
          </w:tcPr>
          <w:p w14:paraId="2475DF94"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658" w:type="dxa"/>
            <w:noWrap/>
            <w:vAlign w:val="center"/>
          </w:tcPr>
          <w:p w14:paraId="590EFFCE"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634" w:type="dxa"/>
            <w:vAlign w:val="center"/>
          </w:tcPr>
          <w:p w14:paraId="2F7864A1"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634" w:type="dxa"/>
            <w:vAlign w:val="center"/>
          </w:tcPr>
          <w:p w14:paraId="38B94E1A"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625" w:type="dxa"/>
            <w:vAlign w:val="center"/>
          </w:tcPr>
          <w:p w14:paraId="37F61E94"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643" w:type="dxa"/>
            <w:vAlign w:val="center"/>
          </w:tcPr>
          <w:p w14:paraId="77FFD327"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547" w:type="dxa"/>
            <w:vAlign w:val="center"/>
          </w:tcPr>
          <w:p w14:paraId="2C5472A2"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253" w:type="dxa"/>
            <w:shd w:val="clear" w:color="000000" w:fill="D9D9D9"/>
            <w:vAlign w:val="center"/>
          </w:tcPr>
          <w:p w14:paraId="3EBE873F"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716" w:type="dxa"/>
            <w:vAlign w:val="center"/>
          </w:tcPr>
          <w:p w14:paraId="2E573FEC"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808" w:type="dxa"/>
            <w:vAlign w:val="center"/>
          </w:tcPr>
          <w:p w14:paraId="643C17E0"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719" w:type="dxa"/>
            <w:vAlign w:val="center"/>
          </w:tcPr>
          <w:p w14:paraId="706CCFBA"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738" w:type="dxa"/>
            <w:noWrap/>
            <w:vAlign w:val="center"/>
          </w:tcPr>
          <w:p w14:paraId="196A0D3B"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963" w:type="dxa"/>
            <w:noWrap/>
            <w:vAlign w:val="center"/>
          </w:tcPr>
          <w:p w14:paraId="148A5140"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746" w:type="dxa"/>
            <w:noWrap/>
            <w:vAlign w:val="center"/>
          </w:tcPr>
          <w:p w14:paraId="195BBC4D"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c>
          <w:tcPr>
            <w:tcW w:w="853" w:type="dxa"/>
            <w:vAlign w:val="center"/>
          </w:tcPr>
          <w:p w14:paraId="6F53845A"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0</w:t>
            </w:r>
          </w:p>
        </w:tc>
      </w:tr>
      <w:tr w:rsidR="009123AC" w:rsidRPr="00F0379B" w14:paraId="298C37EE" w14:textId="77777777" w:rsidTr="00CA749B">
        <w:trPr>
          <w:trHeight w:val="20"/>
        </w:trPr>
        <w:tc>
          <w:tcPr>
            <w:tcW w:w="2972" w:type="dxa"/>
            <w:vAlign w:val="center"/>
          </w:tcPr>
          <w:p w14:paraId="6BFE3EC0" w14:textId="77777777" w:rsidR="009123AC" w:rsidRPr="00F0379B" w:rsidRDefault="009123AC" w:rsidP="009123AC">
            <w:pPr>
              <w:spacing w:after="0" w:line="276" w:lineRule="auto"/>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Cuota disponible</w:t>
            </w:r>
          </w:p>
        </w:tc>
        <w:tc>
          <w:tcPr>
            <w:tcW w:w="1276" w:type="dxa"/>
            <w:noWrap/>
            <w:vAlign w:val="center"/>
          </w:tcPr>
          <w:p w14:paraId="13BA34E1" w14:textId="77777777" w:rsidR="009123AC" w:rsidRPr="00F0379B" w:rsidRDefault="009123AC" w:rsidP="009123AC">
            <w:pPr>
              <w:spacing w:after="0" w:line="276" w:lineRule="auto"/>
              <w:jc w:val="right"/>
              <w:rPr>
                <w:rFonts w:ascii="Cambria" w:eastAsia="Times New Roman" w:hAnsi="Cambria" w:cs="Calibri"/>
                <w:b/>
                <w:bCs/>
                <w:kern w:val="2"/>
                <w:sz w:val="14"/>
                <w:szCs w:val="14"/>
                <w:lang w:eastAsia="ja-JP"/>
                <w14:ligatures w14:val="standardContextual"/>
              </w:rPr>
            </w:pPr>
          </w:p>
        </w:tc>
        <w:tc>
          <w:tcPr>
            <w:tcW w:w="709" w:type="dxa"/>
            <w:vAlign w:val="center"/>
          </w:tcPr>
          <w:p w14:paraId="698B4938"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658" w:type="dxa"/>
            <w:noWrap/>
            <w:vAlign w:val="center"/>
          </w:tcPr>
          <w:p w14:paraId="1F84CD00"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634" w:type="dxa"/>
            <w:vAlign w:val="center"/>
          </w:tcPr>
          <w:p w14:paraId="44B942CE"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634" w:type="dxa"/>
            <w:vAlign w:val="center"/>
          </w:tcPr>
          <w:p w14:paraId="1244AF75"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625" w:type="dxa"/>
            <w:vAlign w:val="center"/>
          </w:tcPr>
          <w:p w14:paraId="700BCE14"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643" w:type="dxa"/>
            <w:vAlign w:val="center"/>
          </w:tcPr>
          <w:p w14:paraId="0FEDC669"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547" w:type="dxa"/>
            <w:vAlign w:val="center"/>
          </w:tcPr>
          <w:p w14:paraId="2FE16869"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253" w:type="dxa"/>
            <w:shd w:val="clear" w:color="000000" w:fill="D9D9D9"/>
            <w:vAlign w:val="center"/>
          </w:tcPr>
          <w:p w14:paraId="756F5BCF"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716" w:type="dxa"/>
            <w:vAlign w:val="center"/>
          </w:tcPr>
          <w:p w14:paraId="4C2201F8"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808" w:type="dxa"/>
            <w:vAlign w:val="center"/>
          </w:tcPr>
          <w:p w14:paraId="4FB264FA"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719" w:type="dxa"/>
            <w:vAlign w:val="center"/>
          </w:tcPr>
          <w:p w14:paraId="09D8BB84"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738" w:type="dxa"/>
            <w:noWrap/>
            <w:vAlign w:val="center"/>
          </w:tcPr>
          <w:p w14:paraId="5A9E719F"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963" w:type="dxa"/>
            <w:noWrap/>
            <w:vAlign w:val="center"/>
          </w:tcPr>
          <w:p w14:paraId="0B79C339"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746" w:type="dxa"/>
            <w:noWrap/>
            <w:vAlign w:val="center"/>
          </w:tcPr>
          <w:p w14:paraId="594308BE"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ja-JP"/>
                <w14:ligatures w14:val="standardContextual"/>
              </w:rPr>
            </w:pPr>
          </w:p>
        </w:tc>
        <w:tc>
          <w:tcPr>
            <w:tcW w:w="853" w:type="dxa"/>
            <w:vAlign w:val="center"/>
          </w:tcPr>
          <w:p w14:paraId="7BB35336" w14:textId="77777777" w:rsidR="009123AC" w:rsidRPr="00F0379B" w:rsidRDefault="009123AC" w:rsidP="009123AC">
            <w:pPr>
              <w:spacing w:after="0" w:line="276" w:lineRule="auto"/>
              <w:jc w:val="center"/>
              <w:rPr>
                <w:rFonts w:ascii="Cambria" w:eastAsia="Times New Roman" w:hAnsi="Cambria" w:cs="Calibri"/>
                <w:b/>
                <w:bCs/>
                <w:kern w:val="2"/>
                <w:sz w:val="14"/>
                <w:szCs w:val="14"/>
                <w:lang w:eastAsia="fr-FR" w:bidi="fr-FR"/>
                <w14:ligatures w14:val="standardContextual"/>
              </w:rPr>
            </w:pPr>
            <w:r w:rsidRPr="00F0379B">
              <w:rPr>
                <w:rFonts w:ascii="Cambria" w:eastAsia="MS Gothic" w:hAnsi="Cambria" w:cs="Times New Roman"/>
                <w:b/>
                <w:sz w:val="14"/>
                <w:szCs w:val="14"/>
                <w:lang w:eastAsia="fr-FR" w:bidi="fr-FR"/>
              </w:rPr>
              <w:t>2459,28</w:t>
            </w:r>
          </w:p>
        </w:tc>
      </w:tr>
      <w:tr w:rsidR="009123AC" w:rsidRPr="00F0379B" w14:paraId="10D011F3" w14:textId="77777777" w:rsidTr="00CA749B">
        <w:trPr>
          <w:trHeight w:val="20"/>
        </w:trPr>
        <w:tc>
          <w:tcPr>
            <w:tcW w:w="2972" w:type="dxa"/>
            <w:shd w:val="clear" w:color="auto" w:fill="D9D9D9"/>
            <w:noWrap/>
            <w:vAlign w:val="center"/>
            <w:hideMark/>
          </w:tcPr>
          <w:p w14:paraId="034A5BF0" w14:textId="77777777" w:rsidR="009123AC" w:rsidRPr="00F0379B" w:rsidRDefault="009123AC" w:rsidP="009123AC">
            <w:pPr>
              <w:spacing w:after="0" w:line="276" w:lineRule="auto"/>
              <w:rPr>
                <w:rFonts w:ascii="Cambria" w:eastAsia="Times New Roman" w:hAnsi="Cambria" w:cs="Calibri"/>
                <w:b/>
                <w:bCs/>
                <w:kern w:val="2"/>
                <w:sz w:val="14"/>
                <w:szCs w:val="14"/>
                <w:lang w:eastAsia="fr-FR" w:bidi="fr-FR"/>
                <w14:ligatures w14:val="standardContextual"/>
              </w:rPr>
            </w:pPr>
            <w:proofErr w:type="spellStart"/>
            <w:r w:rsidRPr="00F0379B">
              <w:rPr>
                <w:rFonts w:ascii="Cambria" w:eastAsia="MS Gothic" w:hAnsi="Cambria" w:cs="Times New Roman"/>
                <w:b/>
                <w:sz w:val="14"/>
                <w:szCs w:val="14"/>
                <w:lang w:eastAsia="fr-FR" w:bidi="fr-FR"/>
              </w:rPr>
              <w:t>Subcapacidad</w:t>
            </w:r>
            <w:proofErr w:type="spellEnd"/>
            <w:r w:rsidRPr="00F0379B">
              <w:rPr>
                <w:rFonts w:ascii="Cambria" w:eastAsia="MS Gothic" w:hAnsi="Cambria" w:cs="Times New Roman"/>
                <w:b/>
                <w:sz w:val="14"/>
                <w:szCs w:val="14"/>
                <w:lang w:eastAsia="fr-FR" w:bidi="fr-FR"/>
              </w:rPr>
              <w:t>/exceso de capacidad</w:t>
            </w:r>
          </w:p>
        </w:tc>
        <w:tc>
          <w:tcPr>
            <w:tcW w:w="1276" w:type="dxa"/>
            <w:shd w:val="clear" w:color="auto" w:fill="D9D9D9"/>
            <w:noWrap/>
            <w:vAlign w:val="center"/>
            <w:hideMark/>
          </w:tcPr>
          <w:p w14:paraId="56B5BBAF" w14:textId="77777777" w:rsidR="009123AC" w:rsidRPr="00F0379B" w:rsidRDefault="009123AC" w:rsidP="009123AC">
            <w:pPr>
              <w:spacing w:after="0" w:line="276" w:lineRule="auto"/>
              <w:jc w:val="right"/>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 </w:t>
            </w:r>
          </w:p>
        </w:tc>
        <w:tc>
          <w:tcPr>
            <w:tcW w:w="709" w:type="dxa"/>
            <w:shd w:val="clear" w:color="auto" w:fill="D9D9D9"/>
            <w:vAlign w:val="center"/>
          </w:tcPr>
          <w:p w14:paraId="14EE1CF1"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658" w:type="dxa"/>
            <w:shd w:val="clear" w:color="auto" w:fill="D9D9D9"/>
            <w:noWrap/>
            <w:vAlign w:val="center"/>
            <w:hideMark/>
          </w:tcPr>
          <w:p w14:paraId="0DD91768"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634" w:type="dxa"/>
            <w:shd w:val="clear" w:color="auto" w:fill="D9D9D9"/>
            <w:vAlign w:val="center"/>
            <w:hideMark/>
          </w:tcPr>
          <w:p w14:paraId="5C6399B1"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634" w:type="dxa"/>
            <w:shd w:val="clear" w:color="auto" w:fill="D9D9D9"/>
            <w:vAlign w:val="center"/>
            <w:hideMark/>
          </w:tcPr>
          <w:p w14:paraId="740BFBE1"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625" w:type="dxa"/>
            <w:shd w:val="clear" w:color="auto" w:fill="D9D9D9"/>
            <w:vAlign w:val="center"/>
            <w:hideMark/>
          </w:tcPr>
          <w:p w14:paraId="0ACAEC1D"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643" w:type="dxa"/>
            <w:shd w:val="clear" w:color="auto" w:fill="D9D9D9"/>
            <w:vAlign w:val="center"/>
          </w:tcPr>
          <w:p w14:paraId="25D0D44D"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547" w:type="dxa"/>
            <w:shd w:val="clear" w:color="auto" w:fill="D9D9D9"/>
            <w:vAlign w:val="center"/>
          </w:tcPr>
          <w:p w14:paraId="576D578D" w14:textId="77777777" w:rsidR="009123AC" w:rsidRPr="00F0379B" w:rsidRDefault="009123AC" w:rsidP="009123AC">
            <w:pPr>
              <w:spacing w:after="0" w:line="276" w:lineRule="auto"/>
              <w:jc w:val="center"/>
              <w:rPr>
                <w:rFonts w:ascii="Cambria" w:eastAsia="Times New Roman" w:hAnsi="Cambria" w:cs="Calibri"/>
                <w:kern w:val="2"/>
                <w:sz w:val="14"/>
                <w:szCs w:val="14"/>
                <w:lang w:eastAsia="ja-JP"/>
                <w14:ligatures w14:val="standardContextual"/>
              </w:rPr>
            </w:pPr>
          </w:p>
        </w:tc>
        <w:tc>
          <w:tcPr>
            <w:tcW w:w="253" w:type="dxa"/>
            <w:shd w:val="clear" w:color="auto" w:fill="D9D9D9"/>
            <w:vAlign w:val="center"/>
            <w:hideMark/>
          </w:tcPr>
          <w:p w14:paraId="18C4A44D"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p>
        </w:tc>
        <w:tc>
          <w:tcPr>
            <w:tcW w:w="716" w:type="dxa"/>
            <w:shd w:val="clear" w:color="auto" w:fill="D9D9D9"/>
            <w:vAlign w:val="center"/>
          </w:tcPr>
          <w:p w14:paraId="4ADFDCE9"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-1131,3</w:t>
            </w:r>
          </w:p>
        </w:tc>
        <w:tc>
          <w:tcPr>
            <w:tcW w:w="808" w:type="dxa"/>
            <w:shd w:val="clear" w:color="auto" w:fill="D9D9D9"/>
            <w:vAlign w:val="center"/>
            <w:hideMark/>
          </w:tcPr>
          <w:p w14:paraId="092AC6AA"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1051,12</w:t>
            </w:r>
          </w:p>
        </w:tc>
        <w:tc>
          <w:tcPr>
            <w:tcW w:w="719" w:type="dxa"/>
            <w:shd w:val="clear" w:color="auto" w:fill="D9D9D9"/>
            <w:vAlign w:val="center"/>
            <w:hideMark/>
          </w:tcPr>
          <w:p w14:paraId="49143070"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-629,60</w:t>
            </w:r>
          </w:p>
        </w:tc>
        <w:tc>
          <w:tcPr>
            <w:tcW w:w="738" w:type="dxa"/>
            <w:shd w:val="clear" w:color="auto" w:fill="D9D9D9"/>
            <w:vAlign w:val="center"/>
          </w:tcPr>
          <w:p w14:paraId="269319DF"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MS Gothic" w:hAnsi="Cambria" w:cs="Times New Roman"/>
                <w:sz w:val="14"/>
                <w:szCs w:val="14"/>
                <w:lang w:eastAsia="fr-FR" w:bidi="fr-FR"/>
              </w:rPr>
              <w:t>-291,8</w:t>
            </w:r>
          </w:p>
        </w:tc>
        <w:tc>
          <w:tcPr>
            <w:tcW w:w="963" w:type="dxa"/>
            <w:shd w:val="clear" w:color="auto" w:fill="D9D9D9"/>
            <w:vAlign w:val="center"/>
          </w:tcPr>
          <w:p w14:paraId="74544A0A"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Times New Roman" w:hAnsi="Cambria" w:cs="Calibri"/>
                <w:kern w:val="2"/>
                <w:sz w:val="14"/>
                <w:szCs w:val="14"/>
                <w:lang w:eastAsia="ja-JP"/>
                <w14:ligatures w14:val="standardContextual"/>
              </w:rPr>
              <w:t>-19,14</w:t>
            </w:r>
          </w:p>
        </w:tc>
        <w:tc>
          <w:tcPr>
            <w:tcW w:w="746" w:type="dxa"/>
            <w:shd w:val="clear" w:color="auto" w:fill="D9D9D9"/>
            <w:vAlign w:val="center"/>
          </w:tcPr>
          <w:p w14:paraId="60A94D27"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Times New Roman" w:hAnsi="Cambria" w:cs="Calibri"/>
                <w:kern w:val="2"/>
                <w:sz w:val="14"/>
                <w:szCs w:val="14"/>
                <w:lang w:eastAsia="ja-JP"/>
                <w14:ligatures w14:val="standardContextual"/>
              </w:rPr>
              <w:t>-25,79</w:t>
            </w:r>
          </w:p>
        </w:tc>
        <w:tc>
          <w:tcPr>
            <w:tcW w:w="853" w:type="dxa"/>
            <w:shd w:val="clear" w:color="auto" w:fill="D9D9D9"/>
            <w:vAlign w:val="center"/>
          </w:tcPr>
          <w:p w14:paraId="5A01C42E" w14:textId="77777777" w:rsidR="009123AC" w:rsidRPr="00F0379B" w:rsidRDefault="009123AC" w:rsidP="009123AC">
            <w:pPr>
              <w:spacing w:after="0" w:line="276" w:lineRule="auto"/>
              <w:jc w:val="center"/>
              <w:rPr>
                <w:rFonts w:ascii="Cambria" w:eastAsia="Times New Roman" w:hAnsi="Cambria" w:cs="Calibri"/>
                <w:kern w:val="2"/>
                <w:sz w:val="14"/>
                <w:szCs w:val="14"/>
                <w:lang w:eastAsia="fr-FR" w:bidi="fr-FR"/>
                <w14:ligatures w14:val="standardContextual"/>
              </w:rPr>
            </w:pPr>
            <w:r w:rsidRPr="00F0379B">
              <w:rPr>
                <w:rFonts w:ascii="Cambria" w:eastAsia="Times New Roman" w:hAnsi="Cambria" w:cs="Calibri"/>
                <w:kern w:val="2"/>
                <w:sz w:val="14"/>
                <w:szCs w:val="14"/>
                <w:lang w:eastAsia="ja-JP"/>
                <w14:ligatures w14:val="standardContextual"/>
              </w:rPr>
              <w:t>-352,64</w:t>
            </w:r>
          </w:p>
        </w:tc>
      </w:tr>
    </w:tbl>
    <w:p w14:paraId="194D46B6"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449E66C5"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sectPr w:rsidR="009123AC" w:rsidRPr="00F0379B" w:rsidSect="009123AC">
          <w:headerReference w:type="default" r:id="rId93"/>
          <w:footerReference w:type="default" r:id="rId94"/>
          <w:headerReference w:type="first" r:id="rId95"/>
          <w:footerReference w:type="first" r:id="rId96"/>
          <w:footnotePr>
            <w:numFmt w:val="chicago"/>
          </w:footnotePr>
          <w:pgSz w:w="16838" w:h="11906" w:orient="landscape" w:code="9"/>
          <w:pgMar w:top="1418" w:right="1418" w:bottom="1418" w:left="1418" w:header="851" w:footer="1134" w:gutter="0"/>
          <w:cols w:space="425"/>
          <w:docGrid w:linePitch="360"/>
        </w:sectPr>
      </w:pPr>
    </w:p>
    <w:p w14:paraId="2E108E6C" w14:textId="16B328E8" w:rsidR="009123AC" w:rsidRPr="00F0379B" w:rsidRDefault="009123AC" w:rsidP="009123AC">
      <w:pPr>
        <w:spacing w:after="0" w:line="240" w:lineRule="auto"/>
        <w:jc w:val="both"/>
        <w:rPr>
          <w:rFonts w:ascii="Cambria" w:eastAsiaTheme="minorEastAsia" w:hAnsi="Cambria"/>
          <w:b/>
          <w:bCs/>
          <w:kern w:val="2"/>
          <w:sz w:val="20"/>
          <w:szCs w:val="20"/>
          <w:lang w:val="it-IT" w:eastAsia="ja-JP"/>
          <w14:ligatures w14:val="standardContextual"/>
        </w:rPr>
      </w:pPr>
      <w:r w:rsidRPr="00F0379B">
        <w:rPr>
          <w:rFonts w:ascii="Cambria" w:eastAsiaTheme="minorEastAsia" w:hAnsi="Cambria"/>
          <w:b/>
          <w:bCs/>
          <w:kern w:val="2"/>
          <w:sz w:val="20"/>
          <w:szCs w:val="20"/>
          <w:lang w:val="it-IT" w:eastAsia="ja-JP"/>
          <w14:ligatures w14:val="standardContextual"/>
        </w:rPr>
        <w:lastRenderedPageBreak/>
        <w:t>China</w:t>
      </w:r>
    </w:p>
    <w:p w14:paraId="4C348F57" w14:textId="77777777" w:rsidR="009123AC" w:rsidRPr="00F0379B" w:rsidRDefault="009123AC" w:rsidP="009123AC">
      <w:pPr>
        <w:spacing w:after="0" w:line="240" w:lineRule="auto"/>
        <w:jc w:val="both"/>
        <w:rPr>
          <w:rFonts w:ascii="Cambria" w:eastAsiaTheme="minorEastAsia" w:hAnsi="Cambria"/>
          <w:kern w:val="2"/>
          <w:sz w:val="20"/>
          <w:szCs w:val="20"/>
          <w:lang w:val="it-IT" w:eastAsia="ja-JP"/>
          <w14:ligatures w14:val="standardContextual"/>
        </w:rPr>
      </w:pPr>
    </w:p>
    <w:p w14:paraId="176BC8BC"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Año del plan de pesca: 2026</w:t>
      </w:r>
    </w:p>
    <w:p w14:paraId="1D009CC1"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3B8A6464" w14:textId="77777777" w:rsidR="009123AC" w:rsidRPr="00F0379B" w:rsidRDefault="009123AC" w:rsidP="00CE0EC8">
      <w:pPr>
        <w:widowControl w:val="0"/>
        <w:numPr>
          <w:ilvl w:val="0"/>
          <w:numId w:val="34"/>
        </w:numPr>
        <w:spacing w:after="0" w:line="240" w:lineRule="auto"/>
        <w:ind w:left="426" w:hanging="426"/>
        <w:contextualSpacing/>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Detalles del plan anual de pesca para los buques de captura y las almadrabas</w:t>
      </w:r>
    </w:p>
    <w:p w14:paraId="473A26B8" w14:textId="77777777" w:rsidR="009123AC" w:rsidRPr="00F0379B" w:rsidRDefault="009123AC" w:rsidP="009123AC">
      <w:pPr>
        <w:spacing w:after="0" w:line="240" w:lineRule="auto"/>
        <w:jc w:val="both"/>
        <w:rPr>
          <w:rFonts w:ascii="Cambria" w:eastAsiaTheme="minorEastAsia" w:hAnsi="Cambria"/>
          <w:i/>
          <w:kern w:val="2"/>
          <w:sz w:val="20"/>
          <w:szCs w:val="20"/>
          <w:lang w:eastAsia="ja-JP"/>
          <w14:ligatures w14:val="standardContextual"/>
        </w:rPr>
      </w:pPr>
    </w:p>
    <w:p w14:paraId="1CEC4B3F" w14:textId="77777777" w:rsidR="009123AC" w:rsidRPr="00F0379B" w:rsidRDefault="009123AC" w:rsidP="009123AC">
      <w:pPr>
        <w:tabs>
          <w:tab w:val="left" w:pos="426"/>
        </w:tabs>
        <w:spacing w:after="0" w:line="240" w:lineRule="auto"/>
        <w:jc w:val="both"/>
        <w:rPr>
          <w:rFonts w:ascii="Cambria" w:eastAsiaTheme="minorEastAsia" w:hAnsi="Cambria"/>
          <w:b/>
          <w:bCs/>
          <w:i/>
          <w:iCs/>
          <w:kern w:val="2"/>
          <w:sz w:val="20"/>
          <w:szCs w:val="20"/>
          <w:lang w:eastAsia="ja-JP"/>
          <w14:ligatures w14:val="standardContextual"/>
        </w:rPr>
      </w:pPr>
      <w:bookmarkStart w:id="9" w:name="_Hlk127283017"/>
      <w:r w:rsidRPr="00F0379B">
        <w:rPr>
          <w:rFonts w:ascii="Cambria" w:eastAsiaTheme="minorEastAsia" w:hAnsi="Cambria"/>
          <w:b/>
          <w:bCs/>
          <w:i/>
          <w:iCs/>
          <w:kern w:val="2"/>
          <w:sz w:val="20"/>
          <w:szCs w:val="20"/>
          <w:lang w:eastAsia="ja-JP"/>
          <w14:ligatures w14:val="standardContextual"/>
        </w:rPr>
        <w:t>1 a)</w:t>
      </w:r>
      <w:r w:rsidRPr="00F0379B">
        <w:rPr>
          <w:rFonts w:ascii="Cambria" w:eastAsiaTheme="minorEastAsia" w:hAnsi="Cambria"/>
          <w:b/>
          <w:bCs/>
          <w:i/>
          <w:iCs/>
          <w:kern w:val="2"/>
          <w:sz w:val="20"/>
          <w:szCs w:val="20"/>
          <w:lang w:eastAsia="ja-JP"/>
          <w14:ligatures w14:val="standardContextual"/>
        </w:rPr>
        <w:tab/>
        <w:t>Presentación (párr. 12)</w:t>
      </w:r>
    </w:p>
    <w:bookmarkEnd w:id="9"/>
    <w:p w14:paraId="300F60AB" w14:textId="77777777" w:rsidR="009123AC" w:rsidRPr="00F0379B" w:rsidRDefault="009123AC" w:rsidP="009123AC">
      <w:pPr>
        <w:spacing w:after="0" w:line="240" w:lineRule="auto"/>
        <w:jc w:val="both"/>
        <w:rPr>
          <w:rFonts w:ascii="Cambria" w:eastAsia="Times New Roman" w:hAnsi="Cambria"/>
          <w:b/>
          <w:kern w:val="2"/>
          <w:sz w:val="20"/>
          <w:szCs w:val="20"/>
          <w:lang w:eastAsia="ja-JP"/>
          <w14:ligatures w14:val="standardContextual"/>
        </w:rPr>
      </w:pPr>
    </w:p>
    <w:p w14:paraId="58FC3D1D" w14:textId="77777777" w:rsidR="009123AC" w:rsidRPr="00F0379B" w:rsidRDefault="009123AC" w:rsidP="009123AC">
      <w:pPr>
        <w:spacing w:after="0" w:line="240" w:lineRule="auto"/>
        <w:jc w:val="both"/>
        <w:rPr>
          <w:rFonts w:ascii="Cambria" w:eastAsia="Times New Roman"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 conformidad con la Rec. 25-04, China recibió una asignación de 286,15 t de atún rojo para la temporada de pesca de 2026. China enviará tres palangreros a realizar actividades de pesca de atún rojo estacionalmente en el Atlántico este.</w:t>
      </w:r>
    </w:p>
    <w:p w14:paraId="5FC155D4" w14:textId="77777777" w:rsidR="009123AC" w:rsidRPr="00F0379B" w:rsidRDefault="009123AC" w:rsidP="009123AC">
      <w:pPr>
        <w:spacing w:after="0" w:line="240" w:lineRule="auto"/>
        <w:jc w:val="both"/>
        <w:rPr>
          <w:rFonts w:ascii="Cambria" w:eastAsia="Times New Roman" w:hAnsi="Cambria"/>
          <w:kern w:val="2"/>
          <w:sz w:val="20"/>
          <w:szCs w:val="20"/>
          <w:lang w:eastAsia="ja-JP"/>
          <w14:ligatures w14:val="standardContextual"/>
        </w:rPr>
      </w:pPr>
    </w:p>
    <w:p w14:paraId="17068D1F" w14:textId="77777777" w:rsidR="009123AC" w:rsidRPr="00F0379B" w:rsidRDefault="009123AC" w:rsidP="009123AC">
      <w:pPr>
        <w:spacing w:after="0" w:line="240" w:lineRule="auto"/>
        <w:jc w:val="both"/>
        <w:rPr>
          <w:rFonts w:ascii="Cambria" w:eastAsia="Times New Roman"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Ley de pesca (promulgada por el Congreso Nacional del Pueblo) y el Reglamento sobre la ordenación de pesquerías en aguas distantes (promulgado por el Ministerio de Agricultura y Asuntos Rurales, número de serie 2020-‍2) son las principales leyes que gestionan los buques pesqueros de altura chinos que van a realizar actividades de pesca en alta mar. Además, la autoridad pesquera de China ha promulgado el Reglamento sobre la gestión del VMS (promulgado por el Ministerio de Agricultura y Asuntos Rurales, número de serie </w:t>
      </w:r>
      <w:proofErr w:type="spellStart"/>
      <w:r w:rsidRPr="00F0379B">
        <w:rPr>
          <w:rFonts w:ascii="Cambria" w:eastAsiaTheme="minorEastAsia" w:hAnsi="Cambria"/>
          <w:kern w:val="2"/>
          <w:sz w:val="20"/>
          <w:szCs w:val="20"/>
          <w:lang w:eastAsia="ja-JP"/>
          <w14:ligatures w14:val="standardContextual"/>
        </w:rPr>
        <w:t>Nongyufa</w:t>
      </w:r>
      <w:proofErr w:type="spellEnd"/>
      <w:r w:rsidRPr="00F0379B">
        <w:rPr>
          <w:rFonts w:ascii="Cambria" w:eastAsiaTheme="minorEastAsia" w:hAnsi="Cambria"/>
          <w:kern w:val="2"/>
          <w:sz w:val="20"/>
          <w:szCs w:val="20"/>
          <w:lang w:eastAsia="ja-JP"/>
          <w14:ligatures w14:val="standardContextual"/>
        </w:rPr>
        <w:t xml:space="preserve"> 2019-22) y el Reglamento de guía de implementación para la gestión del programa nacional de observadores en las pesquerías de aguas distantes (promulgado por el Ministerio de Agricultura y Asuntos Rurales, número de serie </w:t>
      </w:r>
      <w:proofErr w:type="spellStart"/>
      <w:r w:rsidRPr="00F0379B">
        <w:rPr>
          <w:rFonts w:ascii="Cambria" w:eastAsiaTheme="minorEastAsia" w:hAnsi="Cambria"/>
          <w:kern w:val="2"/>
          <w:sz w:val="20"/>
          <w:szCs w:val="20"/>
          <w:lang w:eastAsia="ja-JP"/>
          <w14:ligatures w14:val="standardContextual"/>
        </w:rPr>
        <w:t>Nongbanyu</w:t>
      </w:r>
      <w:proofErr w:type="spellEnd"/>
      <w:r w:rsidRPr="00F0379B">
        <w:rPr>
          <w:rFonts w:ascii="Cambria" w:eastAsiaTheme="minorEastAsia" w:hAnsi="Cambria"/>
          <w:kern w:val="2"/>
          <w:sz w:val="20"/>
          <w:szCs w:val="20"/>
          <w:lang w:eastAsia="ja-JP"/>
          <w14:ligatures w14:val="standardContextual"/>
        </w:rPr>
        <w:t xml:space="preserve"> 2016-72), que especifican respectivamente la estipulación del VMS y de los observadores en los buques pesqueros de altura chinos. Además, la Dirección de Pesca del Ministerio de agricultura y asuntos rurales ha actualizado la documentación, a saber, la Notificación sobre el cumplimiento de las medidas de conservación y ordenación adoptadas por ICCAT (promulgado por la Dirección de Pesca del Ministerio de Agricultura y Asuntos Rurales, número de serie Nongyu</w:t>
      </w:r>
      <w:r w:rsidRPr="00F0379B">
        <w:rPr>
          <w:rFonts w:ascii="Cambria" w:eastAsia="SimSun" w:hAnsi="Cambria"/>
          <w:kern w:val="2"/>
          <w:sz w:val="20"/>
          <w:szCs w:val="20"/>
          <w:lang w:eastAsia="zh-CN"/>
          <w14:ligatures w14:val="standardContextual"/>
        </w:rPr>
        <w:t>yuanhan</w:t>
      </w:r>
      <w:r w:rsidRPr="00F0379B">
        <w:rPr>
          <w:rFonts w:ascii="Cambria" w:eastAsiaTheme="minorEastAsia" w:hAnsi="Cambria"/>
          <w:kern w:val="2"/>
          <w:sz w:val="20"/>
          <w:szCs w:val="20"/>
          <w:lang w:eastAsia="ja-JP"/>
          <w14:ligatures w14:val="standardContextual"/>
        </w:rPr>
        <w:t xml:space="preserve"> 20</w:t>
      </w:r>
      <w:r w:rsidRPr="00F0379B">
        <w:rPr>
          <w:rFonts w:ascii="Cambria" w:eastAsia="SimSun" w:hAnsi="Cambria"/>
          <w:kern w:val="2"/>
          <w:sz w:val="20"/>
          <w:szCs w:val="20"/>
          <w:lang w:eastAsia="zh-CN"/>
          <w14:ligatures w14:val="standardContextual"/>
        </w:rPr>
        <w:t>25</w:t>
      </w:r>
      <w:r w:rsidRPr="00F0379B">
        <w:rPr>
          <w:rFonts w:ascii="Cambria" w:eastAsiaTheme="minorEastAsia" w:hAnsi="Cambria"/>
          <w:kern w:val="2"/>
          <w:sz w:val="20"/>
          <w:szCs w:val="20"/>
          <w:lang w:eastAsia="ja-JP"/>
          <w14:ligatures w14:val="standardContextual"/>
        </w:rPr>
        <w:t>-1</w:t>
      </w:r>
      <w:r w:rsidRPr="00F0379B">
        <w:rPr>
          <w:rFonts w:ascii="Cambria" w:eastAsia="SimSun" w:hAnsi="Cambria"/>
          <w:kern w:val="2"/>
          <w:sz w:val="20"/>
          <w:szCs w:val="20"/>
          <w:lang w:eastAsia="zh-CN"/>
          <w14:ligatures w14:val="standardContextual"/>
        </w:rPr>
        <w:t>5</w:t>
      </w:r>
      <w:r w:rsidRPr="00F0379B">
        <w:rPr>
          <w:rFonts w:ascii="Cambria" w:eastAsiaTheme="minorEastAsia" w:hAnsi="Cambria"/>
          <w:kern w:val="2"/>
          <w:sz w:val="20"/>
          <w:szCs w:val="20"/>
          <w:lang w:eastAsia="ja-JP"/>
          <w14:ligatures w14:val="standardContextual"/>
        </w:rPr>
        <w:t>) que entró en vigor a finales de enero de 2025 e incluye los principales requisitos contenidos en la Recomendación 24-05 de ICCAT como la talla mínima, la cobertura de observadores, los requisitos en cuanto a VMS, el requisito del cuaderno de pesca, la temporada de pesca, los puertos designados para el transbordo/desembarque, etc.</w:t>
      </w:r>
    </w:p>
    <w:p w14:paraId="71608F56" w14:textId="77777777" w:rsidR="009123AC" w:rsidRPr="00F0379B" w:rsidRDefault="009123AC" w:rsidP="009123AC">
      <w:pPr>
        <w:spacing w:after="0" w:line="240" w:lineRule="auto"/>
        <w:jc w:val="both"/>
        <w:rPr>
          <w:rFonts w:ascii="Cambria" w:eastAsia="Times New Roman" w:hAnsi="Cambria"/>
          <w:kern w:val="2"/>
          <w:sz w:val="20"/>
          <w:szCs w:val="20"/>
          <w:lang w:eastAsia="ja-JP"/>
          <w14:ligatures w14:val="standardContextual"/>
        </w:rPr>
      </w:pPr>
    </w:p>
    <w:p w14:paraId="2067D579"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1 b) Traspaso (párr. 6)</w:t>
      </w:r>
    </w:p>
    <w:p w14:paraId="4A7546EB" w14:textId="77777777" w:rsidR="009123AC" w:rsidRPr="00F0379B" w:rsidRDefault="009123AC" w:rsidP="009123AC">
      <w:pPr>
        <w:spacing w:after="0" w:line="240" w:lineRule="auto"/>
        <w:jc w:val="both"/>
        <w:rPr>
          <w:rFonts w:ascii="Cambria" w:eastAsia="Times New Roman" w:hAnsi="Cambria"/>
          <w:b/>
          <w:kern w:val="2"/>
          <w:sz w:val="20"/>
          <w:szCs w:val="20"/>
          <w:lang w:eastAsia="ja-JP"/>
          <w14:ligatures w14:val="standardContextual"/>
        </w:rPr>
      </w:pPr>
    </w:p>
    <w:p w14:paraId="102E758C" w14:textId="77777777" w:rsidR="009123AC" w:rsidRPr="00F0379B" w:rsidRDefault="009123AC" w:rsidP="009123AC">
      <w:pPr>
        <w:spacing w:after="0" w:line="240" w:lineRule="auto"/>
        <w:jc w:val="both"/>
        <w:rPr>
          <w:rFonts w:ascii="Cambria" w:eastAsia="Times New Roman" w:hAnsi="Cambria"/>
          <w:bCs/>
          <w:kern w:val="2"/>
          <w:sz w:val="20"/>
          <w:szCs w:val="20"/>
          <w:lang w:eastAsia="ja-JP"/>
          <w14:ligatures w14:val="standardContextual"/>
        </w:rPr>
      </w:pPr>
      <w:r w:rsidRPr="00F0379B">
        <w:rPr>
          <w:rFonts w:ascii="Cambria" w:eastAsia="Times New Roman" w:hAnsi="Cambria"/>
          <w:bCs/>
          <w:kern w:val="2"/>
          <w:sz w:val="20"/>
          <w:szCs w:val="20"/>
          <w:lang w:eastAsia="ja-JP"/>
          <w14:ligatures w14:val="standardContextual"/>
        </w:rPr>
        <w:t>En 2025, la cuota ajustada de China es de 112,70 t, mientras que la cantidad capturada es de 84,6 t. La diferencia es de 28,1 t, que está por encima del 20 % de la cuota anual. China quisiera solicitar el traspaso del remanente de 2025. La cantidad de traspaso de 2025 es de 112*20 % = 22,4 t. La cuota total para China en 2026 es 286,15+22,4=308,55 t.</w:t>
      </w:r>
    </w:p>
    <w:p w14:paraId="61603CF8" w14:textId="77777777" w:rsidR="009123AC" w:rsidRPr="00F0379B" w:rsidRDefault="009123AC" w:rsidP="009123AC">
      <w:pPr>
        <w:spacing w:after="0" w:line="240" w:lineRule="auto"/>
        <w:jc w:val="both"/>
        <w:rPr>
          <w:rFonts w:ascii="Cambria" w:eastAsia="Times New Roman" w:hAnsi="Cambria"/>
          <w:bCs/>
          <w:kern w:val="2"/>
          <w:sz w:val="20"/>
          <w:szCs w:val="20"/>
          <w:lang w:eastAsia="ja-JP"/>
          <w14:ligatures w14:val="standardContextual"/>
        </w:rPr>
      </w:pPr>
    </w:p>
    <w:p w14:paraId="440FF060"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1 c) Destino de la captura</w:t>
      </w:r>
    </w:p>
    <w:p w14:paraId="32857D80" w14:textId="77777777" w:rsidR="009123AC" w:rsidRPr="00F0379B" w:rsidRDefault="009123AC" w:rsidP="009123AC">
      <w:pPr>
        <w:spacing w:after="0" w:line="240" w:lineRule="auto"/>
        <w:jc w:val="both"/>
        <w:rPr>
          <w:rFonts w:ascii="Cambria" w:eastAsia="Times New Roman" w:hAnsi="Cambria"/>
          <w:bCs/>
          <w:kern w:val="2"/>
          <w:sz w:val="20"/>
          <w:szCs w:val="20"/>
          <w:lang w:eastAsia="ja-JP"/>
          <w14:ligatures w14:val="standardContextual"/>
        </w:rPr>
      </w:pPr>
    </w:p>
    <w:p w14:paraId="462C5D2F" w14:textId="77777777" w:rsidR="009123AC" w:rsidRPr="00F0379B" w:rsidRDefault="009123AC" w:rsidP="009123AC">
      <w:pPr>
        <w:spacing w:after="0" w:line="240" w:lineRule="auto"/>
        <w:jc w:val="both"/>
        <w:rPr>
          <w:rFonts w:ascii="Cambria" w:eastAsia="Times New Roman" w:hAnsi="Cambria"/>
          <w:bCs/>
          <w:kern w:val="2"/>
          <w:sz w:val="20"/>
          <w:szCs w:val="20"/>
          <w:lang w:eastAsia="ja-JP"/>
          <w14:ligatures w14:val="standardContextual"/>
        </w:rPr>
      </w:pPr>
      <w:r w:rsidRPr="00F0379B">
        <w:rPr>
          <w:rFonts w:ascii="Cambria" w:eastAsia="Times New Roman" w:hAnsi="Cambria"/>
          <w:bCs/>
          <w:kern w:val="2"/>
          <w:sz w:val="20"/>
          <w:szCs w:val="20"/>
          <w:lang w:eastAsia="ja-JP"/>
          <w14:ligatures w14:val="standardContextual"/>
        </w:rPr>
        <w:t>Los peces se desembarcarán.</w:t>
      </w:r>
    </w:p>
    <w:p w14:paraId="2EFFAB11" w14:textId="77777777" w:rsidR="009123AC" w:rsidRPr="00F0379B" w:rsidRDefault="009123AC" w:rsidP="009123AC">
      <w:pPr>
        <w:spacing w:after="0" w:line="240" w:lineRule="auto"/>
        <w:jc w:val="both"/>
        <w:rPr>
          <w:rFonts w:ascii="Cambria" w:eastAsia="Times New Roman" w:hAnsi="Cambria"/>
          <w:bCs/>
          <w:kern w:val="2"/>
          <w:sz w:val="20"/>
          <w:szCs w:val="20"/>
          <w:lang w:eastAsia="ja-JP"/>
          <w14:ligatures w14:val="standardContextual"/>
        </w:rPr>
      </w:pPr>
    </w:p>
    <w:p w14:paraId="21528099" w14:textId="77777777" w:rsidR="009123AC" w:rsidRPr="00F0379B" w:rsidRDefault="009123AC" w:rsidP="009123AC">
      <w:pPr>
        <w:spacing w:after="0" w:line="240" w:lineRule="auto"/>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 xml:space="preserve">1 d) </w:t>
      </w:r>
    </w:p>
    <w:p w14:paraId="751C23C1" w14:textId="77777777" w:rsidR="009123AC" w:rsidRPr="00F0379B" w:rsidRDefault="009123AC" w:rsidP="009123AC">
      <w:pPr>
        <w:spacing w:after="0" w:line="240" w:lineRule="auto"/>
        <w:rPr>
          <w:rFonts w:ascii="Cambria" w:eastAsiaTheme="minorEastAsia" w:hAnsi="Cambria"/>
          <w:i/>
          <w:kern w:val="2"/>
          <w:sz w:val="20"/>
          <w:szCs w:val="20"/>
          <w:lang w:eastAsia="ja-JP"/>
          <w14:ligatures w14:val="standardContextual"/>
        </w:rPr>
      </w:pPr>
    </w:p>
    <w:tbl>
      <w:tblPr>
        <w:tblStyle w:val="TableGrid"/>
        <w:tblW w:w="9640" w:type="dxa"/>
        <w:tblInd w:w="-147" w:type="dxa"/>
        <w:tblLook w:val="04A0" w:firstRow="1" w:lastRow="0" w:firstColumn="1" w:lastColumn="0" w:noHBand="0" w:noVBand="1"/>
      </w:tblPr>
      <w:tblGrid>
        <w:gridCol w:w="453"/>
        <w:gridCol w:w="1678"/>
        <w:gridCol w:w="2950"/>
        <w:gridCol w:w="3524"/>
        <w:gridCol w:w="1035"/>
      </w:tblGrid>
      <w:tr w:rsidR="009123AC" w:rsidRPr="00F0379B" w14:paraId="2DB1C5B9" w14:textId="77777777" w:rsidTr="00CA749B">
        <w:trPr>
          <w:tblHeader/>
        </w:trPr>
        <w:tc>
          <w:tcPr>
            <w:tcW w:w="284" w:type="dxa"/>
          </w:tcPr>
          <w:p w14:paraId="5394897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701" w:type="dxa"/>
            <w:vAlign w:val="center"/>
          </w:tcPr>
          <w:p w14:paraId="046A78DE"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Requisito ICCAT</w:t>
            </w:r>
          </w:p>
          <w:p w14:paraId="03AB9FF0" w14:textId="77777777" w:rsidR="009123AC" w:rsidRPr="00F0379B" w:rsidRDefault="009123AC" w:rsidP="009123AC">
            <w:pPr>
              <w:spacing w:line="240" w:lineRule="auto"/>
              <w:ind w:left="-111" w:right="-128"/>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(según</w:t>
            </w:r>
          </w:p>
          <w:p w14:paraId="6A237202" w14:textId="77777777" w:rsidR="009123AC" w:rsidRPr="00F0379B" w:rsidRDefault="009123AC" w:rsidP="009123AC">
            <w:pPr>
              <w:spacing w:line="240" w:lineRule="auto"/>
              <w:ind w:left="-112" w:right="-108"/>
              <w:jc w:val="center"/>
              <w:rPr>
                <w:rFonts w:ascii="Cambria" w:eastAsiaTheme="minorEastAsia" w:hAnsi="Cambria"/>
                <w:i/>
                <w:kern w:val="2"/>
                <w:sz w:val="20"/>
                <w:szCs w:val="20"/>
                <w:lang w:eastAsia="ja-JP"/>
                <w14:ligatures w14:val="standardContextual"/>
              </w:rPr>
            </w:pPr>
            <w:hyperlink r:id="rId97" w:history="1">
              <w:r w:rsidRPr="00F0379B">
                <w:rPr>
                  <w:rFonts w:ascii="Cambria" w:eastAsiaTheme="minorEastAsia" w:hAnsi="Cambria"/>
                  <w:i/>
                  <w:color w:val="0563C1" w:themeColor="hyperlink"/>
                  <w:kern w:val="2"/>
                  <w:sz w:val="20"/>
                  <w:szCs w:val="20"/>
                  <w:lang w:eastAsia="ja-JP"/>
                  <w14:ligatures w14:val="standardContextual"/>
                </w:rPr>
                <w:t>Rec. 25-04</w:t>
              </w:r>
            </w:hyperlink>
            <w:r w:rsidRPr="00F0379B">
              <w:rPr>
                <w:rFonts w:ascii="Cambria" w:eastAsiaTheme="minorEastAsia" w:hAnsi="Cambria"/>
                <w:i/>
                <w:kern w:val="2"/>
                <w:sz w:val="20"/>
                <w:szCs w:val="20"/>
                <w:lang w:eastAsia="ja-JP"/>
                <w14:ligatures w14:val="standardContextual"/>
              </w:rPr>
              <w:t>)</w:t>
            </w:r>
          </w:p>
        </w:tc>
        <w:tc>
          <w:tcPr>
            <w:tcW w:w="2977" w:type="dxa"/>
            <w:vAlign w:val="center"/>
          </w:tcPr>
          <w:p w14:paraId="6CD99CED"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Explicación de las acciones emprendidas por la CPC con fines de implementación</w:t>
            </w:r>
          </w:p>
        </w:tc>
        <w:tc>
          <w:tcPr>
            <w:tcW w:w="3597" w:type="dxa"/>
            <w:vAlign w:val="center"/>
          </w:tcPr>
          <w:p w14:paraId="73662702"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Leyes o reglamentos internos pertinentes</w:t>
            </w:r>
          </w:p>
          <w:p w14:paraId="30F35BC2"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(si procede)</w:t>
            </w:r>
          </w:p>
        </w:tc>
        <w:tc>
          <w:tcPr>
            <w:tcW w:w="1081" w:type="dxa"/>
            <w:vAlign w:val="center"/>
          </w:tcPr>
          <w:p w14:paraId="0313E7D7"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Nota</w:t>
            </w:r>
          </w:p>
        </w:tc>
      </w:tr>
      <w:tr w:rsidR="009123AC" w:rsidRPr="00F0379B" w14:paraId="0A1162DA" w14:textId="77777777" w:rsidTr="00CA749B">
        <w:tc>
          <w:tcPr>
            <w:tcW w:w="284" w:type="dxa"/>
          </w:tcPr>
          <w:p w14:paraId="17FB20E7"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w:t>
            </w:r>
          </w:p>
        </w:tc>
        <w:tc>
          <w:tcPr>
            <w:tcW w:w="1701" w:type="dxa"/>
          </w:tcPr>
          <w:p w14:paraId="182A0E78" w14:textId="77777777" w:rsidR="009123AC" w:rsidRPr="00F0379B" w:rsidRDefault="009123AC" w:rsidP="009123AC">
            <w:pPr>
              <w:spacing w:line="240" w:lineRule="auto"/>
              <w:ind w:left="-32" w:right="-43"/>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Consignación y comunicación de la captura (párrs. 74-88)</w:t>
            </w:r>
          </w:p>
        </w:tc>
        <w:tc>
          <w:tcPr>
            <w:tcW w:w="2977" w:type="dxa"/>
          </w:tcPr>
          <w:p w14:paraId="2079CF3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A cada buque pesquero chino que opera en alta mar se le entrega el cuaderno de pesca estandarizado (en versión papel y electrónica) y se solicita al patrón que lo cumplimente de forma precisa y oportuna y el atún rojo debe desembarcarse o transbordarse en los puertos designados. El armador del buque pesquero debe comunicar la captura diariamente/semanalmente/ mensualmente, mientras que </w:t>
            </w:r>
            <w:r w:rsidRPr="00F0379B">
              <w:rPr>
                <w:rFonts w:ascii="Cambria" w:eastAsiaTheme="minorEastAsia" w:hAnsi="Cambria"/>
                <w:kern w:val="2"/>
                <w:sz w:val="20"/>
                <w:szCs w:val="20"/>
                <w:lang w:eastAsia="ja-JP"/>
                <w14:ligatures w14:val="standardContextual"/>
              </w:rPr>
              <w:lastRenderedPageBreak/>
              <w:t>los peces muertos (retenidos o descartados) se descuentan de la cuota. Se enviará una nota de aviso cuando se haya consumido casi el 80 % de la cuota total. Cuando la cuota se haya agotado, solicitaremos a los buques pesqueros que cesen las operaciones y abandonen el caladero de forma inmediata, y sin demora se comunicará a la Secretaría el cierre de la pesquería.</w:t>
            </w:r>
          </w:p>
        </w:tc>
        <w:tc>
          <w:tcPr>
            <w:tcW w:w="3597" w:type="dxa"/>
          </w:tcPr>
          <w:p w14:paraId="7C0E23C0" w14:textId="77777777" w:rsidR="009123AC" w:rsidRPr="00F0379B" w:rsidRDefault="009123AC" w:rsidP="00CE0EC8">
            <w:pPr>
              <w:numPr>
                <w:ilvl w:val="0"/>
                <w:numId w:val="35"/>
              </w:numPr>
              <w:spacing w:line="240" w:lineRule="auto"/>
              <w:ind w:left="255" w:hanging="255"/>
              <w:contextualSpacing/>
              <w:jc w:val="both"/>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lastRenderedPageBreak/>
              <w:t>Reglamento sobre la gestión de la pesca en aguas distantes</w:t>
            </w:r>
          </w:p>
          <w:p w14:paraId="457E693F" w14:textId="77777777" w:rsidR="009123AC" w:rsidRPr="00F0379B" w:rsidRDefault="009123AC" w:rsidP="00CE0EC8">
            <w:pPr>
              <w:numPr>
                <w:ilvl w:val="0"/>
                <w:numId w:val="35"/>
              </w:numPr>
              <w:spacing w:line="240" w:lineRule="auto"/>
              <w:ind w:left="255" w:hanging="255"/>
              <w:contextualSpacing/>
              <w:jc w:val="both"/>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 xml:space="preserve">Notificación expedida por la Dirección de Pesca del Ministerio de agricultura y asuntos rurales (núm. serie </w:t>
            </w:r>
            <w:r w:rsidRPr="00F0379B">
              <w:rPr>
                <w:rFonts w:ascii="Cambria" w:eastAsia="SimSun" w:hAnsi="Cambria"/>
                <w:kern w:val="2"/>
                <w:sz w:val="20"/>
                <w:szCs w:val="20"/>
                <w:lang w:eastAsia="zh-CN"/>
                <w14:ligatures w14:val="standardContextual"/>
              </w:rPr>
              <w:t xml:space="preserve">Nongyuyuanhan 2025-15) </w:t>
            </w:r>
            <w:r w:rsidRPr="00F0379B">
              <w:rPr>
                <w:rFonts w:ascii="Cambria" w:eastAsiaTheme="minorEastAsia" w:hAnsi="Cambria"/>
                <w:iCs/>
                <w:kern w:val="2"/>
                <w:sz w:val="20"/>
                <w:szCs w:val="20"/>
                <w:lang w:eastAsia="ja-JP"/>
                <w14:ligatures w14:val="standardContextual"/>
              </w:rPr>
              <w:t>sobre cumplir las medidas de conservación y ordenación adoptadas por ICCAT.</w:t>
            </w:r>
          </w:p>
          <w:p w14:paraId="1D987054" w14:textId="77777777" w:rsidR="009123AC" w:rsidRPr="00F0379B" w:rsidRDefault="009123AC" w:rsidP="009123AC">
            <w:pPr>
              <w:spacing w:line="240" w:lineRule="auto"/>
              <w:ind w:left="255"/>
              <w:contextualSpacing/>
              <w:rPr>
                <w:rFonts w:ascii="Cambria" w:eastAsia="SimSun" w:hAnsi="Cambria" w:cs="SimSun"/>
                <w:iCs/>
                <w:kern w:val="2"/>
                <w:sz w:val="20"/>
                <w:szCs w:val="20"/>
                <w:lang w:eastAsia="ja-JP"/>
                <w14:ligatures w14:val="standardContextual"/>
              </w:rPr>
            </w:pPr>
          </w:p>
          <w:p w14:paraId="7C1A0334" w14:textId="77777777" w:rsidR="009123AC" w:rsidRPr="00F0379B" w:rsidRDefault="009123AC" w:rsidP="009123AC">
            <w:pPr>
              <w:spacing w:line="240" w:lineRule="auto"/>
              <w:ind w:right="-34"/>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 xml:space="preserve">Secciones 3, 4 y 8, cuaderno de pesca: Cada buque de pesca de atún debe anotar en el cuaderno de pesca y registrar realmente todas las capturas, </w:t>
            </w:r>
            <w:r w:rsidRPr="00F0379B">
              <w:rPr>
                <w:rFonts w:ascii="Cambria" w:eastAsiaTheme="minorEastAsia" w:hAnsi="Cambria"/>
                <w:iCs/>
                <w:kern w:val="2"/>
                <w:sz w:val="20"/>
                <w:szCs w:val="20"/>
                <w:lang w:eastAsia="ja-JP"/>
                <w14:ligatures w14:val="standardContextual"/>
              </w:rPr>
              <w:lastRenderedPageBreak/>
              <w:t>incluidos los mamíferos marinos. La empresa de atún rojo debe informar de sus capturas a la Asociación de Pesca de Ultramar de China diariamente/ semanalmente/mensualmente.</w:t>
            </w:r>
          </w:p>
          <w:p w14:paraId="0CF9E70B" w14:textId="77777777" w:rsidR="009123AC" w:rsidRPr="00F0379B" w:rsidRDefault="009123AC" w:rsidP="009123AC">
            <w:pPr>
              <w:spacing w:line="240" w:lineRule="auto"/>
              <w:ind w:right="-34"/>
              <w:rPr>
                <w:rFonts w:ascii="Cambria" w:eastAsiaTheme="minorEastAsia" w:hAnsi="Cambria"/>
                <w:kern w:val="2"/>
                <w:sz w:val="20"/>
                <w:szCs w:val="20"/>
                <w:lang w:eastAsia="ja-JP"/>
                <w14:ligatures w14:val="standardContextual"/>
              </w:rPr>
            </w:pPr>
          </w:p>
          <w:p w14:paraId="6A213BEE" w14:textId="77777777" w:rsidR="009123AC" w:rsidRPr="00F0379B" w:rsidRDefault="009123AC" w:rsidP="009123AC">
            <w:pPr>
              <w:spacing w:line="240" w:lineRule="auto"/>
              <w:ind w:right="-34"/>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empresa pesquera y el buque respetarán estrictamente el límite de cuota.</w:t>
            </w:r>
          </w:p>
          <w:p w14:paraId="1804F660" w14:textId="77777777" w:rsidR="009123AC" w:rsidRPr="00F0379B" w:rsidRDefault="009123AC" w:rsidP="009123AC">
            <w:pPr>
              <w:spacing w:line="240" w:lineRule="auto"/>
              <w:ind w:right="-34"/>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requiere puerto designado.</w:t>
            </w:r>
          </w:p>
        </w:tc>
        <w:tc>
          <w:tcPr>
            <w:tcW w:w="1081" w:type="dxa"/>
          </w:tcPr>
          <w:p w14:paraId="116C7D5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lastRenderedPageBreak/>
              <w:t xml:space="preserve"> </w:t>
            </w:r>
          </w:p>
        </w:tc>
      </w:tr>
      <w:tr w:rsidR="009123AC" w:rsidRPr="00F0379B" w14:paraId="3C594639" w14:textId="77777777" w:rsidTr="00CA749B">
        <w:tc>
          <w:tcPr>
            <w:tcW w:w="284" w:type="dxa"/>
          </w:tcPr>
          <w:p w14:paraId="5809FC6B"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2</w:t>
            </w:r>
          </w:p>
        </w:tc>
        <w:tc>
          <w:tcPr>
            <w:tcW w:w="1701" w:type="dxa"/>
          </w:tcPr>
          <w:p w14:paraId="122569B1"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Temporadas de pesca abiertas (párrs. 28-32</w:t>
            </w:r>
            <w:r w:rsidRPr="00F0379B">
              <w:rPr>
                <w:rFonts w:ascii="Cambria" w:eastAsiaTheme="minorEastAsia" w:hAnsi="Cambria"/>
                <w:b/>
                <w:bCs/>
                <w:kern w:val="2"/>
                <w:sz w:val="20"/>
                <w:szCs w:val="20"/>
                <w:lang w:eastAsia="ja-JP"/>
                <w14:ligatures w14:val="standardContextual"/>
              </w:rPr>
              <w:t>)</w:t>
            </w:r>
          </w:p>
        </w:tc>
        <w:tc>
          <w:tcPr>
            <w:tcW w:w="2977" w:type="dxa"/>
          </w:tcPr>
          <w:p w14:paraId="40547674" w14:textId="77777777" w:rsidR="009123AC" w:rsidRPr="00F0379B" w:rsidRDefault="009123AC" w:rsidP="009123AC">
            <w:pPr>
              <w:widowControl w:val="0"/>
              <w:autoSpaceDE w:val="0"/>
              <w:autoSpaceDN w:val="0"/>
              <w:spacing w:line="240" w:lineRule="auto"/>
              <w:rPr>
                <w:rFonts w:ascii="Cambria" w:eastAsia="Cambria" w:hAnsi="Cambria" w:cs="Cambria"/>
                <w:sz w:val="20"/>
                <w:szCs w:val="20"/>
              </w:rPr>
            </w:pPr>
            <w:r w:rsidRPr="00F0379B">
              <w:rPr>
                <w:rFonts w:ascii="Cambria" w:eastAsia="Cambria" w:hAnsi="Cambria" w:cs="Cambria"/>
                <w:sz w:val="20"/>
                <w:szCs w:val="20"/>
              </w:rPr>
              <w:t>Los buques de atún rojo en la zona delimitada al oeste de 10° O y al norte de 42° N tienen autorizado operar desde el 1 de agosto hasta el 31 de enero del año siguiente.</w:t>
            </w:r>
          </w:p>
          <w:p w14:paraId="0351211A" w14:textId="77777777" w:rsidR="009123AC" w:rsidRPr="00F0379B" w:rsidRDefault="009123AC" w:rsidP="009123AC">
            <w:pPr>
              <w:spacing w:line="240" w:lineRule="auto"/>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Los buques de atún rojo en el Atlántico este tienen autorizado operar durante el período comprendido entre el 1 de enero y el 31 de mayo.</w:t>
            </w:r>
          </w:p>
          <w:p w14:paraId="5A6F9791" w14:textId="77777777" w:rsidR="009123AC" w:rsidRPr="00F0379B" w:rsidRDefault="009123AC" w:rsidP="009123AC">
            <w:pPr>
              <w:spacing w:line="240" w:lineRule="auto"/>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Generalmente, los buques chinos empiezan a pescar en la zona delimitada al oeste de 10° O y al norte de 42° N</w:t>
            </w:r>
          </w:p>
          <w:p w14:paraId="06168D9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en septiembre, hasta que la cuota se agota o antes del 31 de enero del año siguiente.</w:t>
            </w:r>
          </w:p>
        </w:tc>
        <w:tc>
          <w:tcPr>
            <w:tcW w:w="3597" w:type="dxa"/>
          </w:tcPr>
          <w:p w14:paraId="2A41AFC5" w14:textId="77777777" w:rsidR="009123AC" w:rsidRPr="00F0379B" w:rsidRDefault="009123AC" w:rsidP="00CE0EC8">
            <w:pPr>
              <w:numPr>
                <w:ilvl w:val="0"/>
                <w:numId w:val="36"/>
              </w:numPr>
              <w:spacing w:line="240" w:lineRule="auto"/>
              <w:ind w:left="313" w:hanging="313"/>
              <w:contextualSpacing/>
              <w:jc w:val="both"/>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Reglamento sobre la gestión de la pesca en aguas distantes</w:t>
            </w:r>
          </w:p>
          <w:p w14:paraId="3500E5F8" w14:textId="77777777" w:rsidR="009123AC" w:rsidRPr="00F0379B" w:rsidRDefault="009123AC" w:rsidP="00CE0EC8">
            <w:pPr>
              <w:numPr>
                <w:ilvl w:val="0"/>
                <w:numId w:val="36"/>
              </w:numPr>
              <w:spacing w:line="240" w:lineRule="auto"/>
              <w:ind w:left="313" w:hanging="313"/>
              <w:contextualSpacing/>
              <w:jc w:val="both"/>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 xml:space="preserve">Notificación expedida por la Dirección de Pesca del Ministerio de agricultura y asuntos rurales (núm. serie </w:t>
            </w:r>
            <w:r w:rsidRPr="00F0379B">
              <w:rPr>
                <w:rFonts w:ascii="Cambria" w:eastAsia="SimSun" w:hAnsi="Cambria"/>
                <w:kern w:val="2"/>
                <w:sz w:val="20"/>
                <w:szCs w:val="20"/>
                <w:lang w:eastAsia="zh-CN"/>
                <w14:ligatures w14:val="standardContextual"/>
              </w:rPr>
              <w:t xml:space="preserve">Nongyuyuanhan 2025-15) </w:t>
            </w:r>
            <w:r w:rsidRPr="00F0379B">
              <w:rPr>
                <w:rFonts w:ascii="Cambria" w:eastAsiaTheme="minorEastAsia" w:hAnsi="Cambria"/>
                <w:iCs/>
                <w:kern w:val="2"/>
                <w:sz w:val="20"/>
                <w:szCs w:val="20"/>
                <w:lang w:eastAsia="ja-JP"/>
                <w14:ligatures w14:val="standardContextual"/>
              </w:rPr>
              <w:t>sobre cumplir las medidas de conservación y ordenación adoptadas por ICCAT.</w:t>
            </w:r>
          </w:p>
          <w:p w14:paraId="7E8326EB" w14:textId="77777777" w:rsidR="009123AC" w:rsidRPr="00F0379B" w:rsidRDefault="009123AC" w:rsidP="009123AC">
            <w:pPr>
              <w:spacing w:line="240" w:lineRule="auto"/>
              <w:rPr>
                <w:rFonts w:ascii="Cambria" w:eastAsia="SimSun" w:hAnsi="Cambria" w:cs="SimSun"/>
                <w:iCs/>
                <w:kern w:val="2"/>
                <w:sz w:val="20"/>
                <w:szCs w:val="20"/>
                <w:lang w:eastAsia="ja-JP"/>
                <w14:ligatures w14:val="standardContextual"/>
              </w:rPr>
            </w:pPr>
          </w:p>
          <w:p w14:paraId="0878FEAF" w14:textId="77777777" w:rsidR="009123AC" w:rsidRPr="00F0379B" w:rsidRDefault="009123AC" w:rsidP="009123AC">
            <w:pPr>
              <w:spacing w:line="240" w:lineRule="auto"/>
              <w:ind w:left="-47"/>
              <w:rPr>
                <w:rFonts w:ascii="Cambria" w:eastAsiaTheme="minorEastAsia" w:hAnsi="Cambria"/>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Sección 5: Zona de pesca y limitación y prohibición de artes de pesca: la temporada de pesca y la zona de pesca en el océano Atlántico debería ser del 1 de agosto al 31 de enero del próximo año, en la zona delimitada.</w:t>
            </w:r>
          </w:p>
        </w:tc>
        <w:tc>
          <w:tcPr>
            <w:tcW w:w="1081" w:type="dxa"/>
          </w:tcPr>
          <w:p w14:paraId="24CF360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780C3587" w14:textId="77777777" w:rsidTr="00CA749B">
        <w:tc>
          <w:tcPr>
            <w:tcW w:w="284" w:type="dxa"/>
          </w:tcPr>
          <w:p w14:paraId="47E7C6B5"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3</w:t>
            </w:r>
          </w:p>
        </w:tc>
        <w:tc>
          <w:tcPr>
            <w:tcW w:w="1701" w:type="dxa"/>
          </w:tcPr>
          <w:p w14:paraId="21BEEAF8"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Talla mínima (párrs. 33-35)</w:t>
            </w:r>
          </w:p>
        </w:tc>
        <w:tc>
          <w:tcPr>
            <w:tcW w:w="2977" w:type="dxa"/>
          </w:tcPr>
          <w:p w14:paraId="3448DE1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Mediante el programa de observadores y los cuadernos de pesca, así como los informes de captura diarios/ semanales/mensuales podemos hacer un seguimiento de la talla mínima. Cualquier captura con una talla inferior a la talla mínima debe ser consignada y liberada. Fijamos el límite de talla mínima que corresponde a la Rec. 25-04, y se prohíbe la captura, retención, transbordo, desembarque y venta de atún rojo de menos de 30 kg o 115 cm; se autoriza una tolerancia máxima del 5 %. También se descuenta de la cuota la captura descartada.</w:t>
            </w:r>
          </w:p>
        </w:tc>
        <w:tc>
          <w:tcPr>
            <w:tcW w:w="3597" w:type="dxa"/>
          </w:tcPr>
          <w:p w14:paraId="6A7C384C" w14:textId="77777777" w:rsidR="009123AC" w:rsidRPr="00F0379B" w:rsidRDefault="009123AC" w:rsidP="00CE0EC8">
            <w:pPr>
              <w:numPr>
                <w:ilvl w:val="0"/>
                <w:numId w:val="37"/>
              </w:numPr>
              <w:spacing w:line="240" w:lineRule="auto"/>
              <w:ind w:left="313" w:hanging="284"/>
              <w:contextualSpacing/>
              <w:jc w:val="both"/>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Reglamento sobre la gestión de la pesca en aguas distantes</w:t>
            </w:r>
          </w:p>
          <w:p w14:paraId="3A889AB2" w14:textId="77777777" w:rsidR="009123AC" w:rsidRPr="00F0379B" w:rsidRDefault="009123AC" w:rsidP="009123AC">
            <w:pPr>
              <w:spacing w:line="240" w:lineRule="auto"/>
              <w:rPr>
                <w:rFonts w:ascii="Cambria" w:eastAsia="SimSun" w:hAnsi="Cambria" w:cs="SimSun"/>
                <w:iCs/>
                <w:kern w:val="2"/>
                <w:sz w:val="20"/>
                <w:szCs w:val="20"/>
                <w:lang w:eastAsia="ja-JP"/>
                <w14:ligatures w14:val="standardContextual"/>
              </w:rPr>
            </w:pPr>
          </w:p>
          <w:p w14:paraId="25A36566" w14:textId="77777777" w:rsidR="009123AC" w:rsidRPr="00F0379B" w:rsidRDefault="009123AC" w:rsidP="00CE0EC8">
            <w:pPr>
              <w:numPr>
                <w:ilvl w:val="0"/>
                <w:numId w:val="37"/>
              </w:numPr>
              <w:spacing w:line="240" w:lineRule="auto"/>
              <w:ind w:left="313" w:hanging="284"/>
              <w:contextualSpacing/>
              <w:jc w:val="both"/>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Reglamento sobre la implementación de la gestión programa de observadores nacionales</w:t>
            </w:r>
          </w:p>
          <w:p w14:paraId="0875BF84" w14:textId="77777777" w:rsidR="009123AC" w:rsidRPr="00F0379B" w:rsidRDefault="009123AC" w:rsidP="009123AC">
            <w:pPr>
              <w:spacing w:line="240" w:lineRule="auto"/>
              <w:ind w:left="720"/>
              <w:contextualSpacing/>
              <w:rPr>
                <w:rFonts w:ascii="Cambria" w:eastAsia="SimSun" w:hAnsi="Cambria" w:cs="SimSun"/>
                <w:iCs/>
                <w:kern w:val="2"/>
                <w:sz w:val="20"/>
                <w:szCs w:val="20"/>
                <w:lang w:eastAsia="ja-JP"/>
                <w14:ligatures w14:val="standardContextual"/>
              </w:rPr>
            </w:pPr>
          </w:p>
          <w:p w14:paraId="2840ED0B" w14:textId="77777777" w:rsidR="009123AC" w:rsidRPr="00F0379B" w:rsidRDefault="009123AC" w:rsidP="00CE0EC8">
            <w:pPr>
              <w:numPr>
                <w:ilvl w:val="0"/>
                <w:numId w:val="37"/>
              </w:numPr>
              <w:spacing w:line="240" w:lineRule="auto"/>
              <w:ind w:left="313" w:hanging="284"/>
              <w:contextualSpacing/>
              <w:jc w:val="both"/>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 xml:space="preserve">Notificación expedida por la Dirección de Pesca del Ministerio de agricultura y asuntos rurales (núm. serie </w:t>
            </w:r>
            <w:r w:rsidRPr="00F0379B">
              <w:rPr>
                <w:rFonts w:ascii="Cambria" w:eastAsia="SimSun" w:hAnsi="Cambria"/>
                <w:kern w:val="2"/>
                <w:sz w:val="20"/>
                <w:szCs w:val="20"/>
                <w:lang w:eastAsia="zh-CN"/>
                <w14:ligatures w14:val="standardContextual"/>
              </w:rPr>
              <w:t xml:space="preserve">Nongyuyuanhan 2025-15) </w:t>
            </w:r>
            <w:r w:rsidRPr="00F0379B">
              <w:rPr>
                <w:rFonts w:ascii="Cambria" w:eastAsiaTheme="minorEastAsia" w:hAnsi="Cambria"/>
                <w:iCs/>
                <w:kern w:val="2"/>
                <w:sz w:val="20"/>
                <w:szCs w:val="20"/>
                <w:lang w:eastAsia="ja-JP"/>
                <w14:ligatures w14:val="standardContextual"/>
              </w:rPr>
              <w:t>sobre cumplir las medidas de conservación y ordenación adoptadas por ICCAT.</w:t>
            </w:r>
          </w:p>
          <w:p w14:paraId="5DD27A6A" w14:textId="77777777" w:rsidR="009123AC" w:rsidRPr="00F0379B" w:rsidRDefault="009123AC" w:rsidP="009123AC">
            <w:pPr>
              <w:spacing w:line="240" w:lineRule="auto"/>
              <w:ind w:left="720"/>
              <w:contextualSpacing/>
              <w:rPr>
                <w:rFonts w:ascii="Cambria" w:eastAsia="SimSun" w:hAnsi="Cambria" w:cs="SimSun"/>
                <w:iCs/>
                <w:kern w:val="2"/>
                <w:sz w:val="20"/>
                <w:szCs w:val="20"/>
                <w:lang w:eastAsia="ja-JP"/>
                <w14:ligatures w14:val="standardContextual"/>
              </w:rPr>
            </w:pPr>
          </w:p>
          <w:p w14:paraId="6EAF0FEB" w14:textId="77777777" w:rsidR="009123AC" w:rsidRPr="00F0379B" w:rsidRDefault="009123AC" w:rsidP="009123AC">
            <w:pPr>
              <w:spacing w:line="240" w:lineRule="auto"/>
              <w:ind w:left="70"/>
              <w:rPr>
                <w:rFonts w:ascii="Cambria" w:eastAsiaTheme="minorEastAsia" w:hAnsi="Cambria"/>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Sección 6: Los buques que pescan atún rojo en el océano Atlántico deben cumplir el requisito de talla mínima.</w:t>
            </w:r>
          </w:p>
        </w:tc>
        <w:tc>
          <w:tcPr>
            <w:tcW w:w="1081" w:type="dxa"/>
          </w:tcPr>
          <w:p w14:paraId="4D029B4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4353A01C" w14:textId="77777777" w:rsidTr="00CA749B">
        <w:tc>
          <w:tcPr>
            <w:tcW w:w="284" w:type="dxa"/>
          </w:tcPr>
          <w:p w14:paraId="076E7F79"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4</w:t>
            </w:r>
          </w:p>
        </w:tc>
        <w:tc>
          <w:tcPr>
            <w:tcW w:w="1701" w:type="dxa"/>
          </w:tcPr>
          <w:p w14:paraId="351CE926"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Captura fortuita (párr. 37) </w:t>
            </w:r>
          </w:p>
        </w:tc>
        <w:tc>
          <w:tcPr>
            <w:tcW w:w="2977" w:type="dxa"/>
          </w:tcPr>
          <w:p w14:paraId="3129266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 xml:space="preserve">Ningún otro buque puede capturar atún rojo de forma fortuita. Se prohíbe a todos los buques que no sean de pesca de </w:t>
            </w:r>
            <w:r w:rsidRPr="00F0379B">
              <w:rPr>
                <w:rFonts w:ascii="Cambria" w:eastAsiaTheme="minorEastAsia" w:hAnsi="Cambria"/>
                <w:iCs/>
                <w:kern w:val="2"/>
                <w:sz w:val="20"/>
                <w:szCs w:val="20"/>
                <w:lang w:eastAsia="ja-JP"/>
                <w14:ligatures w14:val="standardContextual"/>
              </w:rPr>
              <w:lastRenderedPageBreak/>
              <w:t>atún rojo capturar, retener y transbordar atún rojo. No se expedirá ningún eBCD para los atunes rojos capturados por otros buques. Toda captura fortuita debe ser descartada. Estos ejemplares de atún rojo descartados se descontarán de la cuota de atún rojo de China, y estos datos se comunicarán a ICCAT. China no ha tenido capturas fortuitas en los últimos años. Sin embargo, seguimos asignando 0,51 t para este tipo de captura fortuita descartada.</w:t>
            </w:r>
          </w:p>
        </w:tc>
        <w:tc>
          <w:tcPr>
            <w:tcW w:w="3597" w:type="dxa"/>
          </w:tcPr>
          <w:p w14:paraId="12B22D55" w14:textId="77777777" w:rsidR="009123AC" w:rsidRPr="00F0379B" w:rsidRDefault="009123AC" w:rsidP="00CE0EC8">
            <w:pPr>
              <w:numPr>
                <w:ilvl w:val="0"/>
                <w:numId w:val="38"/>
              </w:numPr>
              <w:spacing w:line="240" w:lineRule="auto"/>
              <w:ind w:left="313" w:hanging="284"/>
              <w:contextualSpacing/>
              <w:jc w:val="both"/>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lastRenderedPageBreak/>
              <w:t>Reglamento sobre la gestión de la pesca en aguas distantes</w:t>
            </w:r>
          </w:p>
          <w:p w14:paraId="5881E467" w14:textId="77777777" w:rsidR="009123AC" w:rsidRPr="00F0379B" w:rsidRDefault="009123AC" w:rsidP="009123AC">
            <w:pPr>
              <w:spacing w:line="240" w:lineRule="auto"/>
              <w:ind w:left="313" w:hanging="187"/>
              <w:contextualSpacing/>
              <w:rPr>
                <w:rFonts w:ascii="Cambria" w:eastAsia="SimSun" w:hAnsi="Cambria" w:cs="SimSun"/>
                <w:iCs/>
                <w:kern w:val="2"/>
                <w:sz w:val="20"/>
                <w:szCs w:val="20"/>
                <w:lang w:eastAsia="ja-JP"/>
                <w14:ligatures w14:val="standardContextual"/>
              </w:rPr>
            </w:pPr>
          </w:p>
          <w:p w14:paraId="0A242B0C" w14:textId="77777777" w:rsidR="009123AC" w:rsidRPr="00F0379B" w:rsidRDefault="009123AC" w:rsidP="00CE0EC8">
            <w:pPr>
              <w:numPr>
                <w:ilvl w:val="0"/>
                <w:numId w:val="38"/>
              </w:numPr>
              <w:spacing w:line="240" w:lineRule="auto"/>
              <w:ind w:left="313" w:hanging="313"/>
              <w:contextualSpacing/>
              <w:jc w:val="both"/>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lastRenderedPageBreak/>
              <w:t>Reglamento sobre la implementación de la gestión de los observadores nacionales, que estipula que los buques de pesca de atún están obligados a recibir observadores nacionales de acuerdo con los requisitos de las OROP de túnidos.</w:t>
            </w:r>
          </w:p>
          <w:p w14:paraId="289426DB" w14:textId="77777777" w:rsidR="009123AC" w:rsidRPr="00F0379B" w:rsidRDefault="009123AC" w:rsidP="009123AC">
            <w:pPr>
              <w:spacing w:line="240" w:lineRule="auto"/>
              <w:ind w:left="720"/>
              <w:contextualSpacing/>
              <w:rPr>
                <w:rFonts w:ascii="Cambria" w:eastAsia="SimSun" w:hAnsi="Cambria" w:cs="SimSun"/>
                <w:iCs/>
                <w:kern w:val="2"/>
                <w:sz w:val="20"/>
                <w:szCs w:val="20"/>
                <w:lang w:eastAsia="ja-JP"/>
                <w14:ligatures w14:val="standardContextual"/>
              </w:rPr>
            </w:pPr>
          </w:p>
          <w:p w14:paraId="56A35B93" w14:textId="77777777" w:rsidR="009123AC" w:rsidRPr="00F0379B" w:rsidRDefault="009123AC" w:rsidP="00CE0EC8">
            <w:pPr>
              <w:numPr>
                <w:ilvl w:val="0"/>
                <w:numId w:val="38"/>
              </w:numPr>
              <w:spacing w:line="240" w:lineRule="auto"/>
              <w:ind w:left="313" w:hanging="313"/>
              <w:contextualSpacing/>
              <w:jc w:val="both"/>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 xml:space="preserve">Notificación expedida por la Dirección de Pesca del Ministerio de agricultura y asuntos rurales (núm. serie </w:t>
            </w:r>
            <w:r w:rsidRPr="00F0379B">
              <w:rPr>
                <w:rFonts w:ascii="Cambria" w:eastAsia="SimSun" w:hAnsi="Cambria"/>
                <w:kern w:val="2"/>
                <w:sz w:val="20"/>
                <w:szCs w:val="20"/>
                <w:lang w:eastAsia="zh-CN"/>
                <w14:ligatures w14:val="standardContextual"/>
              </w:rPr>
              <w:t xml:space="preserve">Nongyuyuanhan 2025-15) </w:t>
            </w:r>
            <w:r w:rsidRPr="00F0379B">
              <w:rPr>
                <w:rFonts w:ascii="Cambria" w:eastAsiaTheme="minorEastAsia" w:hAnsi="Cambria"/>
                <w:iCs/>
                <w:kern w:val="2"/>
                <w:sz w:val="20"/>
                <w:szCs w:val="20"/>
                <w:lang w:eastAsia="ja-JP"/>
                <w14:ligatures w14:val="standardContextual"/>
              </w:rPr>
              <w:t>sobre cumplir las medidas de conservación y ordenación adoptadas por ICCAT.</w:t>
            </w:r>
          </w:p>
          <w:p w14:paraId="53FD0333" w14:textId="77777777" w:rsidR="009123AC" w:rsidRPr="00F0379B" w:rsidRDefault="009123AC" w:rsidP="009123AC">
            <w:pPr>
              <w:spacing w:line="240" w:lineRule="auto"/>
              <w:ind w:left="313"/>
              <w:contextualSpacing/>
              <w:rPr>
                <w:rFonts w:ascii="Cambria" w:eastAsia="SimSun" w:hAnsi="Cambria" w:cs="SimSun"/>
                <w:iCs/>
                <w:kern w:val="2"/>
                <w:sz w:val="20"/>
                <w:szCs w:val="20"/>
                <w:lang w:eastAsia="ja-JP"/>
                <w14:ligatures w14:val="standardContextual"/>
              </w:rPr>
            </w:pPr>
          </w:p>
          <w:p w14:paraId="2C708B7A" w14:textId="77777777" w:rsidR="009123AC" w:rsidRPr="00F0379B" w:rsidRDefault="009123AC" w:rsidP="009123AC">
            <w:pPr>
              <w:spacing w:line="240" w:lineRule="auto"/>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Sección 4: Cuota de pesca: el buque de pesca de atún no está autorizado a capturar si no tiene asignada una cuota.</w:t>
            </w:r>
          </w:p>
        </w:tc>
        <w:tc>
          <w:tcPr>
            <w:tcW w:w="1081" w:type="dxa"/>
          </w:tcPr>
          <w:p w14:paraId="74A399E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55543406" w14:textId="77777777" w:rsidTr="00CA749B">
        <w:tc>
          <w:tcPr>
            <w:tcW w:w="284" w:type="dxa"/>
          </w:tcPr>
          <w:p w14:paraId="7A323BBE"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5</w:t>
            </w:r>
          </w:p>
        </w:tc>
        <w:tc>
          <w:tcPr>
            <w:tcW w:w="1701" w:type="dxa"/>
          </w:tcPr>
          <w:p w14:paraId="742AE59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Pesquerías deportivas y de recreo (párrs. 38-46)</w:t>
            </w:r>
          </w:p>
        </w:tc>
        <w:tc>
          <w:tcPr>
            <w:tcW w:w="2977" w:type="dxa"/>
          </w:tcPr>
          <w:p w14:paraId="2CB72F4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No aplicable, ya que China no cuenta con dicha pesquería.</w:t>
            </w:r>
          </w:p>
        </w:tc>
        <w:tc>
          <w:tcPr>
            <w:tcW w:w="3597" w:type="dxa"/>
          </w:tcPr>
          <w:p w14:paraId="0A9D3A5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No aplicable, ya que China no cuenta con dicha pesquería.</w:t>
            </w:r>
          </w:p>
        </w:tc>
        <w:tc>
          <w:tcPr>
            <w:tcW w:w="1081" w:type="dxa"/>
          </w:tcPr>
          <w:p w14:paraId="4CD2FD8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31316053" w14:textId="77777777" w:rsidTr="00CA749B">
        <w:trPr>
          <w:trHeight w:val="3654"/>
        </w:trPr>
        <w:tc>
          <w:tcPr>
            <w:tcW w:w="284" w:type="dxa"/>
          </w:tcPr>
          <w:p w14:paraId="1A5CB52E"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6</w:t>
            </w:r>
          </w:p>
        </w:tc>
        <w:tc>
          <w:tcPr>
            <w:tcW w:w="1701" w:type="dxa"/>
          </w:tcPr>
          <w:p w14:paraId="719F67DF"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Transbordo (párrs. 89-94) </w:t>
            </w:r>
          </w:p>
        </w:tc>
        <w:tc>
          <w:tcPr>
            <w:tcW w:w="2977" w:type="dxa"/>
          </w:tcPr>
          <w:p w14:paraId="0B60BEC4" w14:textId="77777777" w:rsidR="009123AC" w:rsidRPr="00F0379B" w:rsidRDefault="009123AC" w:rsidP="009123AC">
            <w:pPr>
              <w:spacing w:line="240" w:lineRule="auto"/>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Los buques pesqueros que se dirigen al atún rojo solo transbordarán y/o desembarcarán las capturas de atún rojo en los puertos designados.</w:t>
            </w:r>
          </w:p>
          <w:p w14:paraId="19831649" w14:textId="77777777" w:rsidR="009123AC" w:rsidRPr="00F0379B" w:rsidRDefault="009123AC" w:rsidP="009123AC">
            <w:pPr>
              <w:spacing w:line="240" w:lineRule="auto"/>
              <w:rPr>
                <w:rFonts w:ascii="Cambria" w:eastAsia="SimSun" w:hAnsi="Cambria" w:cs="SimSun"/>
                <w:iCs/>
                <w:kern w:val="2"/>
                <w:sz w:val="20"/>
                <w:szCs w:val="20"/>
                <w:lang w:eastAsia="ja-JP"/>
                <w14:ligatures w14:val="standardContextual"/>
              </w:rPr>
            </w:pPr>
          </w:p>
          <w:p w14:paraId="54FAA10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No está permitido el transbordo en el mar para los buques de pesca de atún rojo.</w:t>
            </w:r>
          </w:p>
        </w:tc>
        <w:tc>
          <w:tcPr>
            <w:tcW w:w="3597" w:type="dxa"/>
          </w:tcPr>
          <w:p w14:paraId="2E0026FE" w14:textId="77777777" w:rsidR="009123AC" w:rsidRPr="00F0379B" w:rsidRDefault="009123AC" w:rsidP="00CE0EC8">
            <w:pPr>
              <w:numPr>
                <w:ilvl w:val="0"/>
                <w:numId w:val="39"/>
              </w:numPr>
              <w:spacing w:line="240" w:lineRule="auto"/>
              <w:ind w:left="313" w:hanging="284"/>
              <w:contextualSpacing/>
              <w:jc w:val="both"/>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Reglamento sobre la gestión de la pesca en aguas distantes</w:t>
            </w:r>
          </w:p>
          <w:p w14:paraId="56E4A082" w14:textId="77777777" w:rsidR="009123AC" w:rsidRPr="00F0379B" w:rsidRDefault="009123AC" w:rsidP="009123AC">
            <w:pPr>
              <w:spacing w:line="240" w:lineRule="auto"/>
              <w:ind w:left="313"/>
              <w:contextualSpacing/>
              <w:rPr>
                <w:rFonts w:ascii="Cambria" w:eastAsia="SimSun" w:hAnsi="Cambria" w:cs="SimSun"/>
                <w:iCs/>
                <w:kern w:val="2"/>
                <w:sz w:val="20"/>
                <w:szCs w:val="20"/>
                <w:lang w:eastAsia="ja-JP"/>
                <w14:ligatures w14:val="standardContextual"/>
              </w:rPr>
            </w:pPr>
          </w:p>
          <w:p w14:paraId="1BEE8AF2" w14:textId="77777777" w:rsidR="009123AC" w:rsidRPr="00F0379B" w:rsidRDefault="009123AC" w:rsidP="00CE0EC8">
            <w:pPr>
              <w:numPr>
                <w:ilvl w:val="0"/>
                <w:numId w:val="39"/>
              </w:numPr>
              <w:spacing w:line="240" w:lineRule="auto"/>
              <w:ind w:left="313" w:hanging="284"/>
              <w:contextualSpacing/>
              <w:jc w:val="both"/>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 xml:space="preserve">Notificación expedida por la Dirección de Pesca del Ministerio de agricultura y asuntos rurales (núm. serie </w:t>
            </w:r>
            <w:r w:rsidRPr="00F0379B">
              <w:rPr>
                <w:rFonts w:ascii="Cambria" w:eastAsia="SimSun" w:hAnsi="Cambria"/>
                <w:kern w:val="2"/>
                <w:sz w:val="20"/>
                <w:szCs w:val="20"/>
                <w:lang w:eastAsia="zh-CN"/>
                <w14:ligatures w14:val="standardContextual"/>
              </w:rPr>
              <w:t xml:space="preserve">Nongyuyuanhan 2025-15) </w:t>
            </w:r>
            <w:r w:rsidRPr="00F0379B">
              <w:rPr>
                <w:rFonts w:ascii="Cambria" w:eastAsiaTheme="minorEastAsia" w:hAnsi="Cambria"/>
                <w:iCs/>
                <w:kern w:val="2"/>
                <w:sz w:val="20"/>
                <w:szCs w:val="20"/>
                <w:lang w:eastAsia="ja-JP"/>
                <w14:ligatures w14:val="standardContextual"/>
              </w:rPr>
              <w:t>sobre cumplir las medidas de conservación y ordenación adoptadas por ICCAT.</w:t>
            </w:r>
          </w:p>
          <w:p w14:paraId="29553916" w14:textId="77777777" w:rsidR="009123AC" w:rsidRPr="00F0379B" w:rsidRDefault="009123AC" w:rsidP="009123AC">
            <w:pPr>
              <w:spacing w:line="240" w:lineRule="auto"/>
              <w:rPr>
                <w:rFonts w:ascii="Cambria" w:eastAsia="Times New Roman" w:hAnsi="Cambria"/>
                <w:iCs/>
                <w:kern w:val="2"/>
                <w:sz w:val="20"/>
                <w:szCs w:val="20"/>
                <w:lang w:eastAsia="ja-JP"/>
                <w14:ligatures w14:val="standardContextual"/>
              </w:rPr>
            </w:pPr>
          </w:p>
          <w:p w14:paraId="457BCC4C" w14:textId="77777777" w:rsidR="009123AC" w:rsidRPr="00F0379B" w:rsidRDefault="009123AC" w:rsidP="009123AC">
            <w:pPr>
              <w:spacing w:line="240" w:lineRule="auto"/>
              <w:rPr>
                <w:rFonts w:ascii="Cambria" w:eastAsia="Times New Roman"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Sección 8, Transbordo: Los buques de pesca de atún con palangre que se dirigen al atún rojo del Atlántico sólo pueden realizar transbordos y/o desembarques en los puertos designados de acuerdo con los requisitos pertinentes de ICCAT.</w:t>
            </w:r>
          </w:p>
        </w:tc>
        <w:tc>
          <w:tcPr>
            <w:tcW w:w="1081" w:type="dxa"/>
          </w:tcPr>
          <w:p w14:paraId="39594824" w14:textId="77777777" w:rsidR="009123AC" w:rsidRPr="00F0379B" w:rsidRDefault="009123AC" w:rsidP="009123AC">
            <w:pPr>
              <w:spacing w:line="240" w:lineRule="auto"/>
              <w:ind w:right="-47"/>
              <w:rPr>
                <w:rFonts w:ascii="Cambria" w:eastAsiaTheme="minorEastAsia" w:hAnsi="Cambria"/>
                <w:kern w:val="2"/>
                <w:sz w:val="20"/>
                <w:szCs w:val="20"/>
                <w:lang w:eastAsia="ja-JP"/>
                <w14:ligatures w14:val="standardContextual"/>
              </w:rPr>
            </w:pPr>
          </w:p>
        </w:tc>
      </w:tr>
      <w:tr w:rsidR="009123AC" w:rsidRPr="00F0379B" w14:paraId="10C549E4" w14:textId="77777777" w:rsidTr="00CA749B">
        <w:tc>
          <w:tcPr>
            <w:tcW w:w="284" w:type="dxa"/>
          </w:tcPr>
          <w:p w14:paraId="4E49226C"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7</w:t>
            </w:r>
          </w:p>
        </w:tc>
        <w:tc>
          <w:tcPr>
            <w:tcW w:w="1701" w:type="dxa"/>
          </w:tcPr>
          <w:p w14:paraId="66BA7401"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VMS (p</w:t>
            </w:r>
            <w:proofErr w:type="spellStart"/>
            <w:r w:rsidRPr="00F0379B">
              <w:rPr>
                <w:rFonts w:ascii="Cambria" w:eastAsiaTheme="minorEastAsia" w:hAnsi="Cambria"/>
                <w:b/>
                <w:kern w:val="2"/>
                <w:sz w:val="20"/>
                <w:szCs w:val="20"/>
                <w:lang w:val="fr-BE" w:eastAsia="ja-JP"/>
                <w14:ligatures w14:val="standardContextual"/>
              </w:rPr>
              <w:t>árrs</w:t>
            </w:r>
            <w:proofErr w:type="spellEnd"/>
            <w:r w:rsidRPr="00F0379B">
              <w:rPr>
                <w:rFonts w:ascii="Cambria" w:eastAsiaTheme="minorEastAsia" w:hAnsi="Cambria"/>
                <w:b/>
                <w:kern w:val="2"/>
                <w:sz w:val="20"/>
                <w:szCs w:val="20"/>
                <w:lang w:val="fr-BE" w:eastAsia="ja-JP"/>
                <w14:ligatures w14:val="standardContextual"/>
              </w:rPr>
              <w:t>. </w:t>
            </w:r>
            <w:r w:rsidRPr="00F0379B">
              <w:rPr>
                <w:rFonts w:ascii="Cambria" w:eastAsiaTheme="minorEastAsia" w:hAnsi="Cambria"/>
                <w:b/>
                <w:kern w:val="2"/>
                <w:sz w:val="20"/>
                <w:szCs w:val="20"/>
                <w:lang w:eastAsia="ja-JP"/>
                <w14:ligatures w14:val="standardContextual"/>
              </w:rPr>
              <w:t>222-228)</w:t>
            </w:r>
          </w:p>
        </w:tc>
        <w:tc>
          <w:tcPr>
            <w:tcW w:w="2977" w:type="dxa"/>
          </w:tcPr>
          <w:p w14:paraId="1A01445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Los datos de VMS podrían comunicarse directamente a la Secretaría según se requiera y nosotros también verificaremos la posición del buque mediante nuestra plataforma VMS. Desde nuestras plataformas podemos hacer diariamente un seguimiento y recabar 24 posiciones, una cada hora, que es un requisito más estricto que la disposición de ICCAT.</w:t>
            </w:r>
          </w:p>
        </w:tc>
        <w:tc>
          <w:tcPr>
            <w:tcW w:w="3597" w:type="dxa"/>
          </w:tcPr>
          <w:p w14:paraId="3DA7D915" w14:textId="77777777" w:rsidR="009123AC" w:rsidRPr="00F0379B" w:rsidRDefault="009123AC" w:rsidP="00CE0EC8">
            <w:pPr>
              <w:numPr>
                <w:ilvl w:val="0"/>
                <w:numId w:val="40"/>
              </w:numPr>
              <w:spacing w:line="240" w:lineRule="auto"/>
              <w:ind w:left="313" w:hanging="284"/>
              <w:contextualSpacing/>
              <w:jc w:val="both"/>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Reglamento sobre la gestión de la pesca en aguas distantes</w:t>
            </w:r>
          </w:p>
          <w:p w14:paraId="6B3FD0CB" w14:textId="77777777" w:rsidR="009123AC" w:rsidRPr="00F0379B" w:rsidRDefault="009123AC" w:rsidP="00CE0EC8">
            <w:pPr>
              <w:numPr>
                <w:ilvl w:val="0"/>
                <w:numId w:val="40"/>
              </w:numPr>
              <w:spacing w:line="240" w:lineRule="auto"/>
              <w:ind w:left="313" w:hanging="284"/>
              <w:contextualSpacing/>
              <w:jc w:val="both"/>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Reglamento sobre la gestión del VMS, que estipula que los buques deben comunicar su posición una vez por hora.</w:t>
            </w:r>
          </w:p>
          <w:p w14:paraId="0A39F79B" w14:textId="77777777" w:rsidR="009123AC" w:rsidRPr="00F0379B" w:rsidRDefault="009123AC" w:rsidP="00CE0EC8">
            <w:pPr>
              <w:numPr>
                <w:ilvl w:val="0"/>
                <w:numId w:val="40"/>
              </w:numPr>
              <w:spacing w:line="240" w:lineRule="auto"/>
              <w:ind w:left="313" w:hanging="284"/>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 xml:space="preserve">Notificación expedida por la Dirección de Pesca del Ministerio de agricultura y asuntos rurales (núm. serie </w:t>
            </w:r>
            <w:r w:rsidRPr="00F0379B">
              <w:rPr>
                <w:rFonts w:ascii="Cambria" w:eastAsia="SimSun" w:hAnsi="Cambria"/>
                <w:kern w:val="2"/>
                <w:sz w:val="20"/>
                <w:szCs w:val="20"/>
                <w:lang w:eastAsia="zh-CN"/>
                <w14:ligatures w14:val="standardContextual"/>
              </w:rPr>
              <w:t xml:space="preserve">Nongyuyuanhan 2025-15) </w:t>
            </w:r>
            <w:r w:rsidRPr="00F0379B">
              <w:rPr>
                <w:rFonts w:ascii="Cambria" w:eastAsiaTheme="minorEastAsia" w:hAnsi="Cambria"/>
                <w:iCs/>
                <w:kern w:val="2"/>
                <w:sz w:val="20"/>
                <w:szCs w:val="20"/>
                <w:lang w:eastAsia="ja-JP"/>
                <w14:ligatures w14:val="standardContextual"/>
              </w:rPr>
              <w:t xml:space="preserve">sobre cumplir las medidas de </w:t>
            </w:r>
            <w:r w:rsidRPr="00F0379B">
              <w:rPr>
                <w:rFonts w:ascii="Cambria" w:eastAsiaTheme="minorEastAsia" w:hAnsi="Cambria"/>
                <w:iCs/>
                <w:kern w:val="2"/>
                <w:sz w:val="20"/>
                <w:szCs w:val="20"/>
                <w:lang w:eastAsia="ja-JP"/>
                <w14:ligatures w14:val="standardContextual"/>
              </w:rPr>
              <w:lastRenderedPageBreak/>
              <w:t>conservación y ordenación adoptadas por ICCAT.</w:t>
            </w:r>
          </w:p>
          <w:p w14:paraId="6CDCB286" w14:textId="77777777" w:rsidR="009123AC" w:rsidRPr="00F0379B" w:rsidRDefault="009123AC" w:rsidP="009123AC">
            <w:pPr>
              <w:spacing w:line="240" w:lineRule="auto"/>
              <w:ind w:left="29"/>
              <w:rPr>
                <w:rFonts w:ascii="Cambria" w:eastAsiaTheme="minorEastAsia" w:hAnsi="Cambria"/>
                <w:kern w:val="2"/>
                <w:sz w:val="20"/>
                <w:szCs w:val="20"/>
                <w:lang w:eastAsia="ja-JP"/>
                <w14:ligatures w14:val="standardContextual"/>
              </w:rPr>
            </w:pPr>
          </w:p>
          <w:p w14:paraId="69B9A7E0" w14:textId="77777777" w:rsidR="009123AC" w:rsidRPr="00F0379B" w:rsidRDefault="009123AC" w:rsidP="009123AC">
            <w:pPr>
              <w:spacing w:line="240" w:lineRule="auto"/>
              <w:ind w:left="29"/>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Sección 7: Los datos de VMS podrían comunicarse directamente a la Secretaría en caso necesario. </w:t>
            </w:r>
          </w:p>
        </w:tc>
        <w:tc>
          <w:tcPr>
            <w:tcW w:w="1081" w:type="dxa"/>
          </w:tcPr>
          <w:p w14:paraId="126A3D7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68C148E8" w14:textId="77777777" w:rsidTr="00CA749B">
        <w:tc>
          <w:tcPr>
            <w:tcW w:w="284" w:type="dxa"/>
          </w:tcPr>
          <w:p w14:paraId="7BB057C3"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8</w:t>
            </w:r>
          </w:p>
        </w:tc>
        <w:tc>
          <w:tcPr>
            <w:tcW w:w="1701" w:type="dxa"/>
          </w:tcPr>
          <w:p w14:paraId="3723CCED"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Programa de observadores de las CPC </w:t>
            </w:r>
          </w:p>
          <w:p w14:paraId="737967F3"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95-100)</w:t>
            </w:r>
          </w:p>
        </w:tc>
        <w:tc>
          <w:tcPr>
            <w:tcW w:w="2977" w:type="dxa"/>
          </w:tcPr>
          <w:p w14:paraId="1395DCE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Se implementará una cobertura de observadores de al menos el 20 %.</w:t>
            </w:r>
          </w:p>
        </w:tc>
        <w:tc>
          <w:tcPr>
            <w:tcW w:w="3597" w:type="dxa"/>
          </w:tcPr>
          <w:p w14:paraId="774834B3" w14:textId="77777777" w:rsidR="009123AC" w:rsidRPr="00F0379B" w:rsidRDefault="009123AC" w:rsidP="00CE0EC8">
            <w:pPr>
              <w:numPr>
                <w:ilvl w:val="0"/>
                <w:numId w:val="41"/>
              </w:numPr>
              <w:spacing w:line="240" w:lineRule="auto"/>
              <w:ind w:left="313" w:hanging="284"/>
              <w:contextualSpacing/>
              <w:jc w:val="both"/>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Reglamento sobre la gestión de la pesca en aguas distantes</w:t>
            </w:r>
          </w:p>
          <w:p w14:paraId="281AAC5E" w14:textId="77777777" w:rsidR="009123AC" w:rsidRPr="00F0379B" w:rsidRDefault="009123AC" w:rsidP="009123AC">
            <w:pPr>
              <w:spacing w:line="240" w:lineRule="auto"/>
              <w:ind w:left="984"/>
              <w:contextualSpacing/>
              <w:rPr>
                <w:rFonts w:ascii="Cambria" w:eastAsia="SimSun" w:hAnsi="Cambria" w:cs="SimSun"/>
                <w:iCs/>
                <w:kern w:val="2"/>
                <w:sz w:val="20"/>
                <w:szCs w:val="20"/>
                <w:lang w:eastAsia="ja-JP"/>
                <w14:ligatures w14:val="standardContextual"/>
              </w:rPr>
            </w:pPr>
          </w:p>
          <w:p w14:paraId="22535702" w14:textId="77777777" w:rsidR="009123AC" w:rsidRPr="00F0379B" w:rsidRDefault="009123AC" w:rsidP="00CE0EC8">
            <w:pPr>
              <w:numPr>
                <w:ilvl w:val="0"/>
                <w:numId w:val="41"/>
              </w:numPr>
              <w:spacing w:line="240" w:lineRule="auto"/>
              <w:ind w:left="313" w:hanging="284"/>
              <w:contextualSpacing/>
              <w:jc w:val="both"/>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Reglamento sobre la orientación de la implementación de la gestión de los programas de observadores nacionales, que estipula que los buques de pesca de atún están obligados a recibir observadores nacionales de acuerdo con los requisitos de las OROP de túnidos.</w:t>
            </w:r>
          </w:p>
          <w:p w14:paraId="723DBECA" w14:textId="77777777" w:rsidR="009123AC" w:rsidRPr="00F0379B" w:rsidRDefault="009123AC" w:rsidP="009123AC">
            <w:pPr>
              <w:spacing w:line="240" w:lineRule="auto"/>
              <w:ind w:left="720"/>
              <w:contextualSpacing/>
              <w:rPr>
                <w:rFonts w:ascii="Cambria" w:eastAsia="SimSun" w:hAnsi="Cambria" w:cs="SimSun"/>
                <w:iCs/>
                <w:kern w:val="2"/>
                <w:sz w:val="20"/>
                <w:szCs w:val="20"/>
                <w:lang w:eastAsia="ja-JP"/>
                <w14:ligatures w14:val="standardContextual"/>
              </w:rPr>
            </w:pPr>
          </w:p>
          <w:p w14:paraId="45CD4E22" w14:textId="77777777" w:rsidR="009123AC" w:rsidRPr="00F0379B" w:rsidRDefault="009123AC" w:rsidP="00CE0EC8">
            <w:pPr>
              <w:numPr>
                <w:ilvl w:val="0"/>
                <w:numId w:val="41"/>
              </w:numPr>
              <w:spacing w:line="240" w:lineRule="auto"/>
              <w:ind w:left="313" w:hanging="284"/>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 xml:space="preserve">Notificación expedida por la Dirección de Pesca del Ministerio de agricultura y asuntos rurales (núm. serie </w:t>
            </w:r>
            <w:r w:rsidRPr="00F0379B">
              <w:rPr>
                <w:rFonts w:ascii="Cambria" w:eastAsia="SimSun" w:hAnsi="Cambria"/>
                <w:kern w:val="2"/>
                <w:sz w:val="20"/>
                <w:szCs w:val="20"/>
                <w:lang w:eastAsia="zh-CN"/>
                <w14:ligatures w14:val="standardContextual"/>
              </w:rPr>
              <w:t xml:space="preserve">Nongyuyuanhan 2025-15) </w:t>
            </w:r>
            <w:r w:rsidRPr="00F0379B">
              <w:rPr>
                <w:rFonts w:ascii="Cambria" w:eastAsiaTheme="minorEastAsia" w:hAnsi="Cambria"/>
                <w:iCs/>
                <w:kern w:val="2"/>
                <w:sz w:val="20"/>
                <w:szCs w:val="20"/>
                <w:lang w:eastAsia="ja-JP"/>
                <w14:ligatures w14:val="standardContextual"/>
              </w:rPr>
              <w:t>sobre cumplir las medidas de conservación y ordenación adoptadas por ICCAT.</w:t>
            </w:r>
          </w:p>
          <w:p w14:paraId="703B46D7" w14:textId="77777777" w:rsidR="009123AC" w:rsidRPr="00F0379B" w:rsidRDefault="009123AC" w:rsidP="009123AC">
            <w:pPr>
              <w:spacing w:line="240" w:lineRule="auto"/>
              <w:ind w:left="720"/>
              <w:contextualSpacing/>
              <w:rPr>
                <w:rFonts w:ascii="Cambria" w:eastAsiaTheme="minorEastAsia" w:hAnsi="Cambria"/>
                <w:kern w:val="2"/>
                <w:sz w:val="20"/>
                <w:szCs w:val="20"/>
                <w:lang w:eastAsia="ja-JP"/>
                <w14:ligatures w14:val="standardContextual"/>
              </w:rPr>
            </w:pPr>
          </w:p>
          <w:p w14:paraId="2D1993C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Sección 9: Requisito sobre observadores y EMS</w:t>
            </w:r>
          </w:p>
        </w:tc>
        <w:tc>
          <w:tcPr>
            <w:tcW w:w="1081" w:type="dxa"/>
          </w:tcPr>
          <w:p w14:paraId="4947F65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50544C0B" w14:textId="77777777" w:rsidTr="00CA749B">
        <w:tc>
          <w:tcPr>
            <w:tcW w:w="284" w:type="dxa"/>
          </w:tcPr>
          <w:p w14:paraId="5A16D10F"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9</w:t>
            </w:r>
          </w:p>
        </w:tc>
        <w:tc>
          <w:tcPr>
            <w:tcW w:w="1701" w:type="dxa"/>
          </w:tcPr>
          <w:p w14:paraId="385F120E" w14:textId="77777777" w:rsidR="009123AC" w:rsidRPr="00F0379B" w:rsidRDefault="009123AC" w:rsidP="009123AC">
            <w:pPr>
              <w:spacing w:line="240" w:lineRule="auto"/>
              <w:rPr>
                <w:rFonts w:ascii="Cambria" w:eastAsiaTheme="minorEastAsia" w:hAnsi="Cambria"/>
                <w:b/>
                <w:kern w:val="2"/>
                <w:sz w:val="20"/>
                <w:szCs w:val="20"/>
                <w:lang w:val="pt-BR" w:eastAsia="ja-JP"/>
                <w14:ligatures w14:val="standardContextual"/>
              </w:rPr>
            </w:pPr>
            <w:r w:rsidRPr="00F0379B">
              <w:rPr>
                <w:rFonts w:ascii="Cambria" w:eastAsiaTheme="minorEastAsia" w:hAnsi="Cambria"/>
                <w:b/>
                <w:kern w:val="2"/>
                <w:sz w:val="20"/>
                <w:szCs w:val="20"/>
                <w:lang w:val="pt-BR" w:eastAsia="ja-JP"/>
                <w14:ligatures w14:val="standardContextual"/>
              </w:rPr>
              <w:t>Programa regional de observadores (</w:t>
            </w:r>
            <w:proofErr w:type="spellStart"/>
            <w:r w:rsidRPr="00F0379B">
              <w:rPr>
                <w:rFonts w:ascii="Cambria" w:eastAsiaTheme="minorEastAsia" w:hAnsi="Cambria"/>
                <w:b/>
                <w:kern w:val="2"/>
                <w:sz w:val="20"/>
                <w:szCs w:val="20"/>
                <w:lang w:val="pt-BR" w:eastAsia="ja-JP"/>
                <w14:ligatures w14:val="standardContextual"/>
              </w:rPr>
              <w:t>párr</w:t>
            </w:r>
            <w:proofErr w:type="spellEnd"/>
            <w:r w:rsidRPr="00F0379B">
              <w:rPr>
                <w:rFonts w:ascii="Cambria" w:eastAsiaTheme="minorEastAsia" w:hAnsi="Cambria"/>
                <w:b/>
                <w:kern w:val="2"/>
                <w:sz w:val="20"/>
                <w:szCs w:val="20"/>
                <w:lang w:val="pt-BR" w:eastAsia="ja-JP"/>
                <w14:ligatures w14:val="standardContextual"/>
              </w:rPr>
              <w:t>. 101-107)</w:t>
            </w:r>
          </w:p>
        </w:tc>
        <w:tc>
          <w:tcPr>
            <w:tcW w:w="2977" w:type="dxa"/>
          </w:tcPr>
          <w:p w14:paraId="3244624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No aplicable, ya que China no cuenta con cerqueros y tampoco tiene actividades de cría o introducción en jaulas.</w:t>
            </w:r>
          </w:p>
        </w:tc>
        <w:tc>
          <w:tcPr>
            <w:tcW w:w="3597" w:type="dxa"/>
          </w:tcPr>
          <w:p w14:paraId="047A0FD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No aplicable, ya que China no cuenta con cerqueros y tampoco tiene actividades de cría o introducción en jaulas.</w:t>
            </w:r>
          </w:p>
        </w:tc>
        <w:tc>
          <w:tcPr>
            <w:tcW w:w="1081" w:type="dxa"/>
          </w:tcPr>
          <w:p w14:paraId="59BD5AE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4DC475AA" w14:textId="77777777" w:rsidTr="00CA749B">
        <w:tc>
          <w:tcPr>
            <w:tcW w:w="284" w:type="dxa"/>
          </w:tcPr>
          <w:p w14:paraId="4CF627D3" w14:textId="77777777" w:rsidR="009123AC" w:rsidRPr="00F0379B" w:rsidRDefault="009123AC" w:rsidP="009123AC">
            <w:pPr>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bCs/>
                <w:iCs/>
                <w:kern w:val="2"/>
                <w:sz w:val="20"/>
                <w:szCs w:val="20"/>
                <w:lang w:eastAsia="ja-JP"/>
                <w14:ligatures w14:val="standardContextual"/>
              </w:rPr>
              <w:t>10</w:t>
            </w:r>
          </w:p>
        </w:tc>
        <w:tc>
          <w:tcPr>
            <w:tcW w:w="1701" w:type="dxa"/>
          </w:tcPr>
          <w:p w14:paraId="1A629DB9" w14:textId="77777777" w:rsidR="009123AC" w:rsidRPr="00F0379B" w:rsidRDefault="009123AC" w:rsidP="009123AC">
            <w:pPr>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bCs/>
                <w:iCs/>
                <w:kern w:val="2"/>
                <w:sz w:val="20"/>
                <w:szCs w:val="20"/>
                <w:lang w:eastAsia="ja-JP"/>
                <w14:ligatures w14:val="standardContextual"/>
              </w:rPr>
              <w:t>Legislación nacional</w:t>
            </w:r>
          </w:p>
        </w:tc>
        <w:tc>
          <w:tcPr>
            <w:tcW w:w="2977" w:type="dxa"/>
          </w:tcPr>
          <w:p w14:paraId="54499467" w14:textId="77777777" w:rsidR="009123AC" w:rsidRPr="00F0379B" w:rsidRDefault="009123AC" w:rsidP="009123AC">
            <w:pPr>
              <w:spacing w:line="240" w:lineRule="auto"/>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China ha incorporado las Recomendaciones al derecho interno y a la legislación pertinente.</w:t>
            </w:r>
          </w:p>
        </w:tc>
        <w:tc>
          <w:tcPr>
            <w:tcW w:w="3597" w:type="dxa"/>
          </w:tcPr>
          <w:p w14:paraId="25CF1739" w14:textId="77777777" w:rsidR="009123AC" w:rsidRPr="00F0379B" w:rsidRDefault="009123AC" w:rsidP="00CE0EC8">
            <w:pPr>
              <w:widowControl w:val="0"/>
              <w:numPr>
                <w:ilvl w:val="0"/>
                <w:numId w:val="42"/>
              </w:numPr>
              <w:spacing w:line="240" w:lineRule="auto"/>
              <w:ind w:left="310"/>
              <w:contextualSpacing/>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Reglamento sobre la ordenación de pesquerías en aguas distantes</w:t>
            </w:r>
          </w:p>
          <w:p w14:paraId="14BABD73" w14:textId="77777777" w:rsidR="009123AC" w:rsidRPr="00F0379B" w:rsidRDefault="009123AC" w:rsidP="00CE0EC8">
            <w:pPr>
              <w:widowControl w:val="0"/>
              <w:numPr>
                <w:ilvl w:val="0"/>
                <w:numId w:val="42"/>
              </w:numPr>
              <w:spacing w:line="240" w:lineRule="auto"/>
              <w:ind w:left="310"/>
              <w:contextualSpacing/>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Reglamento sobre la implementación del programa de observadores nacionales</w:t>
            </w:r>
          </w:p>
          <w:p w14:paraId="5B02B327" w14:textId="77777777" w:rsidR="009123AC" w:rsidRPr="00F0379B" w:rsidRDefault="009123AC" w:rsidP="00CE0EC8">
            <w:pPr>
              <w:widowControl w:val="0"/>
              <w:numPr>
                <w:ilvl w:val="0"/>
                <w:numId w:val="42"/>
              </w:numPr>
              <w:spacing w:line="240" w:lineRule="auto"/>
              <w:ind w:left="310"/>
              <w:contextualSpacing/>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Reglamento sobre la gestión del VMS</w:t>
            </w:r>
          </w:p>
          <w:p w14:paraId="119FB8DC" w14:textId="77777777" w:rsidR="009123AC" w:rsidRPr="00F0379B" w:rsidRDefault="009123AC" w:rsidP="00CE0EC8">
            <w:pPr>
              <w:widowControl w:val="0"/>
              <w:numPr>
                <w:ilvl w:val="0"/>
                <w:numId w:val="42"/>
              </w:numPr>
              <w:spacing w:line="240" w:lineRule="auto"/>
              <w:ind w:left="310"/>
              <w:contextualSpacing/>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 xml:space="preserve">Notificación expedida por la Dirección de Pesca del Ministerio de agricultura y asuntos rurales (núm. serie </w:t>
            </w:r>
            <w:r w:rsidRPr="00F0379B">
              <w:rPr>
                <w:rFonts w:ascii="Cambria" w:eastAsia="SimSun" w:hAnsi="Cambria"/>
                <w:kern w:val="2"/>
                <w:sz w:val="20"/>
                <w:szCs w:val="20"/>
                <w:lang w:eastAsia="zh-CN"/>
                <w14:ligatures w14:val="standardContextual"/>
              </w:rPr>
              <w:t xml:space="preserve">Nongyuyuanhan 2025-15) </w:t>
            </w:r>
            <w:r w:rsidRPr="00F0379B">
              <w:rPr>
                <w:rFonts w:ascii="Cambria" w:eastAsiaTheme="minorEastAsia" w:hAnsi="Cambria"/>
                <w:iCs/>
                <w:kern w:val="2"/>
                <w:sz w:val="20"/>
                <w:szCs w:val="20"/>
                <w:lang w:eastAsia="ja-JP"/>
                <w14:ligatures w14:val="standardContextual"/>
              </w:rPr>
              <w:t>sobre cumplir las medidas de conservación y ordenación adoptadas por ICCAT.</w:t>
            </w:r>
          </w:p>
        </w:tc>
        <w:tc>
          <w:tcPr>
            <w:tcW w:w="1081" w:type="dxa"/>
          </w:tcPr>
          <w:p w14:paraId="378393A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7DD341B3" w14:textId="77777777" w:rsidTr="00CA749B">
        <w:tc>
          <w:tcPr>
            <w:tcW w:w="284" w:type="dxa"/>
          </w:tcPr>
          <w:p w14:paraId="04E2C83D"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p>
        </w:tc>
        <w:tc>
          <w:tcPr>
            <w:tcW w:w="1701" w:type="dxa"/>
          </w:tcPr>
          <w:p w14:paraId="0B287899"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Otros requisitos, como:</w:t>
            </w:r>
          </w:p>
          <w:p w14:paraId="2AA72E0C"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programa de marcado (párr. 44). etc.</w:t>
            </w:r>
          </w:p>
        </w:tc>
        <w:tc>
          <w:tcPr>
            <w:tcW w:w="2977" w:type="dxa"/>
          </w:tcPr>
          <w:p w14:paraId="6A9E392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Cada BFT llevará una marca con un número único.</w:t>
            </w:r>
          </w:p>
        </w:tc>
        <w:tc>
          <w:tcPr>
            <w:tcW w:w="3597" w:type="dxa"/>
          </w:tcPr>
          <w:p w14:paraId="53029EB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Basándose en la Ley de Pesca de China, la autoridad pesquera china competente ha notificado a la empresa correspondiente este requisito de ICCAT sobre el atún rojo.</w:t>
            </w:r>
          </w:p>
        </w:tc>
        <w:tc>
          <w:tcPr>
            <w:tcW w:w="1081" w:type="dxa"/>
          </w:tcPr>
          <w:p w14:paraId="2690031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bl>
    <w:p w14:paraId="2C8C60A5" w14:textId="77777777" w:rsidR="009123AC" w:rsidRPr="00F0379B" w:rsidRDefault="009123AC" w:rsidP="009123AC">
      <w:pPr>
        <w:spacing w:after="0" w:line="240" w:lineRule="auto"/>
        <w:rPr>
          <w:rFonts w:ascii="Cambria" w:eastAsiaTheme="minorEastAsia" w:hAnsi="Cambria"/>
          <w:i/>
          <w:kern w:val="2"/>
          <w:sz w:val="20"/>
          <w:szCs w:val="20"/>
          <w:lang w:eastAsia="ja-JP"/>
          <w14:ligatures w14:val="standardContextual"/>
        </w:rPr>
      </w:pPr>
    </w:p>
    <w:p w14:paraId="20647415" w14:textId="77777777" w:rsidR="009123AC" w:rsidRPr="00F0379B" w:rsidRDefault="009123AC" w:rsidP="009123AC">
      <w:pPr>
        <w:spacing w:after="0" w:line="240" w:lineRule="auto"/>
        <w:rPr>
          <w:rFonts w:ascii="Cambria" w:eastAsia="Times New Roman" w:hAnsi="Cambria"/>
          <w:bCs/>
          <w:kern w:val="2"/>
          <w:sz w:val="20"/>
          <w:szCs w:val="20"/>
          <w:lang w:eastAsia="ja-JP"/>
          <w14:ligatures w14:val="standardContextual"/>
        </w:rPr>
      </w:pPr>
    </w:p>
    <w:p w14:paraId="37817F86" w14:textId="77777777" w:rsidR="00071288" w:rsidRPr="00F0379B" w:rsidRDefault="00071288">
      <w:pPr>
        <w:spacing w:line="259" w:lineRule="auto"/>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bCs/>
          <w:i/>
          <w:iCs/>
          <w:kern w:val="2"/>
          <w:sz w:val="20"/>
          <w:szCs w:val="20"/>
          <w:lang w:eastAsia="ja-JP"/>
          <w14:ligatures w14:val="standardContextual"/>
        </w:rPr>
        <w:br w:type="page"/>
      </w:r>
    </w:p>
    <w:p w14:paraId="48C610D0" w14:textId="7A7A0E3F" w:rsidR="009123AC" w:rsidRPr="00F0379B" w:rsidRDefault="009123AC" w:rsidP="009123AC">
      <w:pPr>
        <w:spacing w:after="0" w:line="240" w:lineRule="auto"/>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bCs/>
          <w:i/>
          <w:iCs/>
          <w:kern w:val="2"/>
          <w:sz w:val="20"/>
          <w:szCs w:val="20"/>
          <w:lang w:eastAsia="ja-JP"/>
          <w14:ligatures w14:val="standardContextual"/>
        </w:rPr>
        <w:lastRenderedPageBreak/>
        <w:t>1 e) Puertos designados (párr. 80)</w:t>
      </w:r>
    </w:p>
    <w:p w14:paraId="717FC477" w14:textId="77777777" w:rsidR="009123AC" w:rsidRPr="00F0379B" w:rsidRDefault="009123AC" w:rsidP="009123AC">
      <w:pPr>
        <w:spacing w:after="0" w:line="240" w:lineRule="auto"/>
        <w:rPr>
          <w:rFonts w:ascii="Cambria" w:eastAsia="Times New Roman" w:hAnsi="Cambria"/>
          <w:bCs/>
          <w:i/>
          <w:iCs/>
          <w:kern w:val="2"/>
          <w:sz w:val="20"/>
          <w:szCs w:val="20"/>
          <w:lang w:eastAsia="ja-JP"/>
          <w14:ligatures w14:val="standardContextual"/>
        </w:rPr>
      </w:pPr>
    </w:p>
    <w:p w14:paraId="4DA0FF51"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Estos buques solo pueden realizar actividades de transbordo o desembarque en los puertos designados autorizados por ICCAT. China tiene previsto utilizar el puerto de Dakar en Senegal, </w:t>
      </w:r>
      <w:proofErr w:type="spellStart"/>
      <w:r w:rsidRPr="00F0379B">
        <w:rPr>
          <w:rFonts w:ascii="Cambria" w:eastAsiaTheme="minorEastAsia" w:hAnsi="Cambria"/>
          <w:kern w:val="2"/>
          <w:sz w:val="20"/>
          <w:szCs w:val="20"/>
          <w:lang w:eastAsia="ja-JP"/>
          <w14:ligatures w14:val="standardContextual"/>
        </w:rPr>
        <w:t>Mindelo</w:t>
      </w:r>
      <w:proofErr w:type="spellEnd"/>
      <w:r w:rsidRPr="00F0379B">
        <w:rPr>
          <w:rFonts w:ascii="Cambria" w:eastAsiaTheme="minorEastAsia" w:hAnsi="Cambria"/>
          <w:kern w:val="2"/>
          <w:sz w:val="20"/>
          <w:szCs w:val="20"/>
          <w:lang w:eastAsia="ja-JP"/>
          <w14:ligatures w14:val="standardContextual"/>
        </w:rPr>
        <w:t xml:space="preserve"> en Cabo Verde y Las Palmas en España. Los buques están obligados a seguir la normativa establecida por la CPC del puerto.</w:t>
      </w:r>
    </w:p>
    <w:p w14:paraId="346FAA75" w14:textId="77777777" w:rsidR="009123AC" w:rsidRPr="00F0379B" w:rsidRDefault="009123AC" w:rsidP="009123AC">
      <w:pPr>
        <w:spacing w:after="0" w:line="240" w:lineRule="auto"/>
        <w:rPr>
          <w:rFonts w:ascii="Cambria" w:eastAsia="Times New Roman" w:hAnsi="Cambria"/>
          <w:bCs/>
          <w:kern w:val="2"/>
          <w:sz w:val="20"/>
          <w:szCs w:val="20"/>
          <w:lang w:eastAsia="ja-JP"/>
          <w14:ligatures w14:val="standardContextual"/>
        </w:rPr>
      </w:pPr>
    </w:p>
    <w:p w14:paraId="3AEB10CA" w14:textId="77777777" w:rsidR="009123AC" w:rsidRPr="00F0379B" w:rsidRDefault="009123AC" w:rsidP="009123AC">
      <w:pPr>
        <w:spacing w:after="0" w:line="240" w:lineRule="auto"/>
        <w:rPr>
          <w:rFonts w:ascii="Cambria" w:eastAsiaTheme="minorEastAsia" w:hAnsi="Cambria"/>
          <w:b/>
          <w:bCs/>
          <w:kern w:val="2"/>
          <w:sz w:val="20"/>
          <w:szCs w:val="20"/>
          <w:lang w:eastAsia="ja-JP"/>
          <w14:ligatures w14:val="standardContextual"/>
        </w:rPr>
      </w:pPr>
    </w:p>
    <w:p w14:paraId="66EFD765" w14:textId="77777777" w:rsidR="009123AC" w:rsidRPr="00F0379B" w:rsidRDefault="009123AC" w:rsidP="00CE0EC8">
      <w:pPr>
        <w:widowControl w:val="0"/>
        <w:numPr>
          <w:ilvl w:val="0"/>
          <w:numId w:val="43"/>
        </w:numPr>
        <w:tabs>
          <w:tab w:val="left" w:pos="426"/>
        </w:tabs>
        <w:spacing w:after="0" w:line="240" w:lineRule="auto"/>
        <w:ind w:left="426" w:hanging="426"/>
        <w:contextualSpacing/>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Plan anual de ordenación de la capacidad pesquera (párrs. 14-21)</w:t>
      </w:r>
    </w:p>
    <w:p w14:paraId="1A271882" w14:textId="77777777" w:rsidR="009123AC" w:rsidRPr="00F0379B" w:rsidRDefault="009123AC" w:rsidP="009123AC">
      <w:pPr>
        <w:spacing w:after="0" w:line="240" w:lineRule="auto"/>
        <w:rPr>
          <w:rFonts w:ascii="Cambria" w:eastAsiaTheme="minorEastAsia" w:hAnsi="Cambria"/>
          <w:b/>
          <w:kern w:val="2"/>
          <w:sz w:val="20"/>
          <w:szCs w:val="20"/>
          <w:lang w:eastAsia="ja-JP"/>
          <w14:ligatures w14:val="standardContextual"/>
        </w:rPr>
      </w:pPr>
    </w:p>
    <w:p w14:paraId="68E3EC65" w14:textId="77777777" w:rsidR="009123AC" w:rsidRPr="00F0379B" w:rsidRDefault="009123AC" w:rsidP="009123AC">
      <w:pPr>
        <w:spacing w:after="0"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 xml:space="preserve">Véase el </w:t>
      </w:r>
      <w:r w:rsidRPr="00F0379B">
        <w:rPr>
          <w:rFonts w:ascii="Cambria" w:eastAsiaTheme="minorEastAsia" w:hAnsi="Cambria"/>
          <w:bCs/>
          <w:kern w:val="2"/>
          <w:sz w:val="20"/>
          <w:szCs w:val="20"/>
          <w:lang w:eastAsia="ja-JP"/>
          <w14:ligatures w14:val="standardContextual"/>
        </w:rPr>
        <w:t>documento adjunto.</w:t>
      </w:r>
    </w:p>
    <w:p w14:paraId="0AF0CF3D" w14:textId="77777777" w:rsidR="009123AC" w:rsidRPr="00F0379B" w:rsidRDefault="009123AC" w:rsidP="009123AC">
      <w:pPr>
        <w:spacing w:after="0" w:line="240" w:lineRule="auto"/>
        <w:rPr>
          <w:rFonts w:ascii="Cambria" w:eastAsiaTheme="minorEastAsia" w:hAnsi="Cambria"/>
          <w:bCs/>
          <w:kern w:val="2"/>
          <w:sz w:val="20"/>
          <w:szCs w:val="20"/>
          <w:lang w:eastAsia="ja-JP"/>
          <w14:ligatures w14:val="standardContextual"/>
        </w:rPr>
      </w:pPr>
    </w:p>
    <w:p w14:paraId="534B03E4" w14:textId="77777777" w:rsidR="009123AC" w:rsidRPr="00F0379B" w:rsidRDefault="009123AC" w:rsidP="009123AC">
      <w:pPr>
        <w:spacing w:after="0"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Debido al aumento de la cuota, China enviará un buque palangrero más.</w:t>
      </w:r>
    </w:p>
    <w:p w14:paraId="7FE12C86" w14:textId="77777777" w:rsidR="009123AC" w:rsidRPr="00F0379B" w:rsidRDefault="009123AC" w:rsidP="009123AC">
      <w:pPr>
        <w:spacing w:after="0" w:line="240" w:lineRule="auto"/>
        <w:rPr>
          <w:rFonts w:ascii="Cambria" w:eastAsiaTheme="minorEastAsia" w:hAnsi="Cambria"/>
          <w:bCs/>
          <w:kern w:val="2"/>
          <w:sz w:val="20"/>
          <w:szCs w:val="20"/>
          <w:lang w:eastAsia="ja-JP"/>
          <w14:ligatures w14:val="standardContextual"/>
        </w:rPr>
      </w:pPr>
    </w:p>
    <w:p w14:paraId="7C7603B1" w14:textId="77777777" w:rsidR="009123AC" w:rsidRPr="00F0379B" w:rsidRDefault="009123AC" w:rsidP="00CE0EC8">
      <w:pPr>
        <w:widowControl w:val="0"/>
        <w:numPr>
          <w:ilvl w:val="0"/>
          <w:numId w:val="43"/>
        </w:numPr>
        <w:spacing w:after="0" w:line="240" w:lineRule="auto"/>
        <w:ind w:left="426" w:hanging="426"/>
        <w:contextualSpacing/>
        <w:rPr>
          <w:rFonts w:ascii="Cambria" w:eastAsiaTheme="minorEastAsia" w:hAnsi="Cambria"/>
          <w:b/>
          <w:color w:val="000000" w:themeColor="text1"/>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Plan anual de ordenación de la cría (párrs</w:t>
      </w:r>
      <w:r w:rsidRPr="00F0379B">
        <w:rPr>
          <w:rFonts w:ascii="Cambria" w:eastAsiaTheme="minorEastAsia" w:hAnsi="Cambria"/>
          <w:b/>
          <w:color w:val="000000" w:themeColor="text1"/>
          <w:kern w:val="2"/>
          <w:sz w:val="20"/>
          <w:szCs w:val="20"/>
          <w:lang w:eastAsia="ja-JP"/>
          <w14:ligatures w14:val="standardContextual"/>
        </w:rPr>
        <w:t>. 22-23), si es aplicable</w:t>
      </w:r>
    </w:p>
    <w:p w14:paraId="5678969C" w14:textId="77777777" w:rsidR="009123AC" w:rsidRPr="00F0379B" w:rsidRDefault="009123AC" w:rsidP="009123AC">
      <w:pPr>
        <w:spacing w:after="0" w:line="240" w:lineRule="auto"/>
        <w:rPr>
          <w:rFonts w:ascii="Cambria" w:eastAsiaTheme="minorEastAsia" w:hAnsi="Cambria"/>
          <w:bCs/>
          <w:color w:val="000000" w:themeColor="text1"/>
          <w:kern w:val="2"/>
          <w:sz w:val="20"/>
          <w:szCs w:val="20"/>
          <w:lang w:eastAsia="ja-JP"/>
          <w14:ligatures w14:val="standardContextual"/>
        </w:rPr>
      </w:pPr>
    </w:p>
    <w:p w14:paraId="6B36BB81" w14:textId="77777777" w:rsidR="009123AC" w:rsidRPr="00F0379B" w:rsidRDefault="009123AC" w:rsidP="009123AC">
      <w:pPr>
        <w:spacing w:after="0" w:line="240" w:lineRule="auto"/>
        <w:rPr>
          <w:rFonts w:ascii="Cambria" w:eastAsia="Times New Roman" w:hAnsi="Cambria"/>
          <w:bCs/>
          <w:kern w:val="2"/>
          <w:sz w:val="20"/>
          <w:szCs w:val="20"/>
          <w:lang w:eastAsia="ja-JP"/>
          <w14:ligatures w14:val="standardContextual"/>
        </w:rPr>
      </w:pPr>
      <w:r w:rsidRPr="00F0379B">
        <w:rPr>
          <w:rFonts w:ascii="Cambria" w:eastAsia="Times New Roman" w:hAnsi="Cambria"/>
          <w:bCs/>
          <w:kern w:val="2"/>
          <w:sz w:val="20"/>
          <w:szCs w:val="20"/>
          <w:lang w:eastAsia="ja-JP"/>
          <w14:ligatures w14:val="standardContextual"/>
        </w:rPr>
        <w:t>No aplicable, ya que China no tiene granjas de atún rojo.</w:t>
      </w:r>
    </w:p>
    <w:p w14:paraId="2DC44617" w14:textId="77777777" w:rsidR="009123AC" w:rsidRPr="00F0379B" w:rsidRDefault="009123AC" w:rsidP="009123AC">
      <w:pPr>
        <w:spacing w:after="0" w:line="240" w:lineRule="auto"/>
        <w:rPr>
          <w:rFonts w:ascii="Cambria" w:eastAsia="Times New Roman" w:hAnsi="Cambria"/>
          <w:bCs/>
          <w:kern w:val="2"/>
          <w:sz w:val="20"/>
          <w:szCs w:val="20"/>
          <w:lang w:eastAsia="ja-JP"/>
          <w14:ligatures w14:val="standardContextual"/>
        </w:rPr>
      </w:pPr>
    </w:p>
    <w:p w14:paraId="5DC1AE81" w14:textId="77777777" w:rsidR="009123AC" w:rsidRPr="00F0379B" w:rsidRDefault="009123AC" w:rsidP="009123AC">
      <w:pPr>
        <w:spacing w:after="0" w:line="240" w:lineRule="auto"/>
        <w:rPr>
          <w:rFonts w:ascii="Cambria" w:eastAsia="Times New Roman" w:hAnsi="Cambria"/>
          <w:bCs/>
          <w:kern w:val="2"/>
          <w:sz w:val="20"/>
          <w:szCs w:val="20"/>
          <w:lang w:eastAsia="ja-JP"/>
          <w14:ligatures w14:val="standardContextual"/>
        </w:rPr>
      </w:pPr>
    </w:p>
    <w:p w14:paraId="6A507602" w14:textId="77777777" w:rsidR="009123AC" w:rsidRPr="00F0379B" w:rsidRDefault="009123AC" w:rsidP="00CE0EC8">
      <w:pPr>
        <w:widowControl w:val="0"/>
        <w:numPr>
          <w:ilvl w:val="0"/>
          <w:numId w:val="68"/>
        </w:numPr>
        <w:tabs>
          <w:tab w:val="left" w:pos="426"/>
        </w:tabs>
        <w:spacing w:after="0" w:line="240" w:lineRule="auto"/>
        <w:ind w:left="426" w:hanging="426"/>
        <w:contextualSpacing/>
        <w:rPr>
          <w:rFonts w:ascii="Cambria" w:eastAsiaTheme="minorEastAsia" w:hAnsi="Cambria"/>
          <w:b/>
          <w:bCs/>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 xml:space="preserve">Plan de acuicultura anual (párr. 10 e de la </w:t>
      </w:r>
      <w:hyperlink r:id="rId98" w:history="1">
        <w:r w:rsidRPr="00F0379B">
          <w:rPr>
            <w:rFonts w:ascii="Cambria" w:eastAsiaTheme="minorEastAsia" w:hAnsi="Cambria"/>
            <w:b/>
            <w:bCs/>
            <w:color w:val="0563C1" w:themeColor="hyperlink"/>
            <w:kern w:val="2"/>
            <w:sz w:val="20"/>
            <w:szCs w:val="20"/>
            <w:lang w:eastAsia="ja-JP"/>
            <w14:ligatures w14:val="standardContextual"/>
          </w:rPr>
          <w:t xml:space="preserve">Rec. 25-04 </w:t>
        </w:r>
      </w:hyperlink>
      <w:r w:rsidRPr="00F0379B">
        <w:rPr>
          <w:rFonts w:ascii="Cambria" w:eastAsiaTheme="minorEastAsia" w:hAnsi="Cambria"/>
          <w:b/>
          <w:bCs/>
          <w:kern w:val="2"/>
          <w:sz w:val="20"/>
          <w:szCs w:val="20"/>
          <w:lang w:eastAsia="ja-JP"/>
          <w14:ligatures w14:val="standardContextual"/>
        </w:rPr>
        <w:t xml:space="preserve">de conformidad con la </w:t>
      </w:r>
      <w:hyperlink r:id="rId99" w:history="1">
        <w:r w:rsidRPr="00F0379B">
          <w:rPr>
            <w:rFonts w:ascii="Cambria" w:eastAsiaTheme="minorEastAsia" w:hAnsi="Cambria"/>
            <w:b/>
            <w:bCs/>
            <w:color w:val="0563C1" w:themeColor="hyperlink"/>
            <w:kern w:val="2"/>
            <w:sz w:val="20"/>
            <w:szCs w:val="20"/>
            <w:lang w:eastAsia="ja-JP"/>
            <w14:ligatures w14:val="standardContextual"/>
          </w:rPr>
          <w:t>Rec. 24-07</w:t>
        </w:r>
      </w:hyperlink>
      <w:r w:rsidRPr="00F0379B">
        <w:rPr>
          <w:rFonts w:ascii="Cambria" w:eastAsiaTheme="minorEastAsia" w:hAnsi="Cambria"/>
          <w:b/>
          <w:bCs/>
          <w:kern w:val="2"/>
          <w:sz w:val="20"/>
          <w:szCs w:val="20"/>
          <w:lang w:eastAsia="ja-JP"/>
          <w14:ligatures w14:val="standardContextual"/>
        </w:rPr>
        <w:t>), si es aplicable</w:t>
      </w:r>
    </w:p>
    <w:p w14:paraId="2BCC2131" w14:textId="77777777" w:rsidR="009123AC" w:rsidRPr="00F0379B" w:rsidRDefault="009123AC" w:rsidP="009123AC">
      <w:pPr>
        <w:spacing w:after="0" w:line="240" w:lineRule="auto"/>
        <w:rPr>
          <w:rFonts w:ascii="Cambria" w:eastAsia="Times New Roman" w:hAnsi="Cambria"/>
          <w:bCs/>
          <w:kern w:val="2"/>
          <w:sz w:val="20"/>
          <w:szCs w:val="20"/>
          <w:lang w:eastAsia="ja-JP"/>
          <w14:ligatures w14:val="standardContextual"/>
        </w:rPr>
      </w:pPr>
    </w:p>
    <w:p w14:paraId="51220EF2" w14:textId="77777777" w:rsidR="009123AC" w:rsidRPr="00F0379B" w:rsidRDefault="009123AC" w:rsidP="009123AC">
      <w:pPr>
        <w:spacing w:after="0" w:line="240" w:lineRule="auto"/>
        <w:rPr>
          <w:rFonts w:ascii="Cambria" w:eastAsia="Times New Roman" w:hAnsi="Cambria"/>
          <w:bCs/>
          <w:kern w:val="2"/>
          <w:sz w:val="20"/>
          <w:szCs w:val="20"/>
          <w:lang w:eastAsia="ja-JP"/>
          <w14:ligatures w14:val="standardContextual"/>
        </w:rPr>
      </w:pPr>
      <w:r w:rsidRPr="00F0379B">
        <w:rPr>
          <w:rFonts w:ascii="Cambria" w:eastAsia="Times New Roman" w:hAnsi="Cambria"/>
          <w:bCs/>
          <w:kern w:val="2"/>
          <w:sz w:val="20"/>
          <w:szCs w:val="20"/>
          <w:lang w:eastAsia="ja-JP"/>
          <w14:ligatures w14:val="standardContextual"/>
        </w:rPr>
        <w:t>No aplicable, ya que China no tiene este tipo de actividad acuícola.</w:t>
      </w:r>
    </w:p>
    <w:p w14:paraId="22A431F5" w14:textId="77777777" w:rsidR="009123AC" w:rsidRPr="00F0379B" w:rsidRDefault="009123AC" w:rsidP="009123AC">
      <w:pPr>
        <w:spacing w:after="0" w:line="240" w:lineRule="auto"/>
        <w:rPr>
          <w:rFonts w:ascii="Cambria" w:eastAsia="Times New Roman" w:hAnsi="Cambria"/>
          <w:bCs/>
          <w:kern w:val="2"/>
          <w:sz w:val="20"/>
          <w:szCs w:val="20"/>
          <w:lang w:eastAsia="ja-JP"/>
          <w14:ligatures w14:val="standardContextual"/>
        </w:rPr>
      </w:pPr>
    </w:p>
    <w:p w14:paraId="101D47E4" w14:textId="77777777" w:rsidR="009123AC" w:rsidRPr="00F0379B" w:rsidRDefault="009123AC" w:rsidP="009123AC">
      <w:pPr>
        <w:spacing w:after="0"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br w:type="page"/>
      </w:r>
    </w:p>
    <w:p w14:paraId="4E5BBF08" w14:textId="77777777" w:rsidR="009123AC" w:rsidRPr="00F0379B" w:rsidRDefault="009123AC" w:rsidP="00CE0EC8">
      <w:pPr>
        <w:widowControl w:val="0"/>
        <w:numPr>
          <w:ilvl w:val="0"/>
          <w:numId w:val="68"/>
        </w:numPr>
        <w:spacing w:after="0" w:line="240" w:lineRule="auto"/>
        <w:ind w:left="426" w:hanging="426"/>
        <w:contextualSpacing/>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Plan de inspección, control y seguimiento</w:t>
      </w:r>
    </w:p>
    <w:p w14:paraId="30BC8181" w14:textId="77777777" w:rsidR="009123AC" w:rsidRPr="00F0379B" w:rsidRDefault="009123AC" w:rsidP="009123AC">
      <w:pPr>
        <w:spacing w:after="0" w:line="240" w:lineRule="auto"/>
        <w:rPr>
          <w:rFonts w:ascii="Cambria" w:eastAsiaTheme="minorEastAsia" w:hAnsi="Cambria"/>
          <w:b/>
          <w:kern w:val="2"/>
          <w:sz w:val="20"/>
          <w:szCs w:val="20"/>
          <w:lang w:eastAsia="ja-JP"/>
          <w14:ligatures w14:val="standardContextual"/>
        </w:rPr>
      </w:pPr>
    </w:p>
    <w:p w14:paraId="4AC10568" w14:textId="77777777" w:rsidR="009123AC" w:rsidRPr="00F0379B" w:rsidRDefault="009123AC" w:rsidP="009123AC">
      <w:pPr>
        <w:spacing w:after="0" w:line="240" w:lineRule="auto"/>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5 a) Inspección, control y seguimiento de la CPC (párr. 10c)</w:t>
      </w:r>
    </w:p>
    <w:p w14:paraId="69F954EC" w14:textId="77777777" w:rsidR="009123AC" w:rsidRPr="00F0379B" w:rsidRDefault="009123AC" w:rsidP="009123AC">
      <w:pPr>
        <w:spacing w:after="0" w:line="240" w:lineRule="auto"/>
        <w:rPr>
          <w:rFonts w:ascii="Cambria" w:eastAsia="Times New Roman" w:hAnsi="Cambria"/>
          <w:bCs/>
          <w:kern w:val="2"/>
          <w:sz w:val="20"/>
          <w:szCs w:val="20"/>
          <w:lang w:eastAsia="ja-JP"/>
          <w14:ligatures w14:val="standardContextual"/>
        </w:rPr>
      </w:pPr>
    </w:p>
    <w:p w14:paraId="1D3BE264"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lista de puntos de contacto es la siguiente:</w:t>
      </w:r>
    </w:p>
    <w:p w14:paraId="1D68C516"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575D9DA7" w14:textId="67EC4863" w:rsidR="009123AC" w:rsidRPr="00F0379B" w:rsidRDefault="009123AC" w:rsidP="009123AC">
      <w:pPr>
        <w:spacing w:after="0" w:line="240" w:lineRule="auto"/>
        <w:jc w:val="both"/>
        <w:rPr>
          <w:rFonts w:ascii="Cambria" w:eastAsiaTheme="minorEastAsia" w:hAnsi="Cambria"/>
          <w:kern w:val="2"/>
          <w:sz w:val="20"/>
          <w:szCs w:val="20"/>
          <w:lang w:val="fr-FR" w:eastAsia="ja-JP"/>
          <w14:ligatures w14:val="standardContextual"/>
        </w:rPr>
      </w:pPr>
      <w:r w:rsidRPr="00F0379B">
        <w:rPr>
          <w:rFonts w:ascii="Cambria" w:eastAsia="SimSun" w:hAnsi="Cambria"/>
          <w:kern w:val="2"/>
          <w:sz w:val="20"/>
          <w:szCs w:val="20"/>
          <w:lang w:val="fr-FR" w:eastAsia="zh-CN"/>
          <w14:ligatures w14:val="standardContextual"/>
        </w:rPr>
        <w:t xml:space="preserve">LU Qua, </w:t>
      </w:r>
      <w:r w:rsidRPr="00F0379B">
        <w:rPr>
          <w:rFonts w:ascii="Cambria" w:eastAsiaTheme="minorEastAsia" w:hAnsi="Cambria"/>
          <w:kern w:val="2"/>
          <w:sz w:val="20"/>
          <w:szCs w:val="20"/>
          <w:lang w:val="fr-FR" w:eastAsia="ja-JP"/>
          <w14:ligatures w14:val="standardContextual"/>
        </w:rPr>
        <w:t xml:space="preserve">Director </w:t>
      </w:r>
      <w:r w:rsidRPr="00F0379B">
        <w:rPr>
          <w:rFonts w:ascii="Cambria" w:eastAsiaTheme="minorEastAsia" w:hAnsi="Cambria"/>
          <w:kern w:val="2"/>
          <w:sz w:val="20"/>
          <w:szCs w:val="20"/>
          <w:lang w:val="fr-FR" w:eastAsia="ja-JP"/>
          <w14:ligatures w14:val="standardContextual"/>
        </w:rPr>
        <w:tab/>
      </w:r>
      <w:r w:rsidRPr="00F0379B">
        <w:rPr>
          <w:rFonts w:ascii="Cambria" w:eastAsiaTheme="minorEastAsia" w:hAnsi="Cambria"/>
          <w:kern w:val="2"/>
          <w:sz w:val="20"/>
          <w:szCs w:val="20"/>
          <w:lang w:val="fr-FR" w:eastAsia="ja-JP"/>
          <w14:ligatures w14:val="standardContextual"/>
        </w:rPr>
        <w:tab/>
        <w:t>bofdwf@126.com</w:t>
      </w:r>
    </w:p>
    <w:p w14:paraId="3D760681" w14:textId="6EA1DAB9" w:rsidR="009123AC" w:rsidRPr="00F0379B" w:rsidRDefault="009123AC" w:rsidP="009123AC">
      <w:pPr>
        <w:spacing w:after="0" w:line="240" w:lineRule="auto"/>
        <w:jc w:val="both"/>
        <w:rPr>
          <w:rFonts w:ascii="Cambria" w:eastAsiaTheme="minorEastAsia" w:hAnsi="Cambria"/>
          <w:kern w:val="2"/>
          <w:sz w:val="20"/>
          <w:szCs w:val="20"/>
          <w:lang w:val="fr-FR" w:eastAsia="ja-JP"/>
          <w14:ligatures w14:val="standardContextual"/>
        </w:rPr>
      </w:pPr>
      <w:r w:rsidRPr="00F0379B">
        <w:rPr>
          <w:rFonts w:ascii="Cambria" w:eastAsiaTheme="minorEastAsia" w:hAnsi="Cambria"/>
          <w:kern w:val="2"/>
          <w:sz w:val="20"/>
          <w:szCs w:val="20"/>
          <w:lang w:val="fr-FR" w:eastAsia="ja-JP"/>
          <w14:ligatures w14:val="standardContextual"/>
        </w:rPr>
        <w:t xml:space="preserve">FANG </w:t>
      </w:r>
      <w:proofErr w:type="spellStart"/>
      <w:r w:rsidRPr="00F0379B">
        <w:rPr>
          <w:rFonts w:ascii="Cambria" w:eastAsiaTheme="minorEastAsia" w:hAnsi="Cambria"/>
          <w:kern w:val="2"/>
          <w:sz w:val="20"/>
          <w:szCs w:val="20"/>
          <w:lang w:val="fr-FR" w:eastAsia="ja-JP"/>
          <w14:ligatures w14:val="standardContextual"/>
        </w:rPr>
        <w:t>Lianyong</w:t>
      </w:r>
      <w:proofErr w:type="spellEnd"/>
      <w:r w:rsidRPr="00F0379B">
        <w:rPr>
          <w:rFonts w:ascii="Cambria" w:eastAsiaTheme="minorEastAsia" w:hAnsi="Cambria"/>
          <w:kern w:val="2"/>
          <w:sz w:val="20"/>
          <w:szCs w:val="20"/>
          <w:lang w:val="fr-FR" w:eastAsia="ja-JP"/>
          <w14:ligatures w14:val="standardContextual"/>
        </w:rPr>
        <w:t xml:space="preserve"> </w:t>
      </w:r>
      <w:r w:rsidRPr="00F0379B">
        <w:rPr>
          <w:rFonts w:ascii="Cambria" w:eastAsiaTheme="minorEastAsia" w:hAnsi="Cambria"/>
          <w:kern w:val="2"/>
          <w:sz w:val="20"/>
          <w:szCs w:val="20"/>
          <w:lang w:val="fr-FR" w:eastAsia="ja-JP"/>
          <w14:ligatures w14:val="standardContextual"/>
        </w:rPr>
        <w:tab/>
      </w:r>
      <w:proofErr w:type="spellStart"/>
      <w:r w:rsidRPr="00F0379B">
        <w:rPr>
          <w:rFonts w:ascii="Cambria" w:eastAsiaTheme="minorEastAsia" w:hAnsi="Cambria"/>
          <w:kern w:val="2"/>
          <w:sz w:val="20"/>
          <w:szCs w:val="20"/>
          <w:lang w:val="fr-FR" w:eastAsia="ja-JP"/>
          <w14:ligatures w14:val="standardContextual"/>
        </w:rPr>
        <w:t>Personal</w:t>
      </w:r>
      <w:proofErr w:type="spellEnd"/>
      <w:r w:rsidRPr="00F0379B">
        <w:rPr>
          <w:rFonts w:ascii="Cambria" w:eastAsiaTheme="minorEastAsia" w:hAnsi="Cambria"/>
          <w:kern w:val="2"/>
          <w:sz w:val="20"/>
          <w:szCs w:val="20"/>
          <w:lang w:val="fr-FR" w:eastAsia="ja-JP"/>
          <w14:ligatures w14:val="standardContextual"/>
        </w:rPr>
        <w:tab/>
        <w:t xml:space="preserve">fanglianyong@cofa.net.cn  </w:t>
      </w:r>
    </w:p>
    <w:p w14:paraId="73E45FD9" w14:textId="77777777" w:rsidR="009123AC" w:rsidRPr="00F0379B" w:rsidRDefault="009123AC" w:rsidP="009123AC">
      <w:pPr>
        <w:spacing w:after="0" w:line="240" w:lineRule="auto"/>
        <w:jc w:val="both"/>
        <w:rPr>
          <w:rFonts w:ascii="Cambria" w:eastAsiaTheme="minorEastAsia" w:hAnsi="Cambria"/>
          <w:kern w:val="2"/>
          <w:sz w:val="20"/>
          <w:szCs w:val="20"/>
          <w:lang w:val="fr-FR" w:eastAsia="ja-JP"/>
          <w14:ligatures w14:val="standardContextual"/>
        </w:rPr>
      </w:pPr>
    </w:p>
    <w:p w14:paraId="1B3DF1A2" w14:textId="77777777" w:rsidR="009123AC" w:rsidRPr="00F0379B" w:rsidRDefault="009123AC" w:rsidP="009123AC">
      <w:pPr>
        <w:spacing w:after="0" w:line="240" w:lineRule="auto"/>
        <w:jc w:val="both"/>
        <w:rPr>
          <w:rFonts w:ascii="Cambria" w:eastAsia="Times New Roman"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China enviará tres palangreros para capturar atún rojo en 2026. A cada uno de los tres buques se les asignarán 102,68 t; cada uno con un tercio de las 308,04 t (cuota anual de 286,15 t + traspaso de 22,4 t = 308,55 t de cuota ajustada, de la que se asignan 0,51 t específicamente a la captura fortuita).</w:t>
      </w:r>
    </w:p>
    <w:p w14:paraId="326B999C" w14:textId="77777777" w:rsidR="009123AC" w:rsidRPr="00F0379B" w:rsidRDefault="009123AC" w:rsidP="009123AC">
      <w:pPr>
        <w:spacing w:after="0" w:line="240" w:lineRule="auto"/>
        <w:jc w:val="both"/>
        <w:rPr>
          <w:rFonts w:ascii="Cambria" w:eastAsia="Times New Roman" w:hAnsi="Cambria"/>
          <w:kern w:val="2"/>
          <w:sz w:val="20"/>
          <w:szCs w:val="20"/>
          <w:lang w:eastAsia="ja-JP"/>
          <w14:ligatures w14:val="standardContextual"/>
        </w:rPr>
      </w:pPr>
    </w:p>
    <w:p w14:paraId="64F0D3A1" w14:textId="77777777" w:rsidR="009123AC" w:rsidRPr="00F0379B" w:rsidRDefault="009123AC" w:rsidP="009123AC">
      <w:pPr>
        <w:spacing w:after="0" w:line="240" w:lineRule="auto"/>
        <w:jc w:val="both"/>
        <w:rPr>
          <w:rFonts w:ascii="Cambria" w:eastAsia="Times New Roman"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Es relativamente simple hacer un seguimiento de las cuotas y respetarlas dado que solo tres buques pesqueros comparten la cuota y pertenecen a la misma empresa. Por lo tanto, podemos gestionar las cuotas del siguiente modo:</w:t>
      </w:r>
    </w:p>
    <w:p w14:paraId="05F3BF27" w14:textId="77777777" w:rsidR="009123AC" w:rsidRPr="00F0379B" w:rsidRDefault="009123AC" w:rsidP="009123AC">
      <w:pPr>
        <w:spacing w:after="0" w:line="240" w:lineRule="auto"/>
        <w:jc w:val="both"/>
        <w:rPr>
          <w:rFonts w:ascii="Cambria" w:eastAsia="Times New Roman" w:hAnsi="Cambria"/>
          <w:kern w:val="2"/>
          <w:sz w:val="20"/>
          <w:szCs w:val="20"/>
          <w:lang w:eastAsia="ja-JP"/>
          <w14:ligatures w14:val="standardContextual"/>
        </w:rPr>
      </w:pPr>
    </w:p>
    <w:p w14:paraId="72F8F1B7"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i/>
          <w:iCs/>
          <w:kern w:val="2"/>
          <w:sz w:val="20"/>
          <w:szCs w:val="20"/>
          <w:lang w:eastAsia="ja-JP"/>
          <w14:ligatures w14:val="standardContextual"/>
        </w:rPr>
        <w:t>Programa de observadores</w:t>
      </w:r>
      <w:r w:rsidRPr="00F0379B">
        <w:rPr>
          <w:rFonts w:ascii="Cambria" w:eastAsiaTheme="minorEastAsia" w:hAnsi="Cambria"/>
          <w:kern w:val="2"/>
          <w:sz w:val="20"/>
          <w:szCs w:val="20"/>
          <w:lang w:eastAsia="ja-JP"/>
          <w14:ligatures w14:val="standardContextual"/>
        </w:rPr>
        <w:t>: Implementaremos una cobertura de observadores de al menos el 20 % en los buques pesqueros dirigidos al atún rojo. El observador debe estar familiarizado con la recomendación sobre atún rojo y registrará diariamente el peso exacto y el número de atunes rojos, lo que incluye el peso en vivo y el peso eviscerado y sin agallas.</w:t>
      </w:r>
    </w:p>
    <w:p w14:paraId="535DDC4F" w14:textId="77777777" w:rsidR="009123AC" w:rsidRPr="00F0379B" w:rsidRDefault="009123AC" w:rsidP="009123AC">
      <w:pPr>
        <w:spacing w:after="0" w:line="240" w:lineRule="auto"/>
        <w:jc w:val="both"/>
        <w:rPr>
          <w:rFonts w:ascii="Cambria" w:eastAsia="Times New Roman" w:hAnsi="Cambria"/>
          <w:kern w:val="2"/>
          <w:sz w:val="20"/>
          <w:szCs w:val="20"/>
          <w:lang w:eastAsia="ja-JP"/>
          <w14:ligatures w14:val="standardContextual"/>
        </w:rPr>
      </w:pPr>
    </w:p>
    <w:p w14:paraId="52D9B304" w14:textId="77777777" w:rsidR="009123AC" w:rsidRPr="00F0379B" w:rsidRDefault="009123AC" w:rsidP="009123AC">
      <w:pPr>
        <w:spacing w:after="0" w:line="240" w:lineRule="auto"/>
        <w:jc w:val="both"/>
        <w:rPr>
          <w:rFonts w:ascii="Cambria" w:eastAsia="Times New Roman" w:hAnsi="Cambria"/>
          <w:kern w:val="2"/>
          <w:sz w:val="20"/>
          <w:szCs w:val="20"/>
          <w:lang w:eastAsia="ja-JP"/>
          <w14:ligatures w14:val="standardContextual"/>
        </w:rPr>
      </w:pPr>
      <w:r w:rsidRPr="00F0379B">
        <w:rPr>
          <w:rFonts w:ascii="Cambria" w:eastAsiaTheme="minorEastAsia" w:hAnsi="Cambria"/>
          <w:i/>
          <w:iCs/>
          <w:kern w:val="2"/>
          <w:sz w:val="20"/>
          <w:szCs w:val="20"/>
          <w:lang w:eastAsia="ja-JP"/>
          <w14:ligatures w14:val="standardContextual"/>
        </w:rPr>
        <w:t>Informe de capturas</w:t>
      </w:r>
      <w:r w:rsidRPr="00F0379B">
        <w:rPr>
          <w:rFonts w:ascii="Cambria" w:eastAsiaTheme="minorEastAsia" w:hAnsi="Cambria"/>
          <w:kern w:val="2"/>
          <w:sz w:val="20"/>
          <w:szCs w:val="20"/>
          <w:lang w:eastAsia="ja-JP"/>
          <w14:ligatures w14:val="standardContextual"/>
        </w:rPr>
        <w:t>: Contamos con un informe de captura de atún rojo diarios/semanales y mensuales y podemos hacer una verificación cruzada de la captura. Se notificará al armador del buque pesquero el momento en que se alcance el 80 % de las capturas, y el buque pesquero de atún rojo deberá dejar de pescar y abandonar inmediatamente el caladero cuando se agote la cuota.</w:t>
      </w:r>
    </w:p>
    <w:p w14:paraId="04B58503" w14:textId="77777777" w:rsidR="009123AC" w:rsidRPr="00F0379B" w:rsidRDefault="009123AC" w:rsidP="009123AC">
      <w:pPr>
        <w:spacing w:after="0" w:line="240" w:lineRule="auto"/>
        <w:jc w:val="both"/>
        <w:rPr>
          <w:rFonts w:ascii="Cambria" w:eastAsia="Times New Roman" w:hAnsi="Cambria"/>
          <w:kern w:val="2"/>
          <w:sz w:val="20"/>
          <w:szCs w:val="20"/>
          <w:lang w:eastAsia="ja-JP"/>
          <w14:ligatures w14:val="standardContextual"/>
        </w:rPr>
      </w:pPr>
    </w:p>
    <w:p w14:paraId="42BC6E6D" w14:textId="77777777" w:rsidR="009123AC" w:rsidRPr="00F0379B" w:rsidRDefault="009123AC" w:rsidP="009123AC">
      <w:pPr>
        <w:spacing w:after="0" w:line="240" w:lineRule="auto"/>
        <w:jc w:val="both"/>
        <w:rPr>
          <w:rFonts w:ascii="Cambria" w:eastAsia="Times New Roman" w:hAnsi="Cambria"/>
          <w:kern w:val="2"/>
          <w:sz w:val="20"/>
          <w:szCs w:val="20"/>
          <w:lang w:eastAsia="ja-JP"/>
          <w14:ligatures w14:val="standardContextual"/>
        </w:rPr>
      </w:pPr>
      <w:r w:rsidRPr="00F0379B">
        <w:rPr>
          <w:rFonts w:ascii="Cambria" w:eastAsiaTheme="minorEastAsia" w:hAnsi="Cambria"/>
          <w:i/>
          <w:iCs/>
          <w:kern w:val="2"/>
          <w:sz w:val="20"/>
          <w:szCs w:val="20"/>
          <w:lang w:eastAsia="ja-JP"/>
          <w14:ligatures w14:val="standardContextual"/>
        </w:rPr>
        <w:t>Cuaderno de pesca</w:t>
      </w:r>
      <w:r w:rsidRPr="00F0379B">
        <w:rPr>
          <w:rFonts w:ascii="Cambria" w:eastAsiaTheme="minorEastAsia" w:hAnsi="Cambria"/>
          <w:kern w:val="2"/>
          <w:sz w:val="20"/>
          <w:szCs w:val="20"/>
          <w:lang w:eastAsia="ja-JP"/>
          <w14:ligatures w14:val="standardContextual"/>
        </w:rPr>
        <w:t>: El patrón del buque pesquero debe cumplimentar de un modo estricto y con precisión el cuaderno de pesca (tanto la versión en papel como electrónica), lo que incluye cualquier captura fortuita e incidental.</w:t>
      </w:r>
    </w:p>
    <w:p w14:paraId="51E51720" w14:textId="77777777" w:rsidR="009123AC" w:rsidRPr="00F0379B" w:rsidRDefault="009123AC" w:rsidP="009123AC">
      <w:pPr>
        <w:spacing w:after="0" w:line="240" w:lineRule="auto"/>
        <w:jc w:val="both"/>
        <w:rPr>
          <w:rFonts w:ascii="Cambria" w:eastAsia="Times New Roman" w:hAnsi="Cambria"/>
          <w:kern w:val="2"/>
          <w:sz w:val="20"/>
          <w:szCs w:val="20"/>
          <w:lang w:eastAsia="ja-JP"/>
          <w14:ligatures w14:val="standardContextual"/>
        </w:rPr>
      </w:pPr>
    </w:p>
    <w:p w14:paraId="5CB5040F"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i/>
          <w:iCs/>
          <w:kern w:val="2"/>
          <w:sz w:val="20"/>
          <w:szCs w:val="20"/>
          <w:lang w:eastAsia="ja-JP"/>
          <w14:ligatures w14:val="standardContextual"/>
        </w:rPr>
        <w:t>Desembarque/transbordo:</w:t>
      </w:r>
      <w:r w:rsidRPr="00F0379B">
        <w:rPr>
          <w:rFonts w:ascii="Cambria" w:eastAsiaTheme="minorEastAsia" w:hAnsi="Cambria"/>
          <w:kern w:val="2"/>
          <w:sz w:val="20"/>
          <w:szCs w:val="20"/>
          <w:lang w:eastAsia="ja-JP"/>
          <w14:ligatures w14:val="standardContextual"/>
        </w:rPr>
        <w:t xml:space="preserve"> Estos buques solo pueden realizar actividades de transbordo o desembarque en los puertos designados autorizados por ICCAT. China tiene previsto utilizar el puerto de Dakar en Senegal, </w:t>
      </w:r>
      <w:proofErr w:type="spellStart"/>
      <w:r w:rsidRPr="00F0379B">
        <w:rPr>
          <w:rFonts w:ascii="Cambria" w:eastAsiaTheme="minorEastAsia" w:hAnsi="Cambria"/>
          <w:kern w:val="2"/>
          <w:sz w:val="20"/>
          <w:szCs w:val="20"/>
          <w:lang w:eastAsia="ja-JP"/>
          <w14:ligatures w14:val="standardContextual"/>
        </w:rPr>
        <w:t>Mindelo</w:t>
      </w:r>
      <w:proofErr w:type="spellEnd"/>
      <w:r w:rsidRPr="00F0379B">
        <w:rPr>
          <w:rFonts w:ascii="Cambria" w:eastAsiaTheme="minorEastAsia" w:hAnsi="Cambria"/>
          <w:kern w:val="2"/>
          <w:sz w:val="20"/>
          <w:szCs w:val="20"/>
          <w:lang w:eastAsia="ja-JP"/>
          <w14:ligatures w14:val="standardContextual"/>
        </w:rPr>
        <w:t xml:space="preserve"> en Cabo Verde y Las Palmas en España. Los buques están obligados a seguir la normativa establecida por la CPC del puerto.</w:t>
      </w:r>
    </w:p>
    <w:p w14:paraId="2769A0B2" w14:textId="77777777" w:rsidR="009123AC" w:rsidRPr="00F0379B" w:rsidRDefault="009123AC" w:rsidP="009123AC">
      <w:pPr>
        <w:spacing w:after="0" w:line="240" w:lineRule="auto"/>
        <w:jc w:val="both"/>
        <w:rPr>
          <w:rFonts w:ascii="Cambria" w:eastAsia="Times New Roman" w:hAnsi="Cambria"/>
          <w:kern w:val="2"/>
          <w:sz w:val="20"/>
          <w:szCs w:val="20"/>
          <w:lang w:eastAsia="ja-JP"/>
          <w14:ligatures w14:val="standardContextual"/>
        </w:rPr>
      </w:pPr>
    </w:p>
    <w:p w14:paraId="1A46A010"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i/>
          <w:iCs/>
          <w:kern w:val="2"/>
          <w:sz w:val="20"/>
          <w:szCs w:val="20"/>
          <w:lang w:eastAsia="ja-JP"/>
          <w14:ligatures w14:val="standardContextual"/>
        </w:rPr>
        <w:t xml:space="preserve">Requisito VMS: </w:t>
      </w:r>
      <w:r w:rsidRPr="00F0379B">
        <w:rPr>
          <w:rFonts w:ascii="Cambria" w:eastAsiaTheme="minorEastAsia" w:hAnsi="Cambria"/>
          <w:kern w:val="2"/>
          <w:sz w:val="20"/>
          <w:szCs w:val="20"/>
          <w:lang w:eastAsia="ja-JP"/>
          <w14:ligatures w14:val="standardContextual"/>
        </w:rPr>
        <w:t xml:space="preserve">Podemos hacer un seguimiento de estos buques mediante nuestra plataforma de VMS y sus posiciones pueden ser verificadas en caso de necesidad. </w:t>
      </w:r>
    </w:p>
    <w:p w14:paraId="22773FA9"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53D1F290" w14:textId="77777777" w:rsidR="009123AC" w:rsidRPr="00F0379B" w:rsidRDefault="009123AC" w:rsidP="009123AC">
      <w:pPr>
        <w:spacing w:after="0" w:line="240" w:lineRule="auto"/>
        <w:jc w:val="both"/>
        <w:rPr>
          <w:rFonts w:ascii="Cambria" w:eastAsia="Times New Roman" w:hAnsi="Cambria"/>
          <w:kern w:val="2"/>
          <w:sz w:val="20"/>
          <w:szCs w:val="20"/>
          <w:lang w:eastAsia="ja-JP"/>
          <w14:ligatures w14:val="standardContextual"/>
        </w:rPr>
      </w:pPr>
      <w:r w:rsidRPr="00F0379B">
        <w:rPr>
          <w:rFonts w:ascii="Cambria" w:eastAsia="Times New Roman" w:hAnsi="Cambria"/>
          <w:kern w:val="2"/>
          <w:sz w:val="20"/>
          <w:szCs w:val="20"/>
          <w:lang w:eastAsia="ja-JP"/>
          <w14:ligatures w14:val="standardContextual"/>
        </w:rPr>
        <w:t>El plan de seguimiento, control e inspección debería garantizar el cumplimiento de las disposiciones de esta Recomendación. Dicho plan también designará a la autoridad competente de control de la CPC y la lista de puntos de contacto designados como responsables de la implementación de este plan de seguimiento, control e inspección.</w:t>
      </w:r>
    </w:p>
    <w:p w14:paraId="385352AF" w14:textId="77777777" w:rsidR="009123AC" w:rsidRPr="00F0379B" w:rsidRDefault="009123AC" w:rsidP="009123AC">
      <w:pPr>
        <w:spacing w:after="0" w:line="240" w:lineRule="auto"/>
        <w:jc w:val="both"/>
        <w:rPr>
          <w:rFonts w:ascii="Cambria" w:eastAsia="Times New Roman" w:hAnsi="Cambria"/>
          <w:kern w:val="2"/>
          <w:sz w:val="20"/>
          <w:szCs w:val="20"/>
          <w:lang w:eastAsia="ja-JP"/>
          <w14:ligatures w14:val="standardContextual"/>
        </w:rPr>
      </w:pPr>
    </w:p>
    <w:p w14:paraId="6F97CB47"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5 b) Programa conjunto de Inspección internacional (párrs. 232-235)</w:t>
      </w:r>
    </w:p>
    <w:p w14:paraId="2D5E5C7A"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p>
    <w:p w14:paraId="180E8D90" w14:textId="77777777" w:rsidR="009123AC" w:rsidRPr="00F0379B" w:rsidRDefault="009123AC" w:rsidP="009123AC">
      <w:pPr>
        <w:spacing w:after="0" w:line="240" w:lineRule="auto"/>
        <w:jc w:val="both"/>
        <w:rPr>
          <w:rFonts w:ascii="Cambria" w:eastAsia="Times New Roman"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No aplicable, ya que China tiene solo tres palangreros de atún rojo.</w:t>
      </w:r>
    </w:p>
    <w:p w14:paraId="01598D9B" w14:textId="77777777" w:rsidR="009123AC" w:rsidRPr="00F0379B" w:rsidRDefault="009123AC" w:rsidP="009123AC">
      <w:pPr>
        <w:spacing w:after="0" w:line="240" w:lineRule="auto"/>
        <w:jc w:val="both"/>
        <w:rPr>
          <w:rFonts w:ascii="Cambria" w:eastAsiaTheme="minorEastAsia" w:hAnsi="Cambria"/>
          <w:i/>
          <w:kern w:val="2"/>
          <w:sz w:val="20"/>
          <w:szCs w:val="20"/>
          <w:lang w:eastAsia="ja-JP"/>
          <w14:ligatures w14:val="standardContextual"/>
        </w:rPr>
      </w:pPr>
    </w:p>
    <w:p w14:paraId="639A20F0" w14:textId="77777777" w:rsidR="009123AC" w:rsidRPr="00F0379B" w:rsidRDefault="009123AC" w:rsidP="009123AC">
      <w:pPr>
        <w:spacing w:after="0" w:line="240" w:lineRule="auto"/>
        <w:jc w:val="both"/>
        <w:rPr>
          <w:rFonts w:ascii="Cambria" w:eastAsiaTheme="minorEastAsia" w:hAnsi="Cambria"/>
          <w:i/>
          <w:kern w:val="2"/>
          <w:sz w:val="20"/>
          <w:szCs w:val="20"/>
          <w:lang w:eastAsia="ja-JP"/>
          <w14:ligatures w14:val="standardContextual"/>
        </w:rPr>
      </w:pPr>
    </w:p>
    <w:p w14:paraId="2AEE88C8" w14:textId="77777777" w:rsidR="009123AC" w:rsidRPr="00F0379B" w:rsidRDefault="009123AC" w:rsidP="00CE0EC8">
      <w:pPr>
        <w:widowControl w:val="0"/>
        <w:numPr>
          <w:ilvl w:val="0"/>
          <w:numId w:val="44"/>
        </w:numPr>
        <w:spacing w:after="0" w:line="240" w:lineRule="auto"/>
        <w:ind w:left="426" w:hanging="426"/>
        <w:contextualSpacing/>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Otros</w:t>
      </w:r>
    </w:p>
    <w:p w14:paraId="1C022DAF"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1A9F61ED" w14:textId="77777777" w:rsidR="009123AC" w:rsidRPr="00F0379B" w:rsidRDefault="009123AC" w:rsidP="009123AC">
      <w:pPr>
        <w:spacing w:after="0" w:line="240" w:lineRule="auto"/>
        <w:rPr>
          <w:rFonts w:ascii="Cambria" w:eastAsia="SimSun" w:hAnsi="Cambria" w:cs="SimSun"/>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Actualmente China no tiene otra información que comunicar.</w:t>
      </w:r>
    </w:p>
    <w:p w14:paraId="6F7C8248" w14:textId="77777777" w:rsidR="009123AC" w:rsidRPr="00F0379B" w:rsidRDefault="009123AC" w:rsidP="009123AC">
      <w:pPr>
        <w:spacing w:after="0"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br w:type="page"/>
      </w:r>
    </w:p>
    <w:p w14:paraId="169F0569" w14:textId="77777777" w:rsidR="009123AC" w:rsidRPr="00F0379B" w:rsidRDefault="009123AC" w:rsidP="009123AC">
      <w:pPr>
        <w:spacing w:after="0" w:line="240" w:lineRule="auto"/>
        <w:rPr>
          <w:rFonts w:ascii="Cambria" w:eastAsiaTheme="minorEastAsia" w:hAnsi="Cambria"/>
          <w:i/>
          <w:kern w:val="2"/>
          <w:sz w:val="20"/>
          <w:szCs w:val="20"/>
          <w:lang w:eastAsia="ja-JP"/>
          <w14:ligatures w14:val="standardContextual"/>
        </w:rPr>
        <w:sectPr w:rsidR="009123AC" w:rsidRPr="00F0379B" w:rsidSect="009123AC">
          <w:footnotePr>
            <w:numFmt w:val="chicago"/>
          </w:footnotePr>
          <w:pgSz w:w="11906" w:h="16838" w:code="9"/>
          <w:pgMar w:top="1418" w:right="1418" w:bottom="1418" w:left="1418" w:header="851" w:footer="1134" w:gutter="0"/>
          <w:cols w:space="425"/>
          <w:docGrid w:linePitch="360"/>
        </w:sectPr>
      </w:pPr>
    </w:p>
    <w:p w14:paraId="6D9F4D5B" w14:textId="77777777" w:rsidR="009123AC" w:rsidRPr="00F0379B" w:rsidRDefault="009123AC" w:rsidP="009123AC">
      <w:pPr>
        <w:spacing w:after="0" w:line="240" w:lineRule="auto"/>
        <w:rPr>
          <w:rFonts w:ascii="Cambria" w:eastAsiaTheme="minorEastAsia" w:hAnsi="Cambria"/>
          <w:b/>
          <w:bCs/>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lastRenderedPageBreak/>
        <w:t>Tabla de capacidad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7"/>
        <w:gridCol w:w="1437"/>
        <w:gridCol w:w="851"/>
        <w:gridCol w:w="709"/>
        <w:gridCol w:w="567"/>
        <w:gridCol w:w="708"/>
        <w:gridCol w:w="567"/>
        <w:gridCol w:w="567"/>
        <w:gridCol w:w="709"/>
        <w:gridCol w:w="284"/>
        <w:gridCol w:w="567"/>
        <w:gridCol w:w="567"/>
        <w:gridCol w:w="567"/>
        <w:gridCol w:w="850"/>
        <w:gridCol w:w="851"/>
        <w:gridCol w:w="850"/>
        <w:gridCol w:w="814"/>
      </w:tblGrid>
      <w:tr w:rsidR="009123AC" w:rsidRPr="00F0379B" w14:paraId="23B02A0E" w14:textId="77777777" w:rsidTr="00CA749B">
        <w:trPr>
          <w:trHeight w:val="23"/>
        </w:trPr>
        <w:tc>
          <w:tcPr>
            <w:tcW w:w="2527" w:type="dxa"/>
            <w:noWrap/>
            <w:vAlign w:val="center"/>
            <w:hideMark/>
          </w:tcPr>
          <w:p w14:paraId="13678F74" w14:textId="77777777" w:rsidR="009123AC" w:rsidRPr="00F0379B" w:rsidRDefault="009123AC" w:rsidP="009123AC">
            <w:pPr>
              <w:keepNext/>
              <w:spacing w:after="0" w:line="240" w:lineRule="auto"/>
              <w:jc w:val="center"/>
              <w:outlineLvl w:val="1"/>
              <w:rPr>
                <w:rFonts w:ascii="Cambria" w:eastAsia="Times New Roman" w:hAnsi="Cambria" w:cs="Calibri"/>
                <w:i/>
                <w:iCs/>
                <w:sz w:val="14"/>
                <w:szCs w:val="14"/>
                <w:lang w:eastAsia="fr-FR" w:bidi="fr-FR"/>
              </w:rPr>
            </w:pPr>
            <w:r w:rsidRPr="00F0379B">
              <w:rPr>
                <w:rFonts w:ascii="Cambria" w:eastAsia="MS Gothic" w:hAnsi="Cambria" w:cs="Times New Roman"/>
                <w:i/>
                <w:sz w:val="14"/>
                <w:szCs w:val="14"/>
                <w:lang w:eastAsia="fr-FR" w:bidi="fr-FR"/>
              </w:rPr>
              <w:t>Tipo de buque atunero</w:t>
            </w:r>
          </w:p>
        </w:tc>
        <w:tc>
          <w:tcPr>
            <w:tcW w:w="1437" w:type="dxa"/>
            <w:noWrap/>
            <w:vAlign w:val="center"/>
            <w:hideMark/>
          </w:tcPr>
          <w:p w14:paraId="06F6FE21"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127" w:type="dxa"/>
            <w:gridSpan w:val="3"/>
          </w:tcPr>
          <w:p w14:paraId="4C7FF92D" w14:textId="77777777" w:rsidR="009123AC" w:rsidRPr="00F0379B" w:rsidRDefault="009123AC" w:rsidP="009123AC">
            <w:pPr>
              <w:spacing w:after="0" w:line="240" w:lineRule="auto"/>
              <w:jc w:val="center"/>
              <w:rPr>
                <w:rFonts w:ascii="Cambria" w:eastAsia="Times New Roman" w:hAnsi="Cambria" w:cs="Calibri"/>
                <w:i/>
                <w:iCs/>
                <w:sz w:val="14"/>
                <w:szCs w:val="14"/>
                <w:lang w:eastAsia="fr-FR" w:bidi="fr-FR"/>
              </w:rPr>
            </w:pPr>
            <w:r w:rsidRPr="00F0379B">
              <w:rPr>
                <w:rFonts w:ascii="Cambria" w:eastAsia="MS Gothic" w:hAnsi="Cambria" w:cs="Times New Roman"/>
                <w:i/>
                <w:sz w:val="14"/>
                <w:szCs w:val="14"/>
                <w:lang w:eastAsia="fr-FR" w:bidi="fr-FR"/>
              </w:rPr>
              <w:t>Años de referencia</w:t>
            </w:r>
          </w:p>
        </w:tc>
        <w:tc>
          <w:tcPr>
            <w:tcW w:w="2551" w:type="dxa"/>
            <w:gridSpan w:val="4"/>
            <w:vAlign w:val="center"/>
          </w:tcPr>
          <w:p w14:paraId="64870E3C" w14:textId="77777777" w:rsidR="009123AC" w:rsidRPr="00F0379B" w:rsidRDefault="009123AC" w:rsidP="009123AC">
            <w:pPr>
              <w:spacing w:after="0" w:line="240" w:lineRule="auto"/>
              <w:jc w:val="center"/>
              <w:rPr>
                <w:rFonts w:ascii="Cambria" w:eastAsia="Times New Roman" w:hAnsi="Cambria" w:cs="Times New Roman"/>
                <w:sz w:val="14"/>
                <w:szCs w:val="14"/>
                <w:lang w:eastAsia="fr-FR" w:bidi="fr-FR"/>
              </w:rPr>
            </w:pPr>
            <w:r w:rsidRPr="00F0379B">
              <w:rPr>
                <w:rFonts w:ascii="Cambria" w:eastAsia="MS Gothic" w:hAnsi="Cambria" w:cs="Times New Roman"/>
                <w:i/>
                <w:sz w:val="14"/>
                <w:szCs w:val="14"/>
                <w:lang w:eastAsia="fr-FR" w:bidi="fr-FR"/>
              </w:rPr>
              <w:t>N.º de buques</w:t>
            </w:r>
          </w:p>
        </w:tc>
        <w:tc>
          <w:tcPr>
            <w:tcW w:w="284" w:type="dxa"/>
            <w:shd w:val="clear" w:color="auto" w:fill="D9D9D9"/>
            <w:vAlign w:val="center"/>
            <w:hideMark/>
          </w:tcPr>
          <w:p w14:paraId="2C39FA4D" w14:textId="77777777" w:rsidR="009123AC" w:rsidRPr="00F0379B" w:rsidRDefault="009123AC" w:rsidP="009123AC">
            <w:pPr>
              <w:spacing w:after="0" w:line="240" w:lineRule="auto"/>
              <w:jc w:val="center"/>
              <w:rPr>
                <w:rFonts w:ascii="Cambria" w:eastAsia="Times New Roman" w:hAnsi="Cambria" w:cs="Times New Roman"/>
                <w:sz w:val="14"/>
                <w:szCs w:val="14"/>
                <w:lang w:val="en-US" w:eastAsia="ja-JP"/>
              </w:rPr>
            </w:pPr>
          </w:p>
        </w:tc>
        <w:tc>
          <w:tcPr>
            <w:tcW w:w="1701" w:type="dxa"/>
            <w:gridSpan w:val="3"/>
          </w:tcPr>
          <w:p w14:paraId="47442208" w14:textId="77777777" w:rsidR="009123AC" w:rsidRPr="00F0379B" w:rsidRDefault="009123AC" w:rsidP="009123AC">
            <w:pPr>
              <w:spacing w:after="0" w:line="240" w:lineRule="auto"/>
              <w:jc w:val="center"/>
              <w:rPr>
                <w:rFonts w:ascii="Cambria" w:eastAsia="Times New Roman" w:hAnsi="Cambria" w:cs="Calibri"/>
                <w:i/>
                <w:iCs/>
                <w:sz w:val="14"/>
                <w:szCs w:val="14"/>
                <w:lang w:eastAsia="fr-FR" w:bidi="fr-FR"/>
              </w:rPr>
            </w:pPr>
            <w:r w:rsidRPr="00F0379B">
              <w:rPr>
                <w:rFonts w:ascii="Cambria" w:eastAsia="MS Gothic" w:hAnsi="Cambria" w:cs="Times New Roman"/>
                <w:i/>
                <w:sz w:val="14"/>
                <w:szCs w:val="14"/>
                <w:lang w:eastAsia="fr-FR" w:bidi="fr-FR"/>
              </w:rPr>
              <w:t>Años de referencia</w:t>
            </w:r>
          </w:p>
        </w:tc>
        <w:tc>
          <w:tcPr>
            <w:tcW w:w="3365" w:type="dxa"/>
            <w:gridSpan w:val="4"/>
          </w:tcPr>
          <w:p w14:paraId="1BDA6061" w14:textId="77777777" w:rsidR="009123AC" w:rsidRPr="00F0379B" w:rsidRDefault="009123AC" w:rsidP="009123AC">
            <w:pPr>
              <w:spacing w:after="0" w:line="240" w:lineRule="auto"/>
              <w:jc w:val="center"/>
              <w:rPr>
                <w:rFonts w:ascii="Cambria" w:eastAsia="Times New Roman" w:hAnsi="Cambria" w:cs="Calibri"/>
                <w:i/>
                <w:iCs/>
                <w:sz w:val="14"/>
                <w:szCs w:val="14"/>
                <w:lang w:eastAsia="fr-FR" w:bidi="fr-FR"/>
              </w:rPr>
            </w:pPr>
            <w:r w:rsidRPr="00F0379B">
              <w:rPr>
                <w:rFonts w:ascii="Cambria" w:eastAsia="MS Gothic" w:hAnsi="Cambria" w:cs="Times New Roman"/>
                <w:i/>
                <w:sz w:val="14"/>
                <w:szCs w:val="14"/>
                <w:lang w:eastAsia="fr-FR" w:bidi="fr-FR"/>
              </w:rPr>
              <w:t>Capacidad de pesca</w:t>
            </w:r>
          </w:p>
        </w:tc>
      </w:tr>
      <w:tr w:rsidR="009123AC" w:rsidRPr="00F0379B" w14:paraId="58CA4C17" w14:textId="77777777" w:rsidTr="00CA749B">
        <w:trPr>
          <w:trHeight w:val="23"/>
        </w:trPr>
        <w:tc>
          <w:tcPr>
            <w:tcW w:w="2527" w:type="dxa"/>
            <w:tcBorders>
              <w:bottom w:val="single" w:sz="12" w:space="0" w:color="000000"/>
            </w:tcBorders>
            <w:noWrap/>
            <w:vAlign w:val="center"/>
            <w:hideMark/>
          </w:tcPr>
          <w:p w14:paraId="384A1322"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Tipo</w:t>
            </w:r>
          </w:p>
        </w:tc>
        <w:tc>
          <w:tcPr>
            <w:tcW w:w="1437" w:type="dxa"/>
            <w:tcBorders>
              <w:bottom w:val="single" w:sz="12" w:space="0" w:color="000000"/>
            </w:tcBorders>
            <w:vAlign w:val="center"/>
            <w:hideMark/>
          </w:tcPr>
          <w:p w14:paraId="0CCCD41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Mejores tasas de captura definidas por el SCRS en 2009 (t)</w:t>
            </w:r>
          </w:p>
        </w:tc>
        <w:tc>
          <w:tcPr>
            <w:tcW w:w="851" w:type="dxa"/>
            <w:tcBorders>
              <w:bottom w:val="single" w:sz="12" w:space="0" w:color="000000"/>
            </w:tcBorders>
            <w:vAlign w:val="center"/>
          </w:tcPr>
          <w:p w14:paraId="28F1874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2006</w:t>
            </w:r>
          </w:p>
        </w:tc>
        <w:tc>
          <w:tcPr>
            <w:tcW w:w="709" w:type="dxa"/>
            <w:tcBorders>
              <w:bottom w:val="single" w:sz="12" w:space="0" w:color="000000"/>
            </w:tcBorders>
            <w:noWrap/>
            <w:vAlign w:val="center"/>
            <w:hideMark/>
          </w:tcPr>
          <w:p w14:paraId="54DF20C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2008</w:t>
            </w:r>
          </w:p>
        </w:tc>
        <w:tc>
          <w:tcPr>
            <w:tcW w:w="567" w:type="dxa"/>
            <w:tcBorders>
              <w:bottom w:val="single" w:sz="12" w:space="0" w:color="000000"/>
            </w:tcBorders>
            <w:vAlign w:val="center"/>
            <w:hideMark/>
          </w:tcPr>
          <w:p w14:paraId="0EF973C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2018</w:t>
            </w:r>
          </w:p>
        </w:tc>
        <w:tc>
          <w:tcPr>
            <w:tcW w:w="708" w:type="dxa"/>
            <w:tcBorders>
              <w:bottom w:val="single" w:sz="12" w:space="0" w:color="000000"/>
            </w:tcBorders>
            <w:vAlign w:val="center"/>
            <w:hideMark/>
          </w:tcPr>
          <w:p w14:paraId="12DB219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2023</w:t>
            </w:r>
          </w:p>
        </w:tc>
        <w:tc>
          <w:tcPr>
            <w:tcW w:w="567" w:type="dxa"/>
            <w:tcBorders>
              <w:bottom w:val="single" w:sz="12" w:space="0" w:color="000000"/>
            </w:tcBorders>
            <w:vAlign w:val="center"/>
            <w:hideMark/>
          </w:tcPr>
          <w:p w14:paraId="7BA53DB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2024</w:t>
            </w:r>
          </w:p>
        </w:tc>
        <w:tc>
          <w:tcPr>
            <w:tcW w:w="567" w:type="dxa"/>
            <w:tcBorders>
              <w:bottom w:val="single" w:sz="12" w:space="0" w:color="000000"/>
            </w:tcBorders>
            <w:vAlign w:val="center"/>
          </w:tcPr>
          <w:p w14:paraId="0D3E038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2025</w:t>
            </w:r>
          </w:p>
        </w:tc>
        <w:tc>
          <w:tcPr>
            <w:tcW w:w="709" w:type="dxa"/>
            <w:tcBorders>
              <w:bottom w:val="single" w:sz="12" w:space="0" w:color="000000"/>
            </w:tcBorders>
            <w:vAlign w:val="center"/>
          </w:tcPr>
          <w:p w14:paraId="1F1A2EB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2026</w:t>
            </w:r>
          </w:p>
        </w:tc>
        <w:tc>
          <w:tcPr>
            <w:tcW w:w="284" w:type="dxa"/>
            <w:tcBorders>
              <w:bottom w:val="single" w:sz="12" w:space="0" w:color="000000"/>
            </w:tcBorders>
            <w:shd w:val="clear" w:color="000000" w:fill="D9D9D9"/>
            <w:vAlign w:val="center"/>
            <w:hideMark/>
          </w:tcPr>
          <w:p w14:paraId="4A7F89DC"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tcBorders>
              <w:bottom w:val="single" w:sz="12" w:space="0" w:color="000000"/>
            </w:tcBorders>
            <w:vAlign w:val="center"/>
          </w:tcPr>
          <w:p w14:paraId="19D8932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2006</w:t>
            </w:r>
          </w:p>
        </w:tc>
        <w:tc>
          <w:tcPr>
            <w:tcW w:w="567" w:type="dxa"/>
            <w:tcBorders>
              <w:bottom w:val="single" w:sz="12" w:space="0" w:color="000000"/>
            </w:tcBorders>
            <w:vAlign w:val="center"/>
            <w:hideMark/>
          </w:tcPr>
          <w:p w14:paraId="24928EB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2008</w:t>
            </w:r>
          </w:p>
        </w:tc>
        <w:tc>
          <w:tcPr>
            <w:tcW w:w="567" w:type="dxa"/>
            <w:tcBorders>
              <w:bottom w:val="single" w:sz="12" w:space="0" w:color="000000"/>
            </w:tcBorders>
            <w:vAlign w:val="center"/>
            <w:hideMark/>
          </w:tcPr>
          <w:p w14:paraId="257A083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2018</w:t>
            </w:r>
          </w:p>
        </w:tc>
        <w:tc>
          <w:tcPr>
            <w:tcW w:w="850" w:type="dxa"/>
            <w:tcBorders>
              <w:bottom w:val="single" w:sz="12" w:space="0" w:color="000000"/>
            </w:tcBorders>
            <w:vAlign w:val="center"/>
            <w:hideMark/>
          </w:tcPr>
          <w:p w14:paraId="559A7BA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2023</w:t>
            </w:r>
          </w:p>
        </w:tc>
        <w:tc>
          <w:tcPr>
            <w:tcW w:w="851" w:type="dxa"/>
            <w:tcBorders>
              <w:bottom w:val="single" w:sz="12" w:space="0" w:color="000000"/>
            </w:tcBorders>
            <w:vAlign w:val="center"/>
            <w:hideMark/>
          </w:tcPr>
          <w:p w14:paraId="2287773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2024</w:t>
            </w:r>
          </w:p>
        </w:tc>
        <w:tc>
          <w:tcPr>
            <w:tcW w:w="850" w:type="dxa"/>
            <w:tcBorders>
              <w:bottom w:val="single" w:sz="12" w:space="0" w:color="000000"/>
            </w:tcBorders>
            <w:vAlign w:val="center"/>
            <w:hideMark/>
          </w:tcPr>
          <w:p w14:paraId="41F4300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2025</w:t>
            </w:r>
          </w:p>
        </w:tc>
        <w:tc>
          <w:tcPr>
            <w:tcW w:w="814" w:type="dxa"/>
            <w:tcBorders>
              <w:bottom w:val="single" w:sz="12" w:space="0" w:color="000000"/>
            </w:tcBorders>
            <w:vAlign w:val="center"/>
          </w:tcPr>
          <w:p w14:paraId="4FE329E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2026</w:t>
            </w:r>
          </w:p>
        </w:tc>
      </w:tr>
      <w:tr w:rsidR="009123AC" w:rsidRPr="00F0379B" w14:paraId="1D879C3E" w14:textId="77777777" w:rsidTr="00CA749B">
        <w:trPr>
          <w:trHeight w:val="247"/>
        </w:trPr>
        <w:tc>
          <w:tcPr>
            <w:tcW w:w="2527" w:type="dxa"/>
            <w:tcBorders>
              <w:top w:val="single" w:sz="12" w:space="0" w:color="000000"/>
              <w:left w:val="single" w:sz="12" w:space="0" w:color="000000"/>
            </w:tcBorders>
            <w:noWrap/>
            <w:vAlign w:val="center"/>
            <w:hideMark/>
          </w:tcPr>
          <w:p w14:paraId="63D606C3"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Cerqueros de más de 40 m</w:t>
            </w:r>
          </w:p>
        </w:tc>
        <w:tc>
          <w:tcPr>
            <w:tcW w:w="1437" w:type="dxa"/>
            <w:tcBorders>
              <w:top w:val="single" w:sz="12" w:space="0" w:color="000000"/>
            </w:tcBorders>
            <w:noWrap/>
            <w:vAlign w:val="center"/>
            <w:hideMark/>
          </w:tcPr>
          <w:p w14:paraId="24CE631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70,66</w:t>
            </w:r>
          </w:p>
        </w:tc>
        <w:tc>
          <w:tcPr>
            <w:tcW w:w="851" w:type="dxa"/>
            <w:tcBorders>
              <w:top w:val="single" w:sz="12" w:space="0" w:color="000000"/>
            </w:tcBorders>
            <w:vAlign w:val="center"/>
          </w:tcPr>
          <w:p w14:paraId="1CBB8986"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tcBorders>
              <w:top w:val="single" w:sz="12" w:space="0" w:color="000000"/>
            </w:tcBorders>
            <w:noWrap/>
            <w:vAlign w:val="center"/>
            <w:hideMark/>
          </w:tcPr>
          <w:p w14:paraId="6197A74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vAlign w:val="center"/>
            <w:hideMark/>
          </w:tcPr>
          <w:p w14:paraId="11FA3C1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tcBorders>
              <w:top w:val="single" w:sz="12" w:space="0" w:color="000000"/>
            </w:tcBorders>
            <w:vAlign w:val="center"/>
            <w:hideMark/>
          </w:tcPr>
          <w:p w14:paraId="47DF451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vAlign w:val="center"/>
            <w:hideMark/>
          </w:tcPr>
          <w:p w14:paraId="5B6B942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vAlign w:val="center"/>
          </w:tcPr>
          <w:p w14:paraId="491F4022"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709" w:type="dxa"/>
            <w:tcBorders>
              <w:top w:val="single" w:sz="12" w:space="0" w:color="000000"/>
            </w:tcBorders>
            <w:vAlign w:val="center"/>
          </w:tcPr>
          <w:p w14:paraId="4EEC3962"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4" w:type="dxa"/>
            <w:tcBorders>
              <w:top w:val="single" w:sz="12" w:space="0" w:color="000000"/>
            </w:tcBorders>
            <w:shd w:val="clear" w:color="000000" w:fill="D9D9D9"/>
            <w:vAlign w:val="center"/>
            <w:hideMark/>
          </w:tcPr>
          <w:p w14:paraId="5762470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vAlign w:val="center"/>
          </w:tcPr>
          <w:p w14:paraId="704CD7D9"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top w:val="single" w:sz="12" w:space="0" w:color="000000"/>
            </w:tcBorders>
            <w:vAlign w:val="center"/>
            <w:hideMark/>
          </w:tcPr>
          <w:p w14:paraId="4F01920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vAlign w:val="center"/>
            <w:hideMark/>
          </w:tcPr>
          <w:p w14:paraId="0A4BC32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tcBorders>
              <w:top w:val="single" w:sz="12" w:space="0" w:color="000000"/>
            </w:tcBorders>
            <w:vAlign w:val="center"/>
            <w:hideMark/>
          </w:tcPr>
          <w:p w14:paraId="17897F6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tcBorders>
              <w:top w:val="single" w:sz="12" w:space="0" w:color="000000"/>
            </w:tcBorders>
            <w:vAlign w:val="center"/>
            <w:hideMark/>
          </w:tcPr>
          <w:p w14:paraId="10E8CDD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tcBorders>
              <w:top w:val="single" w:sz="12" w:space="0" w:color="000000"/>
            </w:tcBorders>
            <w:vAlign w:val="center"/>
            <w:hideMark/>
          </w:tcPr>
          <w:p w14:paraId="4E2E430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14" w:type="dxa"/>
            <w:tcBorders>
              <w:top w:val="single" w:sz="12" w:space="0" w:color="000000"/>
              <w:right w:val="single" w:sz="12" w:space="0" w:color="000000"/>
            </w:tcBorders>
            <w:vAlign w:val="center"/>
          </w:tcPr>
          <w:p w14:paraId="5FCED9D5"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r>
      <w:tr w:rsidR="009123AC" w:rsidRPr="00F0379B" w14:paraId="0AA8BEF9" w14:textId="77777777" w:rsidTr="00CA749B">
        <w:trPr>
          <w:trHeight w:val="23"/>
        </w:trPr>
        <w:tc>
          <w:tcPr>
            <w:tcW w:w="2527" w:type="dxa"/>
            <w:tcBorders>
              <w:left w:val="single" w:sz="12" w:space="0" w:color="000000"/>
            </w:tcBorders>
            <w:noWrap/>
            <w:vAlign w:val="center"/>
            <w:hideMark/>
          </w:tcPr>
          <w:p w14:paraId="7681C485"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Cerqueros entre 24 y 40 m</w:t>
            </w:r>
          </w:p>
        </w:tc>
        <w:tc>
          <w:tcPr>
            <w:tcW w:w="1437" w:type="dxa"/>
            <w:noWrap/>
            <w:vAlign w:val="center"/>
            <w:hideMark/>
          </w:tcPr>
          <w:p w14:paraId="6B5D25E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49,78</w:t>
            </w:r>
          </w:p>
        </w:tc>
        <w:tc>
          <w:tcPr>
            <w:tcW w:w="851" w:type="dxa"/>
            <w:vAlign w:val="center"/>
          </w:tcPr>
          <w:p w14:paraId="6F83742A"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noWrap/>
            <w:vAlign w:val="center"/>
            <w:hideMark/>
          </w:tcPr>
          <w:p w14:paraId="210C757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7602C94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vAlign w:val="center"/>
            <w:hideMark/>
          </w:tcPr>
          <w:p w14:paraId="63F025A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0EE1132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6BA9257F"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709" w:type="dxa"/>
            <w:vAlign w:val="center"/>
          </w:tcPr>
          <w:p w14:paraId="531060E9"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4" w:type="dxa"/>
            <w:shd w:val="clear" w:color="000000" w:fill="D9D9D9"/>
            <w:vAlign w:val="center"/>
            <w:hideMark/>
          </w:tcPr>
          <w:p w14:paraId="3662BA8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049A14B3"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hideMark/>
          </w:tcPr>
          <w:p w14:paraId="2618DA1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22736DA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vAlign w:val="center"/>
            <w:hideMark/>
          </w:tcPr>
          <w:p w14:paraId="4141D26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vAlign w:val="center"/>
            <w:hideMark/>
          </w:tcPr>
          <w:p w14:paraId="1532224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vAlign w:val="center"/>
            <w:hideMark/>
          </w:tcPr>
          <w:p w14:paraId="3F5A85C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14" w:type="dxa"/>
            <w:tcBorders>
              <w:right w:val="single" w:sz="12" w:space="0" w:color="000000"/>
            </w:tcBorders>
            <w:vAlign w:val="center"/>
          </w:tcPr>
          <w:p w14:paraId="0ECA86F9"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r>
      <w:tr w:rsidR="009123AC" w:rsidRPr="00F0379B" w14:paraId="1294A148" w14:textId="77777777" w:rsidTr="00CA749B">
        <w:trPr>
          <w:trHeight w:val="23"/>
        </w:trPr>
        <w:tc>
          <w:tcPr>
            <w:tcW w:w="2527" w:type="dxa"/>
            <w:tcBorders>
              <w:left w:val="single" w:sz="12" w:space="0" w:color="000000"/>
            </w:tcBorders>
            <w:noWrap/>
            <w:vAlign w:val="center"/>
            <w:hideMark/>
          </w:tcPr>
          <w:p w14:paraId="06B318FF"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Cerqueros de menos de 24 m</w:t>
            </w:r>
          </w:p>
        </w:tc>
        <w:tc>
          <w:tcPr>
            <w:tcW w:w="1437" w:type="dxa"/>
            <w:noWrap/>
            <w:vAlign w:val="center"/>
            <w:hideMark/>
          </w:tcPr>
          <w:p w14:paraId="1FD2AD8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33,68</w:t>
            </w:r>
          </w:p>
        </w:tc>
        <w:tc>
          <w:tcPr>
            <w:tcW w:w="851" w:type="dxa"/>
            <w:vAlign w:val="center"/>
          </w:tcPr>
          <w:p w14:paraId="7056F08C"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noWrap/>
            <w:vAlign w:val="center"/>
            <w:hideMark/>
          </w:tcPr>
          <w:p w14:paraId="52571E0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7327AD0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vAlign w:val="center"/>
            <w:hideMark/>
          </w:tcPr>
          <w:p w14:paraId="5427135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7A1D798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57CBD4C2"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709" w:type="dxa"/>
            <w:vAlign w:val="center"/>
          </w:tcPr>
          <w:p w14:paraId="41ADF09E"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4" w:type="dxa"/>
            <w:shd w:val="clear" w:color="000000" w:fill="D9D9D9"/>
            <w:vAlign w:val="center"/>
            <w:hideMark/>
          </w:tcPr>
          <w:p w14:paraId="48F4A49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6C5AB108"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hideMark/>
          </w:tcPr>
          <w:p w14:paraId="6E4675F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2029754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vAlign w:val="center"/>
            <w:hideMark/>
          </w:tcPr>
          <w:p w14:paraId="7185F7B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vAlign w:val="center"/>
            <w:hideMark/>
          </w:tcPr>
          <w:p w14:paraId="3B7C30A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vAlign w:val="center"/>
            <w:hideMark/>
          </w:tcPr>
          <w:p w14:paraId="266300C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14" w:type="dxa"/>
            <w:tcBorders>
              <w:right w:val="single" w:sz="12" w:space="0" w:color="000000"/>
            </w:tcBorders>
            <w:vAlign w:val="center"/>
          </w:tcPr>
          <w:p w14:paraId="3F21E680"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r>
      <w:tr w:rsidR="009123AC" w:rsidRPr="00F0379B" w14:paraId="27F5791B" w14:textId="77777777" w:rsidTr="00CA749B">
        <w:trPr>
          <w:trHeight w:val="23"/>
        </w:trPr>
        <w:tc>
          <w:tcPr>
            <w:tcW w:w="2527" w:type="dxa"/>
            <w:tcBorders>
              <w:left w:val="single" w:sz="12" w:space="0" w:color="000000"/>
            </w:tcBorders>
            <w:noWrap/>
            <w:vAlign w:val="center"/>
            <w:hideMark/>
          </w:tcPr>
          <w:p w14:paraId="6AFC0665"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Total flota de cerco</w:t>
            </w:r>
          </w:p>
        </w:tc>
        <w:tc>
          <w:tcPr>
            <w:tcW w:w="1437" w:type="dxa"/>
            <w:noWrap/>
            <w:vAlign w:val="center"/>
            <w:hideMark/>
          </w:tcPr>
          <w:p w14:paraId="618E3638" w14:textId="77777777" w:rsidR="009123AC" w:rsidRPr="00F0379B" w:rsidRDefault="009123AC" w:rsidP="009123AC">
            <w:pPr>
              <w:spacing w:after="0" w:line="240" w:lineRule="auto"/>
              <w:jc w:val="center"/>
              <w:rPr>
                <w:rFonts w:ascii="Cambria" w:eastAsia="Times New Roman" w:hAnsi="Cambria" w:cs="Times New Roman"/>
                <w:sz w:val="14"/>
                <w:szCs w:val="14"/>
                <w:lang w:eastAsia="fr-FR" w:bidi="fr-FR"/>
              </w:rPr>
            </w:pPr>
          </w:p>
        </w:tc>
        <w:tc>
          <w:tcPr>
            <w:tcW w:w="851" w:type="dxa"/>
            <w:vAlign w:val="center"/>
          </w:tcPr>
          <w:p w14:paraId="27C2E0FB"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noWrap/>
            <w:vAlign w:val="center"/>
            <w:hideMark/>
          </w:tcPr>
          <w:p w14:paraId="7A3DC077"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2E0D99C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8" w:type="dxa"/>
            <w:vAlign w:val="center"/>
            <w:hideMark/>
          </w:tcPr>
          <w:p w14:paraId="5AD14D9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2A99B18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653D746B"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709" w:type="dxa"/>
            <w:vAlign w:val="center"/>
          </w:tcPr>
          <w:p w14:paraId="01A812ED"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4" w:type="dxa"/>
            <w:shd w:val="clear" w:color="000000" w:fill="D9D9D9"/>
            <w:vAlign w:val="center"/>
            <w:hideMark/>
          </w:tcPr>
          <w:p w14:paraId="27EAD0B6"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76559BF3"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hideMark/>
          </w:tcPr>
          <w:p w14:paraId="4D4CA9B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111760B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0" w:type="dxa"/>
            <w:vAlign w:val="center"/>
            <w:hideMark/>
          </w:tcPr>
          <w:p w14:paraId="48E53B4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1" w:type="dxa"/>
            <w:vAlign w:val="center"/>
            <w:hideMark/>
          </w:tcPr>
          <w:p w14:paraId="1D1F9F29"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0" w:type="dxa"/>
            <w:vAlign w:val="center"/>
            <w:hideMark/>
          </w:tcPr>
          <w:p w14:paraId="61299A3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14" w:type="dxa"/>
            <w:tcBorders>
              <w:right w:val="single" w:sz="12" w:space="0" w:color="000000"/>
            </w:tcBorders>
            <w:vAlign w:val="center"/>
          </w:tcPr>
          <w:p w14:paraId="140F3F20"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r>
      <w:tr w:rsidR="009123AC" w:rsidRPr="00F0379B" w14:paraId="07C39FC4" w14:textId="77777777" w:rsidTr="00CA749B">
        <w:trPr>
          <w:trHeight w:val="23"/>
        </w:trPr>
        <w:tc>
          <w:tcPr>
            <w:tcW w:w="2527" w:type="dxa"/>
            <w:tcBorders>
              <w:left w:val="single" w:sz="12" w:space="0" w:color="000000"/>
            </w:tcBorders>
            <w:noWrap/>
            <w:vAlign w:val="center"/>
            <w:hideMark/>
          </w:tcPr>
          <w:p w14:paraId="0F33C96B"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Palangreros de más de 40 m</w:t>
            </w:r>
          </w:p>
        </w:tc>
        <w:tc>
          <w:tcPr>
            <w:tcW w:w="1437" w:type="dxa"/>
            <w:noWrap/>
            <w:vAlign w:val="center"/>
            <w:hideMark/>
          </w:tcPr>
          <w:p w14:paraId="50C2C1B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25</w:t>
            </w:r>
          </w:p>
        </w:tc>
        <w:tc>
          <w:tcPr>
            <w:tcW w:w="851" w:type="dxa"/>
            <w:vAlign w:val="center"/>
          </w:tcPr>
          <w:p w14:paraId="5A8EA45B"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MS Gothic" w:hAnsi="Cambria" w:cs="Times New Roman"/>
                <w:sz w:val="14"/>
                <w:szCs w:val="14"/>
                <w:lang w:eastAsia="fr-FR" w:bidi="fr-FR"/>
              </w:rPr>
              <w:t>4</w:t>
            </w:r>
          </w:p>
        </w:tc>
        <w:tc>
          <w:tcPr>
            <w:tcW w:w="709" w:type="dxa"/>
            <w:noWrap/>
            <w:vAlign w:val="center"/>
            <w:hideMark/>
          </w:tcPr>
          <w:p w14:paraId="2D44223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4</w:t>
            </w:r>
          </w:p>
        </w:tc>
        <w:tc>
          <w:tcPr>
            <w:tcW w:w="567" w:type="dxa"/>
            <w:vAlign w:val="center"/>
            <w:hideMark/>
          </w:tcPr>
          <w:p w14:paraId="29E11B5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w:t>
            </w:r>
          </w:p>
        </w:tc>
        <w:tc>
          <w:tcPr>
            <w:tcW w:w="708" w:type="dxa"/>
            <w:vAlign w:val="center"/>
            <w:hideMark/>
          </w:tcPr>
          <w:p w14:paraId="3BE32C3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val="en-US" w:eastAsia="fr-FR" w:bidi="fr-FR"/>
              </w:rPr>
              <w:t>2</w:t>
            </w:r>
          </w:p>
        </w:tc>
        <w:tc>
          <w:tcPr>
            <w:tcW w:w="567" w:type="dxa"/>
            <w:vAlign w:val="center"/>
            <w:hideMark/>
          </w:tcPr>
          <w:p w14:paraId="15239EE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val="en-US" w:eastAsia="fr-FR" w:bidi="fr-FR"/>
              </w:rPr>
              <w:t>2</w:t>
            </w:r>
          </w:p>
        </w:tc>
        <w:tc>
          <w:tcPr>
            <w:tcW w:w="567" w:type="dxa"/>
            <w:vAlign w:val="center"/>
          </w:tcPr>
          <w:p w14:paraId="1294FAB6"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MS Gothic" w:hAnsi="Cambria" w:cs="Times New Roman"/>
                <w:sz w:val="14"/>
                <w:szCs w:val="14"/>
                <w:lang w:val="en-US" w:eastAsia="fr-FR" w:bidi="fr-FR"/>
              </w:rPr>
              <w:t>2</w:t>
            </w:r>
          </w:p>
        </w:tc>
        <w:tc>
          <w:tcPr>
            <w:tcW w:w="709" w:type="dxa"/>
            <w:vAlign w:val="center"/>
          </w:tcPr>
          <w:p w14:paraId="7862E152"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SimSun" w:hAnsi="Cambria" w:cs="Times New Roman"/>
                <w:sz w:val="14"/>
                <w:szCs w:val="14"/>
                <w:lang w:val="en-US" w:eastAsia="zh-CN" w:bidi="fr-FR"/>
              </w:rPr>
              <w:t>3</w:t>
            </w:r>
          </w:p>
        </w:tc>
        <w:tc>
          <w:tcPr>
            <w:tcW w:w="284" w:type="dxa"/>
            <w:shd w:val="clear" w:color="000000" w:fill="D9D9D9"/>
            <w:vAlign w:val="center"/>
            <w:hideMark/>
          </w:tcPr>
          <w:p w14:paraId="046AF26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15E19383"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MS Gothic" w:hAnsi="Cambria" w:cs="Times New Roman"/>
                <w:sz w:val="14"/>
                <w:szCs w:val="14"/>
                <w:lang w:eastAsia="fr-FR" w:bidi="fr-FR"/>
              </w:rPr>
              <w:t>100</w:t>
            </w:r>
          </w:p>
        </w:tc>
        <w:tc>
          <w:tcPr>
            <w:tcW w:w="567" w:type="dxa"/>
            <w:vAlign w:val="center"/>
            <w:hideMark/>
          </w:tcPr>
          <w:p w14:paraId="09E4D06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val="en-US" w:eastAsia="fr-FR" w:bidi="fr-FR"/>
              </w:rPr>
              <w:t>100</w:t>
            </w:r>
          </w:p>
        </w:tc>
        <w:tc>
          <w:tcPr>
            <w:tcW w:w="567" w:type="dxa"/>
            <w:vAlign w:val="center"/>
            <w:hideMark/>
          </w:tcPr>
          <w:p w14:paraId="2A1AA6C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val="en-US" w:eastAsia="fr-FR" w:bidi="fr-FR"/>
              </w:rPr>
              <w:t>50</w:t>
            </w:r>
          </w:p>
        </w:tc>
        <w:tc>
          <w:tcPr>
            <w:tcW w:w="850" w:type="dxa"/>
            <w:vAlign w:val="center"/>
            <w:hideMark/>
          </w:tcPr>
          <w:p w14:paraId="5B7DDB9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val="en-US" w:eastAsia="fr-FR" w:bidi="fr-FR"/>
              </w:rPr>
              <w:t>50</w:t>
            </w:r>
          </w:p>
        </w:tc>
        <w:tc>
          <w:tcPr>
            <w:tcW w:w="851" w:type="dxa"/>
            <w:vAlign w:val="center"/>
            <w:hideMark/>
          </w:tcPr>
          <w:p w14:paraId="065E16E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val="en-US" w:eastAsia="fr-FR" w:bidi="fr-FR"/>
              </w:rPr>
              <w:t>50</w:t>
            </w:r>
          </w:p>
        </w:tc>
        <w:tc>
          <w:tcPr>
            <w:tcW w:w="850" w:type="dxa"/>
            <w:vAlign w:val="center"/>
            <w:hideMark/>
          </w:tcPr>
          <w:p w14:paraId="62A0AC9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val="en-US" w:eastAsia="fr-FR" w:bidi="fr-FR"/>
              </w:rPr>
              <w:t>50</w:t>
            </w:r>
          </w:p>
        </w:tc>
        <w:tc>
          <w:tcPr>
            <w:tcW w:w="814" w:type="dxa"/>
            <w:tcBorders>
              <w:right w:val="single" w:sz="12" w:space="0" w:color="000000"/>
            </w:tcBorders>
            <w:vAlign w:val="center"/>
          </w:tcPr>
          <w:p w14:paraId="49096063"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SimSun" w:hAnsi="Cambria" w:cs="Calibri"/>
                <w:sz w:val="14"/>
                <w:szCs w:val="14"/>
                <w:lang w:val="en-US" w:eastAsia="zh-CN"/>
              </w:rPr>
              <w:t>75</w:t>
            </w:r>
          </w:p>
        </w:tc>
      </w:tr>
      <w:tr w:rsidR="009123AC" w:rsidRPr="00F0379B" w14:paraId="2FE495C3" w14:textId="77777777" w:rsidTr="00CA749B">
        <w:trPr>
          <w:trHeight w:val="23"/>
        </w:trPr>
        <w:tc>
          <w:tcPr>
            <w:tcW w:w="2527" w:type="dxa"/>
            <w:tcBorders>
              <w:left w:val="single" w:sz="12" w:space="0" w:color="000000"/>
            </w:tcBorders>
            <w:noWrap/>
            <w:vAlign w:val="center"/>
            <w:hideMark/>
          </w:tcPr>
          <w:p w14:paraId="76D4E7F5"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Palangreros entre 24 y 40 m</w:t>
            </w:r>
          </w:p>
        </w:tc>
        <w:tc>
          <w:tcPr>
            <w:tcW w:w="1437" w:type="dxa"/>
            <w:noWrap/>
            <w:vAlign w:val="center"/>
            <w:hideMark/>
          </w:tcPr>
          <w:p w14:paraId="60D3A65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5,68</w:t>
            </w:r>
          </w:p>
        </w:tc>
        <w:tc>
          <w:tcPr>
            <w:tcW w:w="851" w:type="dxa"/>
            <w:vAlign w:val="center"/>
          </w:tcPr>
          <w:p w14:paraId="32A0B5F7"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noWrap/>
            <w:vAlign w:val="center"/>
            <w:hideMark/>
          </w:tcPr>
          <w:p w14:paraId="5A71893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50A9DD9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vAlign w:val="center"/>
            <w:hideMark/>
          </w:tcPr>
          <w:p w14:paraId="1FA5F4A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3CA81AA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1813BDBB"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709" w:type="dxa"/>
            <w:vAlign w:val="center"/>
          </w:tcPr>
          <w:p w14:paraId="48627DD5"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4" w:type="dxa"/>
            <w:shd w:val="clear" w:color="000000" w:fill="D9D9D9"/>
            <w:vAlign w:val="center"/>
            <w:hideMark/>
          </w:tcPr>
          <w:p w14:paraId="0582387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6FBDBA4C"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hideMark/>
          </w:tcPr>
          <w:p w14:paraId="5CA0D9D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21D2CEA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vAlign w:val="center"/>
            <w:hideMark/>
          </w:tcPr>
          <w:p w14:paraId="2F4D93B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vAlign w:val="center"/>
            <w:hideMark/>
          </w:tcPr>
          <w:p w14:paraId="4E2880D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vAlign w:val="center"/>
            <w:hideMark/>
          </w:tcPr>
          <w:p w14:paraId="02E2814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14" w:type="dxa"/>
            <w:tcBorders>
              <w:right w:val="single" w:sz="12" w:space="0" w:color="000000"/>
            </w:tcBorders>
            <w:vAlign w:val="center"/>
          </w:tcPr>
          <w:p w14:paraId="46867934"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r>
      <w:tr w:rsidR="009123AC" w:rsidRPr="00F0379B" w14:paraId="65929BE9" w14:textId="77777777" w:rsidTr="00CA749B">
        <w:trPr>
          <w:trHeight w:val="23"/>
        </w:trPr>
        <w:tc>
          <w:tcPr>
            <w:tcW w:w="2527" w:type="dxa"/>
            <w:tcBorders>
              <w:left w:val="single" w:sz="12" w:space="0" w:color="000000"/>
            </w:tcBorders>
            <w:noWrap/>
            <w:vAlign w:val="center"/>
            <w:hideMark/>
          </w:tcPr>
          <w:p w14:paraId="6F522A76"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Palangreros de menos de 24 m</w:t>
            </w:r>
          </w:p>
        </w:tc>
        <w:tc>
          <w:tcPr>
            <w:tcW w:w="1437" w:type="dxa"/>
            <w:noWrap/>
            <w:vAlign w:val="center"/>
            <w:hideMark/>
          </w:tcPr>
          <w:p w14:paraId="3E33DBC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5</w:t>
            </w:r>
          </w:p>
        </w:tc>
        <w:tc>
          <w:tcPr>
            <w:tcW w:w="851" w:type="dxa"/>
            <w:vAlign w:val="center"/>
          </w:tcPr>
          <w:p w14:paraId="6683B603"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noWrap/>
            <w:vAlign w:val="center"/>
            <w:hideMark/>
          </w:tcPr>
          <w:p w14:paraId="65EA84E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70FA714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vAlign w:val="center"/>
            <w:hideMark/>
          </w:tcPr>
          <w:p w14:paraId="52D7BFC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39E5F89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467F4A0B"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709" w:type="dxa"/>
            <w:vAlign w:val="center"/>
          </w:tcPr>
          <w:p w14:paraId="1C486BE1"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4" w:type="dxa"/>
            <w:shd w:val="clear" w:color="000000" w:fill="D9D9D9"/>
            <w:vAlign w:val="center"/>
            <w:hideMark/>
          </w:tcPr>
          <w:p w14:paraId="215F4F1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6069C93F"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hideMark/>
          </w:tcPr>
          <w:p w14:paraId="555A4FF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04BA03D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vAlign w:val="center"/>
            <w:hideMark/>
          </w:tcPr>
          <w:p w14:paraId="6F32B59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vAlign w:val="center"/>
            <w:hideMark/>
          </w:tcPr>
          <w:p w14:paraId="076D0AD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vAlign w:val="center"/>
            <w:hideMark/>
          </w:tcPr>
          <w:p w14:paraId="7D45C1B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14" w:type="dxa"/>
            <w:tcBorders>
              <w:right w:val="single" w:sz="12" w:space="0" w:color="000000"/>
            </w:tcBorders>
            <w:vAlign w:val="center"/>
          </w:tcPr>
          <w:p w14:paraId="782604C9"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r>
      <w:tr w:rsidR="009123AC" w:rsidRPr="00F0379B" w14:paraId="2EF87F84" w14:textId="77777777" w:rsidTr="00CA749B">
        <w:trPr>
          <w:trHeight w:val="23"/>
        </w:trPr>
        <w:tc>
          <w:tcPr>
            <w:tcW w:w="2527" w:type="dxa"/>
            <w:tcBorders>
              <w:left w:val="single" w:sz="12" w:space="0" w:color="000000"/>
            </w:tcBorders>
            <w:noWrap/>
            <w:vAlign w:val="center"/>
            <w:hideMark/>
          </w:tcPr>
          <w:p w14:paraId="44743474"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Total flota de palangre</w:t>
            </w:r>
          </w:p>
        </w:tc>
        <w:tc>
          <w:tcPr>
            <w:tcW w:w="1437" w:type="dxa"/>
            <w:noWrap/>
            <w:vAlign w:val="center"/>
            <w:hideMark/>
          </w:tcPr>
          <w:p w14:paraId="390D14D1" w14:textId="77777777" w:rsidR="009123AC" w:rsidRPr="00F0379B" w:rsidRDefault="009123AC" w:rsidP="009123AC">
            <w:pPr>
              <w:spacing w:after="0" w:line="240" w:lineRule="auto"/>
              <w:jc w:val="center"/>
              <w:rPr>
                <w:rFonts w:ascii="Cambria" w:eastAsia="Times New Roman" w:hAnsi="Cambria" w:cs="Times New Roman"/>
                <w:sz w:val="14"/>
                <w:szCs w:val="14"/>
                <w:lang w:eastAsia="fr-FR" w:bidi="fr-FR"/>
              </w:rPr>
            </w:pPr>
          </w:p>
        </w:tc>
        <w:tc>
          <w:tcPr>
            <w:tcW w:w="851" w:type="dxa"/>
            <w:vAlign w:val="center"/>
          </w:tcPr>
          <w:p w14:paraId="45E46520"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r w:rsidRPr="00F0379B">
              <w:rPr>
                <w:rFonts w:ascii="Cambria" w:eastAsia="MS Gothic" w:hAnsi="Cambria" w:cs="Times New Roman"/>
                <w:b/>
                <w:bCs/>
                <w:sz w:val="14"/>
                <w:szCs w:val="14"/>
                <w:lang w:eastAsia="fr-FR" w:bidi="fr-FR"/>
              </w:rPr>
              <w:t>4</w:t>
            </w:r>
          </w:p>
        </w:tc>
        <w:tc>
          <w:tcPr>
            <w:tcW w:w="709" w:type="dxa"/>
            <w:noWrap/>
            <w:vAlign w:val="center"/>
            <w:hideMark/>
          </w:tcPr>
          <w:p w14:paraId="6608563D"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MS Gothic" w:hAnsi="Cambria" w:cs="Times New Roman"/>
                <w:b/>
                <w:bCs/>
                <w:sz w:val="14"/>
                <w:szCs w:val="14"/>
                <w:lang w:eastAsia="fr-FR" w:bidi="fr-FR"/>
              </w:rPr>
              <w:t>4</w:t>
            </w:r>
          </w:p>
        </w:tc>
        <w:tc>
          <w:tcPr>
            <w:tcW w:w="567" w:type="dxa"/>
            <w:vAlign w:val="center"/>
            <w:hideMark/>
          </w:tcPr>
          <w:p w14:paraId="68E1454A"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MS Gothic" w:hAnsi="Cambria" w:cs="Times New Roman"/>
                <w:b/>
                <w:bCs/>
                <w:sz w:val="14"/>
                <w:szCs w:val="14"/>
                <w:lang w:eastAsia="fr-FR" w:bidi="fr-FR"/>
              </w:rPr>
              <w:t>2</w:t>
            </w:r>
          </w:p>
        </w:tc>
        <w:tc>
          <w:tcPr>
            <w:tcW w:w="708" w:type="dxa"/>
            <w:vAlign w:val="center"/>
            <w:hideMark/>
          </w:tcPr>
          <w:p w14:paraId="252C0DA3"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MS Gothic" w:hAnsi="Cambria" w:cs="Times New Roman"/>
                <w:b/>
                <w:bCs/>
                <w:sz w:val="14"/>
                <w:szCs w:val="14"/>
                <w:lang w:val="en-US" w:eastAsia="fr-FR" w:bidi="fr-FR"/>
              </w:rPr>
              <w:t>2</w:t>
            </w:r>
          </w:p>
        </w:tc>
        <w:tc>
          <w:tcPr>
            <w:tcW w:w="567" w:type="dxa"/>
            <w:vAlign w:val="center"/>
            <w:hideMark/>
          </w:tcPr>
          <w:p w14:paraId="2613F351"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MS Gothic" w:hAnsi="Cambria" w:cs="Times New Roman"/>
                <w:b/>
                <w:bCs/>
                <w:sz w:val="14"/>
                <w:szCs w:val="14"/>
                <w:lang w:val="en-US" w:eastAsia="fr-FR" w:bidi="fr-FR"/>
              </w:rPr>
              <w:t>2</w:t>
            </w:r>
          </w:p>
        </w:tc>
        <w:tc>
          <w:tcPr>
            <w:tcW w:w="567" w:type="dxa"/>
            <w:vAlign w:val="center"/>
          </w:tcPr>
          <w:p w14:paraId="666A40BE"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MS Gothic" w:hAnsi="Cambria" w:cs="Times New Roman"/>
                <w:b/>
                <w:bCs/>
                <w:sz w:val="14"/>
                <w:szCs w:val="14"/>
                <w:lang w:val="en-US" w:eastAsia="fr-FR" w:bidi="fr-FR"/>
              </w:rPr>
              <w:t>2</w:t>
            </w:r>
          </w:p>
        </w:tc>
        <w:tc>
          <w:tcPr>
            <w:tcW w:w="709" w:type="dxa"/>
            <w:vAlign w:val="center"/>
          </w:tcPr>
          <w:p w14:paraId="15429C75"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SimSun" w:hAnsi="Cambria" w:cs="Times New Roman"/>
                <w:b/>
                <w:bCs/>
                <w:sz w:val="14"/>
                <w:szCs w:val="14"/>
                <w:lang w:val="en-US" w:eastAsia="zh-CN" w:bidi="fr-FR"/>
              </w:rPr>
              <w:t>3</w:t>
            </w:r>
          </w:p>
        </w:tc>
        <w:tc>
          <w:tcPr>
            <w:tcW w:w="284" w:type="dxa"/>
            <w:shd w:val="clear" w:color="000000" w:fill="D9D9D9"/>
            <w:vAlign w:val="center"/>
            <w:hideMark/>
          </w:tcPr>
          <w:p w14:paraId="3778E967"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349EF766"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r w:rsidRPr="00F0379B">
              <w:rPr>
                <w:rFonts w:ascii="Cambria" w:eastAsia="MS Gothic" w:hAnsi="Cambria" w:cs="Times New Roman"/>
                <w:b/>
                <w:bCs/>
                <w:sz w:val="14"/>
                <w:szCs w:val="14"/>
                <w:lang w:eastAsia="fr-FR" w:bidi="fr-FR"/>
              </w:rPr>
              <w:t>100</w:t>
            </w:r>
          </w:p>
        </w:tc>
        <w:tc>
          <w:tcPr>
            <w:tcW w:w="567" w:type="dxa"/>
            <w:vAlign w:val="center"/>
            <w:hideMark/>
          </w:tcPr>
          <w:p w14:paraId="5185DBD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MS Gothic" w:hAnsi="Cambria" w:cs="Times New Roman"/>
                <w:b/>
                <w:bCs/>
                <w:sz w:val="14"/>
                <w:szCs w:val="14"/>
                <w:lang w:val="en-US" w:eastAsia="fr-FR" w:bidi="fr-FR"/>
              </w:rPr>
              <w:t>100</w:t>
            </w:r>
          </w:p>
        </w:tc>
        <w:tc>
          <w:tcPr>
            <w:tcW w:w="567" w:type="dxa"/>
            <w:vAlign w:val="center"/>
            <w:hideMark/>
          </w:tcPr>
          <w:p w14:paraId="1750CF5C"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MS Gothic" w:hAnsi="Cambria" w:cs="Times New Roman"/>
                <w:b/>
                <w:bCs/>
                <w:sz w:val="14"/>
                <w:szCs w:val="14"/>
                <w:lang w:val="en-US" w:eastAsia="fr-FR" w:bidi="fr-FR"/>
              </w:rPr>
              <w:t>50</w:t>
            </w:r>
          </w:p>
        </w:tc>
        <w:tc>
          <w:tcPr>
            <w:tcW w:w="850" w:type="dxa"/>
            <w:vAlign w:val="center"/>
            <w:hideMark/>
          </w:tcPr>
          <w:p w14:paraId="122FABA1"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MS Gothic" w:hAnsi="Cambria" w:cs="Times New Roman"/>
                <w:b/>
                <w:bCs/>
                <w:sz w:val="14"/>
                <w:szCs w:val="14"/>
                <w:lang w:val="en-US" w:eastAsia="fr-FR" w:bidi="fr-FR"/>
              </w:rPr>
              <w:t>50</w:t>
            </w:r>
          </w:p>
        </w:tc>
        <w:tc>
          <w:tcPr>
            <w:tcW w:w="851" w:type="dxa"/>
            <w:vAlign w:val="center"/>
            <w:hideMark/>
          </w:tcPr>
          <w:p w14:paraId="49D80399"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MS Gothic" w:hAnsi="Cambria" w:cs="Times New Roman"/>
                <w:b/>
                <w:bCs/>
                <w:sz w:val="14"/>
                <w:szCs w:val="14"/>
                <w:lang w:val="en-US" w:eastAsia="fr-FR" w:bidi="fr-FR"/>
              </w:rPr>
              <w:t>50</w:t>
            </w:r>
          </w:p>
        </w:tc>
        <w:tc>
          <w:tcPr>
            <w:tcW w:w="850" w:type="dxa"/>
            <w:vAlign w:val="center"/>
            <w:hideMark/>
          </w:tcPr>
          <w:p w14:paraId="7F0EE2B0"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SimSun" w:hAnsi="Cambria" w:cs="Calibri"/>
                <w:b/>
                <w:bCs/>
                <w:sz w:val="14"/>
                <w:szCs w:val="14"/>
                <w:lang w:val="en-US" w:eastAsia="zh-CN"/>
              </w:rPr>
              <w:t>50</w:t>
            </w:r>
          </w:p>
        </w:tc>
        <w:tc>
          <w:tcPr>
            <w:tcW w:w="814" w:type="dxa"/>
            <w:tcBorders>
              <w:right w:val="single" w:sz="12" w:space="0" w:color="000000"/>
            </w:tcBorders>
            <w:vAlign w:val="center"/>
          </w:tcPr>
          <w:p w14:paraId="791B7F88"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SimSun" w:hAnsi="Cambria" w:cs="Calibri"/>
                <w:b/>
                <w:bCs/>
                <w:color w:val="000000"/>
                <w:sz w:val="14"/>
                <w:szCs w:val="14"/>
                <w:lang w:val="en-US" w:eastAsia="zh-CN" w:bidi="fr-FR"/>
              </w:rPr>
              <w:t>75</w:t>
            </w:r>
          </w:p>
        </w:tc>
      </w:tr>
      <w:tr w:rsidR="009123AC" w:rsidRPr="00F0379B" w14:paraId="4A246A0A" w14:textId="77777777" w:rsidTr="00CA749B">
        <w:trPr>
          <w:trHeight w:val="221"/>
        </w:trPr>
        <w:tc>
          <w:tcPr>
            <w:tcW w:w="2527" w:type="dxa"/>
            <w:tcBorders>
              <w:left w:val="single" w:sz="12" w:space="0" w:color="000000"/>
            </w:tcBorders>
            <w:noWrap/>
            <w:vAlign w:val="center"/>
            <w:hideMark/>
          </w:tcPr>
          <w:p w14:paraId="0E40AF37"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Cebo vivo</w:t>
            </w:r>
          </w:p>
        </w:tc>
        <w:tc>
          <w:tcPr>
            <w:tcW w:w="1437" w:type="dxa"/>
            <w:noWrap/>
            <w:vAlign w:val="center"/>
            <w:hideMark/>
          </w:tcPr>
          <w:p w14:paraId="628E96A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19,75</w:t>
            </w:r>
          </w:p>
        </w:tc>
        <w:tc>
          <w:tcPr>
            <w:tcW w:w="851" w:type="dxa"/>
            <w:vAlign w:val="center"/>
          </w:tcPr>
          <w:p w14:paraId="1336CEC1"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noWrap/>
            <w:vAlign w:val="center"/>
            <w:hideMark/>
          </w:tcPr>
          <w:p w14:paraId="38A6712B"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64505B2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8" w:type="dxa"/>
            <w:vAlign w:val="center"/>
            <w:hideMark/>
          </w:tcPr>
          <w:p w14:paraId="79C5F3E1"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3A2A0396"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78D86D47"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709" w:type="dxa"/>
            <w:vAlign w:val="center"/>
          </w:tcPr>
          <w:p w14:paraId="21E52A31"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4" w:type="dxa"/>
            <w:shd w:val="clear" w:color="000000" w:fill="D9D9D9"/>
            <w:vAlign w:val="center"/>
            <w:hideMark/>
          </w:tcPr>
          <w:p w14:paraId="6F9054C4"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0F10E189"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hideMark/>
          </w:tcPr>
          <w:p w14:paraId="15A901D7"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0FB84A0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0" w:type="dxa"/>
            <w:vAlign w:val="center"/>
            <w:hideMark/>
          </w:tcPr>
          <w:p w14:paraId="2BFBEB5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1" w:type="dxa"/>
            <w:vAlign w:val="center"/>
            <w:hideMark/>
          </w:tcPr>
          <w:p w14:paraId="7A8066C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0" w:type="dxa"/>
            <w:vAlign w:val="center"/>
            <w:hideMark/>
          </w:tcPr>
          <w:p w14:paraId="2AF4025D"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14" w:type="dxa"/>
            <w:tcBorders>
              <w:right w:val="single" w:sz="12" w:space="0" w:color="000000"/>
            </w:tcBorders>
            <w:vAlign w:val="center"/>
          </w:tcPr>
          <w:p w14:paraId="6E0B7F6D"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r>
      <w:tr w:rsidR="009123AC" w:rsidRPr="00F0379B" w14:paraId="11D7BE7A" w14:textId="77777777" w:rsidTr="00CA749B">
        <w:trPr>
          <w:trHeight w:val="23"/>
        </w:trPr>
        <w:tc>
          <w:tcPr>
            <w:tcW w:w="2527" w:type="dxa"/>
            <w:tcBorders>
              <w:left w:val="single" w:sz="12" w:space="0" w:color="000000"/>
            </w:tcBorders>
            <w:noWrap/>
            <w:vAlign w:val="center"/>
            <w:hideMark/>
          </w:tcPr>
          <w:p w14:paraId="7204DBC5"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Liña de mano</w:t>
            </w:r>
          </w:p>
        </w:tc>
        <w:tc>
          <w:tcPr>
            <w:tcW w:w="1437" w:type="dxa"/>
            <w:noWrap/>
            <w:vAlign w:val="center"/>
            <w:hideMark/>
          </w:tcPr>
          <w:p w14:paraId="3F70021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5</w:t>
            </w:r>
          </w:p>
        </w:tc>
        <w:tc>
          <w:tcPr>
            <w:tcW w:w="851" w:type="dxa"/>
            <w:vAlign w:val="center"/>
          </w:tcPr>
          <w:p w14:paraId="470DDB97"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noWrap/>
            <w:vAlign w:val="center"/>
            <w:hideMark/>
          </w:tcPr>
          <w:p w14:paraId="79AE0D8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25495CB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vAlign w:val="center"/>
            <w:hideMark/>
          </w:tcPr>
          <w:p w14:paraId="0A77AC2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2C13564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7CE228B9"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709" w:type="dxa"/>
            <w:vAlign w:val="center"/>
          </w:tcPr>
          <w:p w14:paraId="0B414B3A"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4" w:type="dxa"/>
            <w:shd w:val="clear" w:color="000000" w:fill="D9D9D9"/>
            <w:vAlign w:val="center"/>
            <w:hideMark/>
          </w:tcPr>
          <w:p w14:paraId="62EFBA0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21C05CBC"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hideMark/>
          </w:tcPr>
          <w:p w14:paraId="6BB268F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3672CA2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vAlign w:val="center"/>
            <w:hideMark/>
          </w:tcPr>
          <w:p w14:paraId="6CC28AB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vAlign w:val="center"/>
            <w:hideMark/>
          </w:tcPr>
          <w:p w14:paraId="7E4F958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vAlign w:val="center"/>
            <w:hideMark/>
          </w:tcPr>
          <w:p w14:paraId="4E28EF6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14" w:type="dxa"/>
            <w:tcBorders>
              <w:right w:val="single" w:sz="12" w:space="0" w:color="000000"/>
            </w:tcBorders>
            <w:vAlign w:val="center"/>
          </w:tcPr>
          <w:p w14:paraId="137530A4"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r>
      <w:tr w:rsidR="009123AC" w:rsidRPr="00F0379B" w14:paraId="047DA8B9" w14:textId="77777777" w:rsidTr="00CA749B">
        <w:trPr>
          <w:trHeight w:val="23"/>
        </w:trPr>
        <w:tc>
          <w:tcPr>
            <w:tcW w:w="2527" w:type="dxa"/>
            <w:tcBorders>
              <w:left w:val="single" w:sz="12" w:space="0" w:color="000000"/>
            </w:tcBorders>
            <w:noWrap/>
            <w:vAlign w:val="center"/>
            <w:hideMark/>
          </w:tcPr>
          <w:p w14:paraId="1CB2F8F5"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Arrastreros</w:t>
            </w:r>
          </w:p>
        </w:tc>
        <w:tc>
          <w:tcPr>
            <w:tcW w:w="1437" w:type="dxa"/>
            <w:noWrap/>
            <w:vAlign w:val="center"/>
            <w:hideMark/>
          </w:tcPr>
          <w:p w14:paraId="1905900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10</w:t>
            </w:r>
          </w:p>
        </w:tc>
        <w:tc>
          <w:tcPr>
            <w:tcW w:w="851" w:type="dxa"/>
            <w:vAlign w:val="center"/>
          </w:tcPr>
          <w:p w14:paraId="0573C2F4"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noWrap/>
            <w:vAlign w:val="center"/>
            <w:hideMark/>
          </w:tcPr>
          <w:p w14:paraId="450AACA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458E94B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vAlign w:val="center"/>
            <w:hideMark/>
          </w:tcPr>
          <w:p w14:paraId="09EB97E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2E2F62F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6AF39236"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709" w:type="dxa"/>
            <w:vAlign w:val="center"/>
          </w:tcPr>
          <w:p w14:paraId="1D3D1994"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4" w:type="dxa"/>
            <w:shd w:val="clear" w:color="000000" w:fill="D9D9D9"/>
            <w:vAlign w:val="center"/>
            <w:hideMark/>
          </w:tcPr>
          <w:p w14:paraId="4C0B154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603B84A7"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hideMark/>
          </w:tcPr>
          <w:p w14:paraId="665CE84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15482EC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vAlign w:val="center"/>
            <w:hideMark/>
          </w:tcPr>
          <w:p w14:paraId="0D36941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vAlign w:val="center"/>
            <w:hideMark/>
          </w:tcPr>
          <w:p w14:paraId="01DBA7A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vAlign w:val="center"/>
            <w:hideMark/>
          </w:tcPr>
          <w:p w14:paraId="62BC343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14" w:type="dxa"/>
            <w:tcBorders>
              <w:right w:val="single" w:sz="12" w:space="0" w:color="000000"/>
            </w:tcBorders>
            <w:vAlign w:val="center"/>
          </w:tcPr>
          <w:p w14:paraId="692D28A8"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r>
      <w:tr w:rsidR="009123AC" w:rsidRPr="00F0379B" w14:paraId="19351A88" w14:textId="77777777" w:rsidTr="00CA749B">
        <w:trPr>
          <w:trHeight w:val="23"/>
        </w:trPr>
        <w:tc>
          <w:tcPr>
            <w:tcW w:w="2527" w:type="dxa"/>
            <w:tcBorders>
              <w:left w:val="single" w:sz="12" w:space="0" w:color="000000"/>
            </w:tcBorders>
            <w:noWrap/>
            <w:vAlign w:val="center"/>
            <w:hideMark/>
          </w:tcPr>
          <w:p w14:paraId="63BE8610"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Almadrabas</w:t>
            </w:r>
          </w:p>
        </w:tc>
        <w:tc>
          <w:tcPr>
            <w:tcW w:w="1437" w:type="dxa"/>
            <w:noWrap/>
            <w:vAlign w:val="center"/>
            <w:hideMark/>
          </w:tcPr>
          <w:p w14:paraId="1F2A113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130</w:t>
            </w:r>
          </w:p>
        </w:tc>
        <w:tc>
          <w:tcPr>
            <w:tcW w:w="851" w:type="dxa"/>
            <w:vAlign w:val="center"/>
          </w:tcPr>
          <w:p w14:paraId="2BE453E9"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noWrap/>
            <w:vAlign w:val="center"/>
            <w:hideMark/>
          </w:tcPr>
          <w:p w14:paraId="7173EA0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06E7282E"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8" w:type="dxa"/>
            <w:vAlign w:val="center"/>
            <w:hideMark/>
          </w:tcPr>
          <w:p w14:paraId="6CFD216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45F6A10A"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218CE0F7"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709" w:type="dxa"/>
            <w:vAlign w:val="center"/>
          </w:tcPr>
          <w:p w14:paraId="349F1F86"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4" w:type="dxa"/>
            <w:shd w:val="clear" w:color="000000" w:fill="D9D9D9"/>
            <w:vAlign w:val="center"/>
            <w:hideMark/>
          </w:tcPr>
          <w:p w14:paraId="57892F9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44F2D05A"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hideMark/>
          </w:tcPr>
          <w:p w14:paraId="322FDE2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7169F5EC"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0" w:type="dxa"/>
            <w:vAlign w:val="center"/>
            <w:hideMark/>
          </w:tcPr>
          <w:p w14:paraId="090C5FB1"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1" w:type="dxa"/>
            <w:vAlign w:val="center"/>
            <w:hideMark/>
          </w:tcPr>
          <w:p w14:paraId="3ABFADA4"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0" w:type="dxa"/>
            <w:vAlign w:val="center"/>
            <w:hideMark/>
          </w:tcPr>
          <w:p w14:paraId="66754A16"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14" w:type="dxa"/>
            <w:tcBorders>
              <w:right w:val="single" w:sz="12" w:space="0" w:color="000000"/>
            </w:tcBorders>
            <w:vAlign w:val="center"/>
          </w:tcPr>
          <w:p w14:paraId="3CA82235"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r>
      <w:tr w:rsidR="009123AC" w:rsidRPr="00F0379B" w14:paraId="1733B3DF" w14:textId="77777777" w:rsidTr="00CA749B">
        <w:trPr>
          <w:trHeight w:val="23"/>
        </w:trPr>
        <w:tc>
          <w:tcPr>
            <w:tcW w:w="2527" w:type="dxa"/>
            <w:tcBorders>
              <w:left w:val="single" w:sz="12" w:space="0" w:color="000000"/>
            </w:tcBorders>
            <w:vAlign w:val="center"/>
            <w:hideMark/>
          </w:tcPr>
          <w:p w14:paraId="25478DA1"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Pequeños barcos costeros</w:t>
            </w:r>
          </w:p>
        </w:tc>
        <w:tc>
          <w:tcPr>
            <w:tcW w:w="1437" w:type="dxa"/>
            <w:noWrap/>
            <w:vAlign w:val="center"/>
            <w:hideMark/>
          </w:tcPr>
          <w:p w14:paraId="4511122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N/A</w:t>
            </w:r>
          </w:p>
        </w:tc>
        <w:tc>
          <w:tcPr>
            <w:tcW w:w="851" w:type="dxa"/>
            <w:vAlign w:val="center"/>
          </w:tcPr>
          <w:p w14:paraId="3AF1887B"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noWrap/>
            <w:vAlign w:val="center"/>
            <w:hideMark/>
          </w:tcPr>
          <w:p w14:paraId="5F0DA043"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28CA126B"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8" w:type="dxa"/>
            <w:vAlign w:val="center"/>
            <w:hideMark/>
          </w:tcPr>
          <w:p w14:paraId="6B3151C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5E1C6237"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01F0C71A"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709" w:type="dxa"/>
            <w:vAlign w:val="center"/>
          </w:tcPr>
          <w:p w14:paraId="0D12F23C"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4" w:type="dxa"/>
            <w:shd w:val="clear" w:color="000000" w:fill="D9D9D9"/>
            <w:vAlign w:val="center"/>
            <w:hideMark/>
          </w:tcPr>
          <w:p w14:paraId="2AE3ADB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7B8BD547"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hideMark/>
          </w:tcPr>
          <w:p w14:paraId="3E820243"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1C9D912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0" w:type="dxa"/>
            <w:vAlign w:val="center"/>
            <w:hideMark/>
          </w:tcPr>
          <w:p w14:paraId="63D5F2E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1" w:type="dxa"/>
            <w:vAlign w:val="center"/>
            <w:hideMark/>
          </w:tcPr>
          <w:p w14:paraId="21D3BC0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0" w:type="dxa"/>
            <w:vAlign w:val="center"/>
            <w:hideMark/>
          </w:tcPr>
          <w:p w14:paraId="52E0BF37"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14" w:type="dxa"/>
            <w:tcBorders>
              <w:right w:val="single" w:sz="12" w:space="0" w:color="000000"/>
            </w:tcBorders>
            <w:vAlign w:val="center"/>
          </w:tcPr>
          <w:p w14:paraId="1314920D"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r>
      <w:tr w:rsidR="009123AC" w:rsidRPr="00F0379B" w14:paraId="5765B24F" w14:textId="77777777" w:rsidTr="00CA749B">
        <w:trPr>
          <w:trHeight w:val="23"/>
        </w:trPr>
        <w:tc>
          <w:tcPr>
            <w:tcW w:w="2527" w:type="dxa"/>
            <w:tcBorders>
              <w:left w:val="single" w:sz="12" w:space="0" w:color="000000"/>
            </w:tcBorders>
            <w:vAlign w:val="center"/>
            <w:hideMark/>
          </w:tcPr>
          <w:p w14:paraId="35883FDD"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Otros (especificar)</w:t>
            </w:r>
          </w:p>
        </w:tc>
        <w:tc>
          <w:tcPr>
            <w:tcW w:w="1437" w:type="dxa"/>
            <w:noWrap/>
            <w:vAlign w:val="center"/>
            <w:hideMark/>
          </w:tcPr>
          <w:p w14:paraId="4706D08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5</w:t>
            </w:r>
          </w:p>
        </w:tc>
        <w:tc>
          <w:tcPr>
            <w:tcW w:w="851" w:type="dxa"/>
            <w:vAlign w:val="center"/>
          </w:tcPr>
          <w:p w14:paraId="6B7BDE88"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noWrap/>
            <w:vAlign w:val="center"/>
            <w:hideMark/>
          </w:tcPr>
          <w:p w14:paraId="0A14E66B"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5ED856A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8" w:type="dxa"/>
            <w:vAlign w:val="center"/>
            <w:hideMark/>
          </w:tcPr>
          <w:p w14:paraId="2C8074CC"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570D77D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3ABA9898"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709" w:type="dxa"/>
            <w:vAlign w:val="center"/>
          </w:tcPr>
          <w:p w14:paraId="237CC8E0"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4" w:type="dxa"/>
            <w:shd w:val="clear" w:color="000000" w:fill="D9D9D9"/>
            <w:vAlign w:val="center"/>
            <w:hideMark/>
          </w:tcPr>
          <w:p w14:paraId="0533020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10E2B445"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hideMark/>
          </w:tcPr>
          <w:p w14:paraId="642A851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4E40D53E"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0" w:type="dxa"/>
            <w:vAlign w:val="center"/>
            <w:hideMark/>
          </w:tcPr>
          <w:p w14:paraId="2841781A"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1" w:type="dxa"/>
            <w:vAlign w:val="center"/>
            <w:hideMark/>
          </w:tcPr>
          <w:p w14:paraId="72A9495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0" w:type="dxa"/>
            <w:vAlign w:val="center"/>
            <w:hideMark/>
          </w:tcPr>
          <w:p w14:paraId="636FB53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14" w:type="dxa"/>
            <w:tcBorders>
              <w:right w:val="single" w:sz="12" w:space="0" w:color="000000"/>
            </w:tcBorders>
            <w:vAlign w:val="center"/>
          </w:tcPr>
          <w:p w14:paraId="4F890A87"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r>
      <w:tr w:rsidR="009123AC" w:rsidRPr="00F0379B" w14:paraId="60591E67" w14:textId="77777777" w:rsidTr="00CA749B">
        <w:trPr>
          <w:trHeight w:val="23"/>
        </w:trPr>
        <w:tc>
          <w:tcPr>
            <w:tcW w:w="2527" w:type="dxa"/>
            <w:tcBorders>
              <w:left w:val="single" w:sz="12" w:space="0" w:color="000000"/>
              <w:bottom w:val="single" w:sz="12" w:space="0" w:color="000000"/>
            </w:tcBorders>
            <w:noWrap/>
            <w:vAlign w:val="center"/>
            <w:hideMark/>
          </w:tcPr>
          <w:p w14:paraId="737675A9"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Capacidad pesquera/flota total</w:t>
            </w:r>
          </w:p>
        </w:tc>
        <w:tc>
          <w:tcPr>
            <w:tcW w:w="1437" w:type="dxa"/>
            <w:tcBorders>
              <w:bottom w:val="single" w:sz="12" w:space="0" w:color="000000"/>
            </w:tcBorders>
            <w:noWrap/>
            <w:vAlign w:val="center"/>
            <w:hideMark/>
          </w:tcPr>
          <w:p w14:paraId="228CC2F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tcBorders>
              <w:bottom w:val="single" w:sz="12" w:space="0" w:color="000000"/>
            </w:tcBorders>
            <w:vAlign w:val="center"/>
          </w:tcPr>
          <w:p w14:paraId="0D2141A6"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r w:rsidRPr="00F0379B">
              <w:rPr>
                <w:rFonts w:ascii="Cambria" w:eastAsia="MS Gothic" w:hAnsi="Cambria" w:cs="Times New Roman"/>
                <w:b/>
                <w:bCs/>
                <w:sz w:val="14"/>
                <w:szCs w:val="14"/>
                <w:lang w:eastAsia="fr-FR" w:bidi="fr-FR"/>
              </w:rPr>
              <w:t>4</w:t>
            </w:r>
          </w:p>
        </w:tc>
        <w:tc>
          <w:tcPr>
            <w:tcW w:w="709" w:type="dxa"/>
            <w:tcBorders>
              <w:bottom w:val="single" w:sz="12" w:space="0" w:color="000000"/>
            </w:tcBorders>
            <w:noWrap/>
            <w:vAlign w:val="center"/>
            <w:hideMark/>
          </w:tcPr>
          <w:p w14:paraId="4FE039B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MS Gothic" w:hAnsi="Cambria" w:cs="Times New Roman"/>
                <w:b/>
                <w:bCs/>
                <w:sz w:val="14"/>
                <w:szCs w:val="14"/>
                <w:lang w:eastAsia="fr-FR" w:bidi="fr-FR"/>
              </w:rPr>
              <w:t>4</w:t>
            </w:r>
          </w:p>
        </w:tc>
        <w:tc>
          <w:tcPr>
            <w:tcW w:w="567" w:type="dxa"/>
            <w:tcBorders>
              <w:bottom w:val="single" w:sz="12" w:space="0" w:color="000000"/>
            </w:tcBorders>
            <w:vAlign w:val="center"/>
            <w:hideMark/>
          </w:tcPr>
          <w:p w14:paraId="68124AF0"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MS Gothic" w:hAnsi="Cambria" w:cs="Times New Roman"/>
                <w:b/>
                <w:bCs/>
                <w:sz w:val="14"/>
                <w:szCs w:val="14"/>
                <w:lang w:eastAsia="fr-FR" w:bidi="fr-FR"/>
              </w:rPr>
              <w:t>2</w:t>
            </w:r>
          </w:p>
        </w:tc>
        <w:tc>
          <w:tcPr>
            <w:tcW w:w="708" w:type="dxa"/>
            <w:tcBorders>
              <w:bottom w:val="single" w:sz="12" w:space="0" w:color="000000"/>
            </w:tcBorders>
            <w:vAlign w:val="center"/>
            <w:hideMark/>
          </w:tcPr>
          <w:p w14:paraId="20D1BAE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MS Gothic" w:hAnsi="Cambria" w:cs="Times New Roman"/>
                <w:b/>
                <w:bCs/>
                <w:sz w:val="14"/>
                <w:szCs w:val="14"/>
                <w:lang w:val="en-US" w:eastAsia="fr-FR" w:bidi="fr-FR"/>
              </w:rPr>
              <w:t>2</w:t>
            </w:r>
          </w:p>
        </w:tc>
        <w:tc>
          <w:tcPr>
            <w:tcW w:w="567" w:type="dxa"/>
            <w:tcBorders>
              <w:bottom w:val="single" w:sz="12" w:space="0" w:color="000000"/>
            </w:tcBorders>
            <w:vAlign w:val="center"/>
            <w:hideMark/>
          </w:tcPr>
          <w:p w14:paraId="28FBB7A3"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MS Gothic" w:hAnsi="Cambria" w:cs="Times New Roman"/>
                <w:b/>
                <w:bCs/>
                <w:sz w:val="14"/>
                <w:szCs w:val="14"/>
                <w:lang w:val="en-US" w:eastAsia="fr-FR" w:bidi="fr-FR"/>
              </w:rPr>
              <w:t>2</w:t>
            </w:r>
          </w:p>
        </w:tc>
        <w:tc>
          <w:tcPr>
            <w:tcW w:w="567" w:type="dxa"/>
            <w:tcBorders>
              <w:bottom w:val="single" w:sz="12" w:space="0" w:color="000000"/>
            </w:tcBorders>
            <w:vAlign w:val="center"/>
          </w:tcPr>
          <w:p w14:paraId="5BC0B6E3"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MS Gothic" w:hAnsi="Cambria" w:cs="Times New Roman"/>
                <w:b/>
                <w:bCs/>
                <w:sz w:val="14"/>
                <w:szCs w:val="14"/>
                <w:lang w:val="en-US" w:eastAsia="fr-FR" w:bidi="fr-FR"/>
              </w:rPr>
              <w:t>2</w:t>
            </w:r>
          </w:p>
        </w:tc>
        <w:tc>
          <w:tcPr>
            <w:tcW w:w="709" w:type="dxa"/>
            <w:tcBorders>
              <w:bottom w:val="single" w:sz="12" w:space="0" w:color="000000"/>
            </w:tcBorders>
            <w:vAlign w:val="center"/>
          </w:tcPr>
          <w:p w14:paraId="0B351808"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SimSun" w:hAnsi="Cambria" w:cs="Times New Roman"/>
                <w:b/>
                <w:bCs/>
                <w:sz w:val="14"/>
                <w:szCs w:val="14"/>
                <w:lang w:val="en-US" w:eastAsia="zh-CN" w:bidi="fr-FR"/>
              </w:rPr>
              <w:t>3</w:t>
            </w:r>
          </w:p>
        </w:tc>
        <w:tc>
          <w:tcPr>
            <w:tcW w:w="284" w:type="dxa"/>
            <w:tcBorders>
              <w:bottom w:val="single" w:sz="12" w:space="0" w:color="000000"/>
            </w:tcBorders>
            <w:shd w:val="clear" w:color="000000" w:fill="D9D9D9"/>
            <w:vAlign w:val="center"/>
            <w:hideMark/>
          </w:tcPr>
          <w:p w14:paraId="0EE79E29"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tcBorders>
              <w:bottom w:val="single" w:sz="12" w:space="0" w:color="000000"/>
            </w:tcBorders>
            <w:vAlign w:val="center"/>
          </w:tcPr>
          <w:p w14:paraId="66AB47A9"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r w:rsidRPr="00F0379B">
              <w:rPr>
                <w:rFonts w:ascii="Cambria" w:eastAsia="MS Gothic" w:hAnsi="Cambria" w:cs="Times New Roman"/>
                <w:b/>
                <w:bCs/>
                <w:sz w:val="14"/>
                <w:szCs w:val="14"/>
                <w:lang w:eastAsia="fr-FR" w:bidi="fr-FR"/>
              </w:rPr>
              <w:t>100</w:t>
            </w:r>
          </w:p>
        </w:tc>
        <w:tc>
          <w:tcPr>
            <w:tcW w:w="567" w:type="dxa"/>
            <w:tcBorders>
              <w:bottom w:val="single" w:sz="12" w:space="0" w:color="000000"/>
            </w:tcBorders>
            <w:vAlign w:val="center"/>
            <w:hideMark/>
          </w:tcPr>
          <w:p w14:paraId="53E9042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MS Gothic" w:hAnsi="Cambria" w:cs="Times New Roman"/>
                <w:b/>
                <w:bCs/>
                <w:sz w:val="14"/>
                <w:szCs w:val="14"/>
                <w:lang w:val="en-US" w:eastAsia="fr-FR" w:bidi="fr-FR"/>
              </w:rPr>
              <w:t>100</w:t>
            </w:r>
          </w:p>
        </w:tc>
        <w:tc>
          <w:tcPr>
            <w:tcW w:w="567" w:type="dxa"/>
            <w:tcBorders>
              <w:bottom w:val="single" w:sz="12" w:space="0" w:color="000000"/>
            </w:tcBorders>
            <w:vAlign w:val="center"/>
            <w:hideMark/>
          </w:tcPr>
          <w:p w14:paraId="2D50F2E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MS Gothic" w:hAnsi="Cambria" w:cs="Times New Roman"/>
                <w:b/>
                <w:bCs/>
                <w:sz w:val="14"/>
                <w:szCs w:val="14"/>
                <w:lang w:val="en-US" w:eastAsia="fr-FR" w:bidi="fr-FR"/>
              </w:rPr>
              <w:t>50</w:t>
            </w:r>
          </w:p>
        </w:tc>
        <w:tc>
          <w:tcPr>
            <w:tcW w:w="850" w:type="dxa"/>
            <w:tcBorders>
              <w:bottom w:val="single" w:sz="12" w:space="0" w:color="000000"/>
            </w:tcBorders>
            <w:noWrap/>
            <w:vAlign w:val="center"/>
            <w:hideMark/>
          </w:tcPr>
          <w:p w14:paraId="1583849A"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MS Gothic" w:hAnsi="Cambria" w:cs="Times New Roman"/>
                <w:b/>
                <w:bCs/>
                <w:sz w:val="14"/>
                <w:szCs w:val="14"/>
                <w:lang w:val="en-US" w:eastAsia="fr-FR" w:bidi="fr-FR"/>
              </w:rPr>
              <w:t>50</w:t>
            </w:r>
          </w:p>
        </w:tc>
        <w:tc>
          <w:tcPr>
            <w:tcW w:w="851" w:type="dxa"/>
            <w:tcBorders>
              <w:bottom w:val="single" w:sz="12" w:space="0" w:color="000000"/>
            </w:tcBorders>
            <w:noWrap/>
            <w:vAlign w:val="center"/>
            <w:hideMark/>
          </w:tcPr>
          <w:p w14:paraId="7182C50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MS Gothic" w:hAnsi="Cambria" w:cs="Times New Roman"/>
                <w:b/>
                <w:bCs/>
                <w:sz w:val="14"/>
                <w:szCs w:val="14"/>
                <w:lang w:val="en-US" w:eastAsia="fr-FR" w:bidi="fr-FR"/>
              </w:rPr>
              <w:t>50</w:t>
            </w:r>
          </w:p>
        </w:tc>
        <w:tc>
          <w:tcPr>
            <w:tcW w:w="850" w:type="dxa"/>
            <w:tcBorders>
              <w:bottom w:val="single" w:sz="12" w:space="0" w:color="000000"/>
            </w:tcBorders>
            <w:noWrap/>
            <w:vAlign w:val="center"/>
            <w:hideMark/>
          </w:tcPr>
          <w:p w14:paraId="40CCDF5A"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SimSun" w:hAnsi="Cambria" w:cs="Calibri"/>
                <w:b/>
                <w:bCs/>
                <w:sz w:val="14"/>
                <w:szCs w:val="14"/>
                <w:lang w:val="en-US" w:eastAsia="zh-CN"/>
              </w:rPr>
              <w:t>50</w:t>
            </w:r>
          </w:p>
        </w:tc>
        <w:tc>
          <w:tcPr>
            <w:tcW w:w="814" w:type="dxa"/>
            <w:tcBorders>
              <w:bottom w:val="single" w:sz="12" w:space="0" w:color="000000"/>
              <w:right w:val="single" w:sz="12" w:space="0" w:color="000000"/>
            </w:tcBorders>
            <w:vAlign w:val="center"/>
          </w:tcPr>
          <w:p w14:paraId="0EA162D4"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SimSun" w:hAnsi="Cambria" w:cs="Calibri"/>
                <w:b/>
                <w:bCs/>
                <w:color w:val="000000"/>
                <w:sz w:val="14"/>
                <w:szCs w:val="14"/>
                <w:lang w:val="en-US" w:eastAsia="zh-CN" w:bidi="fr-FR"/>
              </w:rPr>
              <w:t>75</w:t>
            </w:r>
          </w:p>
        </w:tc>
      </w:tr>
      <w:tr w:rsidR="009123AC" w:rsidRPr="00F0379B" w14:paraId="5792B02F" w14:textId="77777777" w:rsidTr="00CA749B">
        <w:trPr>
          <w:trHeight w:val="23"/>
        </w:trPr>
        <w:tc>
          <w:tcPr>
            <w:tcW w:w="2527" w:type="dxa"/>
            <w:tcBorders>
              <w:top w:val="single" w:sz="12" w:space="0" w:color="000000"/>
              <w:left w:val="single" w:sz="12" w:space="0" w:color="000000"/>
            </w:tcBorders>
            <w:shd w:val="clear" w:color="auto" w:fill="D9D9D9"/>
            <w:noWrap/>
            <w:vAlign w:val="center"/>
            <w:hideMark/>
          </w:tcPr>
          <w:p w14:paraId="55F048E2"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Cuota inicial</w:t>
            </w:r>
          </w:p>
        </w:tc>
        <w:tc>
          <w:tcPr>
            <w:tcW w:w="1437" w:type="dxa"/>
            <w:tcBorders>
              <w:top w:val="single" w:sz="12" w:space="0" w:color="000000"/>
            </w:tcBorders>
            <w:shd w:val="clear" w:color="auto" w:fill="D9D9D9"/>
            <w:noWrap/>
            <w:vAlign w:val="center"/>
            <w:hideMark/>
          </w:tcPr>
          <w:p w14:paraId="7E28DC6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tcBorders>
              <w:top w:val="single" w:sz="12" w:space="0" w:color="000000"/>
            </w:tcBorders>
            <w:shd w:val="clear" w:color="auto" w:fill="D9D9D9"/>
            <w:vAlign w:val="center"/>
          </w:tcPr>
          <w:p w14:paraId="009CD84E"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tcBorders>
              <w:top w:val="single" w:sz="12" w:space="0" w:color="000000"/>
            </w:tcBorders>
            <w:shd w:val="clear" w:color="auto" w:fill="D9D9D9"/>
            <w:noWrap/>
            <w:vAlign w:val="center"/>
            <w:hideMark/>
          </w:tcPr>
          <w:p w14:paraId="1C22DD5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shd w:val="clear" w:color="auto" w:fill="D9D9D9"/>
            <w:vAlign w:val="center"/>
            <w:hideMark/>
          </w:tcPr>
          <w:p w14:paraId="009109A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tcBorders>
              <w:top w:val="single" w:sz="12" w:space="0" w:color="000000"/>
            </w:tcBorders>
            <w:shd w:val="clear" w:color="auto" w:fill="D9D9D9"/>
            <w:vAlign w:val="center"/>
            <w:hideMark/>
          </w:tcPr>
          <w:p w14:paraId="572C048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shd w:val="clear" w:color="auto" w:fill="D9D9D9"/>
            <w:vAlign w:val="center"/>
            <w:hideMark/>
          </w:tcPr>
          <w:p w14:paraId="4EB586D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shd w:val="clear" w:color="auto" w:fill="D9D9D9"/>
            <w:vAlign w:val="center"/>
          </w:tcPr>
          <w:p w14:paraId="2503D09C"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709" w:type="dxa"/>
            <w:tcBorders>
              <w:top w:val="single" w:sz="12" w:space="0" w:color="000000"/>
            </w:tcBorders>
            <w:shd w:val="clear" w:color="auto" w:fill="D9D9D9"/>
            <w:vAlign w:val="center"/>
          </w:tcPr>
          <w:p w14:paraId="1E66C1F9"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4" w:type="dxa"/>
            <w:tcBorders>
              <w:top w:val="single" w:sz="12" w:space="0" w:color="000000"/>
            </w:tcBorders>
            <w:shd w:val="clear" w:color="auto" w:fill="D9D9D9"/>
            <w:vAlign w:val="center"/>
            <w:hideMark/>
          </w:tcPr>
          <w:p w14:paraId="672C240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shd w:val="clear" w:color="auto" w:fill="D9D9D9"/>
            <w:vAlign w:val="center"/>
          </w:tcPr>
          <w:p w14:paraId="236E1D32"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MS Gothic" w:hAnsi="Cambria" w:cs="Times New Roman"/>
                <w:b/>
                <w:bCs/>
                <w:sz w:val="14"/>
                <w:szCs w:val="14"/>
                <w:lang w:eastAsia="fr-FR" w:bidi="fr-FR"/>
              </w:rPr>
              <w:t>74</w:t>
            </w:r>
          </w:p>
        </w:tc>
        <w:tc>
          <w:tcPr>
            <w:tcW w:w="567" w:type="dxa"/>
            <w:tcBorders>
              <w:top w:val="single" w:sz="12" w:space="0" w:color="000000"/>
            </w:tcBorders>
            <w:shd w:val="clear" w:color="auto" w:fill="D9D9D9"/>
            <w:vAlign w:val="center"/>
            <w:hideMark/>
          </w:tcPr>
          <w:p w14:paraId="5262D10B" w14:textId="77777777" w:rsidR="009123AC" w:rsidRPr="00F0379B" w:rsidRDefault="009123AC" w:rsidP="009123AC">
            <w:pPr>
              <w:spacing w:after="0" w:line="240" w:lineRule="auto"/>
              <w:ind w:right="-106"/>
              <w:jc w:val="center"/>
              <w:rPr>
                <w:rFonts w:ascii="Cambria" w:eastAsia="Times New Roman" w:hAnsi="Cambria" w:cs="Calibri"/>
                <w:sz w:val="14"/>
                <w:szCs w:val="14"/>
                <w:lang w:eastAsia="fr-FR" w:bidi="fr-FR"/>
              </w:rPr>
            </w:pPr>
            <w:r w:rsidRPr="00F0379B">
              <w:rPr>
                <w:rFonts w:ascii="Cambria" w:eastAsia="MS Gothic" w:hAnsi="Cambria" w:cs="Times New Roman"/>
                <w:b/>
                <w:bCs/>
                <w:sz w:val="14"/>
                <w:szCs w:val="14"/>
                <w:lang w:val="en-US" w:eastAsia="fr-FR" w:bidi="fr-FR"/>
              </w:rPr>
              <w:t>63,55</w:t>
            </w:r>
          </w:p>
        </w:tc>
        <w:tc>
          <w:tcPr>
            <w:tcW w:w="567" w:type="dxa"/>
            <w:tcBorders>
              <w:top w:val="single" w:sz="12" w:space="0" w:color="000000"/>
            </w:tcBorders>
            <w:shd w:val="clear" w:color="auto" w:fill="D9D9D9"/>
            <w:vAlign w:val="center"/>
            <w:hideMark/>
          </w:tcPr>
          <w:p w14:paraId="33FA709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b/>
                <w:bCs/>
                <w:sz w:val="14"/>
                <w:szCs w:val="14"/>
                <w:lang w:val="en-US" w:eastAsia="fr-FR" w:bidi="fr-FR"/>
              </w:rPr>
              <w:t>79</w:t>
            </w:r>
          </w:p>
        </w:tc>
        <w:tc>
          <w:tcPr>
            <w:tcW w:w="850" w:type="dxa"/>
            <w:tcBorders>
              <w:top w:val="single" w:sz="12" w:space="0" w:color="000000"/>
            </w:tcBorders>
            <w:shd w:val="clear" w:color="auto" w:fill="D9D9D9"/>
            <w:vAlign w:val="center"/>
            <w:hideMark/>
          </w:tcPr>
          <w:p w14:paraId="29BDD8F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b/>
                <w:bCs/>
                <w:sz w:val="14"/>
                <w:szCs w:val="14"/>
                <w:lang w:val="en-US" w:eastAsia="fr-FR" w:bidi="fr-FR"/>
              </w:rPr>
              <w:t>112</w:t>
            </w:r>
          </w:p>
        </w:tc>
        <w:tc>
          <w:tcPr>
            <w:tcW w:w="851" w:type="dxa"/>
            <w:tcBorders>
              <w:top w:val="single" w:sz="12" w:space="0" w:color="000000"/>
            </w:tcBorders>
            <w:shd w:val="clear" w:color="auto" w:fill="D9D9D9"/>
            <w:vAlign w:val="center"/>
            <w:hideMark/>
          </w:tcPr>
          <w:p w14:paraId="7338AD6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b/>
                <w:bCs/>
                <w:sz w:val="14"/>
                <w:szCs w:val="14"/>
                <w:lang w:val="en-US" w:eastAsia="fr-FR" w:bidi="fr-FR"/>
              </w:rPr>
              <w:t>112</w:t>
            </w:r>
          </w:p>
        </w:tc>
        <w:tc>
          <w:tcPr>
            <w:tcW w:w="850" w:type="dxa"/>
            <w:tcBorders>
              <w:top w:val="single" w:sz="12" w:space="0" w:color="000000"/>
            </w:tcBorders>
            <w:shd w:val="clear" w:color="auto" w:fill="D9D9D9"/>
            <w:vAlign w:val="center"/>
            <w:hideMark/>
          </w:tcPr>
          <w:p w14:paraId="606235E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SimSun" w:hAnsi="Cambria" w:cs="Calibri"/>
                <w:b/>
                <w:bCs/>
                <w:sz w:val="14"/>
                <w:szCs w:val="14"/>
                <w:lang w:val="en-US" w:eastAsia="zh-CN"/>
              </w:rPr>
              <w:t>112</w:t>
            </w:r>
          </w:p>
        </w:tc>
        <w:tc>
          <w:tcPr>
            <w:tcW w:w="814" w:type="dxa"/>
            <w:tcBorders>
              <w:top w:val="single" w:sz="12" w:space="0" w:color="000000"/>
              <w:right w:val="single" w:sz="12" w:space="0" w:color="000000"/>
            </w:tcBorders>
            <w:shd w:val="clear" w:color="auto" w:fill="D9D9D9"/>
            <w:vAlign w:val="center"/>
          </w:tcPr>
          <w:p w14:paraId="32BB5402"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SimSun" w:hAnsi="Cambria" w:cs="Calibri"/>
                <w:b/>
                <w:bCs/>
                <w:color w:val="000000"/>
                <w:sz w:val="14"/>
                <w:szCs w:val="14"/>
                <w:lang w:val="en-US" w:eastAsia="zh-CN" w:bidi="fr-FR"/>
              </w:rPr>
              <w:t>286,15</w:t>
            </w:r>
          </w:p>
        </w:tc>
      </w:tr>
      <w:tr w:rsidR="009123AC" w:rsidRPr="00F0379B" w14:paraId="705D467C" w14:textId="77777777" w:rsidTr="00CA749B">
        <w:trPr>
          <w:trHeight w:val="23"/>
        </w:trPr>
        <w:tc>
          <w:tcPr>
            <w:tcW w:w="2527" w:type="dxa"/>
            <w:tcBorders>
              <w:left w:val="single" w:sz="12" w:space="0" w:color="000000"/>
              <w:bottom w:val="single" w:sz="12" w:space="0" w:color="000000"/>
            </w:tcBorders>
            <w:shd w:val="clear" w:color="auto" w:fill="D9D9D9"/>
            <w:noWrap/>
            <w:vAlign w:val="center"/>
          </w:tcPr>
          <w:p w14:paraId="317DE4A6"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Cuota ajustada (si procede)</w:t>
            </w:r>
          </w:p>
        </w:tc>
        <w:tc>
          <w:tcPr>
            <w:tcW w:w="1437" w:type="dxa"/>
            <w:tcBorders>
              <w:bottom w:val="single" w:sz="12" w:space="0" w:color="000000"/>
            </w:tcBorders>
            <w:shd w:val="clear" w:color="auto" w:fill="D9D9D9"/>
            <w:noWrap/>
            <w:vAlign w:val="center"/>
          </w:tcPr>
          <w:p w14:paraId="45B98B85"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851" w:type="dxa"/>
            <w:tcBorders>
              <w:bottom w:val="single" w:sz="12" w:space="0" w:color="000000"/>
            </w:tcBorders>
            <w:shd w:val="clear" w:color="auto" w:fill="D9D9D9"/>
            <w:vAlign w:val="center"/>
          </w:tcPr>
          <w:p w14:paraId="7A2A57A3"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tcBorders>
              <w:bottom w:val="single" w:sz="12" w:space="0" w:color="000000"/>
            </w:tcBorders>
            <w:shd w:val="clear" w:color="auto" w:fill="D9D9D9"/>
            <w:noWrap/>
            <w:vAlign w:val="center"/>
          </w:tcPr>
          <w:p w14:paraId="4570FEC0"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bottom w:val="single" w:sz="12" w:space="0" w:color="000000"/>
            </w:tcBorders>
            <w:shd w:val="clear" w:color="auto" w:fill="D9D9D9"/>
            <w:vAlign w:val="center"/>
          </w:tcPr>
          <w:p w14:paraId="1AE9F361"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8" w:type="dxa"/>
            <w:tcBorders>
              <w:bottom w:val="single" w:sz="12" w:space="0" w:color="000000"/>
            </w:tcBorders>
            <w:shd w:val="clear" w:color="auto" w:fill="D9D9D9"/>
            <w:vAlign w:val="center"/>
          </w:tcPr>
          <w:p w14:paraId="1C2A8BBC"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tcBorders>
              <w:bottom w:val="single" w:sz="12" w:space="0" w:color="000000"/>
            </w:tcBorders>
            <w:shd w:val="clear" w:color="auto" w:fill="D9D9D9"/>
            <w:vAlign w:val="center"/>
          </w:tcPr>
          <w:p w14:paraId="273F6751"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tcBorders>
              <w:bottom w:val="single" w:sz="12" w:space="0" w:color="000000"/>
            </w:tcBorders>
            <w:shd w:val="clear" w:color="auto" w:fill="D9D9D9"/>
            <w:vAlign w:val="center"/>
          </w:tcPr>
          <w:p w14:paraId="466B54DC"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709" w:type="dxa"/>
            <w:tcBorders>
              <w:bottom w:val="single" w:sz="12" w:space="0" w:color="000000"/>
            </w:tcBorders>
            <w:shd w:val="clear" w:color="auto" w:fill="D9D9D9"/>
            <w:vAlign w:val="center"/>
          </w:tcPr>
          <w:p w14:paraId="1EA34BDF"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4" w:type="dxa"/>
            <w:tcBorders>
              <w:bottom w:val="single" w:sz="12" w:space="0" w:color="000000"/>
            </w:tcBorders>
            <w:shd w:val="clear" w:color="auto" w:fill="D9D9D9"/>
            <w:vAlign w:val="center"/>
          </w:tcPr>
          <w:p w14:paraId="79A27C94"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tcBorders>
              <w:bottom w:val="single" w:sz="12" w:space="0" w:color="000000"/>
            </w:tcBorders>
            <w:shd w:val="clear" w:color="auto" w:fill="D9D9D9"/>
            <w:vAlign w:val="center"/>
          </w:tcPr>
          <w:p w14:paraId="69924069"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bottom w:val="single" w:sz="12" w:space="0" w:color="000000"/>
            </w:tcBorders>
            <w:shd w:val="clear" w:color="auto" w:fill="D9D9D9"/>
            <w:vAlign w:val="center"/>
          </w:tcPr>
          <w:p w14:paraId="2ABDE5B8"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bottom w:val="single" w:sz="12" w:space="0" w:color="000000"/>
            </w:tcBorders>
            <w:shd w:val="clear" w:color="auto" w:fill="D9D9D9"/>
            <w:vAlign w:val="center"/>
          </w:tcPr>
          <w:p w14:paraId="52229B0F"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850" w:type="dxa"/>
            <w:tcBorders>
              <w:bottom w:val="single" w:sz="12" w:space="0" w:color="000000"/>
            </w:tcBorders>
            <w:shd w:val="clear" w:color="auto" w:fill="D9D9D9"/>
            <w:vAlign w:val="center"/>
          </w:tcPr>
          <w:p w14:paraId="14A378C7" w14:textId="77777777" w:rsidR="009123AC" w:rsidRPr="00F0379B" w:rsidRDefault="009123AC" w:rsidP="009123AC">
            <w:pPr>
              <w:spacing w:after="0" w:line="240" w:lineRule="auto"/>
              <w:jc w:val="center"/>
              <w:rPr>
                <w:rFonts w:ascii="Cambria" w:eastAsia="MS Gothic" w:hAnsi="Cambria" w:cs="Times New Roman"/>
                <w:b/>
                <w:bCs/>
                <w:sz w:val="14"/>
                <w:szCs w:val="14"/>
                <w:lang w:val="en-US" w:eastAsia="fr-FR" w:bidi="fr-FR"/>
              </w:rPr>
            </w:pPr>
            <w:r w:rsidRPr="00F0379B">
              <w:rPr>
                <w:rFonts w:ascii="Cambria" w:eastAsia="MS Gothic" w:hAnsi="Cambria" w:cs="Times New Roman"/>
                <w:b/>
                <w:bCs/>
                <w:sz w:val="14"/>
                <w:szCs w:val="14"/>
                <w:lang w:val="en-US" w:eastAsia="fr-FR" w:bidi="fr-FR"/>
              </w:rPr>
              <w:t>117,1</w:t>
            </w:r>
          </w:p>
          <w:p w14:paraId="5E5D141A" w14:textId="77777777" w:rsidR="009123AC" w:rsidRPr="00F0379B" w:rsidRDefault="009123AC" w:rsidP="009123AC">
            <w:pPr>
              <w:spacing w:after="0" w:line="240" w:lineRule="auto"/>
              <w:ind w:right="-108"/>
              <w:jc w:val="center"/>
              <w:rPr>
                <w:rFonts w:ascii="Cambria" w:eastAsia="Times New Roman" w:hAnsi="Cambria" w:cs="Calibri"/>
                <w:sz w:val="14"/>
                <w:szCs w:val="14"/>
                <w:lang w:val="en-US" w:eastAsia="ja-JP"/>
              </w:rPr>
            </w:pPr>
            <w:r w:rsidRPr="00F0379B">
              <w:rPr>
                <w:rFonts w:ascii="Cambria" w:eastAsia="MS Gothic" w:hAnsi="Cambria" w:cs="Times New Roman"/>
                <w:b/>
                <w:bCs/>
                <w:sz w:val="14"/>
                <w:szCs w:val="14"/>
                <w:lang w:val="en-US" w:eastAsia="fr-FR" w:bidi="fr-FR"/>
              </w:rPr>
              <w:t>(112+5,1)</w:t>
            </w:r>
          </w:p>
        </w:tc>
        <w:tc>
          <w:tcPr>
            <w:tcW w:w="851" w:type="dxa"/>
            <w:tcBorders>
              <w:bottom w:val="single" w:sz="12" w:space="0" w:color="000000"/>
            </w:tcBorders>
            <w:shd w:val="clear" w:color="auto" w:fill="D9D9D9"/>
            <w:vAlign w:val="center"/>
          </w:tcPr>
          <w:p w14:paraId="33D910EC" w14:textId="77777777" w:rsidR="009123AC" w:rsidRPr="00F0379B" w:rsidRDefault="009123AC" w:rsidP="009123AC">
            <w:pPr>
              <w:spacing w:after="0" w:line="240" w:lineRule="auto"/>
              <w:jc w:val="center"/>
              <w:rPr>
                <w:rFonts w:ascii="Cambria" w:eastAsia="MS Gothic" w:hAnsi="Cambria" w:cs="Times New Roman"/>
                <w:b/>
                <w:bCs/>
                <w:sz w:val="14"/>
                <w:szCs w:val="14"/>
                <w:lang w:val="en-US" w:eastAsia="fr-FR" w:bidi="fr-FR"/>
              </w:rPr>
            </w:pPr>
            <w:r w:rsidRPr="00F0379B">
              <w:rPr>
                <w:rFonts w:ascii="Cambria" w:eastAsia="MS Gothic" w:hAnsi="Cambria" w:cs="Times New Roman"/>
                <w:b/>
                <w:bCs/>
                <w:sz w:val="14"/>
                <w:szCs w:val="14"/>
                <w:lang w:val="en-US" w:eastAsia="fr-FR" w:bidi="fr-FR"/>
              </w:rPr>
              <w:t>113,3</w:t>
            </w:r>
          </w:p>
          <w:p w14:paraId="296B01A8" w14:textId="77777777" w:rsidR="009123AC" w:rsidRPr="00F0379B" w:rsidRDefault="009123AC" w:rsidP="009123AC">
            <w:pPr>
              <w:spacing w:after="0" w:line="240" w:lineRule="auto"/>
              <w:ind w:right="-108"/>
              <w:jc w:val="center"/>
              <w:rPr>
                <w:rFonts w:ascii="Cambria" w:eastAsia="Times New Roman" w:hAnsi="Cambria" w:cs="Calibri"/>
                <w:sz w:val="14"/>
                <w:szCs w:val="14"/>
                <w:lang w:val="en-US" w:eastAsia="ja-JP"/>
              </w:rPr>
            </w:pPr>
            <w:r w:rsidRPr="00F0379B">
              <w:rPr>
                <w:rFonts w:ascii="Cambria" w:eastAsia="MS Gothic" w:hAnsi="Cambria" w:cs="Times New Roman"/>
                <w:b/>
                <w:bCs/>
                <w:sz w:val="14"/>
                <w:szCs w:val="14"/>
                <w:lang w:val="en-US" w:eastAsia="fr-FR" w:bidi="fr-FR"/>
              </w:rPr>
              <w:t>(</w:t>
            </w:r>
            <w:r w:rsidRPr="00F0379B">
              <w:rPr>
                <w:rFonts w:ascii="Cambria" w:eastAsia="MS Gothic" w:hAnsi="Cambria" w:cs="Times New Roman"/>
                <w:b/>
                <w:sz w:val="14"/>
                <w:szCs w:val="14"/>
                <w:lang w:val="en-US" w:eastAsia="fr-FR" w:bidi="fr-FR"/>
              </w:rPr>
              <w:t>112</w:t>
            </w:r>
            <w:r w:rsidRPr="00F0379B">
              <w:rPr>
                <w:rFonts w:ascii="Cambria" w:eastAsia="MS Gothic" w:hAnsi="Cambria" w:cs="Times New Roman"/>
                <w:b/>
                <w:bCs/>
                <w:sz w:val="14"/>
                <w:szCs w:val="14"/>
                <w:lang w:val="en-US" w:eastAsia="fr-FR" w:bidi="fr-FR"/>
              </w:rPr>
              <w:t>+1,3)</w:t>
            </w:r>
          </w:p>
        </w:tc>
        <w:tc>
          <w:tcPr>
            <w:tcW w:w="850" w:type="dxa"/>
            <w:tcBorders>
              <w:bottom w:val="single" w:sz="12" w:space="0" w:color="000000"/>
            </w:tcBorders>
            <w:shd w:val="clear" w:color="auto" w:fill="D9D9D9"/>
            <w:vAlign w:val="center"/>
          </w:tcPr>
          <w:p w14:paraId="092B4E4B" w14:textId="77777777" w:rsidR="009123AC" w:rsidRPr="00F0379B" w:rsidRDefault="009123AC" w:rsidP="009123AC">
            <w:pPr>
              <w:spacing w:after="0" w:line="240" w:lineRule="auto"/>
              <w:jc w:val="center"/>
              <w:rPr>
                <w:rFonts w:ascii="Cambria" w:eastAsia="SimSun" w:hAnsi="Cambria" w:cs="Calibri"/>
                <w:b/>
                <w:bCs/>
                <w:sz w:val="14"/>
                <w:szCs w:val="14"/>
                <w:lang w:val="en-US" w:eastAsia="zh-CN"/>
              </w:rPr>
            </w:pPr>
            <w:r w:rsidRPr="00F0379B">
              <w:rPr>
                <w:rFonts w:ascii="Cambria" w:eastAsia="MS Gothic" w:hAnsi="Cambria" w:cs="Times New Roman"/>
                <w:b/>
                <w:sz w:val="14"/>
                <w:szCs w:val="14"/>
                <w:lang w:val="en-US" w:eastAsia="fr-FR" w:bidi="fr-FR"/>
              </w:rPr>
              <w:t>112,</w:t>
            </w:r>
            <w:r w:rsidRPr="00F0379B">
              <w:rPr>
                <w:rFonts w:ascii="Cambria" w:eastAsia="SimSun" w:hAnsi="Cambria" w:cs="Calibri"/>
                <w:b/>
                <w:bCs/>
                <w:sz w:val="14"/>
                <w:szCs w:val="14"/>
                <w:lang w:val="en-US" w:eastAsia="zh-CN"/>
              </w:rPr>
              <w:t>7</w:t>
            </w:r>
          </w:p>
          <w:p w14:paraId="5D6758EE" w14:textId="77777777" w:rsidR="009123AC" w:rsidRPr="00F0379B" w:rsidRDefault="009123AC" w:rsidP="009123AC">
            <w:pPr>
              <w:spacing w:after="0" w:line="240" w:lineRule="auto"/>
              <w:ind w:right="-107"/>
              <w:jc w:val="center"/>
              <w:rPr>
                <w:rFonts w:ascii="Cambria" w:eastAsia="Times New Roman" w:hAnsi="Cambria" w:cs="Calibri"/>
                <w:sz w:val="14"/>
                <w:szCs w:val="14"/>
                <w:lang w:val="en-US" w:eastAsia="ja-JP"/>
              </w:rPr>
            </w:pPr>
            <w:r w:rsidRPr="00F0379B">
              <w:rPr>
                <w:rFonts w:ascii="Cambria" w:eastAsia="SimSun" w:hAnsi="Cambria" w:cs="Calibri"/>
                <w:b/>
                <w:bCs/>
                <w:sz w:val="14"/>
                <w:szCs w:val="14"/>
                <w:lang w:val="en-US" w:eastAsia="zh-CN"/>
              </w:rPr>
              <w:t>(112+0,7)</w:t>
            </w:r>
          </w:p>
        </w:tc>
        <w:tc>
          <w:tcPr>
            <w:tcW w:w="814" w:type="dxa"/>
            <w:tcBorders>
              <w:bottom w:val="single" w:sz="12" w:space="0" w:color="000000"/>
              <w:right w:val="single" w:sz="12" w:space="0" w:color="000000"/>
            </w:tcBorders>
            <w:shd w:val="clear" w:color="auto" w:fill="D9D9D9"/>
            <w:vAlign w:val="center"/>
          </w:tcPr>
          <w:p w14:paraId="60CB7973" w14:textId="77777777" w:rsidR="009123AC" w:rsidRPr="00F0379B" w:rsidRDefault="009123AC" w:rsidP="009123AC">
            <w:pPr>
              <w:spacing w:after="0" w:line="240" w:lineRule="auto"/>
              <w:ind w:right="-50"/>
              <w:jc w:val="center"/>
              <w:rPr>
                <w:rFonts w:ascii="Cambria" w:eastAsia="SimSun" w:hAnsi="Cambria" w:cs="Calibri"/>
                <w:b/>
                <w:bCs/>
                <w:color w:val="000000"/>
                <w:sz w:val="14"/>
                <w:szCs w:val="14"/>
                <w:lang w:val="en-US" w:eastAsia="zh-CN" w:bidi="fr-FR"/>
              </w:rPr>
            </w:pPr>
            <w:r w:rsidRPr="00F0379B">
              <w:rPr>
                <w:rFonts w:ascii="Cambria" w:eastAsia="SimSun" w:hAnsi="Cambria" w:cs="Calibri"/>
                <w:b/>
                <w:bCs/>
                <w:color w:val="000000"/>
                <w:sz w:val="14"/>
                <w:szCs w:val="14"/>
                <w:lang w:val="en-US" w:eastAsia="zh-CN" w:bidi="fr-FR"/>
              </w:rPr>
              <w:t>308,55</w:t>
            </w:r>
          </w:p>
          <w:p w14:paraId="78FF2C8E" w14:textId="77777777" w:rsidR="009123AC" w:rsidRPr="00F0379B" w:rsidRDefault="009123AC" w:rsidP="009123AC">
            <w:pPr>
              <w:spacing w:after="0" w:line="240" w:lineRule="auto"/>
              <w:ind w:right="-50"/>
              <w:jc w:val="center"/>
              <w:rPr>
                <w:rFonts w:ascii="Cambria" w:eastAsia="Times New Roman" w:hAnsi="Cambria" w:cs="Calibri"/>
                <w:sz w:val="14"/>
                <w:szCs w:val="14"/>
                <w:lang w:val="en-US" w:eastAsia="ja-JP"/>
              </w:rPr>
            </w:pPr>
            <w:r w:rsidRPr="00F0379B">
              <w:rPr>
                <w:rFonts w:ascii="Cambria" w:eastAsia="SimSun" w:hAnsi="Cambria" w:cs="Calibri"/>
                <w:b/>
                <w:bCs/>
                <w:color w:val="000000"/>
                <w:sz w:val="14"/>
                <w:szCs w:val="14"/>
                <w:lang w:val="en-US" w:eastAsia="zh-CN" w:bidi="fr-FR"/>
              </w:rPr>
              <w:t>(286,15+22,4)</w:t>
            </w:r>
          </w:p>
        </w:tc>
      </w:tr>
      <w:tr w:rsidR="009123AC" w:rsidRPr="00F0379B" w14:paraId="67BFB207" w14:textId="77777777" w:rsidTr="00CA749B">
        <w:trPr>
          <w:trHeight w:val="23"/>
        </w:trPr>
        <w:tc>
          <w:tcPr>
            <w:tcW w:w="2527" w:type="dxa"/>
            <w:tcBorders>
              <w:top w:val="single" w:sz="12" w:space="0" w:color="000000"/>
              <w:left w:val="single" w:sz="12" w:space="0" w:color="000000"/>
            </w:tcBorders>
            <w:noWrap/>
            <w:vAlign w:val="center"/>
            <w:hideMark/>
          </w:tcPr>
          <w:p w14:paraId="4565E979"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Porcentaje asignado a captura fortuita</w:t>
            </w:r>
          </w:p>
        </w:tc>
        <w:tc>
          <w:tcPr>
            <w:tcW w:w="1437" w:type="dxa"/>
            <w:tcBorders>
              <w:top w:val="single" w:sz="12" w:space="0" w:color="000000"/>
            </w:tcBorders>
            <w:noWrap/>
            <w:vAlign w:val="center"/>
            <w:hideMark/>
          </w:tcPr>
          <w:p w14:paraId="71BAAC7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tcBorders>
              <w:top w:val="single" w:sz="12" w:space="0" w:color="000000"/>
            </w:tcBorders>
            <w:vAlign w:val="center"/>
          </w:tcPr>
          <w:p w14:paraId="2177EF9C"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tcBorders>
              <w:top w:val="single" w:sz="12" w:space="0" w:color="000000"/>
            </w:tcBorders>
            <w:noWrap/>
            <w:vAlign w:val="center"/>
            <w:hideMark/>
          </w:tcPr>
          <w:p w14:paraId="112FF02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vAlign w:val="center"/>
            <w:hideMark/>
          </w:tcPr>
          <w:p w14:paraId="771C5EF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tcBorders>
              <w:top w:val="single" w:sz="12" w:space="0" w:color="000000"/>
            </w:tcBorders>
            <w:vAlign w:val="center"/>
            <w:hideMark/>
          </w:tcPr>
          <w:p w14:paraId="1673BA9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vAlign w:val="center"/>
            <w:hideMark/>
          </w:tcPr>
          <w:p w14:paraId="70CA07B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vAlign w:val="center"/>
          </w:tcPr>
          <w:p w14:paraId="119822E0"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tcBorders>
              <w:top w:val="single" w:sz="12" w:space="0" w:color="000000"/>
            </w:tcBorders>
            <w:vAlign w:val="center"/>
          </w:tcPr>
          <w:p w14:paraId="147EA1DA"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284" w:type="dxa"/>
            <w:tcBorders>
              <w:top w:val="single" w:sz="12" w:space="0" w:color="000000"/>
            </w:tcBorders>
            <w:shd w:val="clear" w:color="000000" w:fill="D9D9D9"/>
            <w:vAlign w:val="center"/>
            <w:hideMark/>
          </w:tcPr>
          <w:p w14:paraId="5913DDB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vAlign w:val="center"/>
          </w:tcPr>
          <w:p w14:paraId="6A2CC3AA"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top w:val="single" w:sz="12" w:space="0" w:color="000000"/>
            </w:tcBorders>
            <w:vAlign w:val="center"/>
            <w:hideMark/>
          </w:tcPr>
          <w:p w14:paraId="525B2DF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vAlign w:val="center"/>
            <w:hideMark/>
          </w:tcPr>
          <w:p w14:paraId="0EFF5B7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tcBorders>
              <w:top w:val="single" w:sz="12" w:space="0" w:color="000000"/>
            </w:tcBorders>
            <w:vAlign w:val="center"/>
            <w:hideMark/>
          </w:tcPr>
          <w:p w14:paraId="7563911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b/>
                <w:bCs/>
                <w:sz w:val="14"/>
                <w:szCs w:val="14"/>
                <w:lang w:val="en-US" w:eastAsia="fr-FR" w:bidi="fr-FR"/>
              </w:rPr>
              <w:t>0,446</w:t>
            </w:r>
            <w:r w:rsidRPr="00F0379B">
              <w:rPr>
                <w:rFonts w:ascii="Cambria" w:eastAsia="SimSun" w:hAnsi="Cambria" w:cs="Calibri"/>
                <w:b/>
                <w:bCs/>
                <w:sz w:val="14"/>
                <w:szCs w:val="14"/>
                <w:lang w:val="en-US" w:eastAsia="zh-CN"/>
              </w:rPr>
              <w:t>%</w:t>
            </w:r>
          </w:p>
        </w:tc>
        <w:tc>
          <w:tcPr>
            <w:tcW w:w="851" w:type="dxa"/>
            <w:tcBorders>
              <w:top w:val="single" w:sz="12" w:space="0" w:color="000000"/>
            </w:tcBorders>
            <w:vAlign w:val="center"/>
            <w:hideMark/>
          </w:tcPr>
          <w:p w14:paraId="07C1B1B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b/>
                <w:bCs/>
                <w:sz w:val="14"/>
                <w:szCs w:val="14"/>
                <w:lang w:val="en-US" w:eastAsia="fr-FR" w:bidi="fr-FR"/>
              </w:rPr>
              <w:t>0,446</w:t>
            </w:r>
            <w:r w:rsidRPr="00F0379B">
              <w:rPr>
                <w:rFonts w:ascii="Cambria" w:eastAsia="SimSun" w:hAnsi="Cambria" w:cs="Calibri"/>
                <w:b/>
                <w:bCs/>
                <w:sz w:val="14"/>
                <w:szCs w:val="14"/>
                <w:lang w:val="en-US" w:eastAsia="zh-CN"/>
              </w:rPr>
              <w:t>%</w:t>
            </w:r>
          </w:p>
        </w:tc>
        <w:tc>
          <w:tcPr>
            <w:tcW w:w="850" w:type="dxa"/>
            <w:tcBorders>
              <w:top w:val="single" w:sz="12" w:space="0" w:color="000000"/>
            </w:tcBorders>
            <w:vAlign w:val="center"/>
            <w:hideMark/>
          </w:tcPr>
          <w:p w14:paraId="2CCB804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SimSun" w:hAnsi="Cambria" w:cs="Calibri"/>
                <w:b/>
                <w:bCs/>
                <w:sz w:val="14"/>
                <w:szCs w:val="14"/>
                <w:lang w:val="en-US" w:eastAsia="zh-CN"/>
              </w:rPr>
              <w:t>0,446%</w:t>
            </w:r>
          </w:p>
        </w:tc>
        <w:tc>
          <w:tcPr>
            <w:tcW w:w="814" w:type="dxa"/>
            <w:tcBorders>
              <w:top w:val="single" w:sz="12" w:space="0" w:color="000000"/>
              <w:right w:val="single" w:sz="12" w:space="0" w:color="000000"/>
            </w:tcBorders>
            <w:vAlign w:val="center"/>
          </w:tcPr>
          <w:p w14:paraId="16056350"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SimSun" w:hAnsi="Cambria" w:cs="Calibri"/>
                <w:b/>
                <w:bCs/>
                <w:sz w:val="14"/>
                <w:szCs w:val="14"/>
                <w:lang w:val="en-US" w:eastAsia="zh-CN"/>
              </w:rPr>
              <w:t>0,178%</w:t>
            </w:r>
          </w:p>
        </w:tc>
      </w:tr>
      <w:tr w:rsidR="009123AC" w:rsidRPr="00F0379B" w14:paraId="324AC34A" w14:textId="77777777" w:rsidTr="00CA749B">
        <w:trPr>
          <w:trHeight w:val="23"/>
        </w:trPr>
        <w:tc>
          <w:tcPr>
            <w:tcW w:w="2527" w:type="dxa"/>
            <w:tcBorders>
              <w:left w:val="single" w:sz="12" w:space="0" w:color="000000"/>
            </w:tcBorders>
            <w:noWrap/>
            <w:vAlign w:val="center"/>
          </w:tcPr>
          <w:p w14:paraId="401D98B3"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Asignación a la captura fortuita</w:t>
            </w:r>
          </w:p>
        </w:tc>
        <w:tc>
          <w:tcPr>
            <w:tcW w:w="1437" w:type="dxa"/>
            <w:noWrap/>
            <w:vAlign w:val="center"/>
          </w:tcPr>
          <w:p w14:paraId="4A77E2EB"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851" w:type="dxa"/>
            <w:vAlign w:val="center"/>
          </w:tcPr>
          <w:p w14:paraId="74492DAE"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noWrap/>
            <w:vAlign w:val="center"/>
          </w:tcPr>
          <w:p w14:paraId="366A6406"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tcPr>
          <w:p w14:paraId="2A8BFEBE"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8" w:type="dxa"/>
            <w:vAlign w:val="center"/>
          </w:tcPr>
          <w:p w14:paraId="57B87A37"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tcPr>
          <w:p w14:paraId="5B357CDA"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tcPr>
          <w:p w14:paraId="2E038E1D"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vAlign w:val="center"/>
          </w:tcPr>
          <w:p w14:paraId="596FBCFC"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284" w:type="dxa"/>
            <w:shd w:val="clear" w:color="000000" w:fill="D9D9D9"/>
            <w:vAlign w:val="center"/>
          </w:tcPr>
          <w:p w14:paraId="2EB1F035"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tcPr>
          <w:p w14:paraId="7B58E0DD"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tcPr>
          <w:p w14:paraId="1BB786A8"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tcPr>
          <w:p w14:paraId="6AB5A4FC"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850" w:type="dxa"/>
            <w:vAlign w:val="center"/>
          </w:tcPr>
          <w:p w14:paraId="55873C1A"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MS Gothic" w:hAnsi="Cambria" w:cs="Times New Roman"/>
                <w:b/>
                <w:bCs/>
                <w:sz w:val="14"/>
                <w:szCs w:val="14"/>
                <w:lang w:val="en-US" w:eastAsia="fr-FR" w:bidi="fr-FR"/>
              </w:rPr>
              <w:t>0,5t</w:t>
            </w:r>
          </w:p>
        </w:tc>
        <w:tc>
          <w:tcPr>
            <w:tcW w:w="851" w:type="dxa"/>
            <w:vAlign w:val="center"/>
          </w:tcPr>
          <w:p w14:paraId="40198225"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MS Gothic" w:hAnsi="Cambria" w:cs="Times New Roman"/>
                <w:b/>
                <w:bCs/>
                <w:sz w:val="14"/>
                <w:szCs w:val="14"/>
                <w:lang w:val="en-US" w:eastAsia="fr-FR" w:bidi="fr-FR"/>
              </w:rPr>
              <w:t>0,5t</w:t>
            </w:r>
          </w:p>
        </w:tc>
        <w:tc>
          <w:tcPr>
            <w:tcW w:w="850" w:type="dxa"/>
            <w:vAlign w:val="center"/>
          </w:tcPr>
          <w:p w14:paraId="2DA290F8"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SimSun" w:hAnsi="Cambria" w:cs="Calibri"/>
                <w:b/>
                <w:bCs/>
                <w:sz w:val="14"/>
                <w:szCs w:val="14"/>
                <w:lang w:val="en-US" w:eastAsia="zh-CN"/>
              </w:rPr>
              <w:t>0,5t</w:t>
            </w:r>
          </w:p>
        </w:tc>
        <w:tc>
          <w:tcPr>
            <w:tcW w:w="814" w:type="dxa"/>
            <w:tcBorders>
              <w:right w:val="single" w:sz="12" w:space="0" w:color="000000"/>
            </w:tcBorders>
            <w:vAlign w:val="center"/>
          </w:tcPr>
          <w:p w14:paraId="50A05787"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SimSun" w:hAnsi="Cambria" w:cs="Calibri"/>
                <w:b/>
                <w:bCs/>
                <w:sz w:val="14"/>
                <w:szCs w:val="14"/>
                <w:lang w:val="en-US" w:eastAsia="zh-CN"/>
              </w:rPr>
              <w:t>0,51t</w:t>
            </w:r>
          </w:p>
        </w:tc>
      </w:tr>
      <w:tr w:rsidR="009123AC" w:rsidRPr="00F0379B" w14:paraId="01407C24" w14:textId="77777777" w:rsidTr="00CA749B">
        <w:trPr>
          <w:trHeight w:val="23"/>
        </w:trPr>
        <w:tc>
          <w:tcPr>
            <w:tcW w:w="2527" w:type="dxa"/>
            <w:tcBorders>
              <w:left w:val="single" w:sz="12" w:space="0" w:color="000000"/>
            </w:tcBorders>
            <w:vAlign w:val="center"/>
          </w:tcPr>
          <w:p w14:paraId="7932C146"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Cuota para investigación científica (si procede)</w:t>
            </w:r>
          </w:p>
        </w:tc>
        <w:tc>
          <w:tcPr>
            <w:tcW w:w="1437" w:type="dxa"/>
            <w:noWrap/>
            <w:vAlign w:val="center"/>
          </w:tcPr>
          <w:p w14:paraId="2B2DA101"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51" w:type="dxa"/>
            <w:vAlign w:val="center"/>
          </w:tcPr>
          <w:p w14:paraId="10865F89"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noWrap/>
            <w:vAlign w:val="center"/>
          </w:tcPr>
          <w:p w14:paraId="0E0BB8C7"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72BC71FF"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8" w:type="dxa"/>
            <w:vAlign w:val="center"/>
          </w:tcPr>
          <w:p w14:paraId="426E3D52"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1A334C08"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3CF88F32"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vAlign w:val="center"/>
          </w:tcPr>
          <w:p w14:paraId="269A4529"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284" w:type="dxa"/>
            <w:shd w:val="clear" w:color="000000" w:fill="D9D9D9"/>
            <w:vAlign w:val="center"/>
          </w:tcPr>
          <w:p w14:paraId="075C0120"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6FA3EA2F"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7E5C0ACD"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2C1752E2"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50" w:type="dxa"/>
            <w:noWrap/>
            <w:vAlign w:val="center"/>
          </w:tcPr>
          <w:p w14:paraId="15D37E0C"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51" w:type="dxa"/>
            <w:noWrap/>
            <w:vAlign w:val="center"/>
          </w:tcPr>
          <w:p w14:paraId="6D9752F2"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50" w:type="dxa"/>
            <w:noWrap/>
            <w:vAlign w:val="center"/>
          </w:tcPr>
          <w:p w14:paraId="6155FDC8"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14" w:type="dxa"/>
            <w:tcBorders>
              <w:right w:val="single" w:sz="12" w:space="0" w:color="000000"/>
            </w:tcBorders>
            <w:vAlign w:val="center"/>
          </w:tcPr>
          <w:p w14:paraId="3AF5C2D7"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r>
      <w:tr w:rsidR="009123AC" w:rsidRPr="00F0379B" w14:paraId="2076952E" w14:textId="77777777" w:rsidTr="00CA749B">
        <w:trPr>
          <w:trHeight w:val="23"/>
        </w:trPr>
        <w:tc>
          <w:tcPr>
            <w:tcW w:w="2527" w:type="dxa"/>
            <w:tcBorders>
              <w:left w:val="single" w:sz="12" w:space="0" w:color="000000"/>
            </w:tcBorders>
            <w:vAlign w:val="center"/>
          </w:tcPr>
          <w:p w14:paraId="21E70FE0"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Tolerancia para pesca deportiva/de recreo (si procede)</w:t>
            </w:r>
          </w:p>
        </w:tc>
        <w:tc>
          <w:tcPr>
            <w:tcW w:w="1437" w:type="dxa"/>
            <w:noWrap/>
            <w:vAlign w:val="center"/>
          </w:tcPr>
          <w:p w14:paraId="3858D0F4"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51" w:type="dxa"/>
            <w:vAlign w:val="center"/>
          </w:tcPr>
          <w:p w14:paraId="4254F80B"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noWrap/>
            <w:vAlign w:val="center"/>
          </w:tcPr>
          <w:p w14:paraId="50BCA698"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705004EF"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8" w:type="dxa"/>
            <w:vAlign w:val="center"/>
          </w:tcPr>
          <w:p w14:paraId="48DA3E5C"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77971ADF"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7AEED9D7"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vAlign w:val="center"/>
          </w:tcPr>
          <w:p w14:paraId="3827FE9F"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284" w:type="dxa"/>
            <w:shd w:val="clear" w:color="000000" w:fill="D9D9D9"/>
            <w:vAlign w:val="center"/>
          </w:tcPr>
          <w:p w14:paraId="715FFACB"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0A252035"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4D513871"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3FEF20D1"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50" w:type="dxa"/>
            <w:noWrap/>
            <w:vAlign w:val="center"/>
          </w:tcPr>
          <w:p w14:paraId="53CABCA1"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51" w:type="dxa"/>
            <w:noWrap/>
            <w:vAlign w:val="center"/>
          </w:tcPr>
          <w:p w14:paraId="23B34A00"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50" w:type="dxa"/>
            <w:noWrap/>
            <w:vAlign w:val="center"/>
          </w:tcPr>
          <w:p w14:paraId="302AAFDA"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14" w:type="dxa"/>
            <w:tcBorders>
              <w:right w:val="single" w:sz="12" w:space="0" w:color="000000"/>
            </w:tcBorders>
            <w:vAlign w:val="center"/>
          </w:tcPr>
          <w:p w14:paraId="70A90D78"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r>
      <w:tr w:rsidR="009123AC" w:rsidRPr="00F0379B" w14:paraId="7A6FCF15" w14:textId="77777777" w:rsidTr="00CA749B">
        <w:trPr>
          <w:trHeight w:val="23"/>
        </w:trPr>
        <w:tc>
          <w:tcPr>
            <w:tcW w:w="2527" w:type="dxa"/>
            <w:tcBorders>
              <w:left w:val="single" w:sz="12" w:space="0" w:color="000000"/>
              <w:bottom w:val="single" w:sz="12" w:space="0" w:color="000000"/>
            </w:tcBorders>
            <w:vAlign w:val="center"/>
          </w:tcPr>
          <w:p w14:paraId="0045BE70"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Cuota disponible</w:t>
            </w:r>
          </w:p>
        </w:tc>
        <w:tc>
          <w:tcPr>
            <w:tcW w:w="1437" w:type="dxa"/>
            <w:tcBorders>
              <w:bottom w:val="single" w:sz="12" w:space="0" w:color="000000"/>
            </w:tcBorders>
            <w:noWrap/>
            <w:vAlign w:val="center"/>
          </w:tcPr>
          <w:p w14:paraId="0EA76F0F"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51" w:type="dxa"/>
            <w:tcBorders>
              <w:bottom w:val="single" w:sz="12" w:space="0" w:color="000000"/>
            </w:tcBorders>
            <w:vAlign w:val="center"/>
          </w:tcPr>
          <w:p w14:paraId="485C57E9"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tcBorders>
              <w:bottom w:val="single" w:sz="12" w:space="0" w:color="000000"/>
            </w:tcBorders>
            <w:noWrap/>
            <w:vAlign w:val="center"/>
          </w:tcPr>
          <w:p w14:paraId="19A5561A"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tcBorders>
              <w:bottom w:val="single" w:sz="12" w:space="0" w:color="000000"/>
            </w:tcBorders>
            <w:vAlign w:val="center"/>
          </w:tcPr>
          <w:p w14:paraId="76E4E1EF"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8" w:type="dxa"/>
            <w:tcBorders>
              <w:bottom w:val="single" w:sz="12" w:space="0" w:color="000000"/>
            </w:tcBorders>
            <w:vAlign w:val="center"/>
          </w:tcPr>
          <w:p w14:paraId="45BC7A65"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567" w:type="dxa"/>
            <w:tcBorders>
              <w:bottom w:val="single" w:sz="12" w:space="0" w:color="000000"/>
            </w:tcBorders>
            <w:vAlign w:val="center"/>
          </w:tcPr>
          <w:p w14:paraId="6AB0562C"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567" w:type="dxa"/>
            <w:tcBorders>
              <w:bottom w:val="single" w:sz="12" w:space="0" w:color="000000"/>
            </w:tcBorders>
            <w:vAlign w:val="center"/>
          </w:tcPr>
          <w:p w14:paraId="09E6BBE4"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709" w:type="dxa"/>
            <w:tcBorders>
              <w:bottom w:val="single" w:sz="12" w:space="0" w:color="000000"/>
            </w:tcBorders>
            <w:vAlign w:val="center"/>
          </w:tcPr>
          <w:p w14:paraId="73C2CE80"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4" w:type="dxa"/>
            <w:tcBorders>
              <w:bottom w:val="single" w:sz="12" w:space="0" w:color="000000"/>
            </w:tcBorders>
            <w:shd w:val="clear" w:color="000000" w:fill="D9D9D9"/>
            <w:vAlign w:val="center"/>
          </w:tcPr>
          <w:p w14:paraId="1378F8F1"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567" w:type="dxa"/>
            <w:tcBorders>
              <w:bottom w:val="single" w:sz="12" w:space="0" w:color="000000"/>
            </w:tcBorders>
            <w:vAlign w:val="center"/>
          </w:tcPr>
          <w:p w14:paraId="22F2F385"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tcBorders>
              <w:bottom w:val="single" w:sz="12" w:space="0" w:color="000000"/>
            </w:tcBorders>
            <w:vAlign w:val="center"/>
          </w:tcPr>
          <w:p w14:paraId="5D74F11C"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tcBorders>
              <w:bottom w:val="single" w:sz="12" w:space="0" w:color="000000"/>
            </w:tcBorders>
            <w:vAlign w:val="center"/>
          </w:tcPr>
          <w:p w14:paraId="6A52970F"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850" w:type="dxa"/>
            <w:tcBorders>
              <w:bottom w:val="single" w:sz="12" w:space="0" w:color="000000"/>
            </w:tcBorders>
            <w:noWrap/>
            <w:vAlign w:val="center"/>
          </w:tcPr>
          <w:p w14:paraId="7D7A1D1F" w14:textId="77777777" w:rsidR="009123AC" w:rsidRPr="00F0379B" w:rsidRDefault="009123AC" w:rsidP="009123AC">
            <w:pPr>
              <w:spacing w:after="0" w:line="240" w:lineRule="auto"/>
              <w:jc w:val="center"/>
              <w:rPr>
                <w:rFonts w:ascii="Cambria" w:eastAsia="MS Gothic" w:hAnsi="Cambria" w:cs="Times New Roman"/>
                <w:b/>
                <w:bCs/>
                <w:sz w:val="14"/>
                <w:szCs w:val="14"/>
                <w:lang w:val="en-US" w:eastAsia="fr-FR" w:bidi="fr-FR"/>
              </w:rPr>
            </w:pPr>
            <w:r w:rsidRPr="00F0379B">
              <w:rPr>
                <w:rFonts w:ascii="Cambria" w:eastAsia="MS Gothic" w:hAnsi="Cambria" w:cs="Times New Roman"/>
                <w:b/>
                <w:bCs/>
                <w:sz w:val="14"/>
                <w:szCs w:val="14"/>
                <w:lang w:val="en-US" w:eastAsia="fr-FR" w:bidi="fr-FR"/>
              </w:rPr>
              <w:t>116,6</w:t>
            </w:r>
          </w:p>
          <w:p w14:paraId="50BC2612" w14:textId="77777777" w:rsidR="009123AC" w:rsidRPr="00F0379B" w:rsidRDefault="009123AC" w:rsidP="009123AC">
            <w:pPr>
              <w:spacing w:after="0" w:line="240" w:lineRule="auto"/>
              <w:ind w:right="-108"/>
              <w:jc w:val="center"/>
              <w:rPr>
                <w:rFonts w:ascii="Cambria" w:eastAsia="Times New Roman" w:hAnsi="Cambria" w:cs="Calibri"/>
                <w:b/>
                <w:bCs/>
                <w:sz w:val="14"/>
                <w:szCs w:val="14"/>
                <w:lang w:val="en-US" w:eastAsia="ja-JP"/>
              </w:rPr>
            </w:pPr>
            <w:r w:rsidRPr="00F0379B">
              <w:rPr>
                <w:rFonts w:ascii="Cambria" w:eastAsia="MS Gothic" w:hAnsi="Cambria" w:cs="Times New Roman"/>
                <w:b/>
                <w:bCs/>
                <w:sz w:val="14"/>
                <w:szCs w:val="14"/>
                <w:lang w:val="en-US" w:eastAsia="fr-FR" w:bidi="fr-FR"/>
              </w:rPr>
              <w:t>(117,1-0,5)</w:t>
            </w:r>
          </w:p>
        </w:tc>
        <w:tc>
          <w:tcPr>
            <w:tcW w:w="851" w:type="dxa"/>
            <w:tcBorders>
              <w:bottom w:val="single" w:sz="12" w:space="0" w:color="000000"/>
            </w:tcBorders>
            <w:noWrap/>
            <w:vAlign w:val="center"/>
          </w:tcPr>
          <w:p w14:paraId="5D0D6B76" w14:textId="77777777" w:rsidR="009123AC" w:rsidRPr="00F0379B" w:rsidRDefault="009123AC" w:rsidP="009123AC">
            <w:pPr>
              <w:spacing w:after="0" w:line="240" w:lineRule="auto"/>
              <w:jc w:val="center"/>
              <w:rPr>
                <w:rFonts w:ascii="Cambria" w:eastAsia="MS Gothic" w:hAnsi="Cambria" w:cs="Times New Roman"/>
                <w:b/>
                <w:bCs/>
                <w:sz w:val="14"/>
                <w:szCs w:val="14"/>
                <w:lang w:val="en-US" w:eastAsia="fr-FR" w:bidi="fr-FR"/>
              </w:rPr>
            </w:pPr>
            <w:r w:rsidRPr="00F0379B">
              <w:rPr>
                <w:rFonts w:ascii="Cambria" w:eastAsia="MS Gothic" w:hAnsi="Cambria" w:cs="Times New Roman"/>
                <w:b/>
                <w:bCs/>
                <w:sz w:val="14"/>
                <w:szCs w:val="14"/>
                <w:lang w:val="en-US" w:eastAsia="fr-FR" w:bidi="fr-FR"/>
              </w:rPr>
              <w:t>112,8</w:t>
            </w:r>
          </w:p>
          <w:p w14:paraId="66E06F6C"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MS Gothic" w:hAnsi="Cambria" w:cs="Times New Roman"/>
                <w:b/>
                <w:sz w:val="14"/>
                <w:szCs w:val="14"/>
                <w:lang w:val="en-US" w:eastAsia="fr-FR" w:bidi="fr-FR"/>
              </w:rPr>
              <w:t>(112-0,5+1</w:t>
            </w:r>
            <w:r w:rsidRPr="00F0379B">
              <w:rPr>
                <w:rFonts w:ascii="Cambria" w:eastAsia="MS Gothic" w:hAnsi="Cambria" w:cs="Times New Roman"/>
                <w:b/>
                <w:bCs/>
                <w:sz w:val="14"/>
                <w:szCs w:val="14"/>
                <w:lang w:val="en-US" w:eastAsia="fr-FR" w:bidi="fr-FR"/>
              </w:rPr>
              <w:t>,3</w:t>
            </w:r>
            <w:r w:rsidRPr="00F0379B">
              <w:rPr>
                <w:rFonts w:ascii="Cambria" w:eastAsia="MS Gothic" w:hAnsi="Cambria" w:cs="Times New Roman"/>
                <w:b/>
                <w:sz w:val="14"/>
                <w:szCs w:val="14"/>
                <w:lang w:val="en-US" w:eastAsia="fr-FR" w:bidi="fr-FR"/>
              </w:rPr>
              <w:t>)</w:t>
            </w:r>
          </w:p>
        </w:tc>
        <w:tc>
          <w:tcPr>
            <w:tcW w:w="850" w:type="dxa"/>
            <w:tcBorders>
              <w:bottom w:val="single" w:sz="12" w:space="0" w:color="000000"/>
            </w:tcBorders>
            <w:noWrap/>
            <w:vAlign w:val="center"/>
          </w:tcPr>
          <w:p w14:paraId="4B1F6F1B" w14:textId="77777777" w:rsidR="009123AC" w:rsidRPr="00F0379B" w:rsidRDefault="009123AC" w:rsidP="009123AC">
            <w:pPr>
              <w:spacing w:after="0" w:line="240" w:lineRule="auto"/>
              <w:jc w:val="center"/>
              <w:rPr>
                <w:rFonts w:ascii="Cambria" w:eastAsia="SimSun" w:hAnsi="Cambria" w:cs="Calibri"/>
                <w:b/>
                <w:bCs/>
                <w:sz w:val="14"/>
                <w:szCs w:val="14"/>
                <w:lang w:val="en-US" w:eastAsia="zh-CN"/>
              </w:rPr>
            </w:pPr>
            <w:r w:rsidRPr="00F0379B">
              <w:rPr>
                <w:rFonts w:ascii="Cambria" w:eastAsia="MS Gothic" w:hAnsi="Cambria" w:cs="Times New Roman"/>
                <w:b/>
                <w:sz w:val="14"/>
                <w:szCs w:val="14"/>
                <w:lang w:val="en-US" w:eastAsia="fr-FR" w:bidi="fr-FR"/>
              </w:rPr>
              <w:t>112,</w:t>
            </w:r>
            <w:r w:rsidRPr="00F0379B">
              <w:rPr>
                <w:rFonts w:ascii="Cambria" w:eastAsia="SimSun" w:hAnsi="Cambria" w:cs="Calibri"/>
                <w:b/>
                <w:bCs/>
                <w:sz w:val="14"/>
                <w:szCs w:val="14"/>
                <w:lang w:val="en-US" w:eastAsia="zh-CN"/>
              </w:rPr>
              <w:t>2</w:t>
            </w:r>
          </w:p>
          <w:p w14:paraId="0FF635BB" w14:textId="77777777" w:rsidR="009123AC" w:rsidRPr="00F0379B" w:rsidRDefault="009123AC" w:rsidP="009123AC">
            <w:pPr>
              <w:spacing w:after="0" w:line="240" w:lineRule="auto"/>
              <w:jc w:val="center"/>
              <w:rPr>
                <w:rFonts w:ascii="Cambria" w:eastAsia="MS Gothic" w:hAnsi="Cambria" w:cs="Times New Roman"/>
                <w:b/>
                <w:sz w:val="14"/>
                <w:szCs w:val="14"/>
                <w:lang w:val="en-US" w:eastAsia="fr-FR" w:bidi="fr-FR"/>
              </w:rPr>
            </w:pPr>
            <w:r w:rsidRPr="00F0379B">
              <w:rPr>
                <w:rFonts w:ascii="Cambria" w:eastAsia="MS Gothic" w:hAnsi="Cambria" w:cs="Times New Roman"/>
                <w:b/>
                <w:sz w:val="14"/>
                <w:szCs w:val="14"/>
                <w:lang w:val="en-US" w:eastAsia="fr-FR" w:bidi="fr-FR"/>
              </w:rPr>
              <w:t>(112</w:t>
            </w:r>
            <w:r w:rsidRPr="00F0379B">
              <w:rPr>
                <w:rFonts w:ascii="Cambria" w:eastAsia="SimSun" w:hAnsi="Cambria" w:cs="Calibri"/>
                <w:b/>
                <w:bCs/>
                <w:sz w:val="14"/>
                <w:szCs w:val="14"/>
                <w:lang w:val="en-US" w:eastAsia="zh-CN"/>
              </w:rPr>
              <w:t>,7</w:t>
            </w:r>
            <w:r w:rsidRPr="00F0379B">
              <w:rPr>
                <w:rFonts w:ascii="Cambria" w:eastAsia="MS Gothic" w:hAnsi="Cambria" w:cs="Times New Roman"/>
                <w:b/>
                <w:sz w:val="14"/>
                <w:szCs w:val="14"/>
                <w:lang w:val="en-US" w:eastAsia="fr-FR" w:bidi="fr-FR"/>
              </w:rPr>
              <w:t>-0,5)</w:t>
            </w:r>
          </w:p>
        </w:tc>
        <w:tc>
          <w:tcPr>
            <w:tcW w:w="814" w:type="dxa"/>
            <w:tcBorders>
              <w:bottom w:val="single" w:sz="12" w:space="0" w:color="000000"/>
              <w:right w:val="single" w:sz="12" w:space="0" w:color="000000"/>
            </w:tcBorders>
            <w:vAlign w:val="center"/>
          </w:tcPr>
          <w:p w14:paraId="7377EF04" w14:textId="77777777" w:rsidR="009123AC" w:rsidRPr="00F0379B" w:rsidRDefault="009123AC" w:rsidP="009123AC">
            <w:pPr>
              <w:spacing w:after="0" w:line="240" w:lineRule="auto"/>
              <w:jc w:val="center"/>
              <w:rPr>
                <w:rFonts w:ascii="Cambria" w:eastAsia="SimSun" w:hAnsi="Cambria" w:cs="Calibri"/>
                <w:b/>
                <w:bCs/>
                <w:color w:val="000000"/>
                <w:sz w:val="14"/>
                <w:szCs w:val="14"/>
                <w:lang w:val="en-US" w:eastAsia="zh-CN" w:bidi="fr-FR"/>
              </w:rPr>
            </w:pPr>
            <w:r w:rsidRPr="00F0379B">
              <w:rPr>
                <w:rFonts w:ascii="Cambria" w:eastAsia="SimSun" w:hAnsi="Cambria" w:cs="Calibri"/>
                <w:b/>
                <w:bCs/>
                <w:color w:val="000000"/>
                <w:sz w:val="14"/>
                <w:szCs w:val="14"/>
                <w:lang w:val="en-US" w:eastAsia="zh-CN" w:bidi="fr-FR"/>
              </w:rPr>
              <w:t>308,04</w:t>
            </w:r>
          </w:p>
          <w:p w14:paraId="5B197379"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SimSun" w:hAnsi="Cambria" w:cs="Calibri"/>
                <w:b/>
                <w:bCs/>
                <w:color w:val="000000"/>
                <w:sz w:val="14"/>
                <w:szCs w:val="14"/>
                <w:lang w:val="en-US" w:eastAsia="zh-CN" w:bidi="fr-FR"/>
              </w:rPr>
              <w:t>(308,55-</w:t>
            </w:r>
            <w:r w:rsidRPr="00F0379B">
              <w:rPr>
                <w:rFonts w:ascii="Cambria" w:eastAsia="MS Gothic" w:hAnsi="Cambria" w:cs="Times New Roman"/>
                <w:b/>
                <w:color w:val="000000"/>
                <w:sz w:val="14"/>
                <w:szCs w:val="14"/>
                <w:lang w:val="en-US" w:eastAsia="fr-FR" w:bidi="fr-FR"/>
              </w:rPr>
              <w:t>0,</w:t>
            </w:r>
            <w:r w:rsidRPr="00F0379B">
              <w:rPr>
                <w:rFonts w:ascii="Cambria" w:eastAsia="SimSun" w:hAnsi="Cambria" w:cs="Calibri"/>
                <w:b/>
                <w:bCs/>
                <w:color w:val="000000"/>
                <w:sz w:val="14"/>
                <w:szCs w:val="14"/>
                <w:lang w:val="en-US" w:eastAsia="zh-CN" w:bidi="fr-FR"/>
              </w:rPr>
              <w:t>51</w:t>
            </w:r>
            <w:r w:rsidRPr="00F0379B">
              <w:rPr>
                <w:rFonts w:ascii="Cambria" w:eastAsia="MS Gothic" w:hAnsi="Cambria" w:cs="Times New Roman"/>
                <w:b/>
                <w:color w:val="000000"/>
                <w:sz w:val="14"/>
                <w:szCs w:val="14"/>
                <w:lang w:val="en-US" w:eastAsia="fr-FR" w:bidi="fr-FR"/>
              </w:rPr>
              <w:t>)</w:t>
            </w:r>
          </w:p>
        </w:tc>
      </w:tr>
      <w:tr w:rsidR="009123AC" w:rsidRPr="00F0379B" w14:paraId="4D0F1FCE" w14:textId="77777777" w:rsidTr="00CA749B">
        <w:trPr>
          <w:trHeight w:val="23"/>
        </w:trPr>
        <w:tc>
          <w:tcPr>
            <w:tcW w:w="2527" w:type="dxa"/>
            <w:tcBorders>
              <w:top w:val="single" w:sz="12" w:space="0" w:color="000000"/>
              <w:left w:val="single" w:sz="12" w:space="0" w:color="000000"/>
              <w:bottom w:val="single" w:sz="12" w:space="0" w:color="000000"/>
            </w:tcBorders>
            <w:shd w:val="clear" w:color="auto" w:fill="D9D9D9"/>
            <w:noWrap/>
            <w:vAlign w:val="center"/>
            <w:hideMark/>
          </w:tcPr>
          <w:p w14:paraId="2E684893"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proofErr w:type="spellStart"/>
            <w:r w:rsidRPr="00F0379B">
              <w:rPr>
                <w:rFonts w:ascii="Cambria" w:eastAsia="MS Gothic" w:hAnsi="Cambria" w:cs="Times New Roman"/>
                <w:b/>
                <w:sz w:val="14"/>
                <w:szCs w:val="14"/>
                <w:lang w:eastAsia="fr-FR" w:bidi="fr-FR"/>
              </w:rPr>
              <w:t>Subcapacidad</w:t>
            </w:r>
            <w:proofErr w:type="spellEnd"/>
            <w:r w:rsidRPr="00F0379B">
              <w:rPr>
                <w:rFonts w:ascii="Cambria" w:eastAsia="MS Gothic" w:hAnsi="Cambria" w:cs="Times New Roman"/>
                <w:b/>
                <w:sz w:val="14"/>
                <w:szCs w:val="14"/>
                <w:lang w:eastAsia="fr-FR" w:bidi="fr-FR"/>
              </w:rPr>
              <w:t>/exceso de capacidad</w:t>
            </w:r>
          </w:p>
        </w:tc>
        <w:tc>
          <w:tcPr>
            <w:tcW w:w="1437" w:type="dxa"/>
            <w:tcBorders>
              <w:top w:val="single" w:sz="12" w:space="0" w:color="000000"/>
              <w:bottom w:val="single" w:sz="12" w:space="0" w:color="000000"/>
            </w:tcBorders>
            <w:shd w:val="clear" w:color="auto" w:fill="D9D9D9"/>
            <w:noWrap/>
            <w:vAlign w:val="center"/>
            <w:hideMark/>
          </w:tcPr>
          <w:p w14:paraId="71B4F14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tcBorders>
              <w:top w:val="single" w:sz="12" w:space="0" w:color="000000"/>
              <w:bottom w:val="single" w:sz="12" w:space="0" w:color="000000"/>
            </w:tcBorders>
            <w:shd w:val="clear" w:color="auto" w:fill="D9D9D9"/>
            <w:vAlign w:val="center"/>
          </w:tcPr>
          <w:p w14:paraId="45988A94"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tcBorders>
              <w:top w:val="single" w:sz="12" w:space="0" w:color="000000"/>
              <w:bottom w:val="single" w:sz="12" w:space="0" w:color="000000"/>
            </w:tcBorders>
            <w:shd w:val="clear" w:color="auto" w:fill="D9D9D9"/>
            <w:noWrap/>
            <w:vAlign w:val="center"/>
            <w:hideMark/>
          </w:tcPr>
          <w:p w14:paraId="080937B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bottom w:val="single" w:sz="12" w:space="0" w:color="000000"/>
            </w:tcBorders>
            <w:shd w:val="clear" w:color="auto" w:fill="D9D9D9"/>
            <w:vAlign w:val="center"/>
            <w:hideMark/>
          </w:tcPr>
          <w:p w14:paraId="64AA58A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tcBorders>
              <w:top w:val="single" w:sz="12" w:space="0" w:color="000000"/>
              <w:bottom w:val="single" w:sz="12" w:space="0" w:color="000000"/>
            </w:tcBorders>
            <w:shd w:val="clear" w:color="auto" w:fill="D9D9D9"/>
            <w:vAlign w:val="center"/>
            <w:hideMark/>
          </w:tcPr>
          <w:p w14:paraId="76186A0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bottom w:val="single" w:sz="12" w:space="0" w:color="000000"/>
            </w:tcBorders>
            <w:shd w:val="clear" w:color="auto" w:fill="D9D9D9"/>
            <w:vAlign w:val="center"/>
            <w:hideMark/>
          </w:tcPr>
          <w:p w14:paraId="21A809C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bottom w:val="single" w:sz="12" w:space="0" w:color="000000"/>
            </w:tcBorders>
            <w:shd w:val="clear" w:color="auto" w:fill="D9D9D9"/>
            <w:vAlign w:val="center"/>
          </w:tcPr>
          <w:p w14:paraId="468ACC9D"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709" w:type="dxa"/>
            <w:tcBorders>
              <w:top w:val="single" w:sz="12" w:space="0" w:color="000000"/>
              <w:bottom w:val="single" w:sz="12" w:space="0" w:color="000000"/>
            </w:tcBorders>
            <w:shd w:val="clear" w:color="auto" w:fill="D9D9D9"/>
            <w:vAlign w:val="center"/>
          </w:tcPr>
          <w:p w14:paraId="55D86FE9"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4" w:type="dxa"/>
            <w:tcBorders>
              <w:top w:val="single" w:sz="12" w:space="0" w:color="000000"/>
              <w:bottom w:val="single" w:sz="12" w:space="0" w:color="000000"/>
            </w:tcBorders>
            <w:shd w:val="clear" w:color="auto" w:fill="D9D9D9"/>
            <w:vAlign w:val="center"/>
            <w:hideMark/>
          </w:tcPr>
          <w:p w14:paraId="6B4A256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bottom w:val="single" w:sz="12" w:space="0" w:color="000000"/>
            </w:tcBorders>
            <w:shd w:val="clear" w:color="auto" w:fill="D9D9D9"/>
            <w:vAlign w:val="center"/>
          </w:tcPr>
          <w:p w14:paraId="168A69AB"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MS Gothic" w:hAnsi="Cambria" w:cs="Times New Roman"/>
                <w:b/>
                <w:bCs/>
                <w:sz w:val="14"/>
                <w:szCs w:val="14"/>
                <w:lang w:eastAsia="fr-FR" w:bidi="fr-FR"/>
              </w:rPr>
              <w:t>26</w:t>
            </w:r>
          </w:p>
        </w:tc>
        <w:tc>
          <w:tcPr>
            <w:tcW w:w="567" w:type="dxa"/>
            <w:tcBorders>
              <w:top w:val="single" w:sz="12" w:space="0" w:color="000000"/>
              <w:bottom w:val="single" w:sz="12" w:space="0" w:color="000000"/>
            </w:tcBorders>
            <w:shd w:val="clear" w:color="auto" w:fill="D9D9D9"/>
            <w:vAlign w:val="center"/>
            <w:hideMark/>
          </w:tcPr>
          <w:p w14:paraId="570478E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b/>
                <w:bCs/>
                <w:sz w:val="14"/>
                <w:szCs w:val="14"/>
                <w:lang w:val="en-US" w:eastAsia="fr-FR" w:bidi="fr-FR"/>
              </w:rPr>
              <w:t>36,4</w:t>
            </w:r>
          </w:p>
        </w:tc>
        <w:tc>
          <w:tcPr>
            <w:tcW w:w="567" w:type="dxa"/>
            <w:tcBorders>
              <w:top w:val="single" w:sz="12" w:space="0" w:color="000000"/>
              <w:bottom w:val="single" w:sz="12" w:space="0" w:color="000000"/>
            </w:tcBorders>
            <w:shd w:val="clear" w:color="auto" w:fill="D9D9D9"/>
            <w:vAlign w:val="center"/>
            <w:hideMark/>
          </w:tcPr>
          <w:p w14:paraId="619ED6B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b/>
                <w:bCs/>
                <w:sz w:val="14"/>
                <w:szCs w:val="14"/>
                <w:lang w:val="en-US" w:eastAsia="fr-FR" w:bidi="fr-FR"/>
              </w:rPr>
              <w:t>-29</w:t>
            </w:r>
          </w:p>
        </w:tc>
        <w:tc>
          <w:tcPr>
            <w:tcW w:w="850" w:type="dxa"/>
            <w:tcBorders>
              <w:top w:val="single" w:sz="12" w:space="0" w:color="000000"/>
              <w:bottom w:val="single" w:sz="12" w:space="0" w:color="000000"/>
            </w:tcBorders>
            <w:shd w:val="clear" w:color="auto" w:fill="D9D9D9"/>
            <w:vAlign w:val="center"/>
            <w:hideMark/>
          </w:tcPr>
          <w:p w14:paraId="25A0D99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b/>
                <w:bCs/>
                <w:sz w:val="14"/>
                <w:szCs w:val="14"/>
                <w:lang w:val="en-US" w:eastAsia="fr-FR" w:bidi="fr-FR"/>
              </w:rPr>
              <w:t>-66,6</w:t>
            </w:r>
          </w:p>
        </w:tc>
        <w:tc>
          <w:tcPr>
            <w:tcW w:w="851" w:type="dxa"/>
            <w:tcBorders>
              <w:top w:val="single" w:sz="12" w:space="0" w:color="000000"/>
              <w:bottom w:val="single" w:sz="12" w:space="0" w:color="000000"/>
            </w:tcBorders>
            <w:shd w:val="clear" w:color="auto" w:fill="D9D9D9"/>
            <w:vAlign w:val="center"/>
            <w:hideMark/>
          </w:tcPr>
          <w:p w14:paraId="26C75F6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b/>
                <w:bCs/>
                <w:sz w:val="14"/>
                <w:szCs w:val="14"/>
                <w:lang w:val="en-US" w:eastAsia="fr-FR" w:bidi="fr-FR"/>
              </w:rPr>
              <w:t>-62,8</w:t>
            </w:r>
          </w:p>
        </w:tc>
        <w:tc>
          <w:tcPr>
            <w:tcW w:w="850" w:type="dxa"/>
            <w:tcBorders>
              <w:top w:val="single" w:sz="12" w:space="0" w:color="000000"/>
              <w:bottom w:val="single" w:sz="12" w:space="0" w:color="000000"/>
            </w:tcBorders>
            <w:shd w:val="clear" w:color="auto" w:fill="D9D9D9"/>
            <w:vAlign w:val="center"/>
            <w:hideMark/>
          </w:tcPr>
          <w:p w14:paraId="49A3B01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SimSun" w:hAnsi="Cambria" w:cs="Calibri"/>
                <w:b/>
                <w:bCs/>
                <w:sz w:val="14"/>
                <w:szCs w:val="14"/>
                <w:lang w:val="en-US" w:eastAsia="zh-CN"/>
              </w:rPr>
              <w:t>-62,2</w:t>
            </w:r>
          </w:p>
        </w:tc>
        <w:tc>
          <w:tcPr>
            <w:tcW w:w="814" w:type="dxa"/>
            <w:tcBorders>
              <w:top w:val="single" w:sz="12" w:space="0" w:color="000000"/>
              <w:bottom w:val="single" w:sz="12" w:space="0" w:color="000000"/>
              <w:right w:val="single" w:sz="12" w:space="0" w:color="000000"/>
            </w:tcBorders>
            <w:shd w:val="clear" w:color="auto" w:fill="D9D9D9"/>
            <w:vAlign w:val="center"/>
          </w:tcPr>
          <w:p w14:paraId="27A70247"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MS Gothic" w:hAnsi="Cambria" w:cs="Times New Roman"/>
                <w:b/>
                <w:sz w:val="14"/>
                <w:szCs w:val="14"/>
                <w:lang w:val="en-US" w:eastAsia="fr-FR" w:bidi="fr-FR"/>
              </w:rPr>
              <w:t>-</w:t>
            </w:r>
            <w:r w:rsidRPr="00F0379B">
              <w:rPr>
                <w:rFonts w:ascii="Cambria" w:eastAsia="SimSun" w:hAnsi="Cambria" w:cs="Calibri"/>
                <w:b/>
                <w:bCs/>
                <w:sz w:val="14"/>
                <w:szCs w:val="14"/>
                <w:lang w:val="en-US" w:eastAsia="zh-CN"/>
              </w:rPr>
              <w:t>233,04</w:t>
            </w:r>
          </w:p>
        </w:tc>
      </w:tr>
    </w:tbl>
    <w:p w14:paraId="5843FCA6"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43404BD7" w14:textId="77777777" w:rsidR="009123AC" w:rsidRPr="00F0379B" w:rsidRDefault="009123AC" w:rsidP="009123AC">
      <w:pPr>
        <w:tabs>
          <w:tab w:val="left" w:pos="142"/>
        </w:tabs>
        <w:spacing w:after="0" w:line="240" w:lineRule="auto"/>
        <w:rPr>
          <w:rFonts w:ascii="Cambria" w:eastAsiaTheme="minorEastAsia" w:hAnsi="Cambria"/>
          <w:kern w:val="2"/>
          <w:sz w:val="20"/>
          <w:szCs w:val="20"/>
          <w:lang w:eastAsia="ja-JP"/>
          <w14:ligatures w14:val="standardContextual"/>
        </w:rPr>
      </w:pPr>
    </w:p>
    <w:p w14:paraId="14AA414A" w14:textId="77777777" w:rsidR="009123AC" w:rsidRPr="00F0379B" w:rsidRDefault="009123AC" w:rsidP="009123AC">
      <w:pPr>
        <w:spacing w:after="0" w:line="240" w:lineRule="auto"/>
        <w:jc w:val="right"/>
        <w:rPr>
          <w:rFonts w:ascii="Cambria" w:eastAsiaTheme="minorEastAsia" w:hAnsi="Cambria"/>
          <w:b/>
          <w:kern w:val="2"/>
          <w:sz w:val="20"/>
          <w:szCs w:val="20"/>
          <w:lang w:eastAsia="ja-JP"/>
          <w14:ligatures w14:val="standardContextual"/>
        </w:rPr>
        <w:sectPr w:rsidR="009123AC" w:rsidRPr="00F0379B" w:rsidSect="009123AC">
          <w:headerReference w:type="default" r:id="rId100"/>
          <w:footerReference w:type="default" r:id="rId101"/>
          <w:footnotePr>
            <w:numFmt w:val="chicago"/>
          </w:footnotePr>
          <w:pgSz w:w="16838" w:h="11906" w:orient="landscape" w:code="9"/>
          <w:pgMar w:top="1418" w:right="1418" w:bottom="1418" w:left="1418" w:header="851" w:footer="1134" w:gutter="0"/>
          <w:cols w:space="425"/>
          <w:docGrid w:linePitch="360"/>
        </w:sectPr>
      </w:pPr>
    </w:p>
    <w:p w14:paraId="6297609D" w14:textId="7A40F93C" w:rsidR="009123AC" w:rsidRPr="00F0379B" w:rsidRDefault="009123AC" w:rsidP="009123AC">
      <w:pPr>
        <w:spacing w:after="0" w:line="240" w:lineRule="auto"/>
        <w:rPr>
          <w:rFonts w:ascii="Cambria" w:eastAsia="Aptos" w:hAnsi="Cambria" w:cs="Aptos"/>
          <w:kern w:val="2"/>
          <w:sz w:val="20"/>
          <w:szCs w:val="20"/>
          <w:lang w:val="en-US" w:eastAsia="en-GB"/>
          <w14:ligatures w14:val="standardContextual"/>
        </w:rPr>
      </w:pPr>
      <w:r w:rsidRPr="00F0379B">
        <w:rPr>
          <w:rFonts w:ascii="Cambria" w:eastAsiaTheme="minorEastAsia" w:hAnsi="Cambria"/>
          <w:b/>
          <w:kern w:val="2"/>
          <w:sz w:val="20"/>
          <w:szCs w:val="20"/>
          <w:lang w:eastAsia="ja-JP"/>
          <w14:ligatures w14:val="standardContextual"/>
        </w:rPr>
        <w:lastRenderedPageBreak/>
        <w:t>Egipto</w:t>
      </w:r>
    </w:p>
    <w:p w14:paraId="646251BB"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2AE665F3" w14:textId="77777777" w:rsidR="009123AC" w:rsidRPr="00F0379B" w:rsidRDefault="009123AC" w:rsidP="009123AC">
      <w:pPr>
        <w:spacing w:after="0" w:line="240" w:lineRule="auto"/>
        <w:jc w:val="both"/>
        <w:rPr>
          <w:rFonts w:ascii="Cambria" w:eastAsiaTheme="minorHAnsi"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Año del plan de pesca: 2026</w:t>
      </w:r>
    </w:p>
    <w:p w14:paraId="63E1EE2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6D79FD98" w14:textId="77777777" w:rsidR="009123AC" w:rsidRPr="00F0379B" w:rsidRDefault="009123AC" w:rsidP="00CE0EC8">
      <w:pPr>
        <w:widowControl w:val="0"/>
        <w:numPr>
          <w:ilvl w:val="0"/>
          <w:numId w:val="45"/>
        </w:numPr>
        <w:spacing w:after="0" w:line="240" w:lineRule="auto"/>
        <w:ind w:left="426" w:hanging="426"/>
        <w:contextualSpacing/>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Detalles del plan anual de pesca para los buques de captura y las almadrabas</w:t>
      </w:r>
    </w:p>
    <w:p w14:paraId="7C02AF98"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0E175255" w14:textId="77777777" w:rsidR="009123AC" w:rsidRPr="00F0379B" w:rsidRDefault="009123AC" w:rsidP="009123AC">
      <w:pPr>
        <w:spacing w:after="0" w:line="240" w:lineRule="auto"/>
        <w:jc w:val="both"/>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bCs/>
          <w:i/>
          <w:iCs/>
          <w:kern w:val="2"/>
          <w:sz w:val="20"/>
          <w:szCs w:val="20"/>
          <w:lang w:eastAsia="ja-JP"/>
          <w14:ligatures w14:val="standardContextual"/>
        </w:rPr>
        <w:t>1 a) Presentación (párr. 12)</w:t>
      </w:r>
    </w:p>
    <w:p w14:paraId="2FBE40F3" w14:textId="77777777" w:rsidR="009123AC" w:rsidRPr="00F0379B" w:rsidRDefault="009123AC" w:rsidP="009123AC">
      <w:pPr>
        <w:spacing w:after="0" w:line="240" w:lineRule="auto"/>
        <w:jc w:val="both"/>
        <w:rPr>
          <w:rFonts w:ascii="Cambria" w:eastAsiaTheme="minorEastAsia" w:hAnsi="Cambria"/>
          <w:i/>
          <w:iCs/>
          <w:kern w:val="2"/>
          <w:sz w:val="20"/>
          <w:szCs w:val="20"/>
          <w:lang w:eastAsia="ja-JP"/>
          <w14:ligatures w14:val="standardContextual"/>
        </w:rPr>
      </w:pPr>
    </w:p>
    <w:p w14:paraId="30CE7B5A" w14:textId="77777777" w:rsidR="009123AC" w:rsidRPr="00F0379B" w:rsidRDefault="009123AC" w:rsidP="009123AC">
      <w:pPr>
        <w:spacing w:after="0" w:line="240" w:lineRule="auto"/>
        <w:jc w:val="both"/>
        <w:rPr>
          <w:rFonts w:ascii="Cambria" w:eastAsiaTheme="minorEastAsia" w:hAnsi="Cambria"/>
          <w:b/>
          <w:b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cuota asignada a Egipto para la temporada de pesca 2026 es de 549 t. De conformidad con el párrafo 37 Rec. 24-05/25-04, la cuota disponible será de 543,51 t, ya que las capturas fortuitas registradas de atún rojo no han superado este límite. Los buques pesqueros egipcios que capturan atún rojo en el mar Mediterráneo son el </w:t>
      </w:r>
      <w:proofErr w:type="spellStart"/>
      <w:r w:rsidRPr="00F0379B">
        <w:rPr>
          <w:rFonts w:ascii="Cambria" w:eastAsiaTheme="minorEastAsia" w:hAnsi="Cambria"/>
          <w:kern w:val="2"/>
          <w:sz w:val="20"/>
          <w:szCs w:val="20"/>
          <w:lang w:eastAsia="ja-JP"/>
          <w14:ligatures w14:val="standardContextual"/>
        </w:rPr>
        <w:t>Golovik</w:t>
      </w:r>
      <w:proofErr w:type="spellEnd"/>
      <w:r w:rsidRPr="00F0379B">
        <w:rPr>
          <w:rFonts w:ascii="Cambria" w:eastAsiaTheme="minorEastAsia" w:hAnsi="Cambria"/>
          <w:kern w:val="2"/>
          <w:sz w:val="20"/>
          <w:szCs w:val="20"/>
          <w:lang w:eastAsia="ja-JP"/>
          <w14:ligatures w14:val="standardContextual"/>
        </w:rPr>
        <w:t xml:space="preserve">, con número de registro ICCAT AT000EGY00020 y número de registro nacional 5365 en el puerto de Alejandría, y el </w:t>
      </w:r>
      <w:proofErr w:type="spellStart"/>
      <w:r w:rsidRPr="00F0379B">
        <w:rPr>
          <w:rFonts w:ascii="Cambria" w:eastAsiaTheme="minorEastAsia" w:hAnsi="Cambria"/>
          <w:kern w:val="2"/>
          <w:sz w:val="20"/>
          <w:szCs w:val="20"/>
          <w:lang w:eastAsia="ja-JP"/>
          <w14:ligatures w14:val="standardContextual"/>
        </w:rPr>
        <w:t>Safinat</w:t>
      </w:r>
      <w:proofErr w:type="spellEnd"/>
      <w:r w:rsidRPr="00F0379B">
        <w:rPr>
          <w:rFonts w:ascii="Cambria" w:eastAsiaTheme="minorEastAsia" w:hAnsi="Cambria"/>
          <w:kern w:val="2"/>
          <w:sz w:val="20"/>
          <w:szCs w:val="20"/>
          <w:lang w:eastAsia="ja-JP"/>
          <w14:ligatures w14:val="standardContextual"/>
        </w:rPr>
        <w:t xml:space="preserve"> Nooh, con número de registro ICCAT AT000EGY00010 y número de registro nacional 4274 en el puerto de Alejandría. Egipto especifica una cantidad de 271,755 t para el </w:t>
      </w:r>
      <w:proofErr w:type="spellStart"/>
      <w:r w:rsidRPr="00F0379B">
        <w:rPr>
          <w:rFonts w:ascii="Cambria" w:eastAsiaTheme="minorEastAsia" w:hAnsi="Cambria"/>
          <w:kern w:val="2"/>
          <w:sz w:val="20"/>
          <w:szCs w:val="20"/>
          <w:lang w:eastAsia="ja-JP"/>
          <w14:ligatures w14:val="standardContextual"/>
        </w:rPr>
        <w:t>Golovik</w:t>
      </w:r>
      <w:proofErr w:type="spellEnd"/>
      <w:r w:rsidRPr="00F0379B">
        <w:rPr>
          <w:rFonts w:ascii="Cambria" w:eastAsiaTheme="minorEastAsia" w:hAnsi="Cambria"/>
          <w:kern w:val="2"/>
          <w:sz w:val="20"/>
          <w:szCs w:val="20"/>
          <w:lang w:eastAsia="ja-JP"/>
          <w14:ligatures w14:val="standardContextual"/>
        </w:rPr>
        <w:t xml:space="preserve"> y de 271,755 t para el «SAFINAT NOOH», tal y como se muestra en la </w:t>
      </w:r>
      <w:r w:rsidRPr="00F0379B">
        <w:rPr>
          <w:rFonts w:ascii="Cambria" w:eastAsiaTheme="minorEastAsia" w:hAnsi="Cambria"/>
          <w:b/>
          <w:bCs/>
          <w:kern w:val="2"/>
          <w:sz w:val="20"/>
          <w:szCs w:val="20"/>
          <w:lang w:eastAsia="ja-JP"/>
          <w14:ligatures w14:val="standardContextual"/>
        </w:rPr>
        <w:t>Tabla 1.</w:t>
      </w:r>
    </w:p>
    <w:p w14:paraId="7C5EF3B3"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61B80938"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LFRPDA expedirá licencias a los cerqueros equipados con un sistema VMS, que deberán a transmitir cada hora, para capturar atún rojo para la temporada de pesca de 2026, que va del 19 de mayo al 1 de julio de 2026, de conformidad con las </w:t>
      </w:r>
      <w:proofErr w:type="spellStart"/>
      <w:r w:rsidRPr="00F0379B">
        <w:rPr>
          <w:rFonts w:ascii="Cambria" w:eastAsiaTheme="minorEastAsia" w:hAnsi="Cambria"/>
          <w:kern w:val="2"/>
          <w:sz w:val="20"/>
          <w:szCs w:val="20"/>
          <w:lang w:eastAsia="ja-JP"/>
          <w14:ligatures w14:val="standardContextual"/>
        </w:rPr>
        <w:t>Recs</w:t>
      </w:r>
      <w:proofErr w:type="spellEnd"/>
      <w:r w:rsidRPr="00F0379B">
        <w:rPr>
          <w:rFonts w:ascii="Cambria" w:eastAsiaTheme="minorEastAsia" w:hAnsi="Cambria"/>
          <w:kern w:val="2"/>
          <w:sz w:val="20"/>
          <w:szCs w:val="20"/>
          <w:lang w:eastAsia="ja-JP"/>
          <w14:ligatures w14:val="standardContextual"/>
        </w:rPr>
        <w:t>. 24-05/25-04 de ICCAT.</w:t>
      </w:r>
    </w:p>
    <w:p w14:paraId="6C469876" w14:textId="77777777" w:rsidR="009123AC" w:rsidRPr="00F0379B" w:rsidRDefault="009123AC" w:rsidP="009123AC">
      <w:pPr>
        <w:spacing w:after="0" w:line="240" w:lineRule="auto"/>
        <w:jc w:val="both"/>
        <w:rPr>
          <w:rFonts w:ascii="Cambria" w:eastAsia="Times New Roman" w:hAnsi="Cambria" w:cs="Times New Roman"/>
          <w:sz w:val="20"/>
          <w:szCs w:val="20"/>
        </w:rPr>
      </w:pPr>
      <w:r w:rsidRPr="00F0379B">
        <w:rPr>
          <w:rFonts w:ascii="Cambria" w:eastAsia="Times New Roman" w:hAnsi="Cambria" w:cs="Times New Roman"/>
          <w:sz w:val="20"/>
          <w:szCs w:val="20"/>
        </w:rPr>
        <w:t>En caso de que el buque pesquero incumpla las resoluciones egipcias o cualquier otra recomendación de ICCAT, se aplicará el código penal, según el cual el buque no podrá participar en la pesca de atún rojo en la siguiente temporada. Si se reincide en el incumplimiento, se prohibirá a este buque participar en las pesquerías de atún rojo.</w:t>
      </w:r>
    </w:p>
    <w:p w14:paraId="6B53CF04"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p>
    <w:p w14:paraId="0939B8E1"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1 b) Traspaso (párr. 6)</w:t>
      </w:r>
    </w:p>
    <w:p w14:paraId="06763CED"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p>
    <w:p w14:paraId="010BF185"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Egipto no tiene traspaso de remanente de 2025.</w:t>
      </w:r>
    </w:p>
    <w:p w14:paraId="423D2F3E" w14:textId="77777777" w:rsidR="009123AC" w:rsidRPr="00F0379B" w:rsidRDefault="009123AC" w:rsidP="009123AC">
      <w:pPr>
        <w:spacing w:after="0" w:line="240" w:lineRule="auto"/>
        <w:jc w:val="both"/>
        <w:rPr>
          <w:rFonts w:ascii="Cambria" w:eastAsiaTheme="minorEastAsia" w:hAnsi="Cambria"/>
          <w:i/>
          <w:kern w:val="2"/>
          <w:sz w:val="20"/>
          <w:szCs w:val="20"/>
          <w:lang w:eastAsia="ja-JP"/>
          <w14:ligatures w14:val="standardContextual"/>
        </w:rPr>
      </w:pPr>
    </w:p>
    <w:p w14:paraId="404A32A5"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1 c) Destino de la captura</w:t>
      </w:r>
    </w:p>
    <w:p w14:paraId="7985B011" w14:textId="77777777" w:rsidR="009123AC" w:rsidRPr="00F0379B" w:rsidRDefault="009123AC" w:rsidP="009123AC">
      <w:pPr>
        <w:spacing w:after="0" w:line="240" w:lineRule="auto"/>
        <w:jc w:val="both"/>
        <w:rPr>
          <w:rFonts w:ascii="Cambria" w:eastAsia="Aptos" w:hAnsi="Cambria"/>
          <w:kern w:val="2"/>
          <w:sz w:val="20"/>
          <w:szCs w:val="20"/>
          <w14:ligatures w14:val="standardContextual"/>
        </w:rPr>
      </w:pPr>
    </w:p>
    <w:p w14:paraId="18C06AFF" w14:textId="77777777" w:rsidR="009123AC" w:rsidRPr="00F0379B" w:rsidRDefault="009123AC" w:rsidP="009123AC">
      <w:pPr>
        <w:spacing w:after="0" w:line="240" w:lineRule="auto"/>
        <w:jc w:val="both"/>
        <w:rPr>
          <w:rFonts w:ascii="Cambria" w:eastAsia="Aptos" w:hAnsi="Cambria"/>
          <w:kern w:val="2"/>
          <w:sz w:val="20"/>
          <w:szCs w:val="20"/>
          <w14:ligatures w14:val="standardContextual"/>
        </w:rPr>
      </w:pPr>
      <w:r w:rsidRPr="00F0379B">
        <w:rPr>
          <w:rFonts w:ascii="Cambria" w:eastAsia="Aptos" w:hAnsi="Cambria"/>
          <w:kern w:val="2"/>
          <w:sz w:val="20"/>
          <w:szCs w:val="20"/>
          <w14:ligatures w14:val="standardContextual"/>
        </w:rPr>
        <w:t>Cría: Egipto no tiene actividad de cría hasta ahora.</w:t>
      </w:r>
    </w:p>
    <w:p w14:paraId="28D584FE" w14:textId="77777777" w:rsidR="009123AC" w:rsidRPr="00F0379B" w:rsidRDefault="009123AC" w:rsidP="009123AC">
      <w:pPr>
        <w:spacing w:after="0" w:line="240" w:lineRule="auto"/>
        <w:jc w:val="both"/>
        <w:rPr>
          <w:rFonts w:ascii="Cambria" w:eastAsia="Aptos" w:hAnsi="Cambria"/>
          <w:kern w:val="2"/>
          <w:sz w:val="20"/>
          <w:szCs w:val="20"/>
          <w14:ligatures w14:val="standardContextual"/>
        </w:rPr>
      </w:pPr>
      <w:r w:rsidRPr="00F0379B">
        <w:rPr>
          <w:rFonts w:ascii="Cambria" w:eastAsia="Aptos" w:hAnsi="Cambria"/>
          <w:kern w:val="2"/>
          <w:sz w:val="20"/>
          <w:szCs w:val="20"/>
          <w14:ligatures w14:val="standardContextual"/>
        </w:rPr>
        <w:t>Desembarque: Egipto no tiene actividad de desembarque.</w:t>
      </w:r>
    </w:p>
    <w:p w14:paraId="225BBB46"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Aptos" w:hAnsi="Cambria"/>
          <w:kern w:val="2"/>
          <w:sz w:val="20"/>
          <w:szCs w:val="20"/>
          <w14:ligatures w14:val="standardContextual"/>
        </w:rPr>
        <w:t>La cantidad de 543,1 t se destinará a jaulas de granjas de engorde.</w:t>
      </w:r>
      <w:r w:rsidRPr="00F0379B">
        <w:rPr>
          <w:rFonts w:ascii="Cambria" w:eastAsiaTheme="minorEastAsia" w:hAnsi="Cambria"/>
          <w:b/>
          <w:i/>
          <w:iCs/>
          <w:kern w:val="2"/>
          <w:sz w:val="20"/>
          <w:szCs w:val="20"/>
          <w:lang w:eastAsia="ja-JP"/>
          <w14:ligatures w14:val="standardContextual"/>
        </w:rPr>
        <w:br w:type="page"/>
      </w:r>
    </w:p>
    <w:p w14:paraId="342C2C58" w14:textId="77777777" w:rsidR="009123AC" w:rsidRPr="00F0379B" w:rsidRDefault="009123AC" w:rsidP="009123AC">
      <w:pPr>
        <w:spacing w:after="0" w:line="240" w:lineRule="auto"/>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lastRenderedPageBreak/>
        <w:t>1 d)</w:t>
      </w:r>
    </w:p>
    <w:p w14:paraId="1DAE037D" w14:textId="77777777" w:rsidR="009123AC" w:rsidRPr="00F0379B" w:rsidRDefault="009123AC" w:rsidP="009123AC">
      <w:pPr>
        <w:spacing w:after="0" w:line="240" w:lineRule="auto"/>
        <w:rPr>
          <w:rFonts w:ascii="Cambria" w:eastAsiaTheme="minorEastAsia" w:hAnsi="Cambria"/>
          <w:b/>
          <w:i/>
          <w:iCs/>
          <w:kern w:val="2"/>
          <w:sz w:val="20"/>
          <w:szCs w:val="20"/>
          <w:lang w:eastAsia="ja-JP"/>
          <w14:ligatures w14:val="standardContextual"/>
        </w:rPr>
      </w:pPr>
    </w:p>
    <w:tbl>
      <w:tblPr>
        <w:tblStyle w:val="TableGrid"/>
        <w:tblW w:w="0" w:type="auto"/>
        <w:tblLook w:val="04A0" w:firstRow="1" w:lastRow="0" w:firstColumn="1" w:lastColumn="0" w:noHBand="0" w:noVBand="1"/>
      </w:tblPr>
      <w:tblGrid>
        <w:gridCol w:w="453"/>
        <w:gridCol w:w="2262"/>
        <w:gridCol w:w="3454"/>
        <w:gridCol w:w="1706"/>
        <w:gridCol w:w="1185"/>
      </w:tblGrid>
      <w:tr w:rsidR="009123AC" w:rsidRPr="00F0379B" w14:paraId="101A3FE1" w14:textId="77777777" w:rsidTr="00CA749B">
        <w:trPr>
          <w:tblHeader/>
        </w:trPr>
        <w:tc>
          <w:tcPr>
            <w:tcW w:w="453" w:type="dxa"/>
          </w:tcPr>
          <w:p w14:paraId="37C88BE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262" w:type="dxa"/>
            <w:vAlign w:val="center"/>
          </w:tcPr>
          <w:p w14:paraId="23AB1CCB"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Requisito ICCAT</w:t>
            </w:r>
          </w:p>
          <w:p w14:paraId="767C5A5B"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 xml:space="preserve">(según </w:t>
            </w:r>
            <w:hyperlink r:id="rId102" w:history="1">
              <w:r w:rsidRPr="00F0379B">
                <w:rPr>
                  <w:rFonts w:ascii="Cambria" w:eastAsiaTheme="minorEastAsia" w:hAnsi="Cambria"/>
                  <w:i/>
                  <w:color w:val="0563C1" w:themeColor="hyperlink"/>
                  <w:kern w:val="2"/>
                  <w:sz w:val="20"/>
                  <w:szCs w:val="20"/>
                  <w:lang w:eastAsia="ja-JP"/>
                  <w14:ligatures w14:val="standardContextual"/>
                </w:rPr>
                <w:t>Rec. 25-04</w:t>
              </w:r>
            </w:hyperlink>
            <w:r w:rsidRPr="00F0379B">
              <w:rPr>
                <w:rFonts w:ascii="Cambria" w:eastAsiaTheme="minorEastAsia" w:hAnsi="Cambria"/>
                <w:kern w:val="2"/>
                <w:sz w:val="20"/>
                <w:szCs w:val="20"/>
                <w:lang w:eastAsia="ja-JP"/>
                <w14:ligatures w14:val="standardContextual"/>
              </w:rPr>
              <w:t>)</w:t>
            </w:r>
          </w:p>
        </w:tc>
        <w:tc>
          <w:tcPr>
            <w:tcW w:w="3454" w:type="dxa"/>
            <w:vAlign w:val="center"/>
          </w:tcPr>
          <w:p w14:paraId="1BA34142"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Explicación de las acciones emprendidas por la CPC con fines de implementación</w:t>
            </w:r>
          </w:p>
        </w:tc>
        <w:tc>
          <w:tcPr>
            <w:tcW w:w="1706" w:type="dxa"/>
            <w:vAlign w:val="center"/>
          </w:tcPr>
          <w:p w14:paraId="610B3F8A"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Leyes o reglamentos internos pertinentes</w:t>
            </w:r>
          </w:p>
          <w:p w14:paraId="079184AD"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(si procede)</w:t>
            </w:r>
          </w:p>
        </w:tc>
        <w:tc>
          <w:tcPr>
            <w:tcW w:w="1185" w:type="dxa"/>
            <w:vAlign w:val="center"/>
          </w:tcPr>
          <w:p w14:paraId="749B97C4"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Nota</w:t>
            </w:r>
          </w:p>
        </w:tc>
      </w:tr>
      <w:tr w:rsidR="009123AC" w:rsidRPr="00F0379B" w14:paraId="5ECA07C0" w14:textId="77777777" w:rsidTr="00CA749B">
        <w:tc>
          <w:tcPr>
            <w:tcW w:w="453" w:type="dxa"/>
          </w:tcPr>
          <w:p w14:paraId="5A115003"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w:t>
            </w:r>
          </w:p>
        </w:tc>
        <w:tc>
          <w:tcPr>
            <w:tcW w:w="2262" w:type="dxa"/>
          </w:tcPr>
          <w:p w14:paraId="6537628C" w14:textId="77777777" w:rsidR="009123AC" w:rsidRPr="00F0379B" w:rsidRDefault="009123AC" w:rsidP="009123AC">
            <w:pPr>
              <w:spacing w:line="240" w:lineRule="auto"/>
              <w:ind w:right="-110"/>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Consignación y comunicación de la captura (párrs. 74-88)</w:t>
            </w:r>
          </w:p>
        </w:tc>
        <w:tc>
          <w:tcPr>
            <w:tcW w:w="3454" w:type="dxa"/>
          </w:tcPr>
          <w:p w14:paraId="18CC7E70" w14:textId="5250E677" w:rsidR="009123AC" w:rsidRPr="00F0379B" w:rsidRDefault="009123AC" w:rsidP="009123AC">
            <w:pPr>
              <w:spacing w:line="240" w:lineRule="auto"/>
              <w:ind w:right="-21"/>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patrones de los buques de captura consignan toda la información en los cuadernos de pesca encuadernados, incluidos los peces muertos (retenidos o descartados) que se descontarán de la cuota. De acuerdo con los requisitos establecidos en las </w:t>
            </w:r>
            <w:proofErr w:type="spellStart"/>
            <w:r w:rsidRPr="00F0379B">
              <w:rPr>
                <w:rFonts w:ascii="Cambria" w:eastAsiaTheme="minorEastAsia" w:hAnsi="Cambria"/>
                <w:kern w:val="2"/>
                <w:sz w:val="20"/>
                <w:szCs w:val="20"/>
                <w:lang w:eastAsia="ja-JP"/>
                <w14:ligatures w14:val="standardContextual"/>
              </w:rPr>
              <w:t>Recs</w:t>
            </w:r>
            <w:proofErr w:type="spellEnd"/>
            <w:r w:rsidR="00D3558E" w:rsidRPr="00F0379B">
              <w:rPr>
                <w:rFonts w:ascii="Cambria" w:eastAsiaTheme="minorEastAsia" w:hAnsi="Cambria"/>
                <w:kern w:val="2"/>
                <w:sz w:val="20"/>
                <w:szCs w:val="20"/>
                <w:lang w:eastAsia="ja-JP"/>
                <w14:ligatures w14:val="standardContextual"/>
              </w:rPr>
              <w:t>.</w:t>
            </w:r>
            <w:r w:rsidRPr="00F0379B">
              <w:rPr>
                <w:rFonts w:ascii="Cambria" w:eastAsiaTheme="minorEastAsia" w:hAnsi="Cambria"/>
                <w:kern w:val="2"/>
                <w:sz w:val="20"/>
                <w:szCs w:val="20"/>
                <w:lang w:eastAsia="ja-JP"/>
                <w14:ligatures w14:val="standardContextual"/>
              </w:rPr>
              <w:t xml:space="preserve"> 24-05/25-04 para enviarlos a la LFRPDA para su verificación utilizando informes de inspección disponibles, informes de observadores nacionales y regionales, además de consignar y comunicar las obligaciones establecidas en las recomendaciones de ICCAT pertinentes.</w:t>
            </w:r>
          </w:p>
        </w:tc>
        <w:tc>
          <w:tcPr>
            <w:tcW w:w="1706" w:type="dxa"/>
          </w:tcPr>
          <w:p w14:paraId="781B3F8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Resolución n.º (121) para 2022, artículo (8)</w:t>
            </w:r>
          </w:p>
        </w:tc>
        <w:tc>
          <w:tcPr>
            <w:tcW w:w="1185" w:type="dxa"/>
          </w:tcPr>
          <w:p w14:paraId="48617B7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29DABF59" w14:textId="77777777" w:rsidTr="00CA749B">
        <w:tc>
          <w:tcPr>
            <w:tcW w:w="453" w:type="dxa"/>
          </w:tcPr>
          <w:p w14:paraId="07983F33"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2</w:t>
            </w:r>
          </w:p>
        </w:tc>
        <w:tc>
          <w:tcPr>
            <w:tcW w:w="2262" w:type="dxa"/>
          </w:tcPr>
          <w:p w14:paraId="76BD30F6" w14:textId="77777777" w:rsidR="009123AC" w:rsidRPr="00F0379B" w:rsidRDefault="009123AC" w:rsidP="009123AC">
            <w:pPr>
              <w:spacing w:line="240" w:lineRule="auto"/>
              <w:ind w:right="-110"/>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Temporadas de pesca abiertas (párrs. 28-32</w:t>
            </w:r>
            <w:r w:rsidRPr="00F0379B">
              <w:rPr>
                <w:rFonts w:ascii="Cambria" w:eastAsiaTheme="minorEastAsia" w:hAnsi="Cambria"/>
                <w:b/>
                <w:bCs/>
                <w:kern w:val="2"/>
                <w:sz w:val="20"/>
                <w:szCs w:val="20"/>
                <w:lang w:eastAsia="ja-JP"/>
                <w14:ligatures w14:val="standardContextual"/>
              </w:rPr>
              <w:t>)</w:t>
            </w:r>
          </w:p>
        </w:tc>
        <w:tc>
          <w:tcPr>
            <w:tcW w:w="3454" w:type="dxa"/>
          </w:tcPr>
          <w:p w14:paraId="530C385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El periodo autorizado para la pesca de atún rojo es desde el 19 de mayo al 1 de julio de 2026. De conformidad con el párrafo 28 de las </w:t>
            </w:r>
            <w:proofErr w:type="spellStart"/>
            <w:r w:rsidRPr="00F0379B">
              <w:rPr>
                <w:rFonts w:ascii="Cambria" w:eastAsiaTheme="minorEastAsia" w:hAnsi="Cambria"/>
                <w:kern w:val="2"/>
                <w:sz w:val="20"/>
                <w:szCs w:val="20"/>
                <w:lang w:eastAsia="ja-JP"/>
                <w14:ligatures w14:val="standardContextual"/>
              </w:rPr>
              <w:t>Recs</w:t>
            </w:r>
            <w:proofErr w:type="spellEnd"/>
            <w:r w:rsidRPr="00F0379B">
              <w:rPr>
                <w:rFonts w:ascii="Cambria" w:eastAsiaTheme="minorEastAsia" w:hAnsi="Cambria"/>
                <w:kern w:val="2"/>
                <w:sz w:val="20"/>
                <w:szCs w:val="20"/>
                <w:lang w:eastAsia="ja-JP"/>
                <w14:ligatures w14:val="standardContextual"/>
              </w:rPr>
              <w:t xml:space="preserve">. 24-05/25-04, Egipto podría posiblemente ampliar su periodo de pesca en el caso de que se produzcan malas condiciones meteorológicas durante el periodo de pesca autorizado hasta en 10 días. </w:t>
            </w:r>
          </w:p>
          <w:p w14:paraId="16DB305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1D92F7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Además, la LFRPDA anunciará el cierre de la pesquería de atún rojo una vez que la cuota permitida haya sido capturada, incluso durante el periodo autorizado.</w:t>
            </w:r>
          </w:p>
          <w:p w14:paraId="33FE261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38074B8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buques pesqueros que capturan BFT-E son cerqueros con licencias que operan en el Mediterráneo.</w:t>
            </w:r>
          </w:p>
        </w:tc>
        <w:tc>
          <w:tcPr>
            <w:tcW w:w="1706" w:type="dxa"/>
          </w:tcPr>
          <w:p w14:paraId="0AE9E68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Resolución n.º (121) para 2022, artículo (3)</w:t>
            </w:r>
          </w:p>
        </w:tc>
        <w:tc>
          <w:tcPr>
            <w:tcW w:w="1185" w:type="dxa"/>
          </w:tcPr>
          <w:p w14:paraId="4A3D39A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22F1EDB7" w14:textId="77777777" w:rsidTr="00CA749B">
        <w:tc>
          <w:tcPr>
            <w:tcW w:w="453" w:type="dxa"/>
          </w:tcPr>
          <w:p w14:paraId="47EB8BD4"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3</w:t>
            </w:r>
          </w:p>
        </w:tc>
        <w:tc>
          <w:tcPr>
            <w:tcW w:w="2262" w:type="dxa"/>
          </w:tcPr>
          <w:p w14:paraId="32601D55" w14:textId="77777777" w:rsidR="009123AC" w:rsidRPr="00F0379B" w:rsidRDefault="009123AC" w:rsidP="009123AC">
            <w:pPr>
              <w:spacing w:line="240" w:lineRule="auto"/>
              <w:ind w:right="-110"/>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Talla mínima (párrs. 33-35)</w:t>
            </w:r>
          </w:p>
        </w:tc>
        <w:tc>
          <w:tcPr>
            <w:tcW w:w="3454" w:type="dxa"/>
          </w:tcPr>
          <w:p w14:paraId="2C520D2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Se implementarán estrictamente las disposiciones en cuanto a talla mínima establecidas en las </w:t>
            </w:r>
            <w:proofErr w:type="spellStart"/>
            <w:r w:rsidRPr="00F0379B">
              <w:rPr>
                <w:rFonts w:ascii="Cambria" w:eastAsiaTheme="minorEastAsia" w:hAnsi="Cambria"/>
                <w:kern w:val="2"/>
                <w:sz w:val="20"/>
                <w:szCs w:val="20"/>
                <w:lang w:eastAsia="ja-JP"/>
                <w14:ligatures w14:val="standardContextual"/>
              </w:rPr>
              <w:t>Recs</w:t>
            </w:r>
            <w:proofErr w:type="spellEnd"/>
            <w:r w:rsidRPr="00F0379B">
              <w:rPr>
                <w:rFonts w:ascii="Cambria" w:eastAsiaTheme="minorEastAsia" w:hAnsi="Cambria"/>
                <w:kern w:val="2"/>
                <w:sz w:val="20"/>
                <w:szCs w:val="20"/>
                <w:lang w:eastAsia="ja-JP"/>
                <w14:ligatures w14:val="standardContextual"/>
              </w:rPr>
              <w:t>. 24-05/25-04 de ICCAT.</w:t>
            </w:r>
          </w:p>
          <w:p w14:paraId="62CEC79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31CBB77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Durante la temporada, el observador nacional/inspector a bordo se asegurará del total cumplimiento de la talla mínima de conformidad con las </w:t>
            </w:r>
            <w:proofErr w:type="spellStart"/>
            <w:r w:rsidRPr="00F0379B">
              <w:rPr>
                <w:rFonts w:ascii="Cambria" w:eastAsiaTheme="minorEastAsia" w:hAnsi="Cambria"/>
                <w:kern w:val="2"/>
                <w:sz w:val="20"/>
                <w:szCs w:val="20"/>
                <w:lang w:eastAsia="ja-JP"/>
                <w14:ligatures w14:val="standardContextual"/>
              </w:rPr>
              <w:t>Recs</w:t>
            </w:r>
            <w:proofErr w:type="spellEnd"/>
            <w:r w:rsidRPr="00F0379B">
              <w:rPr>
                <w:rFonts w:ascii="Cambria" w:eastAsiaTheme="minorEastAsia" w:hAnsi="Cambria"/>
                <w:kern w:val="2"/>
                <w:sz w:val="20"/>
                <w:szCs w:val="20"/>
                <w:lang w:eastAsia="ja-JP"/>
                <w14:ligatures w14:val="standardContextual"/>
              </w:rPr>
              <w:t xml:space="preserve">. 24-05/25-04 de ICCAT pertinentes. </w:t>
            </w:r>
          </w:p>
          <w:p w14:paraId="6F49E7E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Las reglamentaciones prohíben capturar, retener a bordo, transbordar, transferir, desembarcar, </w:t>
            </w:r>
            <w:r w:rsidRPr="00F0379B">
              <w:rPr>
                <w:rFonts w:ascii="Cambria" w:eastAsiaTheme="minorEastAsia" w:hAnsi="Cambria"/>
                <w:kern w:val="2"/>
                <w:sz w:val="20"/>
                <w:szCs w:val="20"/>
                <w:lang w:eastAsia="ja-JP"/>
                <w14:ligatures w14:val="standardContextual"/>
              </w:rPr>
              <w:lastRenderedPageBreak/>
              <w:t>almacenar, vender, exponer u ofrecer para su venta atún rojo con un peso inferior a 30 kg o con una longitud a la horquilla inferior a 115 cm.</w:t>
            </w:r>
          </w:p>
          <w:p w14:paraId="0152986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8ADA1A0" w14:textId="775C7A66"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Podría autorizarse la captura de un máximo del 5 % en peso de atún rojo que pese (8a 30 kg) o con una longitud a la horquilla de 75 a 115</w:t>
            </w:r>
            <w:r w:rsidR="00D3558E" w:rsidRPr="00F0379B">
              <w:rPr>
                <w:rFonts w:ascii="Cambria" w:eastAsiaTheme="minorEastAsia" w:hAnsi="Cambria"/>
                <w:kern w:val="2"/>
                <w:sz w:val="20"/>
                <w:szCs w:val="20"/>
                <w:lang w:eastAsia="ja-JP"/>
                <w14:ligatures w14:val="standardContextual"/>
              </w:rPr>
              <w:t> </w:t>
            </w:r>
            <w:r w:rsidRPr="00F0379B">
              <w:rPr>
                <w:rFonts w:ascii="Cambria" w:eastAsiaTheme="minorEastAsia" w:hAnsi="Cambria"/>
                <w:kern w:val="2"/>
                <w:sz w:val="20"/>
                <w:szCs w:val="20"/>
                <w:lang w:eastAsia="ja-JP"/>
                <w14:ligatures w14:val="standardContextual"/>
              </w:rPr>
              <w:t>cm.</w:t>
            </w:r>
          </w:p>
          <w:p w14:paraId="181E5AC9" w14:textId="77777777" w:rsidR="009123AC" w:rsidRPr="00F0379B" w:rsidRDefault="009123AC" w:rsidP="009123AC">
            <w:pPr>
              <w:spacing w:line="240" w:lineRule="auto"/>
              <w:ind w:left="147"/>
              <w:rPr>
                <w:rFonts w:ascii="Cambria" w:eastAsiaTheme="minorEastAsia" w:hAnsi="Cambria"/>
                <w:kern w:val="2"/>
                <w:sz w:val="20"/>
                <w:szCs w:val="20"/>
                <w:lang w:eastAsia="ja-JP"/>
                <w14:ligatures w14:val="standardContextual"/>
              </w:rPr>
            </w:pPr>
          </w:p>
          <w:p w14:paraId="5F8D7FE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atunes rojos por debajo de la talla mínima deben ser liberados en el mar y los atunes rojos muertos deberían ser declarados y deducidos de la cuota.</w:t>
            </w:r>
          </w:p>
        </w:tc>
        <w:tc>
          <w:tcPr>
            <w:tcW w:w="1706" w:type="dxa"/>
          </w:tcPr>
          <w:p w14:paraId="527175B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lastRenderedPageBreak/>
              <w:t>Resolución n.º (121) para 2022, artículo (4)</w:t>
            </w:r>
          </w:p>
        </w:tc>
        <w:tc>
          <w:tcPr>
            <w:tcW w:w="1185" w:type="dxa"/>
          </w:tcPr>
          <w:p w14:paraId="65BD1C4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4CF6A22F" w14:textId="77777777" w:rsidTr="00CA749B">
        <w:tc>
          <w:tcPr>
            <w:tcW w:w="453" w:type="dxa"/>
          </w:tcPr>
          <w:p w14:paraId="363941E0"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4</w:t>
            </w:r>
          </w:p>
        </w:tc>
        <w:tc>
          <w:tcPr>
            <w:tcW w:w="2262" w:type="dxa"/>
          </w:tcPr>
          <w:p w14:paraId="4DA0F149"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Captura fortuita (párr. 37) </w:t>
            </w:r>
          </w:p>
        </w:tc>
        <w:tc>
          <w:tcPr>
            <w:tcW w:w="3454" w:type="dxa"/>
          </w:tcPr>
          <w:p w14:paraId="32555F3A" w14:textId="31D09929"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Egipto establecerá un 1 % de su cuota para la captura fortuita, basándose en que la captura fortuita registrada ha superado dicho límite en 2025.</w:t>
            </w:r>
          </w:p>
          <w:p w14:paraId="10330885" w14:textId="77777777" w:rsidR="009123AC" w:rsidRPr="00F0379B" w:rsidRDefault="009123AC" w:rsidP="009123AC">
            <w:pPr>
              <w:spacing w:line="240" w:lineRule="auto"/>
              <w:rPr>
                <w:rFonts w:ascii="Cambria" w:eastAsiaTheme="minorEastAsia" w:hAnsi="Cambria"/>
                <w:strike/>
                <w:kern w:val="2"/>
                <w:sz w:val="20"/>
                <w:szCs w:val="20"/>
                <w:lang w:eastAsia="ja-JP"/>
                <w14:ligatures w14:val="standardContextual"/>
              </w:rPr>
            </w:pPr>
          </w:p>
          <w:p w14:paraId="10DA7EA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captura fortuita no excederá del 20 % total de capturas a bordo al final de cada marea. Estas cantidades de captura fortuita se calcularán en relación con las capturas totales a bordo (en peso o número de ejemplares).</w:t>
            </w:r>
          </w:p>
          <w:p w14:paraId="2938B5B0" w14:textId="77777777" w:rsidR="009123AC" w:rsidRPr="00F0379B" w:rsidRDefault="009123AC" w:rsidP="009123AC">
            <w:pPr>
              <w:spacing w:line="240" w:lineRule="auto"/>
              <w:rPr>
                <w:rFonts w:ascii="Cambria" w:eastAsiaTheme="minorEastAsia" w:hAnsi="Cambria"/>
                <w:color w:val="EE0000"/>
                <w:kern w:val="2"/>
                <w:sz w:val="20"/>
                <w:szCs w:val="20"/>
                <w:lang w:eastAsia="ja-JP"/>
                <w14:ligatures w14:val="standardContextual"/>
              </w:rPr>
            </w:pPr>
          </w:p>
          <w:p w14:paraId="7F9EFA8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buques que no pescan activamente atún rojo son objeto de seguimiento por inspectores nacionales en los puertos de desembarque para contabilizar cualquier captura fortuita de atún rojo (en caso de que la hubiera) con el fin de garantizar la implementación de las </w:t>
            </w:r>
            <w:proofErr w:type="spellStart"/>
            <w:r w:rsidRPr="00F0379B">
              <w:rPr>
                <w:rFonts w:ascii="Cambria" w:eastAsiaTheme="minorEastAsia" w:hAnsi="Cambria"/>
                <w:kern w:val="2"/>
                <w:sz w:val="20"/>
                <w:szCs w:val="20"/>
                <w:lang w:eastAsia="ja-JP"/>
                <w14:ligatures w14:val="standardContextual"/>
              </w:rPr>
              <w:t>Recs</w:t>
            </w:r>
            <w:proofErr w:type="spellEnd"/>
            <w:r w:rsidRPr="00F0379B">
              <w:rPr>
                <w:rFonts w:ascii="Cambria" w:eastAsiaTheme="minorEastAsia" w:hAnsi="Cambria"/>
                <w:kern w:val="2"/>
                <w:sz w:val="20"/>
                <w:szCs w:val="20"/>
                <w:lang w:eastAsia="ja-JP"/>
                <w14:ligatures w14:val="standardContextual"/>
              </w:rPr>
              <w:t>. 24-05/25-04 de ICCAT.</w:t>
            </w:r>
          </w:p>
          <w:p w14:paraId="10FED65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1B72208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Todos los inspectores en los puertos de desembarque han sido instruidos para observar y comunicar cualquier captura fortuita de atún rojo durante todo el año. </w:t>
            </w:r>
          </w:p>
          <w:p w14:paraId="045688C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6C8FFF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Egipto no realiza descartes de atún rojo ya que la mayoría de los cerqueros en Egipto son buques de menos de 24 m que operan cerca de la costa y no tienen, por tanto, ninguna probabilidad de capturar atún rojo. Solo los buques autorizados a dirigirse al atún rojo están autorizados a operar en alta </w:t>
            </w:r>
            <w:r w:rsidRPr="00F0379B">
              <w:rPr>
                <w:rFonts w:ascii="Cambria" w:eastAsiaTheme="minorEastAsia" w:hAnsi="Cambria"/>
                <w:kern w:val="2"/>
                <w:sz w:val="20"/>
                <w:szCs w:val="20"/>
                <w:lang w:eastAsia="ja-JP"/>
                <w14:ligatures w14:val="standardContextual"/>
              </w:rPr>
              <w:lastRenderedPageBreak/>
              <w:t xml:space="preserve">mar para capturar atún rojo. Además, Egipto en colaboración con la FAO (proyecto </w:t>
            </w:r>
            <w:proofErr w:type="spellStart"/>
            <w:r w:rsidRPr="00F0379B">
              <w:rPr>
                <w:rFonts w:ascii="Cambria" w:eastAsiaTheme="minorEastAsia" w:hAnsi="Cambria"/>
                <w:kern w:val="2"/>
                <w:sz w:val="20"/>
                <w:szCs w:val="20"/>
                <w:lang w:eastAsia="ja-JP"/>
                <w14:ligatures w14:val="standardContextual"/>
              </w:rPr>
              <w:t>EastMed</w:t>
            </w:r>
            <w:proofErr w:type="spellEnd"/>
            <w:r w:rsidRPr="00F0379B">
              <w:rPr>
                <w:rFonts w:ascii="Cambria" w:eastAsiaTheme="minorEastAsia" w:hAnsi="Cambria"/>
                <w:kern w:val="2"/>
                <w:sz w:val="20"/>
                <w:szCs w:val="20"/>
                <w:lang w:eastAsia="ja-JP"/>
                <w14:ligatures w14:val="standardContextual"/>
              </w:rPr>
              <w:t>) ha realizado un estudio para evaluar los descartes en el Mediterráneo. Este estudio demostraba que el porcentaje de descartes de los cerqueros es inferior al 2 % y no había ningún registro de atún rojo en el informe.</w:t>
            </w:r>
          </w:p>
          <w:p w14:paraId="680FCAB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40E0CC9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Egipto enviará su informe de captura fortuita antes del final del año declarando todas las capturas fortuitas (en caso de que las hubiera) que deberán ser deducidas de la cuota especificada de captura fortuita del año.</w:t>
            </w:r>
          </w:p>
          <w:p w14:paraId="0B1564D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4ECB725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Tiene que comunicarse inmediatamente a la LFRPDA la cantidad de captura fortuita descartada, indicando si está viva o muerta, y estos datos se comunicarán a ICCAT. </w:t>
            </w:r>
          </w:p>
          <w:p w14:paraId="6DEE375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6CDE63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Todas las capturas fortuitas de atún rojo deberán ser desembarcadas solo en los puertos designados.</w:t>
            </w:r>
          </w:p>
          <w:p w14:paraId="04067FB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85E42E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buques registran toda la información en los cuadernos de pesca encuadernados, incluidos los peces muertos (retenidos o descartados) que se descontarán de la cuota</w:t>
            </w:r>
          </w:p>
        </w:tc>
        <w:tc>
          <w:tcPr>
            <w:tcW w:w="1706" w:type="dxa"/>
          </w:tcPr>
          <w:p w14:paraId="2338A2C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lastRenderedPageBreak/>
              <w:t>Resolución n.º (121) para 2022, artículo (5)</w:t>
            </w:r>
          </w:p>
        </w:tc>
        <w:tc>
          <w:tcPr>
            <w:tcW w:w="1185" w:type="dxa"/>
          </w:tcPr>
          <w:p w14:paraId="4ECA965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3D51B1D4" w14:textId="77777777" w:rsidTr="00CA749B">
        <w:tc>
          <w:tcPr>
            <w:tcW w:w="453" w:type="dxa"/>
          </w:tcPr>
          <w:p w14:paraId="2CB8B45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5</w:t>
            </w:r>
          </w:p>
        </w:tc>
        <w:tc>
          <w:tcPr>
            <w:tcW w:w="2262" w:type="dxa"/>
          </w:tcPr>
          <w:p w14:paraId="44EB9AE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Pesquerías deportivas y de recreo (párrs. 38-46)</w:t>
            </w:r>
          </w:p>
        </w:tc>
        <w:tc>
          <w:tcPr>
            <w:tcW w:w="3454" w:type="dxa"/>
          </w:tcPr>
          <w:p w14:paraId="1DA2E20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se permitirá ninguna pesquería costera deportiva o de recreo.</w:t>
            </w:r>
          </w:p>
        </w:tc>
        <w:tc>
          <w:tcPr>
            <w:tcW w:w="1706" w:type="dxa"/>
          </w:tcPr>
          <w:p w14:paraId="0CC5999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Resolución n.º (121) para 2022, artículo (6)</w:t>
            </w:r>
          </w:p>
        </w:tc>
        <w:tc>
          <w:tcPr>
            <w:tcW w:w="1185" w:type="dxa"/>
          </w:tcPr>
          <w:p w14:paraId="13A1B2B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1E5E24C8" w14:textId="77777777" w:rsidTr="00CA749B">
        <w:trPr>
          <w:trHeight w:val="736"/>
        </w:trPr>
        <w:tc>
          <w:tcPr>
            <w:tcW w:w="453" w:type="dxa"/>
          </w:tcPr>
          <w:p w14:paraId="021FF753"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6</w:t>
            </w:r>
          </w:p>
        </w:tc>
        <w:tc>
          <w:tcPr>
            <w:tcW w:w="2262" w:type="dxa"/>
          </w:tcPr>
          <w:p w14:paraId="1F5FCE72"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Transbordo (párrs. 89-94)</w:t>
            </w:r>
          </w:p>
        </w:tc>
        <w:tc>
          <w:tcPr>
            <w:tcW w:w="3454" w:type="dxa"/>
          </w:tcPr>
          <w:p w14:paraId="397FB41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Está completamente prohibido el transbordo en el mar.</w:t>
            </w:r>
          </w:p>
          <w:p w14:paraId="732CF4E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1EBC293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706" w:type="dxa"/>
          </w:tcPr>
          <w:p w14:paraId="33871BF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Resolución n.º (121) para 2022, artículo (12)</w:t>
            </w:r>
          </w:p>
        </w:tc>
        <w:tc>
          <w:tcPr>
            <w:tcW w:w="1185" w:type="dxa"/>
          </w:tcPr>
          <w:p w14:paraId="6147E662" w14:textId="77777777" w:rsidR="009123AC" w:rsidRPr="00F0379B" w:rsidRDefault="009123AC" w:rsidP="009123AC">
            <w:pPr>
              <w:spacing w:line="240" w:lineRule="auto"/>
              <w:ind w:left="-64" w:right="-47"/>
              <w:rPr>
                <w:rFonts w:ascii="Cambria" w:eastAsiaTheme="minorEastAsia" w:hAnsi="Cambria"/>
                <w:kern w:val="2"/>
                <w:sz w:val="20"/>
                <w:szCs w:val="20"/>
                <w:lang w:eastAsia="ja-JP"/>
                <w14:ligatures w14:val="standardContextual"/>
              </w:rPr>
            </w:pPr>
          </w:p>
        </w:tc>
      </w:tr>
      <w:tr w:rsidR="009123AC" w:rsidRPr="00F0379B" w14:paraId="6431BDC6" w14:textId="77777777" w:rsidTr="00CA749B">
        <w:tc>
          <w:tcPr>
            <w:tcW w:w="453" w:type="dxa"/>
          </w:tcPr>
          <w:p w14:paraId="1CB5C4B5"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7</w:t>
            </w:r>
          </w:p>
        </w:tc>
        <w:tc>
          <w:tcPr>
            <w:tcW w:w="2262" w:type="dxa"/>
          </w:tcPr>
          <w:p w14:paraId="04480223"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VMS (párrs. 222-228)</w:t>
            </w:r>
          </w:p>
        </w:tc>
        <w:tc>
          <w:tcPr>
            <w:tcW w:w="3454" w:type="dxa"/>
          </w:tcPr>
          <w:p w14:paraId="5986BCE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buques autorizados de atún rojo que pesquen activamente en la temporada de pesca de 2026 deberán estar equipados con un sistema de seguimiento por satélite operativo constantemente (sistema de seguimiento de buques, VMS) a bordo, tal y como lo requiere la LFRPDA y transmitir cada 1 hora como mínimo.</w:t>
            </w:r>
          </w:p>
        </w:tc>
        <w:tc>
          <w:tcPr>
            <w:tcW w:w="1706" w:type="dxa"/>
          </w:tcPr>
          <w:p w14:paraId="2109A8A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Resolución n.º (121) para 2022, artículo (16)</w:t>
            </w:r>
          </w:p>
        </w:tc>
        <w:tc>
          <w:tcPr>
            <w:tcW w:w="1185" w:type="dxa"/>
          </w:tcPr>
          <w:p w14:paraId="0A9729F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5BF5FFC8" w14:textId="77777777" w:rsidTr="00CA749B">
        <w:tc>
          <w:tcPr>
            <w:tcW w:w="453" w:type="dxa"/>
          </w:tcPr>
          <w:p w14:paraId="634A34FC"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8</w:t>
            </w:r>
          </w:p>
        </w:tc>
        <w:tc>
          <w:tcPr>
            <w:tcW w:w="2262" w:type="dxa"/>
          </w:tcPr>
          <w:p w14:paraId="30DFA281"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Programa de observadores de las CPC </w:t>
            </w:r>
          </w:p>
          <w:p w14:paraId="0E6A0B7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95-100)</w:t>
            </w:r>
          </w:p>
        </w:tc>
        <w:tc>
          <w:tcPr>
            <w:tcW w:w="3454" w:type="dxa"/>
          </w:tcPr>
          <w:p w14:paraId="15470E4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Uno de los observadores nacionales especialistas en pesquerías inspeccionará las operaciones a bordo durante las operaciones pesqueras para hacer un seguimiento de la captura, consignar los datos requeridos y garantizar que el buque pesquero cumple las recomendaciones de ICCAT y las resoluciones de la LFRPDA; Se asignará un observador permanente en puerto para hacer un seguimiento de la captura desembarcada (si la hubiera) y revisar los informes de los observadores a bordo del buque.</w:t>
            </w:r>
          </w:p>
          <w:p w14:paraId="61FB942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B6F9E9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LFRPDA realizó un programa nacional de formación para observadores de pesquerías locales de Egipto sobre recopilación y comunicación de datos de ICCAT, en colaboración con el Instituto Nacional de Oceanografía y Pesca (NIOF), en la temporada de pesca de 2025, financiado por el Proyecto ICCAT/Japón de asistencia a la creación de capacidad (fase 3).</w:t>
            </w:r>
          </w:p>
          <w:p w14:paraId="5424F64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2909DF2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El programa se centró en mejorar la capacidad de los observadores locales en Egipto para aumentar su eficiencia en la identificación de especies de ICCAT, la recopilación de datos estandarizados, el cumplimiento de los requisitos para la elaboración de informes exhaustivos, la mejora de la calidad de los datos y el desarrollo de un programa de formación replicable para observadores que pueda utilizarse en futuras iniciativas de desarrollo de capacidades. Asimismo, la Academia Árabe de Ciencia, Tecnología y Transporte Marítimo (AASTMT) es idónea para impartir la formación, dado que la formación en seguridad marítima y supervivencia requiere habilidades y conocimientos específicos que pueden proporcionar mejor los profesionales con experiencia directa en seguridad marítima y operaciones de rescate. El personal de la AASTMT es ideal para impartir el curso «Seguridad marítima, uso de equipos de </w:t>
            </w:r>
            <w:r w:rsidRPr="00F0379B">
              <w:rPr>
                <w:rFonts w:ascii="Cambria" w:eastAsiaTheme="minorEastAsia" w:hAnsi="Cambria"/>
                <w:kern w:val="2"/>
                <w:sz w:val="20"/>
                <w:szCs w:val="20"/>
                <w:lang w:eastAsia="ja-JP"/>
                <w14:ligatures w14:val="standardContextual"/>
              </w:rPr>
              <w:lastRenderedPageBreak/>
              <w:t>supervivencia» en colaboración con la LFRPDA.</w:t>
            </w:r>
          </w:p>
          <w:p w14:paraId="7AC3E78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48966E5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706" w:type="dxa"/>
          </w:tcPr>
          <w:p w14:paraId="4E13543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lastRenderedPageBreak/>
              <w:t>Resolución n.º (121) para 2022, artículo (14)</w:t>
            </w:r>
          </w:p>
        </w:tc>
        <w:tc>
          <w:tcPr>
            <w:tcW w:w="1185" w:type="dxa"/>
          </w:tcPr>
          <w:p w14:paraId="5692E20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796CB094" w14:textId="77777777" w:rsidTr="00CA749B">
        <w:tc>
          <w:tcPr>
            <w:tcW w:w="453" w:type="dxa"/>
          </w:tcPr>
          <w:p w14:paraId="07628250"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9</w:t>
            </w:r>
          </w:p>
        </w:tc>
        <w:tc>
          <w:tcPr>
            <w:tcW w:w="2262" w:type="dxa"/>
          </w:tcPr>
          <w:p w14:paraId="692DE4B1"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val="pt-BR" w:eastAsia="ja-JP"/>
                <w14:ligatures w14:val="standardContextual"/>
              </w:rPr>
              <w:t xml:space="preserve">Programa regional de observadores (párrs. </w:t>
            </w:r>
            <w:r w:rsidRPr="00F0379B">
              <w:rPr>
                <w:rFonts w:ascii="Cambria" w:eastAsiaTheme="minorEastAsia" w:hAnsi="Cambria"/>
                <w:b/>
                <w:kern w:val="2"/>
                <w:sz w:val="20"/>
                <w:szCs w:val="20"/>
                <w:lang w:eastAsia="ja-JP"/>
                <w14:ligatures w14:val="standardContextual"/>
              </w:rPr>
              <w:t>101-107)</w:t>
            </w:r>
          </w:p>
        </w:tc>
        <w:tc>
          <w:tcPr>
            <w:tcW w:w="3454" w:type="dxa"/>
          </w:tcPr>
          <w:p w14:paraId="20AB4BE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buques de atún rojo que pesquen activamente en la temporada de pesca de 2026 deberán estar cubiertos (100 %) por dos observadores (un observador nacional y un observador del ROP ICCAT).</w:t>
            </w:r>
          </w:p>
        </w:tc>
        <w:tc>
          <w:tcPr>
            <w:tcW w:w="1706" w:type="dxa"/>
          </w:tcPr>
          <w:p w14:paraId="668B51C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185" w:type="dxa"/>
          </w:tcPr>
          <w:p w14:paraId="09CC307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0C645CF6" w14:textId="77777777" w:rsidTr="00CA749B">
        <w:tc>
          <w:tcPr>
            <w:tcW w:w="453" w:type="dxa"/>
          </w:tcPr>
          <w:p w14:paraId="59BF0C0F"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10</w:t>
            </w:r>
          </w:p>
        </w:tc>
        <w:tc>
          <w:tcPr>
            <w:tcW w:w="2262" w:type="dxa"/>
          </w:tcPr>
          <w:p w14:paraId="113E83AD"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Legislación nacional</w:t>
            </w:r>
          </w:p>
        </w:tc>
        <w:tc>
          <w:tcPr>
            <w:tcW w:w="3454" w:type="dxa"/>
          </w:tcPr>
          <w:p w14:paraId="264E50B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Egipto ha promulgado la resolución número 121/2022 sobre un plan plurianual de conservación y ordenación para el atún rojo del Mediterráneo, para transponer la Recomendación de ICCAT a su legislación nacional.</w:t>
            </w:r>
          </w:p>
        </w:tc>
        <w:tc>
          <w:tcPr>
            <w:tcW w:w="1706" w:type="dxa"/>
          </w:tcPr>
          <w:p w14:paraId="257BB0F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Resolución n.º (121) para 2022</w:t>
            </w:r>
          </w:p>
        </w:tc>
        <w:tc>
          <w:tcPr>
            <w:tcW w:w="1185" w:type="dxa"/>
          </w:tcPr>
          <w:p w14:paraId="15417CF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612170DB" w14:textId="77777777" w:rsidTr="00CA749B">
        <w:tc>
          <w:tcPr>
            <w:tcW w:w="453" w:type="dxa"/>
          </w:tcPr>
          <w:p w14:paraId="014F108E"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p>
        </w:tc>
        <w:tc>
          <w:tcPr>
            <w:tcW w:w="2262" w:type="dxa"/>
          </w:tcPr>
          <w:p w14:paraId="513ABA21"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Otros requisitos, como:</w:t>
            </w:r>
          </w:p>
          <w:p w14:paraId="550353B6"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programa de marcado (párr. 44). etc.</w:t>
            </w:r>
          </w:p>
        </w:tc>
        <w:tc>
          <w:tcPr>
            <w:tcW w:w="3454" w:type="dxa"/>
          </w:tcPr>
          <w:p w14:paraId="7BAF5C9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Egipto no participa en un programa de marcado.</w:t>
            </w:r>
          </w:p>
        </w:tc>
        <w:tc>
          <w:tcPr>
            <w:tcW w:w="1706" w:type="dxa"/>
          </w:tcPr>
          <w:p w14:paraId="1180B14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185" w:type="dxa"/>
          </w:tcPr>
          <w:p w14:paraId="111EAEB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bl>
    <w:p w14:paraId="5AF35B3F"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450069FC"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3BEECA2E" w14:textId="77777777" w:rsidR="009123AC" w:rsidRPr="00F0379B" w:rsidRDefault="009123AC" w:rsidP="009123AC">
      <w:pPr>
        <w:spacing w:after="0" w:line="240" w:lineRule="auto"/>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bCs/>
          <w:i/>
          <w:iCs/>
          <w:kern w:val="2"/>
          <w:sz w:val="20"/>
          <w:szCs w:val="20"/>
          <w:lang w:eastAsia="ja-JP"/>
          <w14:ligatures w14:val="standardContextual"/>
        </w:rPr>
        <w:t>1 e) Puertos designados (párr. 80)</w:t>
      </w:r>
    </w:p>
    <w:p w14:paraId="52CF1430"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6D46483B"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puertos designados para el desembarque de atún rojo consignados en el formulario CP24 son la plataforma del puerto de Alejandría, la plataforma del puerto pesquero de Abo-</w:t>
      </w:r>
      <w:proofErr w:type="spellStart"/>
      <w:r w:rsidRPr="00F0379B">
        <w:rPr>
          <w:rFonts w:ascii="Cambria" w:eastAsiaTheme="minorEastAsia" w:hAnsi="Cambria"/>
          <w:kern w:val="2"/>
          <w:sz w:val="20"/>
          <w:szCs w:val="20"/>
          <w:lang w:eastAsia="ja-JP"/>
          <w14:ligatures w14:val="standardContextual"/>
        </w:rPr>
        <w:t>Qir</w:t>
      </w:r>
      <w:proofErr w:type="spellEnd"/>
      <w:r w:rsidRPr="00F0379B">
        <w:rPr>
          <w:rFonts w:ascii="Cambria" w:eastAsiaTheme="minorEastAsia" w:hAnsi="Cambria"/>
          <w:kern w:val="2"/>
          <w:sz w:val="20"/>
          <w:szCs w:val="20"/>
          <w:lang w:eastAsia="ja-JP"/>
          <w14:ligatures w14:val="standardContextual"/>
        </w:rPr>
        <w:t>, la plataforma del puerto pesquero de El-</w:t>
      </w:r>
      <w:proofErr w:type="spellStart"/>
      <w:r w:rsidRPr="00F0379B">
        <w:rPr>
          <w:rFonts w:ascii="Cambria" w:eastAsiaTheme="minorEastAsia" w:hAnsi="Cambria"/>
          <w:kern w:val="2"/>
          <w:sz w:val="20"/>
          <w:szCs w:val="20"/>
          <w:lang w:eastAsia="ja-JP"/>
          <w14:ligatures w14:val="standardContextual"/>
        </w:rPr>
        <w:t>Meadia</w:t>
      </w:r>
      <w:proofErr w:type="spellEnd"/>
      <w:r w:rsidRPr="00F0379B">
        <w:rPr>
          <w:rFonts w:ascii="Cambria" w:eastAsiaTheme="minorEastAsia" w:hAnsi="Cambria"/>
          <w:kern w:val="2"/>
          <w:sz w:val="20"/>
          <w:szCs w:val="20"/>
          <w:lang w:eastAsia="ja-JP"/>
          <w14:ligatures w14:val="standardContextual"/>
        </w:rPr>
        <w:t xml:space="preserve"> y la plataforma </w:t>
      </w:r>
      <w:proofErr w:type="spellStart"/>
      <w:r w:rsidRPr="00F0379B">
        <w:rPr>
          <w:rFonts w:ascii="Cambria" w:eastAsiaTheme="minorEastAsia" w:hAnsi="Cambria"/>
          <w:kern w:val="2"/>
          <w:sz w:val="20"/>
          <w:szCs w:val="20"/>
          <w:lang w:eastAsia="ja-JP"/>
          <w14:ligatures w14:val="standardContextual"/>
        </w:rPr>
        <w:t>Elsharky</w:t>
      </w:r>
      <w:proofErr w:type="spellEnd"/>
      <w:r w:rsidRPr="00F0379B">
        <w:rPr>
          <w:rFonts w:ascii="Cambria" w:eastAsiaTheme="minorEastAsia" w:hAnsi="Cambria"/>
          <w:kern w:val="2"/>
          <w:sz w:val="20"/>
          <w:szCs w:val="20"/>
          <w:lang w:eastAsia="ja-JP"/>
          <w14:ligatures w14:val="standardContextual"/>
        </w:rPr>
        <w:t xml:space="preserve"> del puerto de Alejandría, como se muestra en la </w:t>
      </w:r>
      <w:r w:rsidRPr="00F0379B">
        <w:rPr>
          <w:rFonts w:ascii="Cambria" w:eastAsiaTheme="minorEastAsia" w:hAnsi="Cambria"/>
          <w:b/>
          <w:bCs/>
          <w:kern w:val="2"/>
          <w:sz w:val="20"/>
          <w:szCs w:val="20"/>
          <w:lang w:eastAsia="ja-JP"/>
          <w14:ligatures w14:val="standardContextual"/>
        </w:rPr>
        <w:t>Tabla 2</w:t>
      </w:r>
      <w:r w:rsidRPr="00F0379B">
        <w:rPr>
          <w:rFonts w:ascii="Cambria" w:eastAsiaTheme="minorEastAsia" w:hAnsi="Cambria"/>
          <w:kern w:val="2"/>
          <w:sz w:val="20"/>
          <w:szCs w:val="20"/>
          <w:lang w:eastAsia="ja-JP"/>
          <w14:ligatures w14:val="standardContextual"/>
        </w:rPr>
        <w:t>.</w:t>
      </w:r>
    </w:p>
    <w:p w14:paraId="3C4DF49F"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15AE54E7"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5BFBCCED" w14:textId="77777777" w:rsidR="009123AC" w:rsidRPr="00F0379B" w:rsidRDefault="009123AC" w:rsidP="00CE0EC8">
      <w:pPr>
        <w:widowControl w:val="0"/>
        <w:numPr>
          <w:ilvl w:val="0"/>
          <w:numId w:val="45"/>
        </w:numPr>
        <w:tabs>
          <w:tab w:val="left" w:pos="426"/>
        </w:tabs>
        <w:spacing w:after="0" w:line="240" w:lineRule="auto"/>
        <w:ind w:left="426" w:hanging="426"/>
        <w:contextualSpacing/>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Plan anual de ordenación de la capacidad pesquera (párrs. 14-21)</w:t>
      </w:r>
    </w:p>
    <w:p w14:paraId="65F183FA"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7D60EC87"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LFRPDA asignará a cada cerquero una cuota individual y se asegurará de que su capacidad pesquera se corresponde con su cuota asignada de acuerdo con las </w:t>
      </w:r>
      <w:proofErr w:type="spellStart"/>
      <w:r w:rsidRPr="00F0379B">
        <w:rPr>
          <w:rFonts w:ascii="Cambria" w:eastAsiaTheme="minorEastAsia" w:hAnsi="Cambria"/>
          <w:kern w:val="2"/>
          <w:sz w:val="20"/>
          <w:szCs w:val="20"/>
          <w:lang w:eastAsia="ja-JP"/>
          <w14:ligatures w14:val="standardContextual"/>
        </w:rPr>
        <w:t>Recs</w:t>
      </w:r>
      <w:proofErr w:type="spellEnd"/>
      <w:r w:rsidRPr="00F0379B">
        <w:rPr>
          <w:rFonts w:ascii="Cambria" w:eastAsiaTheme="minorEastAsia" w:hAnsi="Cambria"/>
          <w:kern w:val="2"/>
          <w:sz w:val="20"/>
          <w:szCs w:val="20"/>
          <w:lang w:eastAsia="ja-JP"/>
          <w14:ligatures w14:val="standardContextual"/>
        </w:rPr>
        <w:t>. 24-05/25-04.</w:t>
      </w:r>
    </w:p>
    <w:p w14:paraId="0A5EE7AA"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75EA1888" w14:textId="77777777" w:rsidR="009123AC" w:rsidRPr="00F0379B" w:rsidRDefault="009123AC" w:rsidP="009123AC">
      <w:pPr>
        <w:spacing w:after="0" w:line="240" w:lineRule="auto"/>
        <w:jc w:val="both"/>
        <w:rPr>
          <w:rFonts w:ascii="Cambria" w:eastAsiaTheme="minorEastAsia" w:hAnsi="Cambria"/>
          <w:b/>
          <w:b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buques pesqueros egipcios que capturan atún rojo en el mar Mediterráneo son el </w:t>
      </w:r>
      <w:proofErr w:type="spellStart"/>
      <w:r w:rsidRPr="00F0379B">
        <w:rPr>
          <w:rFonts w:ascii="Cambria" w:eastAsiaTheme="minorEastAsia" w:hAnsi="Cambria"/>
          <w:kern w:val="2"/>
          <w:sz w:val="20"/>
          <w:szCs w:val="20"/>
          <w:lang w:eastAsia="ja-JP"/>
          <w14:ligatures w14:val="standardContextual"/>
        </w:rPr>
        <w:t>Golovik</w:t>
      </w:r>
      <w:proofErr w:type="spellEnd"/>
      <w:r w:rsidRPr="00F0379B">
        <w:rPr>
          <w:rFonts w:ascii="Cambria" w:eastAsiaTheme="minorEastAsia" w:hAnsi="Cambria"/>
          <w:kern w:val="2"/>
          <w:sz w:val="20"/>
          <w:szCs w:val="20"/>
          <w:lang w:eastAsia="ja-JP"/>
          <w14:ligatures w14:val="standardContextual"/>
        </w:rPr>
        <w:t xml:space="preserve">, con número de registro ICCAT AT000EGY00020 y número de registro nacional 5365 en el puerto de Alejandría, y el </w:t>
      </w:r>
      <w:proofErr w:type="spellStart"/>
      <w:r w:rsidRPr="00F0379B">
        <w:rPr>
          <w:rFonts w:ascii="Cambria" w:eastAsiaTheme="minorEastAsia" w:hAnsi="Cambria"/>
          <w:kern w:val="2"/>
          <w:sz w:val="20"/>
          <w:szCs w:val="20"/>
          <w:lang w:eastAsia="ja-JP"/>
          <w14:ligatures w14:val="standardContextual"/>
        </w:rPr>
        <w:t>Safinat</w:t>
      </w:r>
      <w:proofErr w:type="spellEnd"/>
      <w:r w:rsidRPr="00F0379B">
        <w:rPr>
          <w:rFonts w:ascii="Cambria" w:eastAsiaTheme="minorEastAsia" w:hAnsi="Cambria"/>
          <w:kern w:val="2"/>
          <w:sz w:val="20"/>
          <w:szCs w:val="20"/>
          <w:lang w:eastAsia="ja-JP"/>
          <w14:ligatures w14:val="standardContextual"/>
        </w:rPr>
        <w:t xml:space="preserve"> Nooh, con número de registro ICCAT AT000EGY00010 y número de registro nacional 4274 en el puerto de Alejandría. Egipto especifica una cantidad de 271,755 t para el </w:t>
      </w:r>
      <w:proofErr w:type="spellStart"/>
      <w:r w:rsidRPr="00F0379B">
        <w:rPr>
          <w:rFonts w:ascii="Cambria" w:eastAsiaTheme="minorEastAsia" w:hAnsi="Cambria"/>
          <w:kern w:val="2"/>
          <w:sz w:val="20"/>
          <w:szCs w:val="20"/>
          <w:lang w:eastAsia="ja-JP"/>
          <w14:ligatures w14:val="standardContextual"/>
        </w:rPr>
        <w:t>Golovik</w:t>
      </w:r>
      <w:proofErr w:type="spellEnd"/>
      <w:r w:rsidRPr="00F0379B">
        <w:rPr>
          <w:rFonts w:ascii="Cambria" w:eastAsiaTheme="minorEastAsia" w:hAnsi="Cambria"/>
          <w:kern w:val="2"/>
          <w:sz w:val="20"/>
          <w:szCs w:val="20"/>
          <w:lang w:eastAsia="ja-JP"/>
          <w14:ligatures w14:val="standardContextual"/>
        </w:rPr>
        <w:t xml:space="preserve"> y de 271,755 t para el </w:t>
      </w:r>
      <w:proofErr w:type="spellStart"/>
      <w:r w:rsidRPr="00F0379B">
        <w:rPr>
          <w:rFonts w:ascii="Cambria" w:eastAsiaTheme="minorEastAsia" w:hAnsi="Cambria"/>
          <w:kern w:val="2"/>
          <w:sz w:val="20"/>
          <w:szCs w:val="20"/>
          <w:lang w:eastAsia="ja-JP"/>
          <w14:ligatures w14:val="standardContextual"/>
        </w:rPr>
        <w:t>Safinat</w:t>
      </w:r>
      <w:proofErr w:type="spellEnd"/>
      <w:r w:rsidRPr="00F0379B">
        <w:rPr>
          <w:rFonts w:ascii="Cambria" w:eastAsiaTheme="minorEastAsia" w:hAnsi="Cambria"/>
          <w:kern w:val="2"/>
          <w:sz w:val="20"/>
          <w:szCs w:val="20"/>
          <w:lang w:eastAsia="ja-JP"/>
          <w14:ligatures w14:val="standardContextual"/>
        </w:rPr>
        <w:t xml:space="preserve"> Nooh.</w:t>
      </w:r>
    </w:p>
    <w:p w14:paraId="30BC06F4"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386387B2" w14:textId="77777777" w:rsidR="009123AC" w:rsidRPr="00F0379B" w:rsidRDefault="009123AC" w:rsidP="00CE0EC8">
      <w:pPr>
        <w:widowControl w:val="0"/>
        <w:numPr>
          <w:ilvl w:val="0"/>
          <w:numId w:val="45"/>
        </w:numPr>
        <w:tabs>
          <w:tab w:val="left" w:pos="426"/>
        </w:tabs>
        <w:spacing w:after="0" w:line="240" w:lineRule="auto"/>
        <w:ind w:left="426" w:hanging="426"/>
        <w:contextualSpacing/>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Plan anual de ordenación de la cría (párrs. 22-23), si es aplicable</w:t>
      </w:r>
    </w:p>
    <w:p w14:paraId="5D599553"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50C26CF0"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En 2026 no tendrán lugar actividades de cría.</w:t>
      </w:r>
    </w:p>
    <w:p w14:paraId="78F255B8"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03CF5F12"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457EE651" w14:textId="77777777" w:rsidR="009123AC" w:rsidRPr="00F0379B" w:rsidRDefault="009123AC" w:rsidP="00CE0EC8">
      <w:pPr>
        <w:widowControl w:val="0"/>
        <w:numPr>
          <w:ilvl w:val="0"/>
          <w:numId w:val="45"/>
        </w:numPr>
        <w:tabs>
          <w:tab w:val="left" w:pos="426"/>
        </w:tabs>
        <w:spacing w:after="0" w:line="240" w:lineRule="auto"/>
        <w:ind w:left="426" w:hanging="426"/>
        <w:contextualSpacing/>
        <w:jc w:val="both"/>
        <w:rPr>
          <w:rFonts w:ascii="Cambria" w:eastAsiaTheme="minorEastAsia" w:hAnsi="Cambria"/>
          <w:b/>
          <w:bCs/>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 xml:space="preserve">Plan de </w:t>
      </w:r>
      <w:r w:rsidRPr="00F0379B">
        <w:rPr>
          <w:rFonts w:ascii="Cambria" w:eastAsiaTheme="minorEastAsia" w:hAnsi="Cambria"/>
          <w:b/>
          <w:kern w:val="2"/>
          <w:sz w:val="20"/>
          <w:szCs w:val="20"/>
          <w:lang w:eastAsia="ja-JP"/>
          <w14:ligatures w14:val="standardContextual"/>
        </w:rPr>
        <w:t>acuicultura</w:t>
      </w:r>
      <w:r w:rsidRPr="00F0379B">
        <w:rPr>
          <w:rFonts w:ascii="Cambria" w:eastAsiaTheme="minorEastAsia" w:hAnsi="Cambria"/>
          <w:b/>
          <w:bCs/>
          <w:kern w:val="2"/>
          <w:sz w:val="20"/>
          <w:szCs w:val="20"/>
          <w:lang w:eastAsia="ja-JP"/>
          <w14:ligatures w14:val="standardContextual"/>
        </w:rPr>
        <w:t xml:space="preserve"> anual (párr. 10 e de la </w:t>
      </w:r>
      <w:hyperlink r:id="rId103" w:history="1">
        <w:r w:rsidRPr="00F0379B">
          <w:rPr>
            <w:rFonts w:ascii="Cambria" w:eastAsiaTheme="minorEastAsia" w:hAnsi="Cambria"/>
            <w:b/>
            <w:bCs/>
            <w:color w:val="0563C1" w:themeColor="hyperlink"/>
            <w:kern w:val="2"/>
            <w:sz w:val="20"/>
            <w:szCs w:val="20"/>
            <w:lang w:eastAsia="ja-JP"/>
            <w14:ligatures w14:val="standardContextual"/>
          </w:rPr>
          <w:t>Rec. 25-04</w:t>
        </w:r>
      </w:hyperlink>
      <w:r w:rsidRPr="00F0379B">
        <w:rPr>
          <w:rFonts w:ascii="Cambria" w:eastAsiaTheme="minorEastAsia" w:hAnsi="Cambria"/>
          <w:kern w:val="2"/>
          <w:sz w:val="20"/>
          <w:szCs w:val="20"/>
          <w:lang w:eastAsia="ja-JP"/>
          <w14:ligatures w14:val="standardContextual"/>
        </w:rPr>
        <w:t xml:space="preserve"> </w:t>
      </w:r>
      <w:r w:rsidRPr="00F0379B">
        <w:rPr>
          <w:rFonts w:ascii="Cambria" w:eastAsiaTheme="minorEastAsia" w:hAnsi="Cambria"/>
          <w:b/>
          <w:bCs/>
          <w:kern w:val="2"/>
          <w:sz w:val="20"/>
          <w:szCs w:val="20"/>
          <w:lang w:eastAsia="ja-JP"/>
          <w14:ligatures w14:val="standardContextual"/>
        </w:rPr>
        <w:t xml:space="preserve">de conformidad con la </w:t>
      </w:r>
      <w:hyperlink r:id="rId104" w:history="1">
        <w:r w:rsidRPr="00F0379B">
          <w:rPr>
            <w:rFonts w:ascii="Cambria" w:eastAsiaTheme="minorEastAsia" w:hAnsi="Cambria"/>
            <w:b/>
            <w:bCs/>
            <w:color w:val="0563C1" w:themeColor="hyperlink"/>
            <w:kern w:val="2"/>
            <w:sz w:val="20"/>
            <w:szCs w:val="20"/>
            <w:lang w:eastAsia="ja-JP"/>
            <w14:ligatures w14:val="standardContextual"/>
          </w:rPr>
          <w:t>Rec. 24-07</w:t>
        </w:r>
      </w:hyperlink>
      <w:r w:rsidRPr="00F0379B">
        <w:rPr>
          <w:rFonts w:ascii="Cambria" w:eastAsiaTheme="minorEastAsia" w:hAnsi="Cambria"/>
          <w:b/>
          <w:bCs/>
          <w:kern w:val="2"/>
          <w:sz w:val="20"/>
          <w:szCs w:val="20"/>
          <w:lang w:eastAsia="ja-JP"/>
          <w14:ligatures w14:val="standardContextual"/>
        </w:rPr>
        <w:t>), si es aplicable</w:t>
      </w:r>
    </w:p>
    <w:p w14:paraId="305694C8" w14:textId="77777777" w:rsidR="009123AC" w:rsidRPr="00F0379B" w:rsidRDefault="009123AC" w:rsidP="009123AC">
      <w:pPr>
        <w:tabs>
          <w:tab w:val="left" w:pos="426"/>
        </w:tabs>
        <w:spacing w:after="0" w:line="240" w:lineRule="auto"/>
        <w:jc w:val="both"/>
        <w:rPr>
          <w:rFonts w:ascii="Cambria" w:eastAsiaTheme="minorEastAsia" w:hAnsi="Cambria"/>
          <w:b/>
          <w:bCs/>
          <w:kern w:val="2"/>
          <w:sz w:val="20"/>
          <w:szCs w:val="20"/>
          <w:lang w:eastAsia="ja-JP"/>
          <w14:ligatures w14:val="standardContextual"/>
        </w:rPr>
      </w:pPr>
    </w:p>
    <w:p w14:paraId="049690F4" w14:textId="77777777" w:rsidR="009123AC" w:rsidRPr="00F0379B" w:rsidRDefault="009123AC" w:rsidP="009123AC">
      <w:pPr>
        <w:tabs>
          <w:tab w:val="left" w:pos="426"/>
        </w:tabs>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Egipto cuenta con una granja de acuicultura de atún rojo perteneciente a la Empresa nacional de pesca y acuicultura. Todas las infraestructuras están terminadas. Se suponía que iba a inaugurarse el pasado mes de octubre de 2025, pero esto se retrasó debido a algunas razones en el país desde el que se debían importar los reproductores.</w:t>
      </w:r>
    </w:p>
    <w:p w14:paraId="1F43A162" w14:textId="77777777" w:rsidR="009123AC" w:rsidRPr="00F0379B" w:rsidRDefault="009123AC" w:rsidP="009123AC">
      <w:pPr>
        <w:tabs>
          <w:tab w:val="left" w:pos="426"/>
        </w:tabs>
        <w:spacing w:after="0" w:line="240" w:lineRule="auto"/>
        <w:jc w:val="both"/>
        <w:rPr>
          <w:rFonts w:ascii="Cambria" w:eastAsiaTheme="minorEastAsia" w:hAnsi="Cambria"/>
          <w:kern w:val="2"/>
          <w:sz w:val="20"/>
          <w:szCs w:val="20"/>
          <w:lang w:eastAsia="ja-JP"/>
          <w14:ligatures w14:val="standardContextual"/>
        </w:rPr>
      </w:pPr>
    </w:p>
    <w:p w14:paraId="0092DDAF"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reproductores con un número conocido de ejemplares se importarán en colaboración con una de las empresas alemanas líderes en tecnología de incubación artificial. Se han completado los componentes de la granja, incluidos los estanques en alta mar, las incubadoras y zonas de alevinaje. La primera producción tardará al menos 3-4 años en alcanzar el tamaño de mercado al que Egipto se dirigirá a nivel local e internacional. En caso de exportación, Egipto cumplirá los requisitos del eBCD tras las negociaciones de las próximas reuniones. Egipto prohibirá a los operadores de acuicultura de atún rojo vender u ofrecer a la venta pescado de acuicultura hasta que el sistema eBCD disponga de una funcionalidad para registrar el origen del pescado. De conformidad con la Rec. 24-07, se facilitarán más detalles sobre el origen del atún rojo, las instalaciones de acuicultura que se hayan establecido, las previsiones sobre las cantidades de atún rojo de acuicultura que se comercializarán, el número y volumen previstos de peces que se producirán, la talla prevista de los peces en el momento del sacrificio, la fecha de sacrificio prevista y las medidas adoptadas para evitar que los peces enjaulados se escapen.</w:t>
      </w:r>
    </w:p>
    <w:p w14:paraId="1D4F3514" w14:textId="77777777" w:rsidR="009123AC" w:rsidRPr="00F0379B" w:rsidRDefault="009123AC" w:rsidP="009123AC">
      <w:pPr>
        <w:tabs>
          <w:tab w:val="left" w:pos="426"/>
        </w:tabs>
        <w:spacing w:after="0" w:line="240" w:lineRule="auto"/>
        <w:jc w:val="both"/>
        <w:rPr>
          <w:rFonts w:ascii="Cambria" w:eastAsiaTheme="minorEastAsia" w:hAnsi="Cambria"/>
          <w:kern w:val="2"/>
          <w:sz w:val="20"/>
          <w:szCs w:val="20"/>
          <w:lang w:eastAsia="ja-JP"/>
          <w14:ligatures w14:val="standardContextual"/>
        </w:rPr>
      </w:pPr>
    </w:p>
    <w:p w14:paraId="02B40415" w14:textId="77777777" w:rsidR="009123AC" w:rsidRPr="00F0379B" w:rsidRDefault="009123AC" w:rsidP="009123AC">
      <w:pPr>
        <w:tabs>
          <w:tab w:val="left" w:pos="426"/>
        </w:tabs>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inspeccionarán periódicamente las medidas en la granja de acuicultura para garantizar que todas las actividades realizadas en la granja de acuicultura cumplen las disposiciones de la Rec. 24-07.</w:t>
      </w:r>
    </w:p>
    <w:p w14:paraId="4F0D4101"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4A839B5E"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35EC4FB3" w14:textId="77777777" w:rsidR="009123AC" w:rsidRPr="00F0379B" w:rsidRDefault="009123AC" w:rsidP="00CE0EC8">
      <w:pPr>
        <w:widowControl w:val="0"/>
        <w:numPr>
          <w:ilvl w:val="0"/>
          <w:numId w:val="45"/>
        </w:numPr>
        <w:spacing w:after="0" w:line="240" w:lineRule="auto"/>
        <w:ind w:left="426" w:hanging="426"/>
        <w:contextualSpacing/>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Plan de inspección, control y seguimiento</w:t>
      </w:r>
    </w:p>
    <w:p w14:paraId="45BA44BE" w14:textId="77777777" w:rsidR="009123AC" w:rsidRPr="00F0379B" w:rsidRDefault="009123AC" w:rsidP="009123AC">
      <w:pPr>
        <w:spacing w:after="0" w:line="240" w:lineRule="auto"/>
        <w:jc w:val="both"/>
        <w:rPr>
          <w:rFonts w:ascii="Cambria" w:eastAsiaTheme="minorEastAsia" w:hAnsi="Cambria"/>
          <w:b/>
          <w:i/>
          <w:kern w:val="2"/>
          <w:sz w:val="20"/>
          <w:szCs w:val="20"/>
          <w:lang w:eastAsia="ja-JP"/>
          <w14:ligatures w14:val="standardContextual"/>
        </w:rPr>
      </w:pPr>
    </w:p>
    <w:p w14:paraId="15EC0824" w14:textId="77777777" w:rsidR="009123AC" w:rsidRPr="00F0379B" w:rsidRDefault="009123AC" w:rsidP="009123AC">
      <w:pPr>
        <w:spacing w:after="0" w:line="240" w:lineRule="auto"/>
        <w:jc w:val="both"/>
        <w:rPr>
          <w:rFonts w:ascii="Cambria" w:eastAsiaTheme="minorEastAsia" w:hAnsi="Cambria"/>
          <w:b/>
          <w:i/>
          <w:kern w:val="2"/>
          <w:sz w:val="20"/>
          <w:szCs w:val="20"/>
          <w:lang w:eastAsia="ja-JP"/>
          <w14:ligatures w14:val="standardContextual"/>
        </w:rPr>
      </w:pPr>
      <w:r w:rsidRPr="00F0379B">
        <w:rPr>
          <w:rFonts w:ascii="Cambria" w:eastAsiaTheme="minorEastAsia" w:hAnsi="Cambria"/>
          <w:b/>
          <w:i/>
          <w:kern w:val="2"/>
          <w:sz w:val="20"/>
          <w:szCs w:val="20"/>
          <w:lang w:eastAsia="ja-JP"/>
          <w14:ligatures w14:val="standardContextual"/>
        </w:rPr>
        <w:t>a) Inspección, control y seguimiento de la CPC (párr. 10 c)</w:t>
      </w:r>
    </w:p>
    <w:p w14:paraId="1B00FBC3"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p>
    <w:p w14:paraId="0FC7218A"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FRPDA es la autoridad de ordenación competente que garantiza que el plan de seguimiento, control e inspección cumple las disposiciones de las </w:t>
      </w:r>
      <w:proofErr w:type="spellStart"/>
      <w:r w:rsidRPr="00F0379B">
        <w:rPr>
          <w:rFonts w:ascii="Cambria" w:eastAsiaTheme="minorEastAsia" w:hAnsi="Cambria"/>
          <w:kern w:val="2"/>
          <w:sz w:val="20"/>
          <w:szCs w:val="20"/>
          <w:lang w:eastAsia="ja-JP"/>
          <w14:ligatures w14:val="standardContextual"/>
        </w:rPr>
        <w:t>Recs</w:t>
      </w:r>
      <w:proofErr w:type="spellEnd"/>
      <w:r w:rsidRPr="00F0379B">
        <w:rPr>
          <w:rFonts w:ascii="Cambria" w:eastAsiaTheme="minorEastAsia" w:hAnsi="Cambria"/>
          <w:kern w:val="2"/>
          <w:sz w:val="20"/>
          <w:szCs w:val="20"/>
          <w:lang w:eastAsia="ja-JP"/>
          <w14:ligatures w14:val="standardContextual"/>
        </w:rPr>
        <w:t>. 24-05/25-04</w:t>
      </w:r>
    </w:p>
    <w:p w14:paraId="655E595D"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6F972165" w14:textId="77777777" w:rsidR="009123AC" w:rsidRPr="00F0379B" w:rsidRDefault="009123AC" w:rsidP="009123AC">
      <w:pPr>
        <w:spacing w:after="0" w:line="240" w:lineRule="auto"/>
        <w:contextualSpacing/>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puntos de contacto designados por la LFRPDA como responsables de la implementación de este plan de seguimiento, control e inspección son la Dra. Doaa Hammam (Administración de Cooperación Internacional, </w:t>
      </w:r>
      <w:hyperlink r:id="rId105" w:history="1">
        <w:r w:rsidRPr="00F0379B">
          <w:rPr>
            <w:rFonts w:ascii="Cambria" w:eastAsiaTheme="minorEastAsia" w:hAnsi="Cambria"/>
            <w:color w:val="0563C1" w:themeColor="hyperlink"/>
            <w:kern w:val="2"/>
            <w:sz w:val="20"/>
            <w:szCs w:val="20"/>
            <w:lang w:eastAsia="ja-JP"/>
            <w14:ligatures w14:val="standardContextual"/>
          </w:rPr>
          <w:t>gafrd_eg@hotmail.com</w:t>
        </w:r>
      </w:hyperlink>
      <w:r w:rsidRPr="00F0379B">
        <w:rPr>
          <w:rFonts w:ascii="Cambria" w:eastAsiaTheme="minorEastAsia" w:hAnsi="Cambria"/>
          <w:color w:val="000000" w:themeColor="text1"/>
          <w:kern w:val="2"/>
          <w:sz w:val="20"/>
          <w:szCs w:val="20"/>
          <w:lang w:eastAsia="ja-JP"/>
          <w14:ligatures w14:val="standardContextual"/>
        </w:rPr>
        <w:t>/</w:t>
      </w:r>
      <w:hyperlink r:id="rId106" w:history="1">
        <w:r w:rsidRPr="00F0379B">
          <w:rPr>
            <w:rFonts w:ascii="Cambria" w:eastAsiaTheme="minorEastAsia" w:hAnsi="Cambria"/>
            <w:color w:val="0563C1" w:themeColor="hyperlink"/>
            <w:kern w:val="2"/>
            <w:sz w:val="20"/>
            <w:szCs w:val="20"/>
            <w:lang w:eastAsia="ja-JP"/>
            <w14:ligatures w14:val="standardContextual"/>
          </w:rPr>
          <w:t>doaahammam01@gmail.com</w:t>
        </w:r>
      </w:hyperlink>
      <w:r w:rsidRPr="00F0379B">
        <w:rPr>
          <w:rFonts w:ascii="Cambria" w:eastAsiaTheme="minorEastAsia" w:hAnsi="Cambria"/>
          <w:color w:val="000000" w:themeColor="text1"/>
          <w:kern w:val="2"/>
          <w:sz w:val="20"/>
          <w:szCs w:val="20"/>
          <w:lang w:eastAsia="ja-JP"/>
          <w14:ligatures w14:val="standardContextual"/>
        </w:rPr>
        <w:t>)</w:t>
      </w:r>
      <w:r w:rsidRPr="00F0379B">
        <w:rPr>
          <w:rFonts w:ascii="Cambria" w:eastAsiaTheme="minorEastAsia" w:hAnsi="Cambria"/>
          <w:kern w:val="2"/>
          <w:sz w:val="20"/>
          <w:szCs w:val="20"/>
          <w:lang w:eastAsia="ja-JP"/>
          <w14:ligatures w14:val="standardContextual"/>
        </w:rPr>
        <w:t xml:space="preserve"> y el Ing. Abdelrazek Mohamed (Administración de Pesca, </w:t>
      </w:r>
      <w:hyperlink r:id="rId107" w:history="1">
        <w:r w:rsidRPr="00F0379B">
          <w:rPr>
            <w:rFonts w:ascii="Cambria" w:eastAsiaTheme="minorEastAsia" w:hAnsi="Cambria"/>
            <w:color w:val="0563C1" w:themeColor="hyperlink"/>
            <w:kern w:val="2"/>
            <w:sz w:val="20"/>
            <w:szCs w:val="20"/>
            <w:lang w:eastAsia="ja-JP"/>
            <w14:ligatures w14:val="standardContextual"/>
          </w:rPr>
          <w:t>abdelrazek.mohamed004@gmail.com</w:t>
        </w:r>
      </w:hyperlink>
      <w:r w:rsidRPr="00F0379B">
        <w:rPr>
          <w:rFonts w:ascii="Cambria" w:eastAsiaTheme="minorEastAsia" w:hAnsi="Cambria"/>
          <w:kern w:val="2"/>
          <w:sz w:val="20"/>
          <w:szCs w:val="20"/>
          <w:lang w:eastAsia="ja-JP"/>
          <w14:ligatures w14:val="standardContextual"/>
        </w:rPr>
        <w:t>).</w:t>
      </w:r>
    </w:p>
    <w:p w14:paraId="13E90D04"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6EA50687"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Para los buques nacionales y durante la temporada de pesca de atún rojo de 2026, se garantizará una cobertura total de inspección por parte de inspectores de la GAFRD. La inspección incluirá todas las actividades que se lleven a cabo durante la temporada de pesca, es decir, pesca, transferencia, introducción en jaulas y desembarque, si se produce. El observador nacional cubre todas las actividades pesqueras durante el periodo de pesca completo.</w:t>
      </w:r>
    </w:p>
    <w:p w14:paraId="4BF84C19"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0F8C3A0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buques de captura son objeto de controles cruzados, ya que actualizan y presentan la información diaria de los cuadernos de pesca encuadernados por medios electrónicos o cualquier otro medio eficaz al LFRPDA. En caso de desembarque, todas las capturas desembarcadas se pesan y se inspeccionan en base a un sistema de evaluación de riesgos por parte de los inspectores nacionales que tiene en cuenta la cuota, el tamaño de la flota y el esfuerzo pesquero.</w:t>
      </w:r>
    </w:p>
    <w:p w14:paraId="119A8A9D"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70C476BC"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Todos los buques deberán estar equipados y serán objeto de seguimiento a través de un sistema de seguimiento de buques (VMS) operativo que debe transmitir cada hora como mínimo. La LFRPDA envía informes semanales incluyendo información como la fecha, hora, ubicación (latitud y longitud), peso y número de atunes rojos capturados en la zona cubierta por el plan, incluidas liberaciones y descartes de peces muertos. </w:t>
      </w:r>
    </w:p>
    <w:p w14:paraId="3C0BF200"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314FAC76" w14:textId="77777777" w:rsidR="009123AC" w:rsidRPr="00F0379B" w:rsidRDefault="009123AC" w:rsidP="009123AC">
      <w:pPr>
        <w:tabs>
          <w:tab w:val="left" w:pos="426"/>
        </w:tabs>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5 b)</w:t>
      </w:r>
      <w:r w:rsidRPr="00F0379B">
        <w:rPr>
          <w:rFonts w:ascii="Cambria" w:eastAsiaTheme="minorEastAsia" w:hAnsi="Cambria"/>
          <w:b/>
          <w:i/>
          <w:iCs/>
          <w:kern w:val="2"/>
          <w:sz w:val="20"/>
          <w:szCs w:val="20"/>
          <w:lang w:eastAsia="ja-JP"/>
          <w14:ligatures w14:val="standardContextual"/>
        </w:rPr>
        <w:tab/>
        <w:t>Programa conjunto de Inspección internacional (párrs. 232-235)</w:t>
      </w:r>
    </w:p>
    <w:p w14:paraId="58980920"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5BA2FDCB"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Egipto no ha participado en un programa de inspección internacional hasta ahora.</w:t>
      </w:r>
    </w:p>
    <w:p w14:paraId="16EF478A"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74983718"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08244391" w14:textId="77777777" w:rsidR="00032CBC" w:rsidRPr="00F0379B" w:rsidRDefault="00032CBC">
      <w:pPr>
        <w:spacing w:line="259"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br w:type="page"/>
      </w:r>
    </w:p>
    <w:p w14:paraId="0E869C3E" w14:textId="0E37A792" w:rsidR="009123AC" w:rsidRPr="00F0379B" w:rsidRDefault="009123AC" w:rsidP="009123AC">
      <w:pPr>
        <w:spacing w:after="0" w:line="240" w:lineRule="auto"/>
        <w:contextualSpacing/>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6. Otros</w:t>
      </w:r>
    </w:p>
    <w:p w14:paraId="5D24A833" w14:textId="77777777" w:rsidR="009123AC" w:rsidRPr="00F0379B" w:rsidRDefault="009123AC" w:rsidP="009123AC">
      <w:pPr>
        <w:spacing w:after="0" w:line="240" w:lineRule="auto"/>
        <w:contextualSpacing/>
        <w:jc w:val="both"/>
        <w:rPr>
          <w:rFonts w:ascii="Cambria" w:eastAsiaTheme="minorEastAsia" w:hAnsi="Cambria"/>
          <w:b/>
          <w:kern w:val="2"/>
          <w:sz w:val="20"/>
          <w:szCs w:val="20"/>
          <w:lang w:eastAsia="ja-JP"/>
          <w14:ligatures w14:val="standardContextual"/>
        </w:rPr>
      </w:pPr>
    </w:p>
    <w:p w14:paraId="625596C6"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Tras la finalización con éxito del Programa de formación en recopilación y comunicación de datos de ICCAT, y basándose en la capacidad desarrollada en el marco del Proyecto ICCAT/Japón de asistencia a la creación (fase 3), la LFRPDA, en colaboración con el NIOF y la AASTMT, comenzará el muestreo científico de la pesquería de atún rojo durante la temporada de pesca de 2026. Esta tarea fundamental será llevada a cabo por los observadores formados localmente que participaron en el programa, aplicando los conocimientos prácticos y las metodologías estandarizadas que adquirieron. Se espera que esta medida mejore la calidad y la fiabilidad de los datos científicos de Egipto y respalde su contribución a largo plazo a la ordenación pesquera regional y a los esfuerzos de conservación.</w:t>
      </w:r>
    </w:p>
    <w:p w14:paraId="08861980"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p>
    <w:p w14:paraId="1B8D08BC" w14:textId="77777777" w:rsidR="009123AC" w:rsidRPr="00F0379B" w:rsidRDefault="009123AC" w:rsidP="009123AC">
      <w:pPr>
        <w:spacing w:after="0" w:line="240" w:lineRule="auto"/>
        <w:contextualSpacing/>
        <w:jc w:val="both"/>
        <w:rPr>
          <w:rFonts w:ascii="Cambria" w:eastAsiaTheme="minorEastAsia" w:hAnsi="Cambria"/>
          <w:kern w:val="2"/>
          <w:sz w:val="20"/>
          <w:szCs w:val="20"/>
          <w:lang w:eastAsia="ja-JP"/>
          <w14:ligatures w14:val="standardContextual"/>
        </w:rPr>
      </w:pPr>
    </w:p>
    <w:p w14:paraId="0C94E7D8" w14:textId="77777777" w:rsidR="009123AC" w:rsidRPr="00F0379B" w:rsidRDefault="009123AC" w:rsidP="009123AC">
      <w:pPr>
        <w:spacing w:after="0" w:line="240" w:lineRule="auto"/>
        <w:contextualSpacing/>
        <w:rPr>
          <w:rFonts w:ascii="Cambria" w:eastAsiaTheme="minorEastAsia" w:hAnsi="Cambria"/>
          <w:kern w:val="2"/>
          <w:sz w:val="20"/>
          <w:szCs w:val="20"/>
          <w:lang w:eastAsia="ja-JP"/>
          <w14:ligatures w14:val="standardContextual"/>
        </w:rPr>
      </w:pPr>
    </w:p>
    <w:p w14:paraId="478F1140" w14:textId="77777777" w:rsidR="009123AC" w:rsidRPr="00F0379B" w:rsidRDefault="009123AC" w:rsidP="009123AC">
      <w:pPr>
        <w:spacing w:after="0" w:line="240" w:lineRule="auto"/>
        <w:contextualSpacing/>
        <w:rPr>
          <w:rFonts w:ascii="Cambria" w:eastAsiaTheme="minorEastAsia" w:hAnsi="Cambria"/>
          <w:kern w:val="2"/>
          <w:sz w:val="20"/>
          <w:szCs w:val="20"/>
          <w:lang w:eastAsia="ja-JP"/>
          <w14:ligatures w14:val="standardContextual"/>
        </w:rPr>
      </w:pPr>
    </w:p>
    <w:p w14:paraId="56959E8A" w14:textId="77777777" w:rsidR="009123AC" w:rsidRPr="00F0379B" w:rsidRDefault="009123AC" w:rsidP="009123AC">
      <w:pPr>
        <w:spacing w:after="0" w:line="240" w:lineRule="auto"/>
        <w:rPr>
          <w:rFonts w:ascii="Cambria" w:eastAsiaTheme="minorEastAsia" w:hAnsi="Cambria"/>
          <w:b/>
          <w:kern w:val="2"/>
          <w:sz w:val="20"/>
          <w:szCs w:val="20"/>
          <w:lang w:val="en-US" w:eastAsia="ja-JP" w:bidi="ar-EG"/>
          <w14:ligatures w14:val="standardContextual"/>
        </w:rPr>
      </w:pPr>
      <w:r w:rsidRPr="00F0379B">
        <w:rPr>
          <w:rFonts w:ascii="Cambria" w:eastAsiaTheme="minorEastAsia" w:hAnsi="Cambria"/>
          <w:b/>
          <w:kern w:val="2"/>
          <w:sz w:val="20"/>
          <w:szCs w:val="20"/>
          <w:lang w:val="en-US" w:eastAsia="ja-JP" w:bidi="ar-EG"/>
          <w14:ligatures w14:val="standardContextual"/>
        </w:rPr>
        <w:t>Table 1</w:t>
      </w:r>
    </w:p>
    <w:p w14:paraId="44EFE940" w14:textId="77777777" w:rsidR="009123AC" w:rsidRPr="00F0379B" w:rsidRDefault="009123AC" w:rsidP="009123AC">
      <w:pPr>
        <w:spacing w:after="0" w:line="240" w:lineRule="auto"/>
        <w:rPr>
          <w:rFonts w:ascii="Cambria" w:eastAsiaTheme="minorEastAsia" w:hAnsi="Cambria"/>
          <w:i/>
          <w:kern w:val="2"/>
          <w:sz w:val="20"/>
          <w:szCs w:val="20"/>
          <w:lang w:eastAsia="ja-JP"/>
          <w14:ligatures w14:val="standardContextual"/>
        </w:rPr>
      </w:pPr>
    </w:p>
    <w:tbl>
      <w:tblPr>
        <w:tblStyle w:val="TableGrid"/>
        <w:tblW w:w="0" w:type="auto"/>
        <w:tblLook w:val="04A0" w:firstRow="1" w:lastRow="0" w:firstColumn="1" w:lastColumn="0" w:noHBand="0" w:noVBand="1"/>
      </w:tblPr>
      <w:tblGrid>
        <w:gridCol w:w="3009"/>
        <w:gridCol w:w="3040"/>
        <w:gridCol w:w="3011"/>
      </w:tblGrid>
      <w:tr w:rsidR="009123AC" w:rsidRPr="00F0379B" w14:paraId="62FFC5BC" w14:textId="77777777" w:rsidTr="00CA749B">
        <w:tc>
          <w:tcPr>
            <w:tcW w:w="3095" w:type="dxa"/>
          </w:tcPr>
          <w:p w14:paraId="42D42347" w14:textId="77777777" w:rsidR="009123AC" w:rsidRPr="00F0379B" w:rsidRDefault="009123AC" w:rsidP="009123AC">
            <w:pPr>
              <w:spacing w:line="240" w:lineRule="auto"/>
              <w:rPr>
                <w:rFonts w:ascii="Cambria" w:eastAsiaTheme="minorEastAsia" w:hAnsi="Cambria"/>
                <w:i/>
                <w:iCs/>
                <w:kern w:val="2"/>
                <w:sz w:val="20"/>
                <w:szCs w:val="20"/>
                <w:lang w:eastAsia="ja-JP"/>
                <w14:ligatures w14:val="standardContextual"/>
              </w:rPr>
            </w:pPr>
            <w:r w:rsidRPr="00F0379B">
              <w:rPr>
                <w:rFonts w:ascii="Cambria" w:eastAsiaTheme="minorEastAsia" w:hAnsi="Cambria"/>
                <w:i/>
                <w:iCs/>
                <w:kern w:val="2"/>
                <w:sz w:val="20"/>
                <w:szCs w:val="20"/>
                <w:lang w:eastAsia="ja-JP"/>
                <w14:ligatures w14:val="standardContextual"/>
              </w:rPr>
              <w:t>Nombre del buque</w:t>
            </w:r>
          </w:p>
        </w:tc>
        <w:tc>
          <w:tcPr>
            <w:tcW w:w="3095" w:type="dxa"/>
          </w:tcPr>
          <w:p w14:paraId="5F5A2B44" w14:textId="77777777" w:rsidR="009123AC" w:rsidRPr="00F0379B" w:rsidRDefault="009123AC" w:rsidP="009123AC">
            <w:pPr>
              <w:spacing w:line="240" w:lineRule="auto"/>
              <w:jc w:val="center"/>
              <w:rPr>
                <w:rFonts w:ascii="Cambria" w:eastAsiaTheme="minorEastAsia" w:hAnsi="Cambria"/>
                <w:i/>
                <w:iCs/>
                <w:kern w:val="2"/>
                <w:sz w:val="20"/>
                <w:szCs w:val="20"/>
                <w:lang w:eastAsia="ja-JP"/>
                <w14:ligatures w14:val="standardContextual"/>
              </w:rPr>
            </w:pPr>
            <w:proofErr w:type="spellStart"/>
            <w:r w:rsidRPr="00F0379B">
              <w:rPr>
                <w:rFonts w:ascii="Cambria" w:eastAsiaTheme="minorEastAsia" w:hAnsi="Cambria"/>
                <w:i/>
                <w:iCs/>
                <w:kern w:val="2"/>
                <w:sz w:val="20"/>
                <w:szCs w:val="20"/>
                <w:lang w:eastAsia="ja-JP"/>
                <w14:ligatures w14:val="standardContextual"/>
              </w:rPr>
              <w:t>Nº</w:t>
            </w:r>
            <w:proofErr w:type="spellEnd"/>
            <w:r w:rsidRPr="00F0379B">
              <w:rPr>
                <w:rFonts w:ascii="Cambria" w:eastAsiaTheme="minorEastAsia" w:hAnsi="Cambria"/>
                <w:i/>
                <w:iCs/>
                <w:kern w:val="2"/>
                <w:sz w:val="20"/>
                <w:szCs w:val="20"/>
                <w:lang w:eastAsia="ja-JP"/>
                <w14:ligatures w14:val="standardContextual"/>
              </w:rPr>
              <w:t xml:space="preserve"> ICCAT</w:t>
            </w:r>
          </w:p>
        </w:tc>
        <w:tc>
          <w:tcPr>
            <w:tcW w:w="3096" w:type="dxa"/>
          </w:tcPr>
          <w:p w14:paraId="213AACB1" w14:textId="77777777" w:rsidR="009123AC" w:rsidRPr="00F0379B" w:rsidRDefault="009123AC" w:rsidP="009123AC">
            <w:pPr>
              <w:spacing w:line="240" w:lineRule="auto"/>
              <w:jc w:val="center"/>
              <w:rPr>
                <w:rFonts w:ascii="Cambria" w:eastAsiaTheme="minorEastAsia" w:hAnsi="Cambria"/>
                <w:i/>
                <w:iCs/>
                <w:kern w:val="2"/>
                <w:sz w:val="20"/>
                <w:szCs w:val="20"/>
                <w:lang w:eastAsia="ja-JP"/>
                <w14:ligatures w14:val="standardContextual"/>
              </w:rPr>
            </w:pPr>
            <w:r w:rsidRPr="00F0379B">
              <w:rPr>
                <w:rFonts w:ascii="Cambria" w:eastAsiaTheme="minorEastAsia" w:hAnsi="Cambria"/>
                <w:i/>
                <w:iCs/>
                <w:kern w:val="2"/>
                <w:sz w:val="20"/>
                <w:szCs w:val="20"/>
                <w:lang w:eastAsia="ja-JP"/>
                <w14:ligatures w14:val="standardContextual"/>
              </w:rPr>
              <w:t>Cuota (t)</w:t>
            </w:r>
          </w:p>
        </w:tc>
      </w:tr>
      <w:tr w:rsidR="009123AC" w:rsidRPr="00F0379B" w14:paraId="1D6DF8C3" w14:textId="77777777" w:rsidTr="00CA749B">
        <w:tc>
          <w:tcPr>
            <w:tcW w:w="3095" w:type="dxa"/>
          </w:tcPr>
          <w:p w14:paraId="0951A96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Golovik</w:t>
            </w:r>
            <w:proofErr w:type="spellEnd"/>
          </w:p>
        </w:tc>
        <w:tc>
          <w:tcPr>
            <w:tcW w:w="3095" w:type="dxa"/>
          </w:tcPr>
          <w:p w14:paraId="1CDD4BD5" w14:textId="77777777" w:rsidR="009123AC" w:rsidRPr="00F0379B" w:rsidRDefault="009123AC" w:rsidP="009123AC">
            <w:pPr>
              <w:spacing w:line="240" w:lineRule="auto"/>
              <w:jc w:val="center"/>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AT000EGY00020</w:t>
            </w:r>
          </w:p>
        </w:tc>
        <w:tc>
          <w:tcPr>
            <w:tcW w:w="3096" w:type="dxa"/>
          </w:tcPr>
          <w:p w14:paraId="70B2FBAC" w14:textId="77777777" w:rsidR="009123AC" w:rsidRPr="00F0379B" w:rsidRDefault="009123AC" w:rsidP="009123AC">
            <w:pPr>
              <w:spacing w:line="240" w:lineRule="auto"/>
              <w:jc w:val="center"/>
              <w:rPr>
                <w:rFonts w:ascii="Cambria" w:eastAsiaTheme="minorEastAsia" w:hAnsi="Cambria"/>
                <w:kern w:val="2"/>
                <w:sz w:val="20"/>
                <w:szCs w:val="20"/>
                <w:lang w:eastAsia="ja-JP"/>
                <w14:ligatures w14:val="standardContextual"/>
              </w:rPr>
            </w:pPr>
            <w:r w:rsidRPr="00F0379B">
              <w:rPr>
                <w:rFonts w:ascii="Cambria" w:eastAsiaTheme="minorEastAsia" w:hAnsi="Cambria"/>
                <w:bCs/>
                <w:kern w:val="2"/>
                <w:sz w:val="20"/>
                <w:szCs w:val="20"/>
                <w:lang w:val="en-US" w:eastAsia="ja-JP" w:bidi="ar-EG"/>
                <w14:ligatures w14:val="standardContextual"/>
              </w:rPr>
              <w:t>271.755</w:t>
            </w:r>
          </w:p>
        </w:tc>
      </w:tr>
      <w:tr w:rsidR="009123AC" w:rsidRPr="00F0379B" w14:paraId="02B63185" w14:textId="77777777" w:rsidTr="00CA749B">
        <w:tc>
          <w:tcPr>
            <w:tcW w:w="3095" w:type="dxa"/>
          </w:tcPr>
          <w:p w14:paraId="1EED0D4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Safinat</w:t>
            </w:r>
            <w:proofErr w:type="spellEnd"/>
            <w:r w:rsidRPr="00F0379B">
              <w:rPr>
                <w:rFonts w:ascii="Cambria" w:eastAsiaTheme="minorEastAsia" w:hAnsi="Cambria"/>
                <w:kern w:val="2"/>
                <w:sz w:val="20"/>
                <w:szCs w:val="20"/>
                <w:lang w:eastAsia="ja-JP"/>
                <w14:ligatures w14:val="standardContextual"/>
              </w:rPr>
              <w:t xml:space="preserve"> Nooh</w:t>
            </w:r>
          </w:p>
        </w:tc>
        <w:tc>
          <w:tcPr>
            <w:tcW w:w="3095" w:type="dxa"/>
          </w:tcPr>
          <w:p w14:paraId="07245995" w14:textId="77777777" w:rsidR="009123AC" w:rsidRPr="00F0379B" w:rsidRDefault="009123AC" w:rsidP="009123AC">
            <w:pPr>
              <w:spacing w:line="240" w:lineRule="auto"/>
              <w:jc w:val="center"/>
              <w:rPr>
                <w:rFonts w:ascii="Cambria" w:eastAsiaTheme="minorEastAsia" w:hAnsi="Cambria"/>
                <w:kern w:val="2"/>
                <w:sz w:val="20"/>
                <w:szCs w:val="20"/>
                <w:lang w:eastAsia="ja-JP"/>
                <w14:ligatures w14:val="standardContextual"/>
              </w:rPr>
            </w:pPr>
            <w:r w:rsidRPr="00F0379B">
              <w:rPr>
                <w:rFonts w:ascii="Cambria" w:eastAsiaTheme="minorEastAsia" w:hAnsi="Cambria"/>
                <w:bCs/>
                <w:kern w:val="2"/>
                <w:sz w:val="20"/>
                <w:szCs w:val="20"/>
                <w:lang w:val="en-US" w:eastAsia="ja-JP" w:bidi="ar-EG"/>
                <w14:ligatures w14:val="standardContextual"/>
              </w:rPr>
              <w:t>AT000EGY00010</w:t>
            </w:r>
          </w:p>
        </w:tc>
        <w:tc>
          <w:tcPr>
            <w:tcW w:w="3096" w:type="dxa"/>
          </w:tcPr>
          <w:p w14:paraId="188D605B" w14:textId="77777777" w:rsidR="009123AC" w:rsidRPr="00F0379B" w:rsidRDefault="009123AC" w:rsidP="009123AC">
            <w:pPr>
              <w:spacing w:line="240" w:lineRule="auto"/>
              <w:jc w:val="center"/>
              <w:rPr>
                <w:rFonts w:ascii="Cambria" w:eastAsiaTheme="minorEastAsia" w:hAnsi="Cambria"/>
                <w:bCs/>
                <w:kern w:val="2"/>
                <w:sz w:val="20"/>
                <w:szCs w:val="20"/>
                <w:lang w:val="en-US" w:eastAsia="ja-JP" w:bidi="ar-EG"/>
                <w14:ligatures w14:val="standardContextual"/>
              </w:rPr>
            </w:pPr>
            <w:r w:rsidRPr="00F0379B">
              <w:rPr>
                <w:rFonts w:ascii="Cambria" w:eastAsiaTheme="minorEastAsia" w:hAnsi="Cambria"/>
                <w:bCs/>
                <w:kern w:val="2"/>
                <w:sz w:val="20"/>
                <w:szCs w:val="20"/>
                <w:lang w:val="en-US" w:eastAsia="ja-JP" w:bidi="ar-EG"/>
                <w14:ligatures w14:val="standardContextual"/>
              </w:rPr>
              <w:t>271.755</w:t>
            </w:r>
          </w:p>
        </w:tc>
      </w:tr>
    </w:tbl>
    <w:p w14:paraId="2296601C" w14:textId="77777777" w:rsidR="009123AC" w:rsidRPr="00F0379B" w:rsidRDefault="009123AC" w:rsidP="009123AC">
      <w:pPr>
        <w:spacing w:after="0" w:line="240" w:lineRule="auto"/>
        <w:rPr>
          <w:rFonts w:ascii="Cambria" w:eastAsiaTheme="minorEastAsia" w:hAnsi="Cambria"/>
          <w:b/>
          <w:bCs/>
          <w:i/>
          <w:kern w:val="2"/>
          <w:sz w:val="20"/>
          <w:szCs w:val="20"/>
          <w:lang w:val="en-US" w:eastAsia="ja-JP" w:bidi="ar-EG"/>
          <w14:ligatures w14:val="standardContextual"/>
        </w:rPr>
      </w:pPr>
    </w:p>
    <w:p w14:paraId="7DF1CCC4" w14:textId="77777777" w:rsidR="009123AC" w:rsidRPr="00F0379B" w:rsidRDefault="009123AC" w:rsidP="009123AC">
      <w:pPr>
        <w:spacing w:after="0" w:line="240" w:lineRule="auto"/>
        <w:rPr>
          <w:rFonts w:ascii="Cambria" w:eastAsiaTheme="minorEastAsia" w:hAnsi="Cambria"/>
          <w:b/>
          <w:bCs/>
          <w:i/>
          <w:kern w:val="2"/>
          <w:sz w:val="20"/>
          <w:szCs w:val="20"/>
          <w:lang w:val="en-US" w:eastAsia="ja-JP" w:bidi="ar-EG"/>
          <w14:ligatures w14:val="standardContextual"/>
        </w:rPr>
      </w:pPr>
    </w:p>
    <w:p w14:paraId="40496DB2" w14:textId="77777777" w:rsidR="009123AC" w:rsidRPr="00F0379B" w:rsidRDefault="009123AC" w:rsidP="009123AC">
      <w:pPr>
        <w:spacing w:after="0" w:line="240" w:lineRule="auto"/>
        <w:contextualSpacing/>
        <w:rPr>
          <w:rFonts w:ascii="Cambria" w:eastAsiaTheme="minorEastAsia" w:hAnsi="Cambria"/>
          <w:kern w:val="2"/>
          <w:sz w:val="20"/>
          <w:szCs w:val="20"/>
          <w:lang w:eastAsia="ja-JP"/>
          <w14:ligatures w14:val="standardContextual"/>
        </w:rPr>
      </w:pPr>
    </w:p>
    <w:p w14:paraId="5C020E1E" w14:textId="77777777" w:rsidR="009123AC" w:rsidRPr="00F0379B" w:rsidRDefault="009123AC" w:rsidP="009123AC">
      <w:pPr>
        <w:spacing w:after="0" w:line="240" w:lineRule="auto"/>
        <w:rPr>
          <w:rFonts w:ascii="Cambria" w:eastAsiaTheme="minorEastAsia" w:hAnsi="Cambria"/>
          <w:i/>
          <w:kern w:val="2"/>
          <w:sz w:val="20"/>
          <w:szCs w:val="20"/>
          <w:lang w:eastAsia="ja-JP"/>
          <w14:ligatures w14:val="standardContextual"/>
        </w:rPr>
      </w:pPr>
    </w:p>
    <w:p w14:paraId="55E4878A" w14:textId="77777777" w:rsidR="009123AC" w:rsidRPr="00F0379B" w:rsidRDefault="009123AC" w:rsidP="009123AC">
      <w:pPr>
        <w:spacing w:after="0" w:line="240" w:lineRule="auto"/>
        <w:rPr>
          <w:rFonts w:ascii="Cambria" w:eastAsiaTheme="minorEastAsia" w:hAnsi="Cambria"/>
          <w:b/>
          <w:kern w:val="2"/>
          <w:sz w:val="20"/>
          <w:szCs w:val="20"/>
          <w:lang w:val="en-US" w:eastAsia="ja-JP" w:bidi="ar-EG"/>
          <w14:ligatures w14:val="standardContextual"/>
        </w:rPr>
      </w:pPr>
      <w:proofErr w:type="spellStart"/>
      <w:r w:rsidRPr="00F0379B">
        <w:rPr>
          <w:rFonts w:ascii="Cambria" w:eastAsiaTheme="minorEastAsia" w:hAnsi="Cambria"/>
          <w:b/>
          <w:kern w:val="2"/>
          <w:sz w:val="20"/>
          <w:szCs w:val="20"/>
          <w:lang w:val="en-US" w:eastAsia="ja-JP" w:bidi="ar-EG"/>
          <w14:ligatures w14:val="standardContextual"/>
        </w:rPr>
        <w:t>Tabla</w:t>
      </w:r>
      <w:proofErr w:type="spellEnd"/>
      <w:r w:rsidRPr="00F0379B">
        <w:rPr>
          <w:rFonts w:ascii="Cambria" w:eastAsiaTheme="minorEastAsia" w:hAnsi="Cambria"/>
          <w:b/>
          <w:kern w:val="2"/>
          <w:sz w:val="20"/>
          <w:szCs w:val="20"/>
          <w:lang w:val="en-US" w:eastAsia="ja-JP" w:bidi="ar-EG"/>
          <w14:ligatures w14:val="standardContextual"/>
        </w:rPr>
        <w:t xml:space="preserve"> 2</w:t>
      </w:r>
    </w:p>
    <w:tbl>
      <w:tblPr>
        <w:tblStyle w:val="TableGrid"/>
        <w:tblW w:w="4957" w:type="dxa"/>
        <w:tblLook w:val="04A0" w:firstRow="1" w:lastRow="0" w:firstColumn="1" w:lastColumn="0" w:noHBand="0" w:noVBand="1"/>
      </w:tblPr>
      <w:tblGrid>
        <w:gridCol w:w="2405"/>
        <w:gridCol w:w="2552"/>
      </w:tblGrid>
      <w:tr w:rsidR="009123AC" w:rsidRPr="00F0379B" w14:paraId="5F99C068" w14:textId="77777777" w:rsidTr="00CA749B">
        <w:trPr>
          <w:trHeight w:val="286"/>
        </w:trPr>
        <w:tc>
          <w:tcPr>
            <w:tcW w:w="2405" w:type="dxa"/>
            <w:vAlign w:val="center"/>
          </w:tcPr>
          <w:p w14:paraId="3B308F87" w14:textId="77777777" w:rsidR="009123AC" w:rsidRPr="00F0379B" w:rsidRDefault="009123AC" w:rsidP="009123AC">
            <w:pPr>
              <w:spacing w:line="240" w:lineRule="auto"/>
              <w:rPr>
                <w:rFonts w:ascii="Cambria" w:eastAsiaTheme="minorEastAsia" w:hAnsi="Cambria"/>
                <w:i/>
                <w:kern w:val="2"/>
                <w:sz w:val="20"/>
                <w:szCs w:val="20"/>
                <w:lang w:val="en-US" w:eastAsia="ja-JP"/>
                <w14:ligatures w14:val="standardContextual"/>
              </w:rPr>
            </w:pPr>
            <w:r w:rsidRPr="00F0379B">
              <w:rPr>
                <w:rFonts w:ascii="Cambria" w:eastAsiaTheme="minorEastAsia" w:hAnsi="Cambria"/>
                <w:i/>
                <w:kern w:val="2"/>
                <w:sz w:val="20"/>
                <w:szCs w:val="20"/>
                <w:lang w:val="en-US" w:eastAsia="ja-JP"/>
                <w14:ligatures w14:val="standardContextual"/>
              </w:rPr>
              <w:t>Puerto</w:t>
            </w:r>
          </w:p>
        </w:tc>
        <w:tc>
          <w:tcPr>
            <w:tcW w:w="2552" w:type="dxa"/>
          </w:tcPr>
          <w:p w14:paraId="50FEF214"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Especie</w:t>
            </w:r>
          </w:p>
        </w:tc>
      </w:tr>
      <w:tr w:rsidR="009123AC" w:rsidRPr="00F0379B" w14:paraId="7120DBD3" w14:textId="77777777" w:rsidTr="00CA749B">
        <w:trPr>
          <w:trHeight w:val="305"/>
        </w:trPr>
        <w:tc>
          <w:tcPr>
            <w:tcW w:w="2405" w:type="dxa"/>
            <w:vAlign w:val="center"/>
          </w:tcPr>
          <w:p w14:paraId="28773923" w14:textId="77777777" w:rsidR="009123AC" w:rsidRPr="00F0379B" w:rsidRDefault="009123AC" w:rsidP="009123AC">
            <w:pPr>
              <w:spacing w:line="240" w:lineRule="auto"/>
              <w:rPr>
                <w:rFonts w:ascii="Cambria" w:eastAsiaTheme="minorEastAsia" w:hAnsi="Cambria"/>
                <w:iCs/>
                <w:kern w:val="2"/>
                <w:sz w:val="20"/>
                <w:szCs w:val="20"/>
                <w:lang w:eastAsia="ja-JP"/>
                <w14:ligatures w14:val="standardContextual"/>
              </w:rPr>
            </w:pPr>
            <w:proofErr w:type="spellStart"/>
            <w:r w:rsidRPr="00F0379B">
              <w:rPr>
                <w:rFonts w:ascii="Cambria" w:eastAsiaTheme="minorEastAsia" w:hAnsi="Cambria"/>
                <w:iCs/>
                <w:kern w:val="2"/>
                <w:sz w:val="20"/>
                <w:szCs w:val="20"/>
                <w:lang w:eastAsia="ja-JP"/>
                <w14:ligatures w14:val="standardContextual"/>
              </w:rPr>
              <w:t>Izbet</w:t>
            </w:r>
            <w:proofErr w:type="spellEnd"/>
            <w:r w:rsidRPr="00F0379B">
              <w:rPr>
                <w:rFonts w:ascii="Cambria" w:eastAsiaTheme="minorEastAsia" w:hAnsi="Cambria"/>
                <w:iCs/>
                <w:kern w:val="2"/>
                <w:sz w:val="20"/>
                <w:szCs w:val="20"/>
                <w:lang w:eastAsia="ja-JP"/>
                <w14:ligatures w14:val="standardContextual"/>
              </w:rPr>
              <w:t xml:space="preserve"> El Borg</w:t>
            </w:r>
          </w:p>
        </w:tc>
        <w:tc>
          <w:tcPr>
            <w:tcW w:w="2552" w:type="dxa"/>
            <w:vAlign w:val="center"/>
          </w:tcPr>
          <w:p w14:paraId="00D7C803" w14:textId="77777777" w:rsidR="009123AC" w:rsidRPr="00F0379B" w:rsidRDefault="009123AC" w:rsidP="009123AC">
            <w:pPr>
              <w:spacing w:line="240" w:lineRule="auto"/>
              <w:jc w:val="center"/>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SWO y ALB</w:t>
            </w:r>
          </w:p>
        </w:tc>
      </w:tr>
      <w:tr w:rsidR="009123AC" w:rsidRPr="00F0379B" w14:paraId="04368C48" w14:textId="77777777" w:rsidTr="00CA749B">
        <w:trPr>
          <w:trHeight w:val="286"/>
        </w:trPr>
        <w:tc>
          <w:tcPr>
            <w:tcW w:w="2405" w:type="dxa"/>
            <w:vAlign w:val="center"/>
          </w:tcPr>
          <w:p w14:paraId="149E2B76" w14:textId="77777777" w:rsidR="009123AC" w:rsidRPr="00F0379B" w:rsidRDefault="009123AC" w:rsidP="009123AC">
            <w:pPr>
              <w:spacing w:line="240" w:lineRule="auto"/>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Rashid</w:t>
            </w:r>
          </w:p>
        </w:tc>
        <w:tc>
          <w:tcPr>
            <w:tcW w:w="2552" w:type="dxa"/>
            <w:vAlign w:val="center"/>
          </w:tcPr>
          <w:p w14:paraId="12F60BFC" w14:textId="77777777" w:rsidR="009123AC" w:rsidRPr="00F0379B" w:rsidRDefault="009123AC" w:rsidP="009123AC">
            <w:pPr>
              <w:spacing w:line="240" w:lineRule="auto"/>
              <w:jc w:val="center"/>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SWO y ALB</w:t>
            </w:r>
          </w:p>
        </w:tc>
      </w:tr>
      <w:tr w:rsidR="009123AC" w:rsidRPr="00F0379B" w14:paraId="59ED45F0" w14:textId="77777777" w:rsidTr="00CA749B">
        <w:trPr>
          <w:trHeight w:val="286"/>
        </w:trPr>
        <w:tc>
          <w:tcPr>
            <w:tcW w:w="2405" w:type="dxa"/>
            <w:vAlign w:val="center"/>
          </w:tcPr>
          <w:p w14:paraId="3BB04F71" w14:textId="77777777" w:rsidR="009123AC" w:rsidRPr="00F0379B" w:rsidRDefault="009123AC" w:rsidP="009123AC">
            <w:pPr>
              <w:spacing w:line="240" w:lineRule="auto"/>
              <w:rPr>
                <w:rFonts w:ascii="Cambria" w:eastAsiaTheme="minorEastAsia" w:hAnsi="Cambria"/>
                <w:iCs/>
                <w:kern w:val="2"/>
                <w:sz w:val="20"/>
                <w:szCs w:val="20"/>
                <w:lang w:eastAsia="ja-JP"/>
                <w14:ligatures w14:val="standardContextual"/>
              </w:rPr>
            </w:pPr>
            <w:proofErr w:type="spellStart"/>
            <w:r w:rsidRPr="00F0379B">
              <w:rPr>
                <w:rFonts w:ascii="Cambria" w:eastAsiaTheme="minorEastAsia" w:hAnsi="Cambria"/>
                <w:iCs/>
                <w:kern w:val="2"/>
                <w:sz w:val="20"/>
                <w:szCs w:val="20"/>
                <w:lang w:eastAsia="ja-JP"/>
                <w14:ligatures w14:val="standardContextual"/>
              </w:rPr>
              <w:t>Elmadia</w:t>
            </w:r>
            <w:proofErr w:type="spellEnd"/>
          </w:p>
        </w:tc>
        <w:tc>
          <w:tcPr>
            <w:tcW w:w="2552" w:type="dxa"/>
            <w:vAlign w:val="center"/>
          </w:tcPr>
          <w:p w14:paraId="75E47F1C" w14:textId="77777777" w:rsidR="009123AC" w:rsidRPr="00F0379B" w:rsidRDefault="009123AC" w:rsidP="009123AC">
            <w:pPr>
              <w:spacing w:line="240" w:lineRule="auto"/>
              <w:jc w:val="center"/>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BFT y SWO y ALB</w:t>
            </w:r>
          </w:p>
        </w:tc>
      </w:tr>
      <w:tr w:rsidR="009123AC" w:rsidRPr="00F0379B" w14:paraId="2780C699" w14:textId="77777777" w:rsidTr="00CA749B">
        <w:trPr>
          <w:trHeight w:val="286"/>
        </w:trPr>
        <w:tc>
          <w:tcPr>
            <w:tcW w:w="2405" w:type="dxa"/>
            <w:vAlign w:val="center"/>
          </w:tcPr>
          <w:p w14:paraId="7EA0F042" w14:textId="77777777" w:rsidR="009123AC" w:rsidRPr="00F0379B" w:rsidRDefault="009123AC" w:rsidP="009123AC">
            <w:pPr>
              <w:spacing w:line="240" w:lineRule="auto"/>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ABO QIR</w:t>
            </w:r>
          </w:p>
        </w:tc>
        <w:tc>
          <w:tcPr>
            <w:tcW w:w="2552" w:type="dxa"/>
            <w:vAlign w:val="center"/>
          </w:tcPr>
          <w:p w14:paraId="7F2E1FA4" w14:textId="77777777" w:rsidR="009123AC" w:rsidRPr="00F0379B" w:rsidRDefault="009123AC" w:rsidP="009123AC">
            <w:pPr>
              <w:spacing w:line="240" w:lineRule="auto"/>
              <w:jc w:val="center"/>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BFT y SWO y ALB</w:t>
            </w:r>
          </w:p>
        </w:tc>
      </w:tr>
      <w:tr w:rsidR="009123AC" w:rsidRPr="00F0379B" w14:paraId="50386B99" w14:textId="77777777" w:rsidTr="00CA749B">
        <w:trPr>
          <w:trHeight w:val="305"/>
        </w:trPr>
        <w:tc>
          <w:tcPr>
            <w:tcW w:w="2405" w:type="dxa"/>
            <w:vAlign w:val="center"/>
          </w:tcPr>
          <w:p w14:paraId="124FA45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iCs/>
                <w:kern w:val="2"/>
                <w:sz w:val="20"/>
                <w:szCs w:val="20"/>
                <w:lang w:eastAsia="ja-JP"/>
                <w14:ligatures w14:val="standardContextual"/>
              </w:rPr>
              <w:t>Elsharky</w:t>
            </w:r>
            <w:proofErr w:type="spellEnd"/>
            <w:r w:rsidRPr="00F0379B">
              <w:rPr>
                <w:rFonts w:ascii="Cambria" w:eastAsiaTheme="minorEastAsia" w:hAnsi="Cambria"/>
                <w:iCs/>
                <w:kern w:val="2"/>
                <w:sz w:val="20"/>
                <w:szCs w:val="20"/>
                <w:lang w:eastAsia="ja-JP"/>
                <w14:ligatures w14:val="standardContextual"/>
              </w:rPr>
              <w:t xml:space="preserve"> Port Alexandria</w:t>
            </w:r>
          </w:p>
        </w:tc>
        <w:tc>
          <w:tcPr>
            <w:tcW w:w="2552" w:type="dxa"/>
            <w:vAlign w:val="center"/>
          </w:tcPr>
          <w:p w14:paraId="14605F65" w14:textId="77777777" w:rsidR="009123AC" w:rsidRPr="00F0379B" w:rsidRDefault="009123AC" w:rsidP="009123AC">
            <w:pPr>
              <w:spacing w:line="240" w:lineRule="auto"/>
              <w:jc w:val="center"/>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BFT y SWO y ALB</w:t>
            </w:r>
          </w:p>
        </w:tc>
      </w:tr>
      <w:tr w:rsidR="009123AC" w:rsidRPr="00F0379B" w14:paraId="1AB6A353" w14:textId="77777777" w:rsidTr="00CA749B">
        <w:trPr>
          <w:trHeight w:val="286"/>
        </w:trPr>
        <w:tc>
          <w:tcPr>
            <w:tcW w:w="2405" w:type="dxa"/>
            <w:vAlign w:val="center"/>
          </w:tcPr>
          <w:p w14:paraId="1F84B87B" w14:textId="77777777" w:rsidR="009123AC" w:rsidRPr="00F0379B" w:rsidRDefault="009123AC" w:rsidP="009123AC">
            <w:pPr>
              <w:spacing w:line="240" w:lineRule="auto"/>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Port Said Port</w:t>
            </w:r>
          </w:p>
        </w:tc>
        <w:tc>
          <w:tcPr>
            <w:tcW w:w="2552" w:type="dxa"/>
            <w:vAlign w:val="center"/>
          </w:tcPr>
          <w:p w14:paraId="41A60FBD" w14:textId="77777777" w:rsidR="009123AC" w:rsidRPr="00F0379B" w:rsidRDefault="009123AC" w:rsidP="009123AC">
            <w:pPr>
              <w:spacing w:line="240" w:lineRule="auto"/>
              <w:jc w:val="center"/>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BFT y SWO y ALB</w:t>
            </w:r>
          </w:p>
        </w:tc>
      </w:tr>
    </w:tbl>
    <w:p w14:paraId="6BA45C93" w14:textId="77777777" w:rsidR="009123AC" w:rsidRPr="00F0379B" w:rsidRDefault="009123AC" w:rsidP="009123AC">
      <w:pPr>
        <w:spacing w:after="0" w:line="240" w:lineRule="auto"/>
        <w:contextualSpacing/>
        <w:rPr>
          <w:rFonts w:ascii="Cambria" w:eastAsiaTheme="minorEastAsia" w:hAnsi="Cambria"/>
          <w:kern w:val="2"/>
          <w:sz w:val="20"/>
          <w:szCs w:val="20"/>
          <w:lang w:eastAsia="ja-JP"/>
          <w14:ligatures w14:val="standardContextual"/>
        </w:rPr>
        <w:sectPr w:rsidR="009123AC" w:rsidRPr="00F0379B" w:rsidSect="009123AC">
          <w:footnotePr>
            <w:numFmt w:val="chicago"/>
          </w:footnotePr>
          <w:pgSz w:w="11906" w:h="16838" w:code="9"/>
          <w:pgMar w:top="1418" w:right="1418" w:bottom="1418" w:left="1418" w:header="851" w:footer="1134" w:gutter="0"/>
          <w:cols w:space="425"/>
          <w:docGrid w:linePitch="360"/>
        </w:sectPr>
      </w:pPr>
    </w:p>
    <w:p w14:paraId="1B8060CD" w14:textId="77777777" w:rsidR="009123AC" w:rsidRPr="00F0379B" w:rsidRDefault="009123AC" w:rsidP="009123AC">
      <w:pPr>
        <w:spacing w:after="0" w:line="240" w:lineRule="auto"/>
        <w:rPr>
          <w:rFonts w:ascii="Cambria" w:eastAsia="Aptos" w:hAnsi="Cambria"/>
          <w:b/>
          <w:kern w:val="2"/>
          <w:sz w:val="20"/>
          <w:szCs w:val="20"/>
          <w14:ligatures w14:val="standardContextual"/>
        </w:rPr>
      </w:pPr>
      <w:r w:rsidRPr="00F0379B">
        <w:rPr>
          <w:rFonts w:ascii="Cambria" w:eastAsia="Aptos" w:hAnsi="Cambria"/>
          <w:b/>
          <w:kern w:val="2"/>
          <w:sz w:val="20"/>
          <w:szCs w:val="20"/>
          <w14:ligatures w14:val="standardContextual"/>
        </w:rPr>
        <w:lastRenderedPageBreak/>
        <w:t>Tabla de capacidad</w:t>
      </w:r>
    </w:p>
    <w:p w14:paraId="270E5371" w14:textId="77777777" w:rsidR="009123AC" w:rsidRPr="00F0379B" w:rsidRDefault="009123AC" w:rsidP="009123AC">
      <w:pPr>
        <w:spacing w:after="0" w:line="240" w:lineRule="auto"/>
        <w:rPr>
          <w:rFonts w:ascii="Cambria" w:eastAsiaTheme="minorEastAsia" w:hAnsi="Cambria"/>
          <w:b/>
          <w:bCs/>
          <w:iCs/>
          <w:kern w:val="2"/>
          <w:sz w:val="20"/>
          <w:szCs w:val="20"/>
          <w14:ligatures w14:val="standardContextual"/>
        </w:rPr>
      </w:pPr>
    </w:p>
    <w:tbl>
      <w:tblPr>
        <w:tblW w:w="515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3"/>
        <w:gridCol w:w="1081"/>
        <w:gridCol w:w="615"/>
        <w:gridCol w:w="615"/>
        <w:gridCol w:w="615"/>
        <w:gridCol w:w="735"/>
        <w:gridCol w:w="735"/>
        <w:gridCol w:w="834"/>
        <w:gridCol w:w="727"/>
        <w:gridCol w:w="240"/>
        <w:gridCol w:w="615"/>
        <w:gridCol w:w="615"/>
        <w:gridCol w:w="701"/>
        <w:gridCol w:w="736"/>
        <w:gridCol w:w="736"/>
        <w:gridCol w:w="834"/>
        <w:gridCol w:w="736"/>
      </w:tblGrid>
      <w:tr w:rsidR="009123AC" w:rsidRPr="00F0379B" w14:paraId="2F4896F0" w14:textId="77777777" w:rsidTr="00CA749B">
        <w:trPr>
          <w:trHeight w:val="20"/>
        </w:trPr>
        <w:tc>
          <w:tcPr>
            <w:tcW w:w="1133" w:type="pct"/>
            <w:noWrap/>
            <w:vAlign w:val="center"/>
            <w:hideMark/>
          </w:tcPr>
          <w:p w14:paraId="6BA3EE04" w14:textId="77777777" w:rsidR="009123AC" w:rsidRPr="00F0379B" w:rsidRDefault="009123AC" w:rsidP="009123AC">
            <w:pPr>
              <w:widowControl w:val="0"/>
              <w:spacing w:after="0" w:line="240" w:lineRule="auto"/>
              <w:jc w:val="center"/>
              <w:rPr>
                <w:rFonts w:ascii="Cambria" w:eastAsia="Times New Roman" w:hAnsi="Cambria" w:cs="Calibri"/>
                <w:i/>
                <w:iCs/>
                <w:color w:val="000000"/>
                <w:sz w:val="18"/>
                <w:szCs w:val="18"/>
                <w:lang w:eastAsia="fr-FR" w:bidi="fr-FR"/>
              </w:rPr>
            </w:pPr>
            <w:r w:rsidRPr="00F0379B">
              <w:rPr>
                <w:rFonts w:ascii="Cambria" w:eastAsia="MS Gothic" w:hAnsi="Cambria" w:cs="Times New Roman"/>
                <w:i/>
                <w:color w:val="000000"/>
                <w:sz w:val="18"/>
                <w:szCs w:val="24"/>
                <w:lang w:eastAsia="fr-FR" w:bidi="fr-FR"/>
              </w:rPr>
              <w:t>Tipo de buques atuneros</w:t>
            </w:r>
          </w:p>
        </w:tc>
        <w:tc>
          <w:tcPr>
            <w:tcW w:w="380" w:type="pct"/>
            <w:noWrap/>
            <w:vAlign w:val="center"/>
            <w:hideMark/>
          </w:tcPr>
          <w:p w14:paraId="0AEEF2BD" w14:textId="77777777" w:rsidR="009123AC" w:rsidRPr="00F0379B" w:rsidRDefault="009123AC" w:rsidP="009123AC">
            <w:pPr>
              <w:widowControl w:val="0"/>
              <w:spacing w:after="0" w:line="240" w:lineRule="auto"/>
              <w:jc w:val="center"/>
              <w:rPr>
                <w:rFonts w:ascii="Calibri" w:eastAsia="Times New Roman" w:hAnsi="Calibri" w:cs="Calibri"/>
                <w:color w:val="000000"/>
                <w:sz w:val="18"/>
                <w:szCs w:val="18"/>
                <w:lang w:eastAsia="ja-JP" w:bidi="fr-FR"/>
              </w:rPr>
            </w:pPr>
          </w:p>
        </w:tc>
        <w:tc>
          <w:tcPr>
            <w:tcW w:w="609" w:type="pct"/>
            <w:gridSpan w:val="3"/>
          </w:tcPr>
          <w:p w14:paraId="0BE2E3B4" w14:textId="77777777" w:rsidR="009123AC" w:rsidRPr="00F0379B" w:rsidRDefault="009123AC" w:rsidP="009123AC">
            <w:pPr>
              <w:widowControl w:val="0"/>
              <w:spacing w:after="0" w:line="240" w:lineRule="auto"/>
              <w:jc w:val="center"/>
              <w:rPr>
                <w:rFonts w:ascii="Cambria" w:eastAsia="Times New Roman" w:hAnsi="Cambria" w:cs="Calibri"/>
                <w:i/>
                <w:iCs/>
                <w:color w:val="000000"/>
                <w:sz w:val="18"/>
                <w:szCs w:val="18"/>
                <w:lang w:eastAsia="fr-FR" w:bidi="fr-FR"/>
              </w:rPr>
            </w:pPr>
            <w:r w:rsidRPr="00F0379B">
              <w:rPr>
                <w:rFonts w:ascii="Cambria" w:eastAsia="MS Gothic" w:hAnsi="Cambria" w:cs="Times New Roman"/>
                <w:i/>
                <w:color w:val="000000"/>
                <w:sz w:val="18"/>
                <w:szCs w:val="24"/>
                <w:lang w:eastAsia="fr-FR" w:bidi="fr-FR"/>
              </w:rPr>
              <w:t>Años de referencia</w:t>
            </w:r>
          </w:p>
        </w:tc>
        <w:tc>
          <w:tcPr>
            <w:tcW w:w="1062" w:type="pct"/>
            <w:gridSpan w:val="4"/>
            <w:vAlign w:val="center"/>
          </w:tcPr>
          <w:p w14:paraId="1A4615DB" w14:textId="77777777" w:rsidR="009123AC" w:rsidRPr="00F0379B" w:rsidRDefault="009123AC" w:rsidP="009123AC">
            <w:pPr>
              <w:widowControl w:val="0"/>
              <w:spacing w:after="0" w:line="240" w:lineRule="auto"/>
              <w:jc w:val="center"/>
              <w:rPr>
                <w:rFonts w:ascii="Times New Roman" w:eastAsia="Times New Roman" w:hAnsi="Times New Roman" w:cs="Times New Roman"/>
                <w:color w:val="000000"/>
                <w:sz w:val="18"/>
                <w:szCs w:val="18"/>
                <w:lang w:eastAsia="fr-FR" w:bidi="fr-FR"/>
              </w:rPr>
            </w:pPr>
            <w:r w:rsidRPr="00F0379B">
              <w:rPr>
                <w:rFonts w:ascii="Cambria" w:eastAsia="MS Gothic" w:hAnsi="Cambria" w:cs="Times New Roman"/>
                <w:i/>
                <w:color w:val="000000"/>
                <w:sz w:val="18"/>
                <w:szCs w:val="24"/>
                <w:lang w:eastAsia="fr-FR" w:bidi="fr-FR"/>
              </w:rPr>
              <w:t>N.º de buques</w:t>
            </w:r>
          </w:p>
        </w:tc>
        <w:tc>
          <w:tcPr>
            <w:tcW w:w="88" w:type="pct"/>
            <w:shd w:val="clear" w:color="auto" w:fill="D9D9D9"/>
            <w:vAlign w:val="center"/>
            <w:hideMark/>
          </w:tcPr>
          <w:p w14:paraId="0DC14582" w14:textId="77777777" w:rsidR="009123AC" w:rsidRPr="00F0379B" w:rsidRDefault="009123AC" w:rsidP="009123AC">
            <w:pPr>
              <w:widowControl w:val="0"/>
              <w:spacing w:after="0" w:line="240" w:lineRule="auto"/>
              <w:jc w:val="center"/>
              <w:rPr>
                <w:rFonts w:ascii="Times New Roman" w:eastAsia="Times New Roman" w:hAnsi="Times New Roman" w:cs="Times New Roman"/>
                <w:color w:val="000000"/>
                <w:sz w:val="18"/>
                <w:szCs w:val="18"/>
                <w:lang w:eastAsia="ja-JP" w:bidi="fr-FR"/>
              </w:rPr>
            </w:pPr>
          </w:p>
        </w:tc>
        <w:tc>
          <w:tcPr>
            <w:tcW w:w="654" w:type="pct"/>
            <w:gridSpan w:val="3"/>
          </w:tcPr>
          <w:p w14:paraId="4A9442A0" w14:textId="77777777" w:rsidR="009123AC" w:rsidRPr="00F0379B" w:rsidRDefault="009123AC" w:rsidP="009123AC">
            <w:pPr>
              <w:widowControl w:val="0"/>
              <w:spacing w:after="0" w:line="240" w:lineRule="auto"/>
              <w:jc w:val="center"/>
              <w:rPr>
                <w:rFonts w:ascii="Cambria" w:eastAsia="Times New Roman" w:hAnsi="Cambria" w:cs="Calibri"/>
                <w:i/>
                <w:iCs/>
                <w:color w:val="000000"/>
                <w:sz w:val="18"/>
                <w:szCs w:val="18"/>
                <w:lang w:eastAsia="fr-FR" w:bidi="fr-FR"/>
              </w:rPr>
            </w:pPr>
            <w:r w:rsidRPr="00F0379B">
              <w:rPr>
                <w:rFonts w:ascii="Cambria" w:eastAsia="MS Gothic" w:hAnsi="Cambria" w:cs="Times New Roman"/>
                <w:i/>
                <w:color w:val="000000"/>
                <w:sz w:val="18"/>
                <w:szCs w:val="24"/>
                <w:lang w:eastAsia="fr-FR" w:bidi="fr-FR"/>
              </w:rPr>
              <w:t>Años de referencia</w:t>
            </w:r>
          </w:p>
        </w:tc>
        <w:tc>
          <w:tcPr>
            <w:tcW w:w="1074" w:type="pct"/>
            <w:gridSpan w:val="4"/>
          </w:tcPr>
          <w:p w14:paraId="34CCC905" w14:textId="77777777" w:rsidR="009123AC" w:rsidRPr="00F0379B" w:rsidRDefault="009123AC" w:rsidP="009123AC">
            <w:pPr>
              <w:widowControl w:val="0"/>
              <w:spacing w:after="0" w:line="240" w:lineRule="auto"/>
              <w:jc w:val="center"/>
              <w:rPr>
                <w:rFonts w:ascii="Cambria" w:eastAsia="Times New Roman" w:hAnsi="Cambria" w:cs="Calibri"/>
                <w:i/>
                <w:iCs/>
                <w:color w:val="000000"/>
                <w:sz w:val="18"/>
                <w:szCs w:val="18"/>
                <w:lang w:eastAsia="fr-FR" w:bidi="fr-FR"/>
              </w:rPr>
            </w:pPr>
            <w:r w:rsidRPr="00F0379B">
              <w:rPr>
                <w:rFonts w:ascii="Cambria" w:eastAsia="MS Gothic" w:hAnsi="Cambria" w:cs="Times New Roman"/>
                <w:i/>
                <w:color w:val="000000"/>
                <w:sz w:val="18"/>
                <w:szCs w:val="24"/>
                <w:lang w:eastAsia="fr-FR" w:bidi="fr-FR"/>
              </w:rPr>
              <w:t>Capacidad de pesca</w:t>
            </w:r>
          </w:p>
        </w:tc>
      </w:tr>
      <w:tr w:rsidR="009123AC" w:rsidRPr="00F0379B" w14:paraId="6023EEE1" w14:textId="77777777" w:rsidTr="00CA749B">
        <w:trPr>
          <w:trHeight w:val="20"/>
        </w:trPr>
        <w:tc>
          <w:tcPr>
            <w:tcW w:w="1133" w:type="pct"/>
            <w:noWrap/>
            <w:vAlign w:val="center"/>
            <w:hideMark/>
          </w:tcPr>
          <w:p w14:paraId="0ED35207"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Tipo</w:t>
            </w:r>
          </w:p>
        </w:tc>
        <w:tc>
          <w:tcPr>
            <w:tcW w:w="380" w:type="pct"/>
            <w:vAlign w:val="center"/>
            <w:hideMark/>
          </w:tcPr>
          <w:p w14:paraId="5BFE8C0A"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8"/>
                <w:lang w:eastAsia="fr-FR" w:bidi="fr-FR"/>
              </w:rPr>
              <w:t xml:space="preserve">Mejores tasas de captura definidas por el SCRS  </w:t>
            </w:r>
          </w:p>
          <w:p w14:paraId="4F4F4FFF"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6"/>
                <w:szCs w:val="28"/>
                <w:lang w:eastAsia="fr-FR" w:bidi="fr-FR"/>
              </w:rPr>
              <w:t>en 2009 (t)</w:t>
            </w:r>
          </w:p>
        </w:tc>
        <w:tc>
          <w:tcPr>
            <w:tcW w:w="203" w:type="pct"/>
            <w:vAlign w:val="center"/>
          </w:tcPr>
          <w:p w14:paraId="30BCC6D9"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2006</w:t>
            </w:r>
          </w:p>
        </w:tc>
        <w:tc>
          <w:tcPr>
            <w:tcW w:w="203" w:type="pct"/>
            <w:noWrap/>
            <w:vAlign w:val="center"/>
            <w:hideMark/>
          </w:tcPr>
          <w:p w14:paraId="55254B2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2008</w:t>
            </w:r>
          </w:p>
        </w:tc>
        <w:tc>
          <w:tcPr>
            <w:tcW w:w="203" w:type="pct"/>
            <w:vAlign w:val="center"/>
            <w:hideMark/>
          </w:tcPr>
          <w:p w14:paraId="12C1B6BF"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2018</w:t>
            </w:r>
          </w:p>
        </w:tc>
        <w:tc>
          <w:tcPr>
            <w:tcW w:w="260" w:type="pct"/>
            <w:vAlign w:val="center"/>
            <w:hideMark/>
          </w:tcPr>
          <w:p w14:paraId="2C8C761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2023</w:t>
            </w:r>
          </w:p>
        </w:tc>
        <w:tc>
          <w:tcPr>
            <w:tcW w:w="260" w:type="pct"/>
            <w:vAlign w:val="center"/>
            <w:hideMark/>
          </w:tcPr>
          <w:p w14:paraId="239BD6E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2024</w:t>
            </w:r>
          </w:p>
        </w:tc>
        <w:tc>
          <w:tcPr>
            <w:tcW w:w="294" w:type="pct"/>
            <w:vAlign w:val="center"/>
          </w:tcPr>
          <w:p w14:paraId="2C9047BE"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2025</w:t>
            </w:r>
          </w:p>
        </w:tc>
        <w:tc>
          <w:tcPr>
            <w:tcW w:w="248" w:type="pct"/>
            <w:vAlign w:val="center"/>
          </w:tcPr>
          <w:p w14:paraId="361D061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2026</w:t>
            </w:r>
          </w:p>
        </w:tc>
        <w:tc>
          <w:tcPr>
            <w:tcW w:w="88" w:type="pct"/>
            <w:shd w:val="clear" w:color="000000" w:fill="D9D9D9"/>
            <w:vAlign w:val="center"/>
            <w:hideMark/>
          </w:tcPr>
          <w:p w14:paraId="128041F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203" w:type="pct"/>
            <w:vAlign w:val="center"/>
          </w:tcPr>
          <w:p w14:paraId="5D6F090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2006</w:t>
            </w:r>
          </w:p>
        </w:tc>
        <w:tc>
          <w:tcPr>
            <w:tcW w:w="203" w:type="pct"/>
            <w:vAlign w:val="center"/>
            <w:hideMark/>
          </w:tcPr>
          <w:p w14:paraId="07BB28A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2008</w:t>
            </w:r>
          </w:p>
        </w:tc>
        <w:tc>
          <w:tcPr>
            <w:tcW w:w="248" w:type="pct"/>
            <w:vAlign w:val="center"/>
            <w:hideMark/>
          </w:tcPr>
          <w:p w14:paraId="3212EB27"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2018</w:t>
            </w:r>
          </w:p>
        </w:tc>
        <w:tc>
          <w:tcPr>
            <w:tcW w:w="260" w:type="pct"/>
            <w:vAlign w:val="center"/>
            <w:hideMark/>
          </w:tcPr>
          <w:p w14:paraId="1AD40D43"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2023</w:t>
            </w:r>
          </w:p>
        </w:tc>
        <w:tc>
          <w:tcPr>
            <w:tcW w:w="260" w:type="pct"/>
            <w:vAlign w:val="center"/>
            <w:hideMark/>
          </w:tcPr>
          <w:p w14:paraId="540D91D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2024</w:t>
            </w:r>
          </w:p>
        </w:tc>
        <w:tc>
          <w:tcPr>
            <w:tcW w:w="294" w:type="pct"/>
            <w:vAlign w:val="center"/>
            <w:hideMark/>
          </w:tcPr>
          <w:p w14:paraId="27A1B2EA"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2025</w:t>
            </w:r>
          </w:p>
        </w:tc>
        <w:tc>
          <w:tcPr>
            <w:tcW w:w="260" w:type="pct"/>
            <w:vAlign w:val="center"/>
          </w:tcPr>
          <w:p w14:paraId="01597681"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2026</w:t>
            </w:r>
          </w:p>
        </w:tc>
      </w:tr>
      <w:tr w:rsidR="009123AC" w:rsidRPr="00F0379B" w14:paraId="0915E8F6" w14:textId="77777777" w:rsidTr="00CA749B">
        <w:trPr>
          <w:trHeight w:val="20"/>
        </w:trPr>
        <w:tc>
          <w:tcPr>
            <w:tcW w:w="1133" w:type="pct"/>
            <w:noWrap/>
            <w:vAlign w:val="center"/>
            <w:hideMark/>
          </w:tcPr>
          <w:p w14:paraId="5D901A89"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Cerqueros de más de 40 m</w:t>
            </w:r>
          </w:p>
        </w:tc>
        <w:tc>
          <w:tcPr>
            <w:tcW w:w="380" w:type="pct"/>
            <w:noWrap/>
            <w:vAlign w:val="center"/>
            <w:hideMark/>
          </w:tcPr>
          <w:p w14:paraId="7C56D52E"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70,66</w:t>
            </w:r>
          </w:p>
        </w:tc>
        <w:tc>
          <w:tcPr>
            <w:tcW w:w="203" w:type="pct"/>
            <w:vAlign w:val="center"/>
          </w:tcPr>
          <w:p w14:paraId="2A3D36A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noWrap/>
            <w:vAlign w:val="center"/>
            <w:hideMark/>
          </w:tcPr>
          <w:p w14:paraId="09658E24"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180AB1C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6D52E9B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20DC39AB"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94" w:type="pct"/>
            <w:vAlign w:val="center"/>
          </w:tcPr>
          <w:p w14:paraId="3B9D0D18"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48" w:type="pct"/>
            <w:vAlign w:val="center"/>
          </w:tcPr>
          <w:p w14:paraId="130C1F7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88" w:type="pct"/>
            <w:shd w:val="clear" w:color="000000" w:fill="D9D9D9"/>
            <w:vAlign w:val="center"/>
            <w:hideMark/>
          </w:tcPr>
          <w:p w14:paraId="5321137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03" w:type="pct"/>
            <w:vAlign w:val="center"/>
          </w:tcPr>
          <w:p w14:paraId="36F3BAC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3F505CC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48" w:type="pct"/>
            <w:vAlign w:val="center"/>
            <w:hideMark/>
          </w:tcPr>
          <w:p w14:paraId="0902F50A"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517F3874"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18A5A058"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94" w:type="pct"/>
            <w:vAlign w:val="center"/>
            <w:hideMark/>
          </w:tcPr>
          <w:p w14:paraId="2505208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tcPr>
          <w:p w14:paraId="50BD4BE8"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r>
      <w:tr w:rsidR="009123AC" w:rsidRPr="00F0379B" w14:paraId="0CD0894C" w14:textId="77777777" w:rsidTr="00CA749B">
        <w:trPr>
          <w:trHeight w:val="20"/>
        </w:trPr>
        <w:tc>
          <w:tcPr>
            <w:tcW w:w="1133" w:type="pct"/>
            <w:noWrap/>
            <w:vAlign w:val="center"/>
            <w:hideMark/>
          </w:tcPr>
          <w:p w14:paraId="2896EB80"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Cerqueros entre 24 y 40 m</w:t>
            </w:r>
          </w:p>
        </w:tc>
        <w:tc>
          <w:tcPr>
            <w:tcW w:w="380" w:type="pct"/>
            <w:noWrap/>
            <w:vAlign w:val="center"/>
            <w:hideMark/>
          </w:tcPr>
          <w:p w14:paraId="40D567F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49,78</w:t>
            </w:r>
          </w:p>
        </w:tc>
        <w:tc>
          <w:tcPr>
            <w:tcW w:w="203" w:type="pct"/>
            <w:vAlign w:val="center"/>
          </w:tcPr>
          <w:p w14:paraId="5601453E"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noWrap/>
            <w:vAlign w:val="center"/>
            <w:hideMark/>
          </w:tcPr>
          <w:p w14:paraId="09CA3A5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2E2BB9EC"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w:t>
            </w:r>
          </w:p>
        </w:tc>
        <w:tc>
          <w:tcPr>
            <w:tcW w:w="260" w:type="pct"/>
            <w:vAlign w:val="center"/>
            <w:hideMark/>
          </w:tcPr>
          <w:p w14:paraId="5E8868A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w:t>
            </w:r>
          </w:p>
        </w:tc>
        <w:tc>
          <w:tcPr>
            <w:tcW w:w="260" w:type="pct"/>
            <w:vAlign w:val="center"/>
            <w:hideMark/>
          </w:tcPr>
          <w:p w14:paraId="32249BC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w:t>
            </w:r>
          </w:p>
        </w:tc>
        <w:tc>
          <w:tcPr>
            <w:tcW w:w="294" w:type="pct"/>
            <w:vAlign w:val="center"/>
          </w:tcPr>
          <w:p w14:paraId="4179D0FA"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w:t>
            </w:r>
          </w:p>
        </w:tc>
        <w:tc>
          <w:tcPr>
            <w:tcW w:w="248" w:type="pct"/>
            <w:vAlign w:val="center"/>
          </w:tcPr>
          <w:p w14:paraId="7952E7E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w:t>
            </w:r>
          </w:p>
        </w:tc>
        <w:tc>
          <w:tcPr>
            <w:tcW w:w="88" w:type="pct"/>
            <w:shd w:val="clear" w:color="000000" w:fill="D9D9D9"/>
            <w:vAlign w:val="center"/>
            <w:hideMark/>
          </w:tcPr>
          <w:p w14:paraId="7C98588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03" w:type="pct"/>
            <w:vAlign w:val="center"/>
          </w:tcPr>
          <w:p w14:paraId="7B88D608"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4B87EA84"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48" w:type="pct"/>
            <w:vAlign w:val="center"/>
            <w:hideMark/>
          </w:tcPr>
          <w:p w14:paraId="383C9C4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49,78</w:t>
            </w:r>
          </w:p>
        </w:tc>
        <w:tc>
          <w:tcPr>
            <w:tcW w:w="260" w:type="pct"/>
            <w:vAlign w:val="center"/>
            <w:hideMark/>
          </w:tcPr>
          <w:p w14:paraId="0845015B"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99,56</w:t>
            </w:r>
          </w:p>
        </w:tc>
        <w:tc>
          <w:tcPr>
            <w:tcW w:w="260" w:type="pct"/>
            <w:vAlign w:val="center"/>
            <w:hideMark/>
          </w:tcPr>
          <w:p w14:paraId="5A51A93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99,56</w:t>
            </w:r>
          </w:p>
        </w:tc>
        <w:tc>
          <w:tcPr>
            <w:tcW w:w="294" w:type="pct"/>
            <w:vAlign w:val="center"/>
            <w:hideMark/>
          </w:tcPr>
          <w:p w14:paraId="09D4B24B"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99,56</w:t>
            </w:r>
          </w:p>
        </w:tc>
        <w:tc>
          <w:tcPr>
            <w:tcW w:w="260" w:type="pct"/>
            <w:vAlign w:val="center"/>
          </w:tcPr>
          <w:p w14:paraId="3FC8938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99,56</w:t>
            </w:r>
          </w:p>
        </w:tc>
      </w:tr>
      <w:tr w:rsidR="009123AC" w:rsidRPr="00F0379B" w14:paraId="34FD1132" w14:textId="77777777" w:rsidTr="00CA749B">
        <w:trPr>
          <w:trHeight w:val="20"/>
        </w:trPr>
        <w:tc>
          <w:tcPr>
            <w:tcW w:w="1133" w:type="pct"/>
            <w:noWrap/>
            <w:vAlign w:val="center"/>
            <w:hideMark/>
          </w:tcPr>
          <w:p w14:paraId="372FE7A0"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Cerqueros de menos de 24 m</w:t>
            </w:r>
          </w:p>
        </w:tc>
        <w:tc>
          <w:tcPr>
            <w:tcW w:w="380" w:type="pct"/>
            <w:noWrap/>
            <w:vAlign w:val="center"/>
            <w:hideMark/>
          </w:tcPr>
          <w:p w14:paraId="43D5B5B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33,68</w:t>
            </w:r>
          </w:p>
        </w:tc>
        <w:tc>
          <w:tcPr>
            <w:tcW w:w="203" w:type="pct"/>
            <w:vAlign w:val="center"/>
          </w:tcPr>
          <w:p w14:paraId="78AA4B4E"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noWrap/>
            <w:vAlign w:val="center"/>
            <w:hideMark/>
          </w:tcPr>
          <w:p w14:paraId="3817F74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0A7565A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60" w:type="pct"/>
            <w:vAlign w:val="center"/>
            <w:hideMark/>
          </w:tcPr>
          <w:p w14:paraId="54C8DCB4"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60" w:type="pct"/>
            <w:vAlign w:val="center"/>
            <w:hideMark/>
          </w:tcPr>
          <w:p w14:paraId="38C7D1F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94" w:type="pct"/>
            <w:vAlign w:val="center"/>
          </w:tcPr>
          <w:p w14:paraId="64CEABC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48" w:type="pct"/>
            <w:vAlign w:val="center"/>
          </w:tcPr>
          <w:p w14:paraId="67A0A9D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88" w:type="pct"/>
            <w:shd w:val="clear" w:color="000000" w:fill="D9D9D9"/>
            <w:vAlign w:val="center"/>
            <w:hideMark/>
          </w:tcPr>
          <w:p w14:paraId="19A1627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03" w:type="pct"/>
            <w:vAlign w:val="center"/>
          </w:tcPr>
          <w:p w14:paraId="5F4A7D1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47AEA93C"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48" w:type="pct"/>
            <w:vAlign w:val="center"/>
            <w:hideMark/>
          </w:tcPr>
          <w:p w14:paraId="129F4BA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60" w:type="pct"/>
            <w:vAlign w:val="center"/>
            <w:hideMark/>
          </w:tcPr>
          <w:p w14:paraId="0424F10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60" w:type="pct"/>
            <w:vAlign w:val="center"/>
            <w:hideMark/>
          </w:tcPr>
          <w:p w14:paraId="183F39F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94" w:type="pct"/>
            <w:vAlign w:val="center"/>
            <w:hideMark/>
          </w:tcPr>
          <w:p w14:paraId="4CA06B5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60" w:type="pct"/>
            <w:vAlign w:val="center"/>
          </w:tcPr>
          <w:p w14:paraId="4142A69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r>
      <w:tr w:rsidR="009123AC" w:rsidRPr="00F0379B" w14:paraId="0EBCB456" w14:textId="77777777" w:rsidTr="00CA749B">
        <w:trPr>
          <w:trHeight w:val="20"/>
        </w:trPr>
        <w:tc>
          <w:tcPr>
            <w:tcW w:w="1133" w:type="pct"/>
            <w:noWrap/>
            <w:vAlign w:val="center"/>
            <w:hideMark/>
          </w:tcPr>
          <w:p w14:paraId="6B89830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 xml:space="preserve">Total flota de cerco </w:t>
            </w:r>
          </w:p>
        </w:tc>
        <w:tc>
          <w:tcPr>
            <w:tcW w:w="380" w:type="pct"/>
            <w:noWrap/>
            <w:vAlign w:val="center"/>
            <w:hideMark/>
          </w:tcPr>
          <w:p w14:paraId="15758C67" w14:textId="77777777" w:rsidR="009123AC" w:rsidRPr="00F0379B" w:rsidRDefault="009123AC" w:rsidP="009123AC">
            <w:pPr>
              <w:widowControl w:val="0"/>
              <w:spacing w:after="0" w:line="240" w:lineRule="auto"/>
              <w:jc w:val="center"/>
              <w:rPr>
                <w:rFonts w:ascii="Times New Roman" w:eastAsia="Times New Roman" w:hAnsi="Times New Roman" w:cs="Times New Roman"/>
                <w:color w:val="000000"/>
                <w:sz w:val="16"/>
                <w:lang w:eastAsia="fr-FR" w:bidi="fr-FR"/>
              </w:rPr>
            </w:pPr>
          </w:p>
        </w:tc>
        <w:tc>
          <w:tcPr>
            <w:tcW w:w="203" w:type="pct"/>
            <w:vAlign w:val="center"/>
          </w:tcPr>
          <w:p w14:paraId="5997F68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noWrap/>
            <w:vAlign w:val="center"/>
            <w:hideMark/>
          </w:tcPr>
          <w:p w14:paraId="35D8775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hideMark/>
          </w:tcPr>
          <w:p w14:paraId="4C676BE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1</w:t>
            </w:r>
          </w:p>
        </w:tc>
        <w:tc>
          <w:tcPr>
            <w:tcW w:w="260" w:type="pct"/>
            <w:vAlign w:val="center"/>
            <w:hideMark/>
          </w:tcPr>
          <w:p w14:paraId="36A4075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2</w:t>
            </w:r>
          </w:p>
        </w:tc>
        <w:tc>
          <w:tcPr>
            <w:tcW w:w="260" w:type="pct"/>
            <w:vAlign w:val="center"/>
            <w:hideMark/>
          </w:tcPr>
          <w:p w14:paraId="4DBB515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2</w:t>
            </w:r>
          </w:p>
        </w:tc>
        <w:tc>
          <w:tcPr>
            <w:tcW w:w="294" w:type="pct"/>
            <w:vAlign w:val="center"/>
          </w:tcPr>
          <w:p w14:paraId="262BD57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2</w:t>
            </w:r>
          </w:p>
        </w:tc>
        <w:tc>
          <w:tcPr>
            <w:tcW w:w="248" w:type="pct"/>
            <w:vAlign w:val="center"/>
          </w:tcPr>
          <w:p w14:paraId="7AA9EB4E"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w:t>
            </w:r>
          </w:p>
        </w:tc>
        <w:tc>
          <w:tcPr>
            <w:tcW w:w="88" w:type="pct"/>
            <w:shd w:val="clear" w:color="000000" w:fill="D9D9D9"/>
            <w:vAlign w:val="center"/>
            <w:hideMark/>
          </w:tcPr>
          <w:p w14:paraId="63B519C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03" w:type="pct"/>
            <w:vAlign w:val="center"/>
          </w:tcPr>
          <w:p w14:paraId="35ABC117"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hideMark/>
          </w:tcPr>
          <w:p w14:paraId="191B4D4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48" w:type="pct"/>
            <w:vAlign w:val="center"/>
            <w:hideMark/>
          </w:tcPr>
          <w:p w14:paraId="476F451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49,78</w:t>
            </w:r>
          </w:p>
        </w:tc>
        <w:tc>
          <w:tcPr>
            <w:tcW w:w="260" w:type="pct"/>
            <w:vAlign w:val="center"/>
            <w:hideMark/>
          </w:tcPr>
          <w:p w14:paraId="12B9C5E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99,56</w:t>
            </w:r>
          </w:p>
        </w:tc>
        <w:tc>
          <w:tcPr>
            <w:tcW w:w="260" w:type="pct"/>
            <w:vAlign w:val="center"/>
            <w:hideMark/>
          </w:tcPr>
          <w:p w14:paraId="7BEA7DF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99,56</w:t>
            </w:r>
          </w:p>
        </w:tc>
        <w:tc>
          <w:tcPr>
            <w:tcW w:w="294" w:type="pct"/>
            <w:vAlign w:val="center"/>
            <w:hideMark/>
          </w:tcPr>
          <w:p w14:paraId="6DEE81E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99,56</w:t>
            </w:r>
          </w:p>
        </w:tc>
        <w:tc>
          <w:tcPr>
            <w:tcW w:w="260" w:type="pct"/>
            <w:vAlign w:val="center"/>
          </w:tcPr>
          <w:p w14:paraId="71F99457"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99,56</w:t>
            </w:r>
          </w:p>
        </w:tc>
      </w:tr>
      <w:tr w:rsidR="009123AC" w:rsidRPr="00F0379B" w14:paraId="5BCAEFAC" w14:textId="77777777" w:rsidTr="00CA749B">
        <w:trPr>
          <w:trHeight w:val="20"/>
        </w:trPr>
        <w:tc>
          <w:tcPr>
            <w:tcW w:w="1133" w:type="pct"/>
            <w:noWrap/>
            <w:vAlign w:val="center"/>
            <w:hideMark/>
          </w:tcPr>
          <w:p w14:paraId="785EFBEA"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Palangreros de más de 40 m</w:t>
            </w:r>
          </w:p>
        </w:tc>
        <w:tc>
          <w:tcPr>
            <w:tcW w:w="380" w:type="pct"/>
            <w:noWrap/>
            <w:vAlign w:val="center"/>
            <w:hideMark/>
          </w:tcPr>
          <w:p w14:paraId="6EF3347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25</w:t>
            </w:r>
          </w:p>
        </w:tc>
        <w:tc>
          <w:tcPr>
            <w:tcW w:w="203" w:type="pct"/>
            <w:vAlign w:val="center"/>
          </w:tcPr>
          <w:p w14:paraId="032FDDB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noWrap/>
            <w:vAlign w:val="center"/>
            <w:hideMark/>
          </w:tcPr>
          <w:p w14:paraId="5E5AA44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565C3079"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29BC812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3FB37DEC"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94" w:type="pct"/>
            <w:vAlign w:val="center"/>
          </w:tcPr>
          <w:p w14:paraId="63F2AEE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48" w:type="pct"/>
            <w:vAlign w:val="center"/>
          </w:tcPr>
          <w:p w14:paraId="702C005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88" w:type="pct"/>
            <w:shd w:val="clear" w:color="000000" w:fill="D9D9D9"/>
            <w:vAlign w:val="center"/>
            <w:hideMark/>
          </w:tcPr>
          <w:p w14:paraId="63172868"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03" w:type="pct"/>
            <w:vAlign w:val="center"/>
          </w:tcPr>
          <w:p w14:paraId="0A760D34"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6DE53B2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48" w:type="pct"/>
            <w:vAlign w:val="center"/>
            <w:hideMark/>
          </w:tcPr>
          <w:p w14:paraId="0E1C7C3A"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75D6842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41999AA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94" w:type="pct"/>
            <w:vAlign w:val="center"/>
            <w:hideMark/>
          </w:tcPr>
          <w:p w14:paraId="3CCEA62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tcPr>
          <w:p w14:paraId="5EC8E37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r>
      <w:tr w:rsidR="009123AC" w:rsidRPr="00F0379B" w14:paraId="38BC83E6" w14:textId="77777777" w:rsidTr="00CA749B">
        <w:trPr>
          <w:trHeight w:val="20"/>
        </w:trPr>
        <w:tc>
          <w:tcPr>
            <w:tcW w:w="1133" w:type="pct"/>
            <w:noWrap/>
            <w:vAlign w:val="center"/>
            <w:hideMark/>
          </w:tcPr>
          <w:p w14:paraId="1359701B"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Palangreros entre 24 y 40 m</w:t>
            </w:r>
          </w:p>
        </w:tc>
        <w:tc>
          <w:tcPr>
            <w:tcW w:w="380" w:type="pct"/>
            <w:noWrap/>
            <w:vAlign w:val="center"/>
            <w:hideMark/>
          </w:tcPr>
          <w:p w14:paraId="692E6E6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5,68</w:t>
            </w:r>
          </w:p>
        </w:tc>
        <w:tc>
          <w:tcPr>
            <w:tcW w:w="203" w:type="pct"/>
            <w:vAlign w:val="center"/>
          </w:tcPr>
          <w:p w14:paraId="354D96B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noWrap/>
            <w:vAlign w:val="center"/>
            <w:hideMark/>
          </w:tcPr>
          <w:p w14:paraId="7C9CDB8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289DAD98"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44196FDE"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1EE574B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94" w:type="pct"/>
            <w:vAlign w:val="center"/>
          </w:tcPr>
          <w:p w14:paraId="63BB348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48" w:type="pct"/>
            <w:vAlign w:val="center"/>
          </w:tcPr>
          <w:p w14:paraId="1FDABA5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88" w:type="pct"/>
            <w:shd w:val="clear" w:color="000000" w:fill="D9D9D9"/>
            <w:vAlign w:val="center"/>
            <w:hideMark/>
          </w:tcPr>
          <w:p w14:paraId="252A93C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03" w:type="pct"/>
            <w:vAlign w:val="center"/>
          </w:tcPr>
          <w:p w14:paraId="6D736D9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00410EB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48" w:type="pct"/>
            <w:vAlign w:val="center"/>
            <w:hideMark/>
          </w:tcPr>
          <w:p w14:paraId="5ADDF42B"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0FECFB3B"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116EADA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94" w:type="pct"/>
            <w:vAlign w:val="center"/>
            <w:hideMark/>
          </w:tcPr>
          <w:p w14:paraId="5E07868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tcPr>
          <w:p w14:paraId="61C0B3B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r>
      <w:tr w:rsidR="009123AC" w:rsidRPr="00F0379B" w14:paraId="7C334C34" w14:textId="77777777" w:rsidTr="00CA749B">
        <w:trPr>
          <w:trHeight w:val="251"/>
        </w:trPr>
        <w:tc>
          <w:tcPr>
            <w:tcW w:w="1133" w:type="pct"/>
            <w:noWrap/>
            <w:vAlign w:val="center"/>
            <w:hideMark/>
          </w:tcPr>
          <w:p w14:paraId="331CDC68"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Palangreros de menos de 24 m</w:t>
            </w:r>
          </w:p>
        </w:tc>
        <w:tc>
          <w:tcPr>
            <w:tcW w:w="380" w:type="pct"/>
            <w:noWrap/>
            <w:vAlign w:val="center"/>
            <w:hideMark/>
          </w:tcPr>
          <w:p w14:paraId="7540510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w:t>
            </w:r>
          </w:p>
        </w:tc>
        <w:tc>
          <w:tcPr>
            <w:tcW w:w="203" w:type="pct"/>
            <w:vAlign w:val="center"/>
          </w:tcPr>
          <w:p w14:paraId="3F7266AB"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noWrap/>
            <w:vAlign w:val="center"/>
            <w:hideMark/>
          </w:tcPr>
          <w:p w14:paraId="22D98D3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0F0AF0F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31CBDF5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75450198"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94" w:type="pct"/>
            <w:vAlign w:val="center"/>
          </w:tcPr>
          <w:p w14:paraId="735B2C5C"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48" w:type="pct"/>
            <w:vAlign w:val="center"/>
          </w:tcPr>
          <w:p w14:paraId="0BC1C74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88" w:type="pct"/>
            <w:shd w:val="clear" w:color="000000" w:fill="D9D9D9"/>
            <w:vAlign w:val="center"/>
            <w:hideMark/>
          </w:tcPr>
          <w:p w14:paraId="24069A0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03" w:type="pct"/>
            <w:vAlign w:val="center"/>
          </w:tcPr>
          <w:p w14:paraId="2C4FD0F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0D10661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48" w:type="pct"/>
            <w:vAlign w:val="center"/>
            <w:hideMark/>
          </w:tcPr>
          <w:p w14:paraId="4928D8A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3F0C017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4AA01B2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94" w:type="pct"/>
            <w:vAlign w:val="center"/>
            <w:hideMark/>
          </w:tcPr>
          <w:p w14:paraId="7B3F5FFE"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tcPr>
          <w:p w14:paraId="49527A8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r>
      <w:tr w:rsidR="009123AC" w:rsidRPr="00F0379B" w14:paraId="1E17D9B4" w14:textId="77777777" w:rsidTr="00CA749B">
        <w:trPr>
          <w:trHeight w:val="20"/>
        </w:trPr>
        <w:tc>
          <w:tcPr>
            <w:tcW w:w="1133" w:type="pct"/>
            <w:noWrap/>
            <w:vAlign w:val="center"/>
            <w:hideMark/>
          </w:tcPr>
          <w:p w14:paraId="56FF6BD0"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Total flota de palangre</w:t>
            </w:r>
          </w:p>
        </w:tc>
        <w:tc>
          <w:tcPr>
            <w:tcW w:w="380" w:type="pct"/>
            <w:noWrap/>
            <w:vAlign w:val="center"/>
            <w:hideMark/>
          </w:tcPr>
          <w:p w14:paraId="1FD7ED65" w14:textId="77777777" w:rsidR="009123AC" w:rsidRPr="00F0379B" w:rsidRDefault="009123AC" w:rsidP="009123AC">
            <w:pPr>
              <w:widowControl w:val="0"/>
              <w:spacing w:after="0" w:line="240" w:lineRule="auto"/>
              <w:jc w:val="center"/>
              <w:rPr>
                <w:rFonts w:ascii="Times New Roman" w:eastAsia="Times New Roman" w:hAnsi="Times New Roman" w:cs="Times New Roman"/>
                <w:color w:val="000000"/>
                <w:sz w:val="16"/>
                <w:lang w:eastAsia="fr-FR" w:bidi="fr-FR"/>
              </w:rPr>
            </w:pPr>
          </w:p>
        </w:tc>
        <w:tc>
          <w:tcPr>
            <w:tcW w:w="203" w:type="pct"/>
            <w:vAlign w:val="center"/>
          </w:tcPr>
          <w:p w14:paraId="39BB059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noWrap/>
            <w:vAlign w:val="center"/>
            <w:hideMark/>
          </w:tcPr>
          <w:p w14:paraId="56D18FA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hideMark/>
          </w:tcPr>
          <w:p w14:paraId="407FC1F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00402C1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38E7692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94" w:type="pct"/>
            <w:vAlign w:val="center"/>
          </w:tcPr>
          <w:p w14:paraId="20B918D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48" w:type="pct"/>
            <w:vAlign w:val="center"/>
          </w:tcPr>
          <w:p w14:paraId="77FAD00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88" w:type="pct"/>
            <w:shd w:val="clear" w:color="000000" w:fill="D9D9D9"/>
            <w:vAlign w:val="center"/>
            <w:hideMark/>
          </w:tcPr>
          <w:p w14:paraId="6C0AF01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03" w:type="pct"/>
            <w:vAlign w:val="center"/>
          </w:tcPr>
          <w:p w14:paraId="7AAA471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hideMark/>
          </w:tcPr>
          <w:p w14:paraId="71767DB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48" w:type="pct"/>
            <w:vAlign w:val="center"/>
            <w:hideMark/>
          </w:tcPr>
          <w:p w14:paraId="69C0F9F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2B43678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53E69EB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94" w:type="pct"/>
            <w:vAlign w:val="center"/>
            <w:hideMark/>
          </w:tcPr>
          <w:p w14:paraId="5163F76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tcPr>
          <w:p w14:paraId="0316D5E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r>
      <w:tr w:rsidR="009123AC" w:rsidRPr="00F0379B" w14:paraId="2A426E37" w14:textId="77777777" w:rsidTr="00CA749B">
        <w:trPr>
          <w:trHeight w:val="20"/>
        </w:trPr>
        <w:tc>
          <w:tcPr>
            <w:tcW w:w="1133" w:type="pct"/>
            <w:noWrap/>
            <w:vAlign w:val="center"/>
            <w:hideMark/>
          </w:tcPr>
          <w:p w14:paraId="14079461"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Cebo vivo</w:t>
            </w:r>
          </w:p>
        </w:tc>
        <w:tc>
          <w:tcPr>
            <w:tcW w:w="380" w:type="pct"/>
            <w:noWrap/>
            <w:vAlign w:val="center"/>
            <w:hideMark/>
          </w:tcPr>
          <w:p w14:paraId="01D40A6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19,75</w:t>
            </w:r>
          </w:p>
        </w:tc>
        <w:tc>
          <w:tcPr>
            <w:tcW w:w="203" w:type="pct"/>
            <w:vAlign w:val="center"/>
          </w:tcPr>
          <w:p w14:paraId="3E9F0D7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noWrap/>
            <w:vAlign w:val="center"/>
            <w:hideMark/>
          </w:tcPr>
          <w:p w14:paraId="76D4937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hideMark/>
          </w:tcPr>
          <w:p w14:paraId="5429B85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5F9183F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6C81B5C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94" w:type="pct"/>
            <w:vAlign w:val="center"/>
          </w:tcPr>
          <w:p w14:paraId="4727CC4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48" w:type="pct"/>
            <w:vAlign w:val="center"/>
          </w:tcPr>
          <w:p w14:paraId="5CD51EDA"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88" w:type="pct"/>
            <w:shd w:val="clear" w:color="000000" w:fill="D9D9D9"/>
            <w:vAlign w:val="center"/>
            <w:hideMark/>
          </w:tcPr>
          <w:p w14:paraId="770D879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03" w:type="pct"/>
            <w:vAlign w:val="center"/>
          </w:tcPr>
          <w:p w14:paraId="5D1738A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hideMark/>
          </w:tcPr>
          <w:p w14:paraId="5EE5D45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48" w:type="pct"/>
            <w:vAlign w:val="center"/>
            <w:hideMark/>
          </w:tcPr>
          <w:p w14:paraId="321097E7"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41A0418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3BFE8BE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94" w:type="pct"/>
            <w:vAlign w:val="center"/>
            <w:hideMark/>
          </w:tcPr>
          <w:p w14:paraId="2F499E5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tcPr>
          <w:p w14:paraId="364C5AC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r>
      <w:tr w:rsidR="009123AC" w:rsidRPr="00F0379B" w14:paraId="208C734E" w14:textId="77777777" w:rsidTr="00CA749B">
        <w:trPr>
          <w:trHeight w:val="20"/>
        </w:trPr>
        <w:tc>
          <w:tcPr>
            <w:tcW w:w="1133" w:type="pct"/>
            <w:noWrap/>
            <w:vAlign w:val="center"/>
            <w:hideMark/>
          </w:tcPr>
          <w:p w14:paraId="518AEE20"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Liña de mano</w:t>
            </w:r>
          </w:p>
        </w:tc>
        <w:tc>
          <w:tcPr>
            <w:tcW w:w="380" w:type="pct"/>
            <w:noWrap/>
            <w:vAlign w:val="center"/>
            <w:hideMark/>
          </w:tcPr>
          <w:p w14:paraId="59DE19AA"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w:t>
            </w:r>
          </w:p>
        </w:tc>
        <w:tc>
          <w:tcPr>
            <w:tcW w:w="203" w:type="pct"/>
            <w:vAlign w:val="center"/>
          </w:tcPr>
          <w:p w14:paraId="388B790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noWrap/>
            <w:vAlign w:val="center"/>
            <w:hideMark/>
          </w:tcPr>
          <w:p w14:paraId="59AE0AEE"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04E6381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0F016AF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4472806B"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94" w:type="pct"/>
            <w:vAlign w:val="center"/>
          </w:tcPr>
          <w:p w14:paraId="77B56328"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48" w:type="pct"/>
            <w:vAlign w:val="center"/>
          </w:tcPr>
          <w:p w14:paraId="04A9F104"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88" w:type="pct"/>
            <w:shd w:val="clear" w:color="000000" w:fill="D9D9D9"/>
            <w:vAlign w:val="center"/>
            <w:hideMark/>
          </w:tcPr>
          <w:p w14:paraId="068FE71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03" w:type="pct"/>
            <w:vAlign w:val="center"/>
          </w:tcPr>
          <w:p w14:paraId="59A23A5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3FA62B8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48" w:type="pct"/>
            <w:vAlign w:val="center"/>
            <w:hideMark/>
          </w:tcPr>
          <w:p w14:paraId="64DF90E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6FC80CF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68A57DD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94" w:type="pct"/>
            <w:vAlign w:val="center"/>
            <w:hideMark/>
          </w:tcPr>
          <w:p w14:paraId="2FDACBD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tcPr>
          <w:p w14:paraId="77CA222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r>
      <w:tr w:rsidR="009123AC" w:rsidRPr="00F0379B" w14:paraId="5E282A65" w14:textId="77777777" w:rsidTr="00CA749B">
        <w:trPr>
          <w:trHeight w:val="20"/>
        </w:trPr>
        <w:tc>
          <w:tcPr>
            <w:tcW w:w="1133" w:type="pct"/>
            <w:noWrap/>
            <w:vAlign w:val="center"/>
            <w:hideMark/>
          </w:tcPr>
          <w:p w14:paraId="4730420A"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Arrastrero</w:t>
            </w:r>
          </w:p>
        </w:tc>
        <w:tc>
          <w:tcPr>
            <w:tcW w:w="380" w:type="pct"/>
            <w:noWrap/>
            <w:vAlign w:val="center"/>
            <w:hideMark/>
          </w:tcPr>
          <w:p w14:paraId="2162572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10</w:t>
            </w:r>
          </w:p>
        </w:tc>
        <w:tc>
          <w:tcPr>
            <w:tcW w:w="203" w:type="pct"/>
            <w:vAlign w:val="center"/>
          </w:tcPr>
          <w:p w14:paraId="54B5F44A"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noWrap/>
            <w:vAlign w:val="center"/>
            <w:hideMark/>
          </w:tcPr>
          <w:p w14:paraId="6369B08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68A5BEE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39995C9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4B80E67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94" w:type="pct"/>
            <w:vAlign w:val="center"/>
          </w:tcPr>
          <w:p w14:paraId="2B1546A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48" w:type="pct"/>
            <w:vAlign w:val="center"/>
          </w:tcPr>
          <w:p w14:paraId="6A43769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88" w:type="pct"/>
            <w:shd w:val="clear" w:color="000000" w:fill="D9D9D9"/>
            <w:vAlign w:val="center"/>
            <w:hideMark/>
          </w:tcPr>
          <w:p w14:paraId="3928579E"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03" w:type="pct"/>
            <w:vAlign w:val="center"/>
          </w:tcPr>
          <w:p w14:paraId="5BB6120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72DF6BC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48" w:type="pct"/>
            <w:vAlign w:val="center"/>
            <w:hideMark/>
          </w:tcPr>
          <w:p w14:paraId="00361F64"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375EE31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4E39F5AB"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94" w:type="pct"/>
            <w:vAlign w:val="center"/>
            <w:hideMark/>
          </w:tcPr>
          <w:p w14:paraId="209277F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tcPr>
          <w:p w14:paraId="2E11063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r>
      <w:tr w:rsidR="009123AC" w:rsidRPr="00F0379B" w14:paraId="6DB52813" w14:textId="77777777" w:rsidTr="00CA749B">
        <w:trPr>
          <w:trHeight w:val="20"/>
        </w:trPr>
        <w:tc>
          <w:tcPr>
            <w:tcW w:w="1133" w:type="pct"/>
            <w:noWrap/>
            <w:vAlign w:val="center"/>
            <w:hideMark/>
          </w:tcPr>
          <w:p w14:paraId="45EF4A4B"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Almadraba</w:t>
            </w:r>
          </w:p>
        </w:tc>
        <w:tc>
          <w:tcPr>
            <w:tcW w:w="380" w:type="pct"/>
            <w:noWrap/>
            <w:vAlign w:val="center"/>
            <w:hideMark/>
          </w:tcPr>
          <w:p w14:paraId="080204C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130</w:t>
            </w:r>
          </w:p>
        </w:tc>
        <w:tc>
          <w:tcPr>
            <w:tcW w:w="203" w:type="pct"/>
            <w:vAlign w:val="center"/>
          </w:tcPr>
          <w:p w14:paraId="507DFE7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noWrap/>
            <w:vAlign w:val="center"/>
            <w:hideMark/>
          </w:tcPr>
          <w:p w14:paraId="0C98E41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hideMark/>
          </w:tcPr>
          <w:p w14:paraId="607328A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3CEBC13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3B607BC7"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94" w:type="pct"/>
            <w:vAlign w:val="center"/>
          </w:tcPr>
          <w:p w14:paraId="7F79537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48" w:type="pct"/>
            <w:vAlign w:val="center"/>
          </w:tcPr>
          <w:p w14:paraId="6C84C63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88" w:type="pct"/>
            <w:shd w:val="clear" w:color="000000" w:fill="D9D9D9"/>
            <w:vAlign w:val="center"/>
            <w:hideMark/>
          </w:tcPr>
          <w:p w14:paraId="3CB503B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03" w:type="pct"/>
            <w:vAlign w:val="center"/>
          </w:tcPr>
          <w:p w14:paraId="075C9EA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hideMark/>
          </w:tcPr>
          <w:p w14:paraId="073F73B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48" w:type="pct"/>
            <w:vAlign w:val="center"/>
            <w:hideMark/>
          </w:tcPr>
          <w:p w14:paraId="28460CE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226A4F0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6366166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94" w:type="pct"/>
            <w:vAlign w:val="center"/>
            <w:hideMark/>
          </w:tcPr>
          <w:p w14:paraId="5E76785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tcPr>
          <w:p w14:paraId="01F34BF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r>
      <w:tr w:rsidR="009123AC" w:rsidRPr="00F0379B" w14:paraId="0FA31A20" w14:textId="77777777" w:rsidTr="00CA749B">
        <w:trPr>
          <w:trHeight w:val="20"/>
        </w:trPr>
        <w:tc>
          <w:tcPr>
            <w:tcW w:w="1133" w:type="pct"/>
            <w:vAlign w:val="center"/>
            <w:hideMark/>
          </w:tcPr>
          <w:p w14:paraId="59CF64B4"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Pequeños barcos costeros</w:t>
            </w:r>
          </w:p>
        </w:tc>
        <w:tc>
          <w:tcPr>
            <w:tcW w:w="380" w:type="pct"/>
            <w:noWrap/>
            <w:vAlign w:val="center"/>
            <w:hideMark/>
          </w:tcPr>
          <w:p w14:paraId="04572B48"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No aplicable</w:t>
            </w:r>
          </w:p>
        </w:tc>
        <w:tc>
          <w:tcPr>
            <w:tcW w:w="203" w:type="pct"/>
            <w:vAlign w:val="center"/>
          </w:tcPr>
          <w:p w14:paraId="1F240D2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noWrap/>
            <w:vAlign w:val="center"/>
            <w:hideMark/>
          </w:tcPr>
          <w:p w14:paraId="45183F4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hideMark/>
          </w:tcPr>
          <w:p w14:paraId="4E4102B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2F1180C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4D86B79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94" w:type="pct"/>
            <w:vAlign w:val="center"/>
          </w:tcPr>
          <w:p w14:paraId="443D555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48" w:type="pct"/>
            <w:vAlign w:val="center"/>
          </w:tcPr>
          <w:p w14:paraId="00001419"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88" w:type="pct"/>
            <w:shd w:val="clear" w:color="000000" w:fill="D9D9D9"/>
            <w:vAlign w:val="center"/>
            <w:hideMark/>
          </w:tcPr>
          <w:p w14:paraId="1E0FB19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03" w:type="pct"/>
            <w:vAlign w:val="center"/>
          </w:tcPr>
          <w:p w14:paraId="5B1DA62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hideMark/>
          </w:tcPr>
          <w:p w14:paraId="1B7C372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48" w:type="pct"/>
            <w:vAlign w:val="center"/>
            <w:hideMark/>
          </w:tcPr>
          <w:p w14:paraId="075CBF3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0C2077F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54A760E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94" w:type="pct"/>
            <w:vAlign w:val="center"/>
            <w:hideMark/>
          </w:tcPr>
          <w:p w14:paraId="343C4DE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tcPr>
          <w:p w14:paraId="0885CA0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r>
      <w:tr w:rsidR="009123AC" w:rsidRPr="00F0379B" w14:paraId="2656A6FB" w14:textId="77777777" w:rsidTr="00CA749B">
        <w:trPr>
          <w:trHeight w:val="20"/>
        </w:trPr>
        <w:tc>
          <w:tcPr>
            <w:tcW w:w="1133" w:type="pct"/>
            <w:vAlign w:val="center"/>
            <w:hideMark/>
          </w:tcPr>
          <w:p w14:paraId="7F2DF2F8"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Otros (especificar)</w:t>
            </w:r>
          </w:p>
        </w:tc>
        <w:tc>
          <w:tcPr>
            <w:tcW w:w="380" w:type="pct"/>
            <w:noWrap/>
            <w:vAlign w:val="center"/>
            <w:hideMark/>
          </w:tcPr>
          <w:p w14:paraId="20CF20E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w:t>
            </w:r>
          </w:p>
        </w:tc>
        <w:tc>
          <w:tcPr>
            <w:tcW w:w="203" w:type="pct"/>
            <w:vAlign w:val="center"/>
          </w:tcPr>
          <w:p w14:paraId="452D63A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noWrap/>
            <w:vAlign w:val="center"/>
            <w:hideMark/>
          </w:tcPr>
          <w:p w14:paraId="7953F60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hideMark/>
          </w:tcPr>
          <w:p w14:paraId="25130D0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66E81B0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71612EE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94" w:type="pct"/>
            <w:vAlign w:val="center"/>
          </w:tcPr>
          <w:p w14:paraId="38508A6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48" w:type="pct"/>
            <w:vAlign w:val="center"/>
          </w:tcPr>
          <w:p w14:paraId="04DAD728"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88" w:type="pct"/>
            <w:shd w:val="clear" w:color="000000" w:fill="D9D9D9"/>
            <w:vAlign w:val="center"/>
            <w:hideMark/>
          </w:tcPr>
          <w:p w14:paraId="5A7CDA6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03" w:type="pct"/>
            <w:vAlign w:val="center"/>
          </w:tcPr>
          <w:p w14:paraId="02D4204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hideMark/>
          </w:tcPr>
          <w:p w14:paraId="1EE607E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48" w:type="pct"/>
            <w:vAlign w:val="center"/>
            <w:hideMark/>
          </w:tcPr>
          <w:p w14:paraId="79C8E0E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2A6A296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hideMark/>
          </w:tcPr>
          <w:p w14:paraId="45C2787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94" w:type="pct"/>
            <w:vAlign w:val="center"/>
            <w:hideMark/>
          </w:tcPr>
          <w:p w14:paraId="5094E56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60" w:type="pct"/>
            <w:vAlign w:val="center"/>
          </w:tcPr>
          <w:p w14:paraId="7B311DF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r>
      <w:tr w:rsidR="009123AC" w:rsidRPr="00F0379B" w14:paraId="3D7639DE" w14:textId="77777777" w:rsidTr="00CA749B">
        <w:trPr>
          <w:trHeight w:val="20"/>
        </w:trPr>
        <w:tc>
          <w:tcPr>
            <w:tcW w:w="1133" w:type="pct"/>
            <w:noWrap/>
            <w:vAlign w:val="center"/>
            <w:hideMark/>
          </w:tcPr>
          <w:p w14:paraId="6550AB8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Capacidad pesquera/flota total</w:t>
            </w:r>
          </w:p>
        </w:tc>
        <w:tc>
          <w:tcPr>
            <w:tcW w:w="380" w:type="pct"/>
            <w:noWrap/>
            <w:vAlign w:val="center"/>
            <w:hideMark/>
          </w:tcPr>
          <w:p w14:paraId="62D1F4D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03" w:type="pct"/>
            <w:vAlign w:val="center"/>
          </w:tcPr>
          <w:p w14:paraId="2BAA09C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noWrap/>
            <w:vAlign w:val="center"/>
            <w:hideMark/>
          </w:tcPr>
          <w:p w14:paraId="35453FC7"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hideMark/>
          </w:tcPr>
          <w:p w14:paraId="3CAC892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1</w:t>
            </w:r>
          </w:p>
        </w:tc>
        <w:tc>
          <w:tcPr>
            <w:tcW w:w="260" w:type="pct"/>
            <w:vAlign w:val="center"/>
            <w:hideMark/>
          </w:tcPr>
          <w:p w14:paraId="4215E75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2</w:t>
            </w:r>
          </w:p>
        </w:tc>
        <w:tc>
          <w:tcPr>
            <w:tcW w:w="260" w:type="pct"/>
            <w:vAlign w:val="center"/>
            <w:hideMark/>
          </w:tcPr>
          <w:p w14:paraId="5D59F15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2</w:t>
            </w:r>
          </w:p>
        </w:tc>
        <w:tc>
          <w:tcPr>
            <w:tcW w:w="294" w:type="pct"/>
            <w:vAlign w:val="center"/>
          </w:tcPr>
          <w:p w14:paraId="5E8B870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2</w:t>
            </w:r>
          </w:p>
        </w:tc>
        <w:tc>
          <w:tcPr>
            <w:tcW w:w="248" w:type="pct"/>
            <w:vAlign w:val="center"/>
          </w:tcPr>
          <w:p w14:paraId="29C889F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w:t>
            </w:r>
          </w:p>
        </w:tc>
        <w:tc>
          <w:tcPr>
            <w:tcW w:w="88" w:type="pct"/>
            <w:shd w:val="clear" w:color="000000" w:fill="D9D9D9"/>
            <w:vAlign w:val="center"/>
            <w:hideMark/>
          </w:tcPr>
          <w:p w14:paraId="0D6086F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p>
        </w:tc>
        <w:tc>
          <w:tcPr>
            <w:tcW w:w="203" w:type="pct"/>
            <w:vAlign w:val="center"/>
          </w:tcPr>
          <w:p w14:paraId="4B26963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hideMark/>
          </w:tcPr>
          <w:p w14:paraId="225D5F5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48" w:type="pct"/>
            <w:vAlign w:val="center"/>
            <w:hideMark/>
          </w:tcPr>
          <w:p w14:paraId="731FA8F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49,78</w:t>
            </w:r>
          </w:p>
        </w:tc>
        <w:tc>
          <w:tcPr>
            <w:tcW w:w="260" w:type="pct"/>
            <w:noWrap/>
            <w:vAlign w:val="center"/>
            <w:hideMark/>
          </w:tcPr>
          <w:p w14:paraId="20A2823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99,56</w:t>
            </w:r>
          </w:p>
        </w:tc>
        <w:tc>
          <w:tcPr>
            <w:tcW w:w="260" w:type="pct"/>
            <w:noWrap/>
            <w:vAlign w:val="center"/>
            <w:hideMark/>
          </w:tcPr>
          <w:p w14:paraId="156B757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99,56</w:t>
            </w:r>
          </w:p>
        </w:tc>
        <w:tc>
          <w:tcPr>
            <w:tcW w:w="294" w:type="pct"/>
            <w:noWrap/>
            <w:vAlign w:val="center"/>
            <w:hideMark/>
          </w:tcPr>
          <w:p w14:paraId="56853FA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99,56</w:t>
            </w:r>
          </w:p>
        </w:tc>
        <w:tc>
          <w:tcPr>
            <w:tcW w:w="260" w:type="pct"/>
            <w:vAlign w:val="center"/>
          </w:tcPr>
          <w:p w14:paraId="50E6B33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99,56</w:t>
            </w:r>
          </w:p>
        </w:tc>
      </w:tr>
      <w:tr w:rsidR="009123AC" w:rsidRPr="00F0379B" w14:paraId="0CAC338F" w14:textId="77777777" w:rsidTr="00CA749B">
        <w:trPr>
          <w:trHeight w:val="20"/>
        </w:trPr>
        <w:tc>
          <w:tcPr>
            <w:tcW w:w="1133" w:type="pct"/>
            <w:shd w:val="clear" w:color="auto" w:fill="D9D9D9"/>
            <w:noWrap/>
            <w:vAlign w:val="center"/>
            <w:hideMark/>
          </w:tcPr>
          <w:p w14:paraId="7B96E145"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Cuota inicial</w:t>
            </w:r>
          </w:p>
        </w:tc>
        <w:tc>
          <w:tcPr>
            <w:tcW w:w="380" w:type="pct"/>
            <w:shd w:val="clear" w:color="auto" w:fill="D9D9D9"/>
            <w:noWrap/>
            <w:vAlign w:val="center"/>
            <w:hideMark/>
          </w:tcPr>
          <w:p w14:paraId="664D1C49"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03" w:type="pct"/>
            <w:shd w:val="clear" w:color="auto" w:fill="D9D9D9"/>
            <w:vAlign w:val="center"/>
          </w:tcPr>
          <w:p w14:paraId="3742FF0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shd w:val="clear" w:color="auto" w:fill="D9D9D9"/>
            <w:noWrap/>
            <w:vAlign w:val="center"/>
            <w:hideMark/>
          </w:tcPr>
          <w:p w14:paraId="203F6A18"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shd w:val="clear" w:color="auto" w:fill="D9D9D9"/>
            <w:vAlign w:val="center"/>
            <w:hideMark/>
          </w:tcPr>
          <w:p w14:paraId="3BD5E26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shd w:val="clear" w:color="auto" w:fill="D9D9D9"/>
            <w:vAlign w:val="center"/>
            <w:hideMark/>
          </w:tcPr>
          <w:p w14:paraId="175C42EC"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513</w:t>
            </w:r>
          </w:p>
        </w:tc>
        <w:tc>
          <w:tcPr>
            <w:tcW w:w="260" w:type="pct"/>
            <w:shd w:val="clear" w:color="auto" w:fill="D9D9D9"/>
            <w:vAlign w:val="center"/>
            <w:hideMark/>
          </w:tcPr>
          <w:p w14:paraId="49800A9C"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513</w:t>
            </w:r>
          </w:p>
        </w:tc>
        <w:tc>
          <w:tcPr>
            <w:tcW w:w="294" w:type="pct"/>
            <w:shd w:val="clear" w:color="auto" w:fill="D9D9D9"/>
            <w:vAlign w:val="center"/>
          </w:tcPr>
          <w:p w14:paraId="5023E95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513</w:t>
            </w:r>
          </w:p>
        </w:tc>
        <w:tc>
          <w:tcPr>
            <w:tcW w:w="248" w:type="pct"/>
            <w:shd w:val="clear" w:color="auto" w:fill="D9D9D9"/>
            <w:vAlign w:val="center"/>
          </w:tcPr>
          <w:p w14:paraId="0CBAE92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549</w:t>
            </w:r>
          </w:p>
        </w:tc>
        <w:tc>
          <w:tcPr>
            <w:tcW w:w="88" w:type="pct"/>
            <w:shd w:val="clear" w:color="auto" w:fill="D9D9D9"/>
            <w:vAlign w:val="center"/>
            <w:hideMark/>
          </w:tcPr>
          <w:p w14:paraId="798F2208"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03" w:type="pct"/>
            <w:shd w:val="clear" w:color="auto" w:fill="D9D9D9"/>
            <w:vAlign w:val="center"/>
          </w:tcPr>
          <w:p w14:paraId="031974D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shd w:val="clear" w:color="auto" w:fill="D9D9D9"/>
            <w:vAlign w:val="center"/>
            <w:hideMark/>
          </w:tcPr>
          <w:p w14:paraId="02A3E6D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48" w:type="pct"/>
            <w:shd w:val="clear" w:color="auto" w:fill="D9D9D9"/>
            <w:vAlign w:val="center"/>
            <w:hideMark/>
          </w:tcPr>
          <w:p w14:paraId="64DADF28"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181</w:t>
            </w:r>
          </w:p>
        </w:tc>
        <w:tc>
          <w:tcPr>
            <w:tcW w:w="260" w:type="pct"/>
            <w:shd w:val="clear" w:color="auto" w:fill="D9D9D9"/>
            <w:vAlign w:val="center"/>
            <w:hideMark/>
          </w:tcPr>
          <w:p w14:paraId="3BAFDC5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513</w:t>
            </w:r>
          </w:p>
        </w:tc>
        <w:tc>
          <w:tcPr>
            <w:tcW w:w="260" w:type="pct"/>
            <w:shd w:val="clear" w:color="auto" w:fill="D9D9D9"/>
            <w:vAlign w:val="center"/>
            <w:hideMark/>
          </w:tcPr>
          <w:p w14:paraId="64A4CD7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513</w:t>
            </w:r>
          </w:p>
        </w:tc>
        <w:tc>
          <w:tcPr>
            <w:tcW w:w="294" w:type="pct"/>
            <w:shd w:val="clear" w:color="auto" w:fill="D9D9D9"/>
            <w:vAlign w:val="center"/>
            <w:hideMark/>
          </w:tcPr>
          <w:p w14:paraId="216C5D7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513</w:t>
            </w:r>
          </w:p>
        </w:tc>
        <w:tc>
          <w:tcPr>
            <w:tcW w:w="260" w:type="pct"/>
            <w:shd w:val="clear" w:color="auto" w:fill="D9D9D9"/>
            <w:vAlign w:val="center"/>
          </w:tcPr>
          <w:p w14:paraId="5549D639"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549</w:t>
            </w:r>
          </w:p>
        </w:tc>
      </w:tr>
      <w:tr w:rsidR="009123AC" w:rsidRPr="00F0379B" w14:paraId="5F1BF220" w14:textId="77777777" w:rsidTr="00CA749B">
        <w:trPr>
          <w:trHeight w:val="20"/>
        </w:trPr>
        <w:tc>
          <w:tcPr>
            <w:tcW w:w="1133" w:type="pct"/>
            <w:shd w:val="clear" w:color="auto" w:fill="D9D9D9"/>
            <w:noWrap/>
            <w:vAlign w:val="center"/>
          </w:tcPr>
          <w:p w14:paraId="4542A92D"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Cuota ajustada (si procede)</w:t>
            </w:r>
          </w:p>
        </w:tc>
        <w:tc>
          <w:tcPr>
            <w:tcW w:w="380" w:type="pct"/>
            <w:shd w:val="clear" w:color="auto" w:fill="D9D9D9"/>
            <w:noWrap/>
            <w:vAlign w:val="center"/>
          </w:tcPr>
          <w:p w14:paraId="2960EDFA"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03" w:type="pct"/>
            <w:shd w:val="clear" w:color="auto" w:fill="D9D9D9"/>
            <w:vAlign w:val="center"/>
          </w:tcPr>
          <w:p w14:paraId="0696665E"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shd w:val="clear" w:color="auto" w:fill="D9D9D9"/>
            <w:noWrap/>
            <w:vAlign w:val="center"/>
          </w:tcPr>
          <w:p w14:paraId="52E1CFC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shd w:val="clear" w:color="auto" w:fill="D9D9D9"/>
            <w:vAlign w:val="center"/>
          </w:tcPr>
          <w:p w14:paraId="3BEC146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60" w:type="pct"/>
            <w:shd w:val="clear" w:color="auto" w:fill="D9D9D9"/>
            <w:vAlign w:val="center"/>
          </w:tcPr>
          <w:p w14:paraId="6AD68AFA"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60" w:type="pct"/>
            <w:shd w:val="clear" w:color="auto" w:fill="D9D9D9"/>
            <w:vAlign w:val="center"/>
          </w:tcPr>
          <w:p w14:paraId="439E8C6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94" w:type="pct"/>
            <w:shd w:val="clear" w:color="auto" w:fill="D9D9D9"/>
            <w:vAlign w:val="center"/>
          </w:tcPr>
          <w:p w14:paraId="347E62A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48" w:type="pct"/>
            <w:shd w:val="clear" w:color="auto" w:fill="D9D9D9"/>
            <w:vAlign w:val="center"/>
          </w:tcPr>
          <w:p w14:paraId="6F9B82D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88" w:type="pct"/>
            <w:shd w:val="clear" w:color="auto" w:fill="D9D9D9"/>
            <w:vAlign w:val="center"/>
          </w:tcPr>
          <w:p w14:paraId="3BF6B08B"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03" w:type="pct"/>
            <w:shd w:val="clear" w:color="auto" w:fill="D9D9D9"/>
            <w:vAlign w:val="center"/>
          </w:tcPr>
          <w:p w14:paraId="01DFA0E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shd w:val="clear" w:color="auto" w:fill="D9D9D9"/>
            <w:vAlign w:val="center"/>
          </w:tcPr>
          <w:p w14:paraId="7B2BD68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48" w:type="pct"/>
            <w:shd w:val="clear" w:color="auto" w:fill="D9D9D9"/>
            <w:vAlign w:val="center"/>
          </w:tcPr>
          <w:p w14:paraId="5BD16CAE"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60" w:type="pct"/>
            <w:shd w:val="clear" w:color="auto" w:fill="D9D9D9"/>
            <w:vAlign w:val="center"/>
          </w:tcPr>
          <w:p w14:paraId="0C43412E"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NA</w:t>
            </w:r>
          </w:p>
        </w:tc>
        <w:tc>
          <w:tcPr>
            <w:tcW w:w="260" w:type="pct"/>
            <w:shd w:val="clear" w:color="auto" w:fill="D9D9D9"/>
            <w:vAlign w:val="center"/>
          </w:tcPr>
          <w:p w14:paraId="0B283FC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NA</w:t>
            </w:r>
          </w:p>
        </w:tc>
        <w:tc>
          <w:tcPr>
            <w:tcW w:w="294" w:type="pct"/>
            <w:shd w:val="clear" w:color="auto" w:fill="D9D9D9"/>
            <w:vAlign w:val="center"/>
          </w:tcPr>
          <w:p w14:paraId="222291E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NA</w:t>
            </w:r>
          </w:p>
        </w:tc>
        <w:tc>
          <w:tcPr>
            <w:tcW w:w="260" w:type="pct"/>
            <w:shd w:val="clear" w:color="auto" w:fill="D9D9D9"/>
            <w:vAlign w:val="center"/>
          </w:tcPr>
          <w:p w14:paraId="2343122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NA</w:t>
            </w:r>
          </w:p>
        </w:tc>
      </w:tr>
      <w:tr w:rsidR="009123AC" w:rsidRPr="00F0379B" w14:paraId="4BB109AA" w14:textId="77777777" w:rsidTr="00CA749B">
        <w:trPr>
          <w:trHeight w:val="20"/>
        </w:trPr>
        <w:tc>
          <w:tcPr>
            <w:tcW w:w="1133" w:type="pct"/>
            <w:noWrap/>
            <w:vAlign w:val="center"/>
            <w:hideMark/>
          </w:tcPr>
          <w:p w14:paraId="4E24A9EA"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Porcentaje asignado a captura fortuita</w:t>
            </w:r>
          </w:p>
        </w:tc>
        <w:tc>
          <w:tcPr>
            <w:tcW w:w="380" w:type="pct"/>
            <w:noWrap/>
            <w:vAlign w:val="center"/>
            <w:hideMark/>
          </w:tcPr>
          <w:p w14:paraId="6F974C3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03" w:type="pct"/>
            <w:vAlign w:val="center"/>
          </w:tcPr>
          <w:p w14:paraId="1A550FB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noWrap/>
            <w:vAlign w:val="center"/>
            <w:hideMark/>
          </w:tcPr>
          <w:p w14:paraId="4C4898A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181508DA"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7A013FE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w:t>
            </w:r>
          </w:p>
        </w:tc>
        <w:tc>
          <w:tcPr>
            <w:tcW w:w="260" w:type="pct"/>
            <w:vAlign w:val="center"/>
            <w:hideMark/>
          </w:tcPr>
          <w:p w14:paraId="1CFE51CC"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w:t>
            </w:r>
          </w:p>
        </w:tc>
        <w:tc>
          <w:tcPr>
            <w:tcW w:w="294" w:type="pct"/>
            <w:vAlign w:val="center"/>
          </w:tcPr>
          <w:p w14:paraId="6394CBC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1,038%</w:t>
            </w:r>
          </w:p>
        </w:tc>
        <w:tc>
          <w:tcPr>
            <w:tcW w:w="248" w:type="pct"/>
            <w:vAlign w:val="center"/>
          </w:tcPr>
          <w:p w14:paraId="5E59CAB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w:t>
            </w:r>
          </w:p>
        </w:tc>
        <w:tc>
          <w:tcPr>
            <w:tcW w:w="88" w:type="pct"/>
            <w:shd w:val="clear" w:color="000000" w:fill="D9D9D9"/>
            <w:vAlign w:val="center"/>
            <w:hideMark/>
          </w:tcPr>
          <w:p w14:paraId="35C27DE9"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03" w:type="pct"/>
            <w:vAlign w:val="center"/>
          </w:tcPr>
          <w:p w14:paraId="01652CAA"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hideMark/>
          </w:tcPr>
          <w:p w14:paraId="216F212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48" w:type="pct"/>
            <w:vAlign w:val="center"/>
            <w:hideMark/>
          </w:tcPr>
          <w:p w14:paraId="3F57427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vAlign w:val="center"/>
            <w:hideMark/>
          </w:tcPr>
          <w:p w14:paraId="119C984C"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w:t>
            </w:r>
          </w:p>
        </w:tc>
        <w:tc>
          <w:tcPr>
            <w:tcW w:w="260" w:type="pct"/>
            <w:vAlign w:val="center"/>
            <w:hideMark/>
          </w:tcPr>
          <w:p w14:paraId="3F8B500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w:t>
            </w:r>
          </w:p>
        </w:tc>
        <w:tc>
          <w:tcPr>
            <w:tcW w:w="294" w:type="pct"/>
            <w:vAlign w:val="center"/>
            <w:hideMark/>
          </w:tcPr>
          <w:p w14:paraId="5E8B2EFB"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1,038%</w:t>
            </w:r>
          </w:p>
        </w:tc>
        <w:tc>
          <w:tcPr>
            <w:tcW w:w="260" w:type="pct"/>
            <w:vAlign w:val="center"/>
          </w:tcPr>
          <w:p w14:paraId="1C9643BA"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Times New Roman" w:eastAsia="MS Gothic" w:hAnsi="Times New Roman" w:cs="Times New Roman"/>
                <w:color w:val="000000"/>
                <w:sz w:val="16"/>
                <w:lang w:eastAsia="fr-FR" w:bidi="fr-FR"/>
              </w:rPr>
              <w:t>1%</w:t>
            </w:r>
          </w:p>
        </w:tc>
      </w:tr>
      <w:tr w:rsidR="009123AC" w:rsidRPr="00F0379B" w14:paraId="3D8EAF2D" w14:textId="77777777" w:rsidTr="00CA749B">
        <w:trPr>
          <w:trHeight w:val="20"/>
        </w:trPr>
        <w:tc>
          <w:tcPr>
            <w:tcW w:w="1133" w:type="pct"/>
            <w:noWrap/>
            <w:vAlign w:val="center"/>
          </w:tcPr>
          <w:p w14:paraId="61CCA974"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Asignación a la captura fortuita</w:t>
            </w:r>
          </w:p>
        </w:tc>
        <w:tc>
          <w:tcPr>
            <w:tcW w:w="380" w:type="pct"/>
            <w:noWrap/>
            <w:vAlign w:val="center"/>
          </w:tcPr>
          <w:p w14:paraId="038DBA29"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03" w:type="pct"/>
            <w:vAlign w:val="center"/>
          </w:tcPr>
          <w:p w14:paraId="6F2B636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noWrap/>
            <w:vAlign w:val="center"/>
          </w:tcPr>
          <w:p w14:paraId="6E913C3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tcPr>
          <w:p w14:paraId="54BFBCB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60" w:type="pct"/>
            <w:vAlign w:val="center"/>
          </w:tcPr>
          <w:p w14:paraId="5AB7448B"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5,13</w:t>
            </w:r>
          </w:p>
        </w:tc>
        <w:tc>
          <w:tcPr>
            <w:tcW w:w="260" w:type="pct"/>
            <w:vAlign w:val="center"/>
          </w:tcPr>
          <w:p w14:paraId="43CD6BB4"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5,13</w:t>
            </w:r>
          </w:p>
        </w:tc>
        <w:tc>
          <w:tcPr>
            <w:tcW w:w="294" w:type="pct"/>
            <w:vAlign w:val="center"/>
          </w:tcPr>
          <w:p w14:paraId="3AA99EC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5,325</w:t>
            </w:r>
          </w:p>
        </w:tc>
        <w:tc>
          <w:tcPr>
            <w:tcW w:w="248" w:type="pct"/>
            <w:vAlign w:val="center"/>
          </w:tcPr>
          <w:p w14:paraId="183BF4BC"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45,9</w:t>
            </w:r>
          </w:p>
        </w:tc>
        <w:tc>
          <w:tcPr>
            <w:tcW w:w="88" w:type="pct"/>
            <w:shd w:val="clear" w:color="000000" w:fill="D9D9D9"/>
            <w:vAlign w:val="center"/>
          </w:tcPr>
          <w:p w14:paraId="4F2880A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03" w:type="pct"/>
            <w:vAlign w:val="center"/>
          </w:tcPr>
          <w:p w14:paraId="5FDB5A08"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vAlign w:val="center"/>
          </w:tcPr>
          <w:p w14:paraId="7D19D1EC"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48" w:type="pct"/>
            <w:vAlign w:val="center"/>
          </w:tcPr>
          <w:p w14:paraId="629755F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60" w:type="pct"/>
            <w:vAlign w:val="center"/>
          </w:tcPr>
          <w:p w14:paraId="62C937F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5,13</w:t>
            </w:r>
          </w:p>
        </w:tc>
        <w:tc>
          <w:tcPr>
            <w:tcW w:w="260" w:type="pct"/>
            <w:vAlign w:val="center"/>
          </w:tcPr>
          <w:p w14:paraId="5C7620FB"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5,13</w:t>
            </w:r>
          </w:p>
        </w:tc>
        <w:tc>
          <w:tcPr>
            <w:tcW w:w="294" w:type="pct"/>
            <w:vAlign w:val="center"/>
          </w:tcPr>
          <w:p w14:paraId="3ADC13E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5,325</w:t>
            </w:r>
          </w:p>
        </w:tc>
        <w:tc>
          <w:tcPr>
            <w:tcW w:w="260" w:type="pct"/>
            <w:vAlign w:val="center"/>
          </w:tcPr>
          <w:p w14:paraId="27F35849"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Times New Roman" w:eastAsia="MS Gothic" w:hAnsi="Times New Roman" w:cs="Times New Roman"/>
                <w:color w:val="000000"/>
                <w:sz w:val="16"/>
                <w:lang w:eastAsia="fr-FR" w:bidi="fr-FR"/>
              </w:rPr>
              <w:t>5,49</w:t>
            </w:r>
          </w:p>
        </w:tc>
      </w:tr>
      <w:tr w:rsidR="009123AC" w:rsidRPr="00F0379B" w14:paraId="5A2C9BD7" w14:textId="77777777" w:rsidTr="00CA749B">
        <w:trPr>
          <w:trHeight w:val="20"/>
        </w:trPr>
        <w:tc>
          <w:tcPr>
            <w:tcW w:w="1133" w:type="pct"/>
            <w:vAlign w:val="center"/>
          </w:tcPr>
          <w:p w14:paraId="25E33634"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Cuota para investigación científica</w:t>
            </w:r>
          </w:p>
          <w:p w14:paraId="18A32F1A"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(si procede)</w:t>
            </w:r>
          </w:p>
        </w:tc>
        <w:tc>
          <w:tcPr>
            <w:tcW w:w="380" w:type="pct"/>
            <w:noWrap/>
            <w:vAlign w:val="center"/>
          </w:tcPr>
          <w:p w14:paraId="4752B37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03" w:type="pct"/>
            <w:vAlign w:val="center"/>
          </w:tcPr>
          <w:p w14:paraId="4ABCA15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noWrap/>
            <w:vAlign w:val="center"/>
          </w:tcPr>
          <w:p w14:paraId="41868C2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tcPr>
          <w:p w14:paraId="61BA9BB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60" w:type="pct"/>
            <w:vAlign w:val="center"/>
          </w:tcPr>
          <w:p w14:paraId="4EF396A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60" w:type="pct"/>
            <w:vAlign w:val="center"/>
          </w:tcPr>
          <w:p w14:paraId="71E6D40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94" w:type="pct"/>
            <w:vAlign w:val="center"/>
          </w:tcPr>
          <w:p w14:paraId="3F6161E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48" w:type="pct"/>
            <w:vAlign w:val="center"/>
          </w:tcPr>
          <w:p w14:paraId="15F5552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88" w:type="pct"/>
            <w:shd w:val="clear" w:color="000000" w:fill="D9D9D9"/>
            <w:vAlign w:val="center"/>
          </w:tcPr>
          <w:p w14:paraId="7FD06D2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03" w:type="pct"/>
            <w:vAlign w:val="center"/>
          </w:tcPr>
          <w:p w14:paraId="79F8E6B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tcPr>
          <w:p w14:paraId="5CB790B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48" w:type="pct"/>
            <w:vAlign w:val="center"/>
          </w:tcPr>
          <w:p w14:paraId="0938543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60" w:type="pct"/>
            <w:noWrap/>
            <w:vAlign w:val="center"/>
          </w:tcPr>
          <w:p w14:paraId="510291C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60" w:type="pct"/>
            <w:noWrap/>
            <w:vAlign w:val="center"/>
          </w:tcPr>
          <w:p w14:paraId="6A9E443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94" w:type="pct"/>
            <w:noWrap/>
            <w:vAlign w:val="center"/>
          </w:tcPr>
          <w:p w14:paraId="54AB1D0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60" w:type="pct"/>
            <w:vAlign w:val="center"/>
          </w:tcPr>
          <w:p w14:paraId="4384D6A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r>
      <w:tr w:rsidR="009123AC" w:rsidRPr="00F0379B" w14:paraId="086D962A" w14:textId="77777777" w:rsidTr="00CA749B">
        <w:trPr>
          <w:trHeight w:val="20"/>
        </w:trPr>
        <w:tc>
          <w:tcPr>
            <w:tcW w:w="1133" w:type="pct"/>
            <w:vAlign w:val="center"/>
          </w:tcPr>
          <w:p w14:paraId="7C635DA5"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Tolerancia para pesca deportiva/de recreo (si procede)</w:t>
            </w:r>
          </w:p>
        </w:tc>
        <w:tc>
          <w:tcPr>
            <w:tcW w:w="380" w:type="pct"/>
            <w:noWrap/>
            <w:vAlign w:val="center"/>
          </w:tcPr>
          <w:p w14:paraId="0B0C7B4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03" w:type="pct"/>
            <w:vAlign w:val="center"/>
          </w:tcPr>
          <w:p w14:paraId="78E221D7"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noWrap/>
            <w:vAlign w:val="center"/>
          </w:tcPr>
          <w:p w14:paraId="1639272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tcPr>
          <w:p w14:paraId="299FA1F7"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60" w:type="pct"/>
            <w:vAlign w:val="center"/>
          </w:tcPr>
          <w:p w14:paraId="6C154D4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60" w:type="pct"/>
            <w:vAlign w:val="center"/>
          </w:tcPr>
          <w:p w14:paraId="08439B9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94" w:type="pct"/>
            <w:vAlign w:val="center"/>
          </w:tcPr>
          <w:p w14:paraId="24B53CF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48" w:type="pct"/>
            <w:vAlign w:val="center"/>
          </w:tcPr>
          <w:p w14:paraId="57EF7C6E"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88" w:type="pct"/>
            <w:shd w:val="clear" w:color="000000" w:fill="D9D9D9"/>
            <w:vAlign w:val="center"/>
          </w:tcPr>
          <w:p w14:paraId="19857F7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03" w:type="pct"/>
            <w:vAlign w:val="center"/>
          </w:tcPr>
          <w:p w14:paraId="317813E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tcPr>
          <w:p w14:paraId="66A17C8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48" w:type="pct"/>
            <w:vAlign w:val="center"/>
          </w:tcPr>
          <w:p w14:paraId="5C335CE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60" w:type="pct"/>
            <w:noWrap/>
            <w:vAlign w:val="center"/>
          </w:tcPr>
          <w:p w14:paraId="397FC82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60" w:type="pct"/>
            <w:noWrap/>
            <w:vAlign w:val="center"/>
          </w:tcPr>
          <w:p w14:paraId="762F8AB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94" w:type="pct"/>
            <w:noWrap/>
            <w:vAlign w:val="center"/>
          </w:tcPr>
          <w:p w14:paraId="18EA626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60" w:type="pct"/>
            <w:vAlign w:val="center"/>
          </w:tcPr>
          <w:p w14:paraId="72CEF3D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Times New Roman" w:eastAsia="MS Gothic" w:hAnsi="Times New Roman" w:cs="Times New Roman"/>
                <w:color w:val="000000"/>
                <w:sz w:val="16"/>
                <w:lang w:eastAsia="fr-FR" w:bidi="fr-FR"/>
              </w:rPr>
              <w:t>0</w:t>
            </w:r>
          </w:p>
        </w:tc>
      </w:tr>
      <w:tr w:rsidR="009123AC" w:rsidRPr="00F0379B" w14:paraId="1136E601" w14:textId="77777777" w:rsidTr="00CA749B">
        <w:trPr>
          <w:trHeight w:val="20"/>
        </w:trPr>
        <w:tc>
          <w:tcPr>
            <w:tcW w:w="1133" w:type="pct"/>
            <w:vAlign w:val="center"/>
          </w:tcPr>
          <w:p w14:paraId="6F2683ED"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Cuota disponible</w:t>
            </w:r>
          </w:p>
        </w:tc>
        <w:tc>
          <w:tcPr>
            <w:tcW w:w="380" w:type="pct"/>
            <w:noWrap/>
            <w:vAlign w:val="center"/>
          </w:tcPr>
          <w:p w14:paraId="339FFD8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03" w:type="pct"/>
            <w:vAlign w:val="center"/>
          </w:tcPr>
          <w:p w14:paraId="1BCEFE2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noWrap/>
            <w:vAlign w:val="center"/>
          </w:tcPr>
          <w:p w14:paraId="6EF85E7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tcPr>
          <w:p w14:paraId="494D5F6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60" w:type="pct"/>
            <w:vAlign w:val="center"/>
          </w:tcPr>
          <w:p w14:paraId="3851368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507,87</w:t>
            </w:r>
          </w:p>
        </w:tc>
        <w:tc>
          <w:tcPr>
            <w:tcW w:w="260" w:type="pct"/>
            <w:vAlign w:val="center"/>
          </w:tcPr>
          <w:p w14:paraId="1EA6940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507,87</w:t>
            </w:r>
          </w:p>
        </w:tc>
        <w:tc>
          <w:tcPr>
            <w:tcW w:w="294" w:type="pct"/>
            <w:vAlign w:val="center"/>
          </w:tcPr>
          <w:p w14:paraId="778A352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507,675</w:t>
            </w:r>
          </w:p>
        </w:tc>
        <w:tc>
          <w:tcPr>
            <w:tcW w:w="248" w:type="pct"/>
            <w:vAlign w:val="center"/>
          </w:tcPr>
          <w:p w14:paraId="0C25D3C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bCs/>
                <w:color w:val="000000"/>
                <w:sz w:val="16"/>
                <w:lang w:eastAsia="fr-FR" w:bidi="fr-FR"/>
              </w:rPr>
              <w:t>543,51</w:t>
            </w:r>
          </w:p>
        </w:tc>
        <w:tc>
          <w:tcPr>
            <w:tcW w:w="88" w:type="pct"/>
            <w:shd w:val="clear" w:color="000000" w:fill="D9D9D9"/>
            <w:vAlign w:val="center"/>
          </w:tcPr>
          <w:p w14:paraId="2239BB7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03" w:type="pct"/>
            <w:vAlign w:val="center"/>
          </w:tcPr>
          <w:p w14:paraId="1BDA16C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03" w:type="pct"/>
            <w:vAlign w:val="center"/>
          </w:tcPr>
          <w:p w14:paraId="18A8B9D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0</w:t>
            </w:r>
          </w:p>
        </w:tc>
        <w:tc>
          <w:tcPr>
            <w:tcW w:w="248" w:type="pct"/>
            <w:vAlign w:val="center"/>
          </w:tcPr>
          <w:p w14:paraId="1BEF50D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ja-JP" w:bidi="fr-FR"/>
              </w:rPr>
            </w:pPr>
          </w:p>
        </w:tc>
        <w:tc>
          <w:tcPr>
            <w:tcW w:w="260" w:type="pct"/>
            <w:noWrap/>
            <w:vAlign w:val="center"/>
          </w:tcPr>
          <w:p w14:paraId="46FE189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507,87</w:t>
            </w:r>
          </w:p>
        </w:tc>
        <w:tc>
          <w:tcPr>
            <w:tcW w:w="260" w:type="pct"/>
            <w:noWrap/>
            <w:vAlign w:val="center"/>
          </w:tcPr>
          <w:p w14:paraId="1D02E8D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507,87</w:t>
            </w:r>
          </w:p>
        </w:tc>
        <w:tc>
          <w:tcPr>
            <w:tcW w:w="294" w:type="pct"/>
            <w:noWrap/>
            <w:vAlign w:val="center"/>
          </w:tcPr>
          <w:p w14:paraId="13AB8DF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507,675</w:t>
            </w:r>
          </w:p>
        </w:tc>
        <w:tc>
          <w:tcPr>
            <w:tcW w:w="260" w:type="pct"/>
            <w:vAlign w:val="center"/>
          </w:tcPr>
          <w:p w14:paraId="377150D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543,51</w:t>
            </w:r>
          </w:p>
        </w:tc>
      </w:tr>
      <w:tr w:rsidR="009123AC" w:rsidRPr="00F0379B" w14:paraId="2DD4F71E" w14:textId="77777777" w:rsidTr="00CA749B">
        <w:trPr>
          <w:trHeight w:val="20"/>
        </w:trPr>
        <w:tc>
          <w:tcPr>
            <w:tcW w:w="1133" w:type="pct"/>
            <w:shd w:val="clear" w:color="auto" w:fill="D9D9D9"/>
            <w:noWrap/>
            <w:vAlign w:val="center"/>
            <w:hideMark/>
          </w:tcPr>
          <w:p w14:paraId="02227A0D"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proofErr w:type="spellStart"/>
            <w:r w:rsidRPr="00F0379B">
              <w:rPr>
                <w:rFonts w:ascii="Cambria" w:eastAsia="MS Gothic" w:hAnsi="Cambria" w:cs="Times New Roman"/>
                <w:b/>
                <w:color w:val="000000"/>
                <w:sz w:val="16"/>
                <w:lang w:eastAsia="fr-FR" w:bidi="fr-FR"/>
              </w:rPr>
              <w:t>Subcapacidad</w:t>
            </w:r>
            <w:proofErr w:type="spellEnd"/>
            <w:r w:rsidRPr="00F0379B">
              <w:rPr>
                <w:rFonts w:ascii="Cambria" w:eastAsia="MS Gothic" w:hAnsi="Cambria" w:cs="Times New Roman"/>
                <w:b/>
                <w:color w:val="000000"/>
                <w:sz w:val="16"/>
                <w:lang w:eastAsia="fr-FR" w:bidi="fr-FR"/>
              </w:rPr>
              <w:t>/exceso de capacidad</w:t>
            </w:r>
          </w:p>
        </w:tc>
        <w:tc>
          <w:tcPr>
            <w:tcW w:w="380" w:type="pct"/>
            <w:shd w:val="clear" w:color="auto" w:fill="D9D9D9"/>
            <w:noWrap/>
            <w:vAlign w:val="center"/>
            <w:hideMark/>
          </w:tcPr>
          <w:p w14:paraId="7FB0F559"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03" w:type="pct"/>
            <w:shd w:val="clear" w:color="auto" w:fill="D9D9D9"/>
            <w:vAlign w:val="center"/>
          </w:tcPr>
          <w:p w14:paraId="42C1531E"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shd w:val="clear" w:color="auto" w:fill="D9D9D9"/>
            <w:noWrap/>
            <w:vAlign w:val="center"/>
            <w:hideMark/>
          </w:tcPr>
          <w:p w14:paraId="0D9E732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shd w:val="clear" w:color="auto" w:fill="D9D9D9"/>
            <w:vAlign w:val="center"/>
            <w:hideMark/>
          </w:tcPr>
          <w:p w14:paraId="12B45D1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shd w:val="clear" w:color="auto" w:fill="D9D9D9"/>
            <w:vAlign w:val="center"/>
            <w:hideMark/>
          </w:tcPr>
          <w:p w14:paraId="2C62E3A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60" w:type="pct"/>
            <w:shd w:val="clear" w:color="auto" w:fill="D9D9D9"/>
            <w:vAlign w:val="center"/>
            <w:hideMark/>
          </w:tcPr>
          <w:p w14:paraId="68C3C03A"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94" w:type="pct"/>
            <w:shd w:val="clear" w:color="auto" w:fill="D9D9D9"/>
            <w:vAlign w:val="center"/>
          </w:tcPr>
          <w:p w14:paraId="38B24D0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48" w:type="pct"/>
            <w:shd w:val="clear" w:color="auto" w:fill="D9D9D9"/>
            <w:vAlign w:val="center"/>
          </w:tcPr>
          <w:p w14:paraId="2B411AB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88" w:type="pct"/>
            <w:shd w:val="clear" w:color="auto" w:fill="D9D9D9"/>
            <w:vAlign w:val="center"/>
            <w:hideMark/>
          </w:tcPr>
          <w:p w14:paraId="7BA9F7C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p>
        </w:tc>
        <w:tc>
          <w:tcPr>
            <w:tcW w:w="203" w:type="pct"/>
            <w:shd w:val="clear" w:color="auto" w:fill="D9D9D9"/>
            <w:vAlign w:val="center"/>
          </w:tcPr>
          <w:p w14:paraId="42927FD4"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03" w:type="pct"/>
            <w:shd w:val="clear" w:color="auto" w:fill="D9D9D9"/>
            <w:vAlign w:val="center"/>
            <w:hideMark/>
          </w:tcPr>
          <w:p w14:paraId="093EC44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248" w:type="pct"/>
            <w:shd w:val="clear" w:color="auto" w:fill="D9D9D9"/>
            <w:vAlign w:val="center"/>
            <w:hideMark/>
          </w:tcPr>
          <w:p w14:paraId="47FBBC18" w14:textId="77777777" w:rsidR="009123AC" w:rsidRPr="00F0379B" w:rsidRDefault="009123AC" w:rsidP="009123AC">
            <w:pPr>
              <w:widowControl w:val="0"/>
              <w:spacing w:after="0" w:line="240" w:lineRule="auto"/>
              <w:jc w:val="center"/>
              <w:rPr>
                <w:rFonts w:ascii="Cambria" w:eastAsia="Times New Roman" w:hAnsi="Cambria" w:cs="Calibri"/>
                <w:color w:val="000000"/>
                <w:sz w:val="14"/>
                <w:szCs w:val="20"/>
                <w:lang w:eastAsia="fr-FR" w:bidi="fr-FR"/>
              </w:rPr>
            </w:pPr>
            <w:r w:rsidRPr="00F0379B">
              <w:rPr>
                <w:rFonts w:ascii="Cambria" w:eastAsia="MS Gothic" w:hAnsi="Cambria" w:cs="Times New Roman"/>
                <w:color w:val="000000"/>
                <w:sz w:val="14"/>
                <w:szCs w:val="20"/>
                <w:lang w:eastAsia="fr-FR" w:bidi="fr-FR"/>
              </w:rPr>
              <w:t>-131,22</w:t>
            </w:r>
          </w:p>
        </w:tc>
        <w:tc>
          <w:tcPr>
            <w:tcW w:w="260" w:type="pct"/>
            <w:shd w:val="clear" w:color="auto" w:fill="D9D9D9"/>
            <w:vAlign w:val="center"/>
            <w:hideMark/>
          </w:tcPr>
          <w:p w14:paraId="1F6BAD54" w14:textId="77777777" w:rsidR="009123AC" w:rsidRPr="00F0379B" w:rsidRDefault="009123AC" w:rsidP="009123AC">
            <w:pPr>
              <w:widowControl w:val="0"/>
              <w:spacing w:after="0" w:line="240" w:lineRule="auto"/>
              <w:jc w:val="center"/>
              <w:rPr>
                <w:rFonts w:ascii="Cambria" w:eastAsia="Times New Roman" w:hAnsi="Cambria" w:cs="Calibri"/>
                <w:color w:val="000000"/>
                <w:sz w:val="14"/>
                <w:szCs w:val="20"/>
                <w:lang w:eastAsia="fr-FR" w:bidi="fr-FR"/>
              </w:rPr>
            </w:pPr>
            <w:r w:rsidRPr="00F0379B">
              <w:rPr>
                <w:rFonts w:ascii="Cambria" w:eastAsia="MS Gothic" w:hAnsi="Cambria" w:cs="Times New Roman"/>
                <w:color w:val="000000"/>
                <w:sz w:val="14"/>
                <w:szCs w:val="20"/>
                <w:lang w:eastAsia="fr-FR" w:bidi="fr-FR"/>
              </w:rPr>
              <w:t>-408,31</w:t>
            </w:r>
          </w:p>
        </w:tc>
        <w:tc>
          <w:tcPr>
            <w:tcW w:w="260" w:type="pct"/>
            <w:shd w:val="clear" w:color="auto" w:fill="D9D9D9"/>
            <w:vAlign w:val="center"/>
            <w:hideMark/>
          </w:tcPr>
          <w:p w14:paraId="00E5235F" w14:textId="77777777" w:rsidR="009123AC" w:rsidRPr="00F0379B" w:rsidRDefault="009123AC" w:rsidP="009123AC">
            <w:pPr>
              <w:widowControl w:val="0"/>
              <w:spacing w:after="0" w:line="240" w:lineRule="auto"/>
              <w:jc w:val="center"/>
              <w:rPr>
                <w:rFonts w:ascii="Cambria" w:eastAsia="Times New Roman" w:hAnsi="Cambria" w:cs="Calibri"/>
                <w:color w:val="000000"/>
                <w:sz w:val="14"/>
                <w:szCs w:val="20"/>
                <w:lang w:eastAsia="fr-FR" w:bidi="fr-FR"/>
              </w:rPr>
            </w:pPr>
            <w:r w:rsidRPr="00F0379B">
              <w:rPr>
                <w:rFonts w:ascii="Cambria" w:eastAsia="MS Gothic" w:hAnsi="Cambria" w:cs="Times New Roman"/>
                <w:color w:val="000000"/>
                <w:sz w:val="14"/>
                <w:szCs w:val="20"/>
                <w:lang w:eastAsia="fr-FR" w:bidi="fr-FR"/>
              </w:rPr>
              <w:t>-408,31</w:t>
            </w:r>
          </w:p>
        </w:tc>
        <w:tc>
          <w:tcPr>
            <w:tcW w:w="294" w:type="pct"/>
            <w:shd w:val="clear" w:color="auto" w:fill="D9D9D9"/>
            <w:vAlign w:val="center"/>
            <w:hideMark/>
          </w:tcPr>
          <w:p w14:paraId="718A9B4C" w14:textId="77777777" w:rsidR="009123AC" w:rsidRPr="00F0379B" w:rsidRDefault="009123AC" w:rsidP="009123AC">
            <w:pPr>
              <w:widowControl w:val="0"/>
              <w:spacing w:after="0" w:line="240" w:lineRule="auto"/>
              <w:jc w:val="center"/>
              <w:rPr>
                <w:rFonts w:ascii="Cambria" w:eastAsia="Times New Roman" w:hAnsi="Cambria" w:cs="Calibri"/>
                <w:color w:val="000000"/>
                <w:sz w:val="14"/>
                <w:szCs w:val="20"/>
                <w:lang w:eastAsia="fr-FR" w:bidi="fr-FR"/>
              </w:rPr>
            </w:pPr>
            <w:r w:rsidRPr="00F0379B">
              <w:rPr>
                <w:rFonts w:ascii="Cambria" w:eastAsia="MS Gothic" w:hAnsi="Cambria" w:cs="Times New Roman"/>
                <w:color w:val="000000"/>
                <w:sz w:val="14"/>
                <w:szCs w:val="20"/>
                <w:lang w:eastAsia="fr-FR" w:bidi="fr-FR"/>
              </w:rPr>
              <w:t>-408,115</w:t>
            </w:r>
          </w:p>
        </w:tc>
        <w:tc>
          <w:tcPr>
            <w:tcW w:w="260" w:type="pct"/>
            <w:shd w:val="clear" w:color="auto" w:fill="D9D9D9"/>
            <w:vAlign w:val="center"/>
          </w:tcPr>
          <w:p w14:paraId="6D749DC1" w14:textId="77777777" w:rsidR="009123AC" w:rsidRPr="00F0379B" w:rsidRDefault="009123AC" w:rsidP="009123AC">
            <w:pPr>
              <w:widowControl w:val="0"/>
              <w:spacing w:after="0" w:line="240" w:lineRule="auto"/>
              <w:jc w:val="center"/>
              <w:rPr>
                <w:rFonts w:ascii="Cambria" w:eastAsia="Times New Roman" w:hAnsi="Cambria" w:cs="Calibri"/>
                <w:color w:val="000000"/>
                <w:sz w:val="14"/>
                <w:szCs w:val="20"/>
                <w:lang w:eastAsia="fr-FR" w:bidi="fr-FR"/>
              </w:rPr>
            </w:pPr>
            <w:r w:rsidRPr="00F0379B">
              <w:rPr>
                <w:rFonts w:ascii="Cambria" w:eastAsia="MS Gothic" w:hAnsi="Cambria" w:cs="Times New Roman"/>
                <w:color w:val="000000"/>
                <w:sz w:val="14"/>
                <w:szCs w:val="20"/>
                <w:lang w:eastAsia="fr-FR" w:bidi="fr-FR"/>
              </w:rPr>
              <w:t>-443,95</w:t>
            </w:r>
          </w:p>
        </w:tc>
      </w:tr>
    </w:tbl>
    <w:p w14:paraId="5E18F311" w14:textId="77777777" w:rsidR="009123AC" w:rsidRPr="00F0379B" w:rsidRDefault="009123AC" w:rsidP="009123AC">
      <w:pPr>
        <w:spacing w:after="0" w:line="240" w:lineRule="auto"/>
        <w:rPr>
          <w:rFonts w:ascii="Cambria" w:eastAsiaTheme="minorEastAsia" w:hAnsi="Cambria"/>
          <w:i/>
          <w:kern w:val="2"/>
          <w:sz w:val="20"/>
          <w:szCs w:val="20"/>
          <w:lang w:eastAsia="ja-JP"/>
          <w14:ligatures w14:val="standardContextual"/>
        </w:rPr>
      </w:pPr>
    </w:p>
    <w:p w14:paraId="7E31C3B7" w14:textId="77777777" w:rsidR="009123AC" w:rsidRPr="00F0379B" w:rsidRDefault="009123AC" w:rsidP="009123AC">
      <w:pPr>
        <w:tabs>
          <w:tab w:val="left" w:pos="142"/>
        </w:tabs>
        <w:spacing w:after="0" w:line="240" w:lineRule="auto"/>
        <w:rPr>
          <w:rFonts w:ascii="Cambria" w:eastAsiaTheme="minorEastAsia" w:hAnsi="Cambria"/>
          <w:kern w:val="2"/>
          <w:sz w:val="20"/>
          <w:szCs w:val="20"/>
          <w14:ligatures w14:val="standardContextual"/>
        </w:rPr>
      </w:pPr>
    </w:p>
    <w:p w14:paraId="562E3CF0" w14:textId="77777777" w:rsidR="009123AC" w:rsidRPr="00F0379B" w:rsidRDefault="009123AC" w:rsidP="009123AC">
      <w:pPr>
        <w:tabs>
          <w:tab w:val="left" w:pos="142"/>
        </w:tabs>
        <w:spacing w:after="0" w:line="240" w:lineRule="auto"/>
        <w:rPr>
          <w:rFonts w:ascii="Cambria" w:eastAsiaTheme="minorEastAsia" w:hAnsi="Cambria"/>
          <w:kern w:val="2"/>
          <w:sz w:val="20"/>
          <w:szCs w:val="20"/>
          <w:lang w:eastAsia="ja-JP"/>
          <w14:ligatures w14:val="standardContextual"/>
        </w:rPr>
      </w:pPr>
    </w:p>
    <w:p w14:paraId="46E4ADF6" w14:textId="77777777" w:rsidR="009123AC" w:rsidRPr="00F0379B" w:rsidRDefault="009123AC" w:rsidP="009123AC">
      <w:pPr>
        <w:spacing w:line="259" w:lineRule="auto"/>
        <w:rPr>
          <w:rFonts w:ascii="Cambria" w:eastAsiaTheme="minorEastAsia" w:hAnsi="Cambria"/>
          <w:b/>
          <w:kern w:val="2"/>
          <w:sz w:val="20"/>
          <w:szCs w:val="20"/>
          <w:lang w:eastAsia="ja-JP"/>
          <w14:ligatures w14:val="standardContextual"/>
        </w:rPr>
        <w:sectPr w:rsidR="009123AC" w:rsidRPr="00F0379B" w:rsidSect="009123AC">
          <w:headerReference w:type="default" r:id="rId108"/>
          <w:footerReference w:type="default" r:id="rId109"/>
          <w:headerReference w:type="first" r:id="rId110"/>
          <w:footerReference w:type="first" r:id="rId111"/>
          <w:footnotePr>
            <w:numFmt w:val="chicago"/>
          </w:footnotePr>
          <w:pgSz w:w="16838" w:h="11906" w:orient="landscape" w:code="9"/>
          <w:pgMar w:top="1418" w:right="1418" w:bottom="1418" w:left="1418" w:header="851" w:footer="1134" w:gutter="0"/>
          <w:cols w:space="425"/>
          <w:docGrid w:linePitch="360"/>
        </w:sectPr>
      </w:pPr>
      <w:r w:rsidRPr="00F0379B">
        <w:rPr>
          <w:rFonts w:ascii="Cambria" w:eastAsiaTheme="minorEastAsia" w:hAnsi="Cambria"/>
          <w:b/>
          <w:kern w:val="2"/>
          <w:sz w:val="20"/>
          <w:szCs w:val="20"/>
          <w:lang w:eastAsia="ja-JP"/>
          <w14:ligatures w14:val="standardContextual"/>
        </w:rPr>
        <w:br w:type="page"/>
      </w:r>
    </w:p>
    <w:p w14:paraId="4DF289FD" w14:textId="70C1E250" w:rsidR="009123AC" w:rsidRPr="00F0379B" w:rsidRDefault="009123AC" w:rsidP="009123AC">
      <w:pPr>
        <w:spacing w:after="0" w:line="240" w:lineRule="auto"/>
        <w:rPr>
          <w:rFonts w:ascii="Cambria" w:eastAsia="Aptos" w:hAnsi="Cambria" w:cs="Aptos"/>
          <w:kern w:val="2"/>
          <w:sz w:val="20"/>
          <w:szCs w:val="20"/>
          <w:lang w:eastAsia="en-GB"/>
          <w14:ligatures w14:val="standardContextual"/>
        </w:rPr>
      </w:pPr>
      <w:r w:rsidRPr="00F0379B">
        <w:rPr>
          <w:rFonts w:ascii="Cambria" w:eastAsia="MS Gothic" w:hAnsi="Cambria" w:cs="Times New Roman"/>
          <w:b/>
          <w:sz w:val="20"/>
          <w:szCs w:val="20"/>
          <w:lang w:eastAsia="fr-FR" w:bidi="fr-FR"/>
          <w14:ligatures w14:val="standardContextual"/>
        </w:rPr>
        <w:lastRenderedPageBreak/>
        <w:t>Unión Europea (UE)</w:t>
      </w:r>
    </w:p>
    <w:p w14:paraId="6CA47DA8"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7D75928F" w14:textId="77777777" w:rsidR="009123AC" w:rsidRPr="00F0379B" w:rsidRDefault="009123AC" w:rsidP="009123AC">
      <w:pPr>
        <w:spacing w:after="0" w:line="240" w:lineRule="auto"/>
        <w:rPr>
          <w:rFonts w:ascii="Cambria" w:eastAsia="MS Gothic" w:hAnsi="Cambria" w:cs="Times New Roman"/>
          <w:b/>
          <w:sz w:val="20"/>
          <w:szCs w:val="20"/>
          <w:lang w:eastAsia="fr-FR" w:bidi="fr-FR"/>
          <w14:ligatures w14:val="standardContextual"/>
        </w:rPr>
      </w:pPr>
      <w:r w:rsidRPr="00F0379B">
        <w:rPr>
          <w:rFonts w:ascii="Cambria" w:eastAsia="MS Gothic" w:hAnsi="Cambria" w:cs="Times New Roman"/>
          <w:b/>
          <w:sz w:val="20"/>
          <w:szCs w:val="20"/>
          <w:lang w:eastAsia="fr-FR" w:bidi="fr-FR"/>
          <w14:ligatures w14:val="standardContextual"/>
        </w:rPr>
        <w:t>Año del plan de pesca: 2026</w:t>
      </w:r>
    </w:p>
    <w:p w14:paraId="228473F5"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4E614928" w14:textId="77777777" w:rsidR="009123AC" w:rsidRPr="00F0379B" w:rsidRDefault="009123AC" w:rsidP="009123AC">
      <w:pPr>
        <w:spacing w:after="0" w:line="240" w:lineRule="auto"/>
        <w:rPr>
          <w:rFonts w:ascii="Cambria" w:eastAsia="MS Gothic" w:hAnsi="Cambria"/>
          <w:b/>
          <w:bCs/>
          <w:iCs/>
          <w:kern w:val="2"/>
          <w:sz w:val="20"/>
          <w:szCs w:val="20"/>
          <w:lang w:eastAsia="fr-FR" w:bidi="fr-FR"/>
          <w14:ligatures w14:val="standardContextual"/>
        </w:rPr>
      </w:pPr>
      <w:r w:rsidRPr="00F0379B">
        <w:rPr>
          <w:rFonts w:ascii="Cambria" w:eastAsia="MS Gothic" w:hAnsi="Cambria"/>
          <w:b/>
          <w:bCs/>
          <w:iCs/>
          <w:kern w:val="2"/>
          <w:sz w:val="20"/>
          <w:szCs w:val="20"/>
          <w:lang w:eastAsia="fr-FR" w:bidi="fr-FR"/>
          <w14:ligatures w14:val="standardContextual"/>
        </w:rPr>
        <w:t xml:space="preserve">Introducción </w:t>
      </w:r>
    </w:p>
    <w:p w14:paraId="0540647E" w14:textId="77777777" w:rsidR="009123AC" w:rsidRPr="00F0379B" w:rsidRDefault="009123AC" w:rsidP="009123AC">
      <w:pPr>
        <w:spacing w:after="0" w:line="240" w:lineRule="auto"/>
        <w:contextualSpacing/>
        <w:rPr>
          <w:rFonts w:ascii="Cambria" w:eastAsia="MS Gothic" w:hAnsi="Cambria" w:cs="Times New Roman"/>
          <w:b/>
          <w:sz w:val="20"/>
          <w:szCs w:val="20"/>
          <w:lang w:eastAsia="fr-FR" w:bidi="fr-FR"/>
          <w14:ligatures w14:val="standardContextual"/>
        </w:rPr>
      </w:pPr>
    </w:p>
    <w:p w14:paraId="125BEAE7" w14:textId="77777777" w:rsidR="009123AC" w:rsidRPr="00F0379B" w:rsidRDefault="009123AC" w:rsidP="009123AC">
      <w:pPr>
        <w:spacing w:after="0" w:line="240" w:lineRule="auto"/>
        <w:contextualSpacing/>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 xml:space="preserve">La Unión Europea (UE) presenta su Plan de pesca, inspección y ordenación de la capacidad y su plan de ordenación de cría para el atún rojo del este (BFT-E) para </w:t>
      </w:r>
      <w:r w:rsidRPr="00F0379B">
        <w:rPr>
          <w:rFonts w:ascii="Cambria" w:eastAsia="MS Gothic" w:hAnsi="Cambria" w:cs="Times New Roman"/>
          <w:bCs/>
          <w:sz w:val="20"/>
          <w:szCs w:val="20"/>
          <w:lang w:eastAsia="fr-FR" w:bidi="fr-FR"/>
          <w14:ligatures w14:val="standardContextual"/>
        </w:rPr>
        <w:t>2026</w:t>
      </w:r>
      <w:r w:rsidRPr="00F0379B">
        <w:rPr>
          <w:rFonts w:ascii="Cambria" w:eastAsia="MS Gothic" w:hAnsi="Cambria" w:cs="Times New Roman"/>
          <w:sz w:val="20"/>
          <w:szCs w:val="20"/>
          <w:lang w:eastAsia="fr-FR" w:bidi="fr-FR"/>
          <w14:ligatures w14:val="standardContextual"/>
        </w:rPr>
        <w:t xml:space="preserve">. </w:t>
      </w:r>
    </w:p>
    <w:p w14:paraId="6B4F4B13" w14:textId="77777777" w:rsidR="009123AC" w:rsidRPr="00F0379B" w:rsidRDefault="009123AC" w:rsidP="009123AC">
      <w:pPr>
        <w:spacing w:after="0" w:line="240" w:lineRule="auto"/>
        <w:contextualSpacing/>
        <w:jc w:val="both"/>
        <w:rPr>
          <w:rFonts w:ascii="Cambria" w:eastAsia="MS Gothic" w:hAnsi="Cambria" w:cs="Times New Roman"/>
          <w:sz w:val="20"/>
          <w:szCs w:val="20"/>
          <w:lang w:eastAsia="fr-FR" w:bidi="fr-FR"/>
          <w14:ligatures w14:val="standardContextual"/>
        </w:rPr>
      </w:pPr>
    </w:p>
    <w:p w14:paraId="5C0009B8" w14:textId="77777777" w:rsidR="009123AC" w:rsidRPr="00F0379B" w:rsidRDefault="009123AC" w:rsidP="009123AC">
      <w:pPr>
        <w:spacing w:after="0" w:line="240" w:lineRule="auto"/>
        <w:contextualSpacing/>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 xml:space="preserve">Los ocho Estados miembros de la UE que pescan activamente atún rojo son Croacia, Chipre, Francia, Grecia, Italia, Malta, Portugal y España. Estos Estados miembros de la UE pescan con varios artes de pesca, y la mayor parte de la cuota se asigna a los sectores de cerco y almadraba. Sin embargo, también se realizan capturas importantes por parte de los palangreros y en sectores más artesanales como el cebo vivo, las liñas de mano y los arrastreros pelágicos, tanto en el Atlántico como en el Mediterráneo. Estos ocho Estados miembros de la UE colaboran también en la implementación de un Plan conjunto de despliegue de inspección de atún rojo, en coordinación con la Comisión Europea y la Agencia Europea de Control de la Pesca (AECP). </w:t>
      </w:r>
    </w:p>
    <w:p w14:paraId="0881AE64" w14:textId="77777777" w:rsidR="009123AC" w:rsidRPr="00F0379B" w:rsidRDefault="009123AC" w:rsidP="009123AC">
      <w:pPr>
        <w:spacing w:after="0" w:line="240" w:lineRule="auto"/>
        <w:contextualSpacing/>
        <w:jc w:val="both"/>
        <w:rPr>
          <w:rFonts w:ascii="Cambria" w:eastAsia="MS Gothic" w:hAnsi="Cambria" w:cs="Times New Roman"/>
          <w:sz w:val="20"/>
          <w:szCs w:val="20"/>
          <w:lang w:eastAsia="fr-FR" w:bidi="fr-FR"/>
          <w14:ligatures w14:val="standardContextual"/>
        </w:rPr>
      </w:pPr>
    </w:p>
    <w:p w14:paraId="720BDDEF"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La UE adoptó el Reglamento del Consejo (CE) 302/2009 el 6 de abril de 2009 transponiendo a la legislación comunitaria la </w:t>
      </w:r>
      <w:r w:rsidRPr="00F0379B">
        <w:rPr>
          <w:rFonts w:ascii="Cambria" w:eastAsia="MS Gothic" w:hAnsi="Cambria" w:cs="Times New Roman"/>
          <w:i/>
          <w:color w:val="000000"/>
          <w:sz w:val="20"/>
          <w:szCs w:val="20"/>
          <w:lang w:eastAsia="fr-FR" w:bidi="fr-FR"/>
          <w14:ligatures w14:val="standardContextual"/>
        </w:rPr>
        <w:t>Recomendación de ICCAT sobre el establecimiento de un Plan de recuperación plurianual para el atún rojo en el Atlántico este y Mediterráneo</w:t>
      </w:r>
      <w:r w:rsidRPr="00F0379B">
        <w:rPr>
          <w:rFonts w:ascii="Cambria" w:eastAsia="MS Gothic" w:hAnsi="Cambria" w:cs="Times New Roman"/>
          <w:color w:val="000000"/>
          <w:sz w:val="20"/>
          <w:szCs w:val="20"/>
          <w:lang w:eastAsia="fr-FR" w:bidi="fr-FR"/>
          <w14:ligatures w14:val="standardContextual"/>
        </w:rPr>
        <w:t xml:space="preserve"> (Rec. 08-05).</w:t>
      </w:r>
      <w:r w:rsidRPr="00F0379B">
        <w:rPr>
          <w:rFonts w:ascii="Cambria" w:eastAsia="MS Gothic" w:hAnsi="Cambria" w:cs="Times New Roman"/>
          <w:sz w:val="20"/>
          <w:szCs w:val="20"/>
          <w:lang w:eastAsia="fr-FR" w:bidi="fr-FR"/>
          <w14:ligatures w14:val="standardContextual"/>
        </w:rPr>
        <w:t xml:space="preserve"> Tras la adopción en la reunión anual de ICCAT celebrada en París en 2010, de la Recomendación 10-04 de ICCAT, que enmienda la Recomendación 08-05, la Unión Europea enmendó el Reglamento del Consejo (CE) 302/2009 con el fin de transponer la Recomendación 10-04 a la legislación comunitaria. En 2014, la UE adoptó el Reglamento (UE) 544/2014 por el que se trasponen las enmiendas del plan de recuperación tal y como se establece en la Recomendación 13-07 de ICCAT. </w:t>
      </w:r>
      <w:r w:rsidRPr="00F0379B">
        <w:rPr>
          <w:rFonts w:ascii="Cambria" w:eastAsia="MS Gothic" w:hAnsi="Cambria" w:cs="Times New Roman"/>
          <w:color w:val="000000"/>
          <w:sz w:val="20"/>
          <w:szCs w:val="20"/>
          <w:lang w:eastAsia="fr-FR" w:bidi="fr-FR"/>
          <w14:ligatures w14:val="standardContextual"/>
        </w:rPr>
        <w:t xml:space="preserve">Por último, se traspuso al Reglamento adoptado por Unión Europea, Reglamento (UE) 2016/1627 del Parlamento Europeo y del Consejo del 14 de septiembre de 2016 la Recomendación de ICCAT 14-04, sustituida por la Recomendación 17-07, a la legislación comunitaria. </w:t>
      </w:r>
    </w:p>
    <w:p w14:paraId="4C4E0F16"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p>
    <w:p w14:paraId="69A5A32B"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El Reglamento (UE) </w:t>
      </w:r>
      <w:r w:rsidRPr="00F0379B">
        <w:rPr>
          <w:rFonts w:ascii="Cambria" w:eastAsia="MS Gothic" w:hAnsi="Cambria" w:cs="Times New Roman"/>
          <w:sz w:val="20"/>
          <w:szCs w:val="20"/>
          <w:lang w:eastAsia="fr-FR" w:bidi="fr-FR"/>
          <w14:ligatures w14:val="standardContextual"/>
        </w:rPr>
        <w:t>2019/833</w:t>
      </w:r>
      <w:r w:rsidRPr="00F0379B">
        <w:rPr>
          <w:rFonts w:ascii="Cambria" w:eastAsiaTheme="minorEastAsia" w:hAnsi="Cambria" w:cs="Times New Roman"/>
          <w:sz w:val="20"/>
          <w:szCs w:val="20"/>
          <w:vertAlign w:val="superscript"/>
          <w14:ligatures w14:val="standardContextual"/>
        </w:rPr>
        <w:footnoteReference w:id="3"/>
      </w:r>
      <w:r w:rsidRPr="00F0379B">
        <w:rPr>
          <w:rFonts w:ascii="Cambria" w:eastAsia="MS Gothic" w:hAnsi="Cambria" w:cs="Times New Roman"/>
          <w:sz w:val="20"/>
          <w:szCs w:val="20"/>
          <w:lang w:eastAsia="fr-FR" w:bidi="fr-FR"/>
          <w14:ligatures w14:val="standardContextual"/>
        </w:rPr>
        <w:t xml:space="preserve"> </w:t>
      </w:r>
      <w:r w:rsidRPr="00F0379B">
        <w:rPr>
          <w:rFonts w:ascii="Cambria" w:eastAsia="MS Gothic" w:hAnsi="Cambria" w:cs="Times New Roman"/>
          <w:color w:val="000000"/>
          <w:sz w:val="20"/>
          <w:szCs w:val="20"/>
          <w:lang w:eastAsia="fr-FR" w:bidi="fr-FR"/>
          <w14:ligatures w14:val="standardContextual"/>
        </w:rPr>
        <w:t>traspuso parcialmente la Recomendación</w:t>
      </w:r>
      <w:r w:rsidRPr="00F0379B">
        <w:rPr>
          <w:rFonts w:ascii="Cambria" w:eastAsia="MS Gothic" w:hAnsi="Cambria" w:cs="Times New Roman"/>
          <w:sz w:val="20"/>
          <w:szCs w:val="20"/>
          <w:lang w:eastAsia="fr-FR" w:bidi="fr-FR"/>
          <w14:ligatures w14:val="standardContextual"/>
        </w:rPr>
        <w:t xml:space="preserve"> 18-02 sustituida por la Recomendación 19-04. En 2023, la UE concluyó la transposición de la Recomendación 21-08 mediante la adopción del Reglamento (UE) 2023/2053</w:t>
      </w:r>
      <w:r w:rsidRPr="00F0379B">
        <w:rPr>
          <w:rFonts w:ascii="Cambria" w:eastAsiaTheme="minorEastAsia" w:hAnsi="Cambria"/>
          <w:kern w:val="2"/>
          <w:sz w:val="20"/>
          <w:szCs w:val="20"/>
          <w:vertAlign w:val="superscript"/>
          <w:lang w:eastAsia="fr-FR" w:bidi="fr-FR"/>
          <w14:ligatures w14:val="standardContextual"/>
        </w:rPr>
        <w:footnoteReference w:id="4"/>
      </w:r>
      <w:r w:rsidRPr="00F0379B">
        <w:rPr>
          <w:rFonts w:ascii="Cambria" w:eastAsia="MS Gothic" w:hAnsi="Cambria" w:cs="Times New Roman"/>
          <w:sz w:val="20"/>
          <w:szCs w:val="20"/>
          <w:lang w:eastAsia="fr-FR" w:bidi="fr-FR"/>
          <w14:ligatures w14:val="standardContextual"/>
        </w:rPr>
        <w:t>, modificado por el Reglamento (UE) 2024/897</w:t>
      </w:r>
      <w:r w:rsidRPr="00F0379B">
        <w:rPr>
          <w:rFonts w:ascii="Cambria" w:eastAsiaTheme="minorEastAsia" w:hAnsi="Cambria"/>
          <w:kern w:val="2"/>
          <w:sz w:val="20"/>
          <w:szCs w:val="20"/>
          <w:vertAlign w:val="superscript"/>
          <w:lang w:eastAsia="fr-FR" w:bidi="fr-FR"/>
          <w14:ligatures w14:val="standardContextual"/>
        </w:rPr>
        <w:footnoteReference w:id="5"/>
      </w:r>
      <w:r w:rsidRPr="00F0379B">
        <w:rPr>
          <w:rFonts w:ascii="Cambria" w:eastAsia="MS Gothic" w:hAnsi="Cambria" w:cs="Times New Roman"/>
          <w:sz w:val="20"/>
          <w:szCs w:val="20"/>
          <w:lang w:eastAsia="fr-FR" w:bidi="fr-FR"/>
          <w14:ligatures w14:val="standardContextual"/>
        </w:rPr>
        <w:t xml:space="preserve"> y Reglamento Delegado 2024/2925</w:t>
      </w:r>
      <w:r w:rsidRPr="00F0379B">
        <w:rPr>
          <w:rFonts w:ascii="Cambria" w:eastAsia="MS Gothic" w:hAnsi="Cambria" w:cs="Times New Roman"/>
          <w:sz w:val="20"/>
          <w:szCs w:val="20"/>
          <w:vertAlign w:val="superscript"/>
          <w:lang w:val="en-GB" w:eastAsia="fr-FR" w:bidi="fr-FR"/>
          <w14:ligatures w14:val="standardContextual"/>
        </w:rPr>
        <w:footnoteReference w:id="6"/>
      </w:r>
      <w:r w:rsidRPr="00F0379B">
        <w:rPr>
          <w:rFonts w:ascii="Cambria" w:eastAsia="MS Gothic" w:hAnsi="Cambria" w:cs="Times New Roman"/>
          <w:sz w:val="20"/>
          <w:szCs w:val="20"/>
          <w:lang w:eastAsia="fr-FR" w:bidi="fr-FR"/>
          <w14:ligatures w14:val="standardContextual"/>
        </w:rPr>
        <w:t xml:space="preserve">  por el que se implementan las modificaciones introducidas por la Rec. 22-08 en comparación con la anterior Rec. 21-08. La UE incorporó los cambios introducidos por la Recomendación 24-05 a la legislación de la UE mediante la modificación del Reglamento (UE) 2023/2053. Se están transponiendo los últimos cambios incorporados en la Recomendación 25-04.</w:t>
      </w:r>
    </w:p>
    <w:p w14:paraId="1271A335" w14:textId="77777777" w:rsidR="009123AC" w:rsidRPr="00F0379B" w:rsidRDefault="009123AC" w:rsidP="009123AC">
      <w:pPr>
        <w:tabs>
          <w:tab w:val="center" w:pos="4513"/>
          <w:tab w:val="right" w:pos="9026"/>
        </w:tabs>
        <w:spacing w:after="0" w:line="240" w:lineRule="auto"/>
        <w:jc w:val="both"/>
        <w:rPr>
          <w:rFonts w:ascii="Cambria" w:eastAsia="MS Gothic" w:hAnsi="Cambria" w:cs="Times New Roman"/>
          <w:sz w:val="20"/>
          <w:szCs w:val="20"/>
          <w:lang w:eastAsia="fr-FR" w:bidi="fr-FR"/>
          <w14:ligatures w14:val="standardContextual"/>
        </w:rPr>
      </w:pPr>
    </w:p>
    <w:p w14:paraId="2C8EE206"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 xml:space="preserve">Entretanto y de conformidad con el Artículo 216(2) del Tratado de funcionamiento de la Unión Europea, los acuerdos internacionales firmados por la Unión son vinculantes para las instituciones de la Unión y los Estados miembros. En estas circunstancias, los Estados miembros tienen que tomar las medidas directas necesarias diseñadas para garantizar el cumplimiento de las Recomendaciones de ICCAT y, en particular, la Recomendación 25-04 y, en particular, cuando las normas así aplicadas den lugar a medidas más estrictas que las aplicadas a través del Reglamento (UE) 2023/2053. Además, la UE ha decidido aplicar la Recomendación 25-04 a partir del 1 de enero de </w:t>
      </w:r>
      <w:r w:rsidRPr="00F0379B">
        <w:rPr>
          <w:rFonts w:ascii="Cambria" w:eastAsia="MS Gothic" w:hAnsi="Cambria" w:cs="Times New Roman"/>
          <w:bCs/>
          <w:sz w:val="20"/>
          <w:szCs w:val="20"/>
          <w:lang w:eastAsia="fr-FR" w:bidi="fr-FR"/>
          <w14:ligatures w14:val="standardContextual"/>
        </w:rPr>
        <w:t>2026 e</w:t>
      </w:r>
      <w:r w:rsidRPr="00F0379B">
        <w:rPr>
          <w:rFonts w:ascii="Cambria" w:eastAsia="MS Gothic" w:hAnsi="Cambria" w:cs="Times New Roman"/>
          <w:sz w:val="20"/>
          <w:szCs w:val="20"/>
          <w:lang w:eastAsia="fr-FR" w:bidi="fr-FR"/>
          <w14:ligatures w14:val="standardContextual"/>
        </w:rPr>
        <w:t>n la UE. La Comisión Europea informó a la Secretaría de ICCAT sobre esta pronta implementación, cuestión que se comunicó a las otras Partes contratantes de ICCAT a través de la Circular n.º 00052/2026 de ICCAT.</w:t>
      </w:r>
    </w:p>
    <w:p w14:paraId="0081DBBF" w14:textId="77777777" w:rsidR="009123AC" w:rsidRPr="00F0379B" w:rsidRDefault="009123AC" w:rsidP="009123AC">
      <w:pPr>
        <w:spacing w:after="0" w:line="240" w:lineRule="auto"/>
        <w:jc w:val="both"/>
        <w:rPr>
          <w:rFonts w:ascii="Cambria" w:eastAsiaTheme="minorEastAsia" w:hAnsi="Cambria" w:cs="Times New Roman"/>
          <w:sz w:val="20"/>
          <w:szCs w:val="20"/>
          <w:lang w:eastAsia="fr-FR" w:bidi="fr-FR"/>
          <w14:ligatures w14:val="standardContextual"/>
        </w:rPr>
      </w:pPr>
    </w:p>
    <w:p w14:paraId="10D7E084" w14:textId="77777777" w:rsidR="009123AC" w:rsidRPr="00F0379B" w:rsidRDefault="009123AC" w:rsidP="009123AC">
      <w:pPr>
        <w:spacing w:after="0" w:line="240" w:lineRule="auto"/>
        <w:ind w:left="360" w:hanging="360"/>
        <w:jc w:val="both"/>
        <w:rPr>
          <w:rFonts w:ascii="Cambria" w:eastAsia="MS Gothic" w:hAnsi="Cambria" w:cs="Times New Roman"/>
          <w:b/>
          <w:sz w:val="20"/>
          <w:szCs w:val="20"/>
          <w:lang w:eastAsia="fr-FR" w:bidi="fr-FR"/>
          <w14:ligatures w14:val="standardContextual"/>
        </w:rPr>
      </w:pPr>
    </w:p>
    <w:p w14:paraId="44CCEF49" w14:textId="77777777" w:rsidR="009123AC" w:rsidRPr="00F0379B" w:rsidRDefault="009123AC" w:rsidP="009123AC">
      <w:pPr>
        <w:spacing w:after="0" w:line="240" w:lineRule="auto"/>
        <w:ind w:left="360" w:hanging="360"/>
        <w:jc w:val="both"/>
        <w:rPr>
          <w:rFonts w:ascii="Cambria" w:eastAsia="MS Gothic" w:hAnsi="Cambria" w:cs="Times New Roman"/>
          <w:b/>
          <w:sz w:val="20"/>
          <w:szCs w:val="20"/>
          <w:lang w:eastAsia="fr-FR" w:bidi="fr-FR"/>
          <w14:ligatures w14:val="standardContextual"/>
        </w:rPr>
      </w:pPr>
      <w:r w:rsidRPr="00F0379B">
        <w:rPr>
          <w:rFonts w:ascii="Cambria" w:eastAsia="MS Gothic" w:hAnsi="Cambria" w:cs="Times New Roman"/>
          <w:b/>
          <w:sz w:val="20"/>
          <w:szCs w:val="20"/>
          <w:lang w:eastAsia="fr-FR" w:bidi="fr-FR"/>
          <w14:ligatures w14:val="standardContextual"/>
        </w:rPr>
        <w:t xml:space="preserve">1. Detalles del plan anual de pesca para los buques de captura y las almadrabas </w:t>
      </w:r>
    </w:p>
    <w:p w14:paraId="0504A5DE"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1E5BE574" w14:textId="77777777" w:rsidR="009123AC" w:rsidRPr="00F0379B" w:rsidRDefault="009123AC" w:rsidP="009123AC">
      <w:pPr>
        <w:spacing w:after="0" w:line="240" w:lineRule="auto"/>
        <w:jc w:val="both"/>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bCs/>
          <w:i/>
          <w:iCs/>
          <w:kern w:val="2"/>
          <w:sz w:val="20"/>
          <w:szCs w:val="20"/>
          <w:lang w:eastAsia="ja-JP"/>
          <w14:ligatures w14:val="standardContextual"/>
        </w:rPr>
        <w:t>1 a) Presentación (párr. 12)</w:t>
      </w:r>
    </w:p>
    <w:p w14:paraId="467E68A2"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7A80F25A" w14:textId="77777777" w:rsidR="009123AC" w:rsidRPr="00F0379B" w:rsidRDefault="009123AC" w:rsidP="009123AC">
      <w:pPr>
        <w:spacing w:after="0" w:line="240" w:lineRule="auto"/>
        <w:jc w:val="both"/>
        <w:rPr>
          <w:rFonts w:ascii="Cambria" w:eastAsiaTheme="minorEastAsia"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De conformidad con la Circular n.º 12095/2025 de ICCAT, la UE utiliza la Recomendación 25-04 como única referencia para la elaboración del plan de pesca de la UE y para la temporada de pesca de 2026 del atún rojo del este. De conformidad con el total admisible de capturas (TAC) actual establecido mediante la Recomendación 25-04, la cuota para la UE en 2026 se sitúa en 25.164,62 t. Este plan se basa en la cuota inicial de la UE; se presentará una versión revisada tan pronto como la reunión intersesiones de la Subcomisión 2 apruebe los traspasos de la UE de 2025 a 2026. La UE ha elaborado un plan de pesca anual identificando los buques de captura de más de 24 metros y sus cuotas individuales asociadas. Se asignará a todos los cerqueros de más de 24 m una cuota individual superior a la tasa de captura del SCRS, tal y como fue adoptada por la Comisión de ICCAT para estimar la capacidad de la flota.</w:t>
      </w:r>
    </w:p>
    <w:p w14:paraId="3FDE6F4A"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536048D1"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 xml:space="preserve">La UE autorizará "buques de captura" y "otros buques" y continuará presentando la lista de buques autorizados que participarán en la pesquería en </w:t>
      </w:r>
      <w:r w:rsidRPr="00F0379B">
        <w:rPr>
          <w:rFonts w:ascii="Cambria" w:eastAsia="MS Gothic" w:hAnsi="Cambria" w:cs="Times New Roman"/>
          <w:bCs/>
          <w:sz w:val="20"/>
          <w:szCs w:val="20"/>
          <w:lang w:eastAsia="fr-FR" w:bidi="fr-FR"/>
          <w14:ligatures w14:val="standardContextual"/>
        </w:rPr>
        <w:t xml:space="preserve">2026 </w:t>
      </w:r>
      <w:r w:rsidRPr="00F0379B">
        <w:rPr>
          <w:rFonts w:ascii="Cambria" w:eastAsia="MS Gothic" w:hAnsi="Cambria" w:cs="Times New Roman"/>
          <w:sz w:val="20"/>
          <w:szCs w:val="20"/>
          <w:lang w:eastAsia="fr-FR" w:bidi="fr-FR"/>
          <w14:ligatures w14:val="standardContextual"/>
        </w:rPr>
        <w:t>cumpliendo los plazos de comunicación establecidos en el párrafo 52 de la Recomendación 25-04.</w:t>
      </w:r>
    </w:p>
    <w:p w14:paraId="2FD65916"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4D246EB1"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La UE ha asignado cuotas</w:t>
      </w:r>
      <w:r w:rsidRPr="00F0379B">
        <w:rPr>
          <w:rFonts w:ascii="Cambria" w:eastAsia="MS Gothic" w:hAnsi="Cambria" w:cs="Times New Roman"/>
          <w:sz w:val="20"/>
          <w:szCs w:val="20"/>
          <w:vertAlign w:val="superscript"/>
          <w:lang w:eastAsia="fr-FR" w:bidi="fr-FR"/>
          <w14:ligatures w14:val="standardContextual"/>
        </w:rPr>
        <w:footnoteReference w:id="7"/>
      </w:r>
      <w:r w:rsidRPr="00F0379B">
        <w:rPr>
          <w:rFonts w:ascii="Cambria" w:eastAsia="MS Gothic" w:hAnsi="Cambria" w:cs="Times New Roman"/>
          <w:sz w:val="20"/>
          <w:szCs w:val="20"/>
          <w:lang w:eastAsia="fr-FR" w:bidi="fr-FR"/>
          <w14:ligatures w14:val="standardContextual"/>
        </w:rPr>
        <w:t xml:space="preserve"> a los siguientes sectores: </w:t>
      </w:r>
    </w:p>
    <w:p w14:paraId="09B76401"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tbl>
      <w:tblPr>
        <w:tblW w:w="7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2105"/>
        <w:gridCol w:w="1984"/>
      </w:tblGrid>
      <w:tr w:rsidR="009123AC" w:rsidRPr="00F0379B" w14:paraId="53DFFFD0" w14:textId="77777777" w:rsidTr="00CA749B">
        <w:trPr>
          <w:trHeight w:val="332"/>
          <w:jc w:val="center"/>
        </w:trPr>
        <w:tc>
          <w:tcPr>
            <w:tcW w:w="3277" w:type="dxa"/>
            <w:noWrap/>
          </w:tcPr>
          <w:p w14:paraId="5B843CD3" w14:textId="77777777" w:rsidR="009123AC" w:rsidRPr="00F0379B" w:rsidRDefault="009123AC" w:rsidP="009123AC">
            <w:pPr>
              <w:spacing w:after="0" w:line="240" w:lineRule="auto"/>
              <w:jc w:val="center"/>
              <w:rPr>
                <w:rFonts w:ascii="Cambria" w:eastAsia="MS Gothic" w:hAnsi="Cambria" w:cs="Times New Roman"/>
                <w:b/>
                <w:bCs/>
                <w:i/>
                <w:color w:val="000000"/>
                <w:sz w:val="20"/>
                <w:szCs w:val="20"/>
                <w14:ligatures w14:val="standardContextual"/>
              </w:rPr>
            </w:pPr>
            <w:r w:rsidRPr="00F0379B">
              <w:rPr>
                <w:rFonts w:ascii="Cambria" w:eastAsiaTheme="minorHAnsi" w:hAnsi="Cambria" w:cs="Times New Roman"/>
                <w:b/>
                <w:color w:val="000000"/>
                <w:kern w:val="2"/>
                <w:sz w:val="20"/>
                <w:szCs w:val="20"/>
                <w14:ligatures w14:val="standardContextual"/>
              </w:rPr>
              <w:t>Plan de pesca</w:t>
            </w:r>
          </w:p>
        </w:tc>
        <w:tc>
          <w:tcPr>
            <w:tcW w:w="4089" w:type="dxa"/>
            <w:gridSpan w:val="2"/>
          </w:tcPr>
          <w:p w14:paraId="7B1E48E9" w14:textId="77777777" w:rsidR="009123AC" w:rsidRPr="00F0379B" w:rsidRDefault="009123AC" w:rsidP="009123AC">
            <w:pPr>
              <w:spacing w:after="0" w:line="240" w:lineRule="auto"/>
              <w:jc w:val="center"/>
              <w:rPr>
                <w:rFonts w:ascii="Cambria" w:eastAsia="MS Gothic" w:hAnsi="Cambria" w:cs="Times New Roman"/>
                <w:b/>
                <w:i/>
                <w:iCs/>
                <w:color w:val="000000"/>
                <w:sz w:val="20"/>
                <w:szCs w:val="20"/>
                <w14:ligatures w14:val="standardContextual"/>
              </w:rPr>
            </w:pPr>
            <w:r w:rsidRPr="00F0379B">
              <w:rPr>
                <w:rFonts w:ascii="Cambria" w:eastAsia="MS Gothic" w:hAnsi="Cambria" w:cs="Times New Roman"/>
                <w:b/>
                <w:sz w:val="20"/>
                <w:szCs w:val="20"/>
                <w:lang w:eastAsia="fr-FR" w:bidi="fr-FR"/>
                <w14:ligatures w14:val="standardContextual"/>
              </w:rPr>
              <w:t>2026</w:t>
            </w:r>
          </w:p>
        </w:tc>
      </w:tr>
      <w:tr w:rsidR="009123AC" w:rsidRPr="00F0379B" w14:paraId="512FA156" w14:textId="77777777" w:rsidTr="00CA749B">
        <w:trPr>
          <w:trHeight w:val="390"/>
          <w:jc w:val="center"/>
        </w:trPr>
        <w:tc>
          <w:tcPr>
            <w:tcW w:w="3277" w:type="dxa"/>
            <w:noWrap/>
            <w:vAlign w:val="center"/>
          </w:tcPr>
          <w:p w14:paraId="5365C16D" w14:textId="77777777" w:rsidR="009123AC" w:rsidRPr="00F0379B" w:rsidRDefault="009123AC" w:rsidP="009123AC">
            <w:pPr>
              <w:spacing w:after="0" w:line="240" w:lineRule="auto"/>
              <w:jc w:val="center"/>
              <w:rPr>
                <w:rFonts w:ascii="Cambria" w:eastAsia="MS Gothic" w:hAnsi="Cambria" w:cs="Times New Roman"/>
                <w:bCs/>
                <w:i/>
                <w:iCs/>
                <w:color w:val="000000"/>
                <w:sz w:val="20"/>
                <w:szCs w:val="20"/>
                <w14:ligatures w14:val="standardContextual"/>
              </w:rPr>
            </w:pPr>
            <w:r w:rsidRPr="00F0379B">
              <w:rPr>
                <w:rFonts w:ascii="Cambria" w:eastAsiaTheme="minorHAnsi" w:hAnsi="Cambria" w:cs="Times New Roman"/>
                <w:bCs/>
                <w:i/>
                <w:iCs/>
                <w:color w:val="000000"/>
                <w:kern w:val="2"/>
                <w:sz w:val="20"/>
                <w:szCs w:val="20"/>
                <w14:ligatures w14:val="standardContextual"/>
              </w:rPr>
              <w:t>Tipo</w:t>
            </w:r>
          </w:p>
        </w:tc>
        <w:tc>
          <w:tcPr>
            <w:tcW w:w="2105" w:type="dxa"/>
            <w:tcBorders>
              <w:bottom w:val="single" w:sz="4" w:space="0" w:color="auto"/>
            </w:tcBorders>
            <w:vAlign w:val="center"/>
          </w:tcPr>
          <w:p w14:paraId="01BA5DE6" w14:textId="77777777" w:rsidR="009123AC" w:rsidRPr="00F0379B" w:rsidRDefault="009123AC" w:rsidP="009123AC">
            <w:pPr>
              <w:spacing w:after="0" w:line="240" w:lineRule="auto"/>
              <w:jc w:val="center"/>
              <w:rPr>
                <w:rFonts w:ascii="Cambria" w:eastAsia="MS Gothic" w:hAnsi="Cambria" w:cs="Times New Roman"/>
                <w:bCs/>
                <w:i/>
                <w:iCs/>
                <w:color w:val="000000"/>
                <w:sz w:val="20"/>
                <w:szCs w:val="20"/>
                <w14:ligatures w14:val="standardContextual"/>
              </w:rPr>
            </w:pPr>
            <w:r w:rsidRPr="00F0379B">
              <w:rPr>
                <w:rFonts w:ascii="Cambria" w:eastAsiaTheme="minorHAnsi" w:hAnsi="Cambria" w:cs="Times New Roman"/>
                <w:bCs/>
                <w:i/>
                <w:iCs/>
                <w:color w:val="000000"/>
                <w:kern w:val="2"/>
                <w:sz w:val="20"/>
                <w:szCs w:val="20"/>
                <w14:ligatures w14:val="standardContextual"/>
              </w:rPr>
              <w:t>Flota (n.º buques)</w:t>
            </w:r>
          </w:p>
        </w:tc>
        <w:tc>
          <w:tcPr>
            <w:tcW w:w="1984" w:type="dxa"/>
            <w:tcBorders>
              <w:bottom w:val="single" w:sz="4" w:space="0" w:color="auto"/>
            </w:tcBorders>
            <w:vAlign w:val="center"/>
          </w:tcPr>
          <w:p w14:paraId="65B0F839" w14:textId="77777777" w:rsidR="009123AC" w:rsidRPr="00F0379B" w:rsidRDefault="009123AC" w:rsidP="009123AC">
            <w:pPr>
              <w:spacing w:after="0" w:line="240" w:lineRule="auto"/>
              <w:jc w:val="center"/>
              <w:rPr>
                <w:rFonts w:ascii="Cambria" w:eastAsia="MS Gothic" w:hAnsi="Cambria" w:cs="Times New Roman"/>
                <w:bCs/>
                <w:i/>
                <w:iCs/>
                <w:sz w:val="20"/>
                <w:szCs w:val="20"/>
                <w14:ligatures w14:val="standardContextual"/>
              </w:rPr>
            </w:pPr>
            <w:r w:rsidRPr="00F0379B">
              <w:rPr>
                <w:rFonts w:ascii="Cambria" w:eastAsiaTheme="minorHAnsi" w:hAnsi="Cambria" w:cs="Times New Roman"/>
                <w:bCs/>
                <w:i/>
                <w:iCs/>
                <w:color w:val="000000"/>
                <w:kern w:val="2"/>
                <w:sz w:val="20"/>
                <w:szCs w:val="20"/>
                <w14:ligatures w14:val="standardContextual"/>
              </w:rPr>
              <w:t>Cuota asignada (t)</w:t>
            </w:r>
          </w:p>
        </w:tc>
      </w:tr>
      <w:tr w:rsidR="009123AC" w:rsidRPr="00F0379B" w14:paraId="25B6916C" w14:textId="77777777" w:rsidTr="00CA749B">
        <w:trPr>
          <w:trHeight w:val="300"/>
          <w:jc w:val="center"/>
        </w:trPr>
        <w:tc>
          <w:tcPr>
            <w:tcW w:w="3277" w:type="dxa"/>
            <w:tcBorders>
              <w:right w:val="single" w:sz="4" w:space="0" w:color="auto"/>
            </w:tcBorders>
            <w:noWrap/>
          </w:tcPr>
          <w:p w14:paraId="2B4D5009" w14:textId="77777777" w:rsidR="009123AC" w:rsidRPr="00F0379B" w:rsidRDefault="009123AC" w:rsidP="009123AC">
            <w:pPr>
              <w:spacing w:after="0" w:line="240" w:lineRule="auto"/>
              <w:rPr>
                <w:rFonts w:ascii="Cambria" w:eastAsia="MS Gothic" w:hAnsi="Cambria" w:cs="Times New Roman"/>
                <w:color w:val="000000"/>
                <w:sz w:val="20"/>
                <w:szCs w:val="20"/>
                <w14:ligatures w14:val="standardContextual"/>
              </w:rPr>
            </w:pPr>
            <w:r w:rsidRPr="00F0379B">
              <w:rPr>
                <w:rFonts w:ascii="Cambria" w:eastAsiaTheme="minorHAnsi" w:hAnsi="Cambria" w:cs="Times New Roman"/>
                <w:color w:val="000000"/>
                <w:kern w:val="2"/>
                <w:sz w:val="20"/>
                <w:szCs w:val="20"/>
                <w14:ligatures w14:val="standardContextual"/>
              </w:rPr>
              <w:t>Cerqueros de más de 40 m</w:t>
            </w:r>
          </w:p>
        </w:tc>
        <w:tc>
          <w:tcPr>
            <w:tcW w:w="2105" w:type="dxa"/>
            <w:tcBorders>
              <w:top w:val="single" w:sz="4" w:space="0" w:color="auto"/>
              <w:left w:val="single" w:sz="4" w:space="0" w:color="auto"/>
              <w:bottom w:val="single" w:sz="4" w:space="0" w:color="auto"/>
              <w:right w:val="single" w:sz="4" w:space="0" w:color="auto"/>
            </w:tcBorders>
            <w:vAlign w:val="center"/>
          </w:tcPr>
          <w:p w14:paraId="50044368"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31</w:t>
            </w:r>
          </w:p>
        </w:tc>
        <w:tc>
          <w:tcPr>
            <w:tcW w:w="1984" w:type="dxa"/>
            <w:tcBorders>
              <w:top w:val="single" w:sz="4" w:space="0" w:color="auto"/>
              <w:left w:val="single" w:sz="4" w:space="0" w:color="auto"/>
              <w:bottom w:val="single" w:sz="4" w:space="0" w:color="auto"/>
              <w:right w:val="single" w:sz="4" w:space="0" w:color="auto"/>
            </w:tcBorders>
            <w:noWrap/>
            <w:vAlign w:val="center"/>
          </w:tcPr>
          <w:p w14:paraId="4E9ADA53"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7.659</w:t>
            </w:r>
          </w:p>
        </w:tc>
      </w:tr>
      <w:tr w:rsidR="009123AC" w:rsidRPr="00F0379B" w14:paraId="0CA3569A" w14:textId="77777777" w:rsidTr="00CA749B">
        <w:trPr>
          <w:trHeight w:val="300"/>
          <w:jc w:val="center"/>
        </w:trPr>
        <w:tc>
          <w:tcPr>
            <w:tcW w:w="3277" w:type="dxa"/>
            <w:tcBorders>
              <w:right w:val="single" w:sz="4" w:space="0" w:color="auto"/>
            </w:tcBorders>
            <w:noWrap/>
          </w:tcPr>
          <w:p w14:paraId="67F5ABF5" w14:textId="77777777" w:rsidR="009123AC" w:rsidRPr="00F0379B" w:rsidRDefault="009123AC" w:rsidP="009123AC">
            <w:pPr>
              <w:spacing w:after="0" w:line="240" w:lineRule="auto"/>
              <w:rPr>
                <w:rFonts w:ascii="Cambria" w:eastAsia="MS Gothic" w:hAnsi="Cambria" w:cs="Times New Roman"/>
                <w:color w:val="000000"/>
                <w:sz w:val="20"/>
                <w:szCs w:val="20"/>
                <w14:ligatures w14:val="standardContextual"/>
              </w:rPr>
            </w:pPr>
            <w:r w:rsidRPr="00F0379B">
              <w:rPr>
                <w:rFonts w:ascii="Cambria" w:eastAsiaTheme="minorHAnsi" w:hAnsi="Cambria" w:cs="Times New Roman"/>
                <w:color w:val="000000"/>
                <w:kern w:val="2"/>
                <w:sz w:val="20"/>
                <w:szCs w:val="20"/>
                <w14:ligatures w14:val="standardContextual"/>
              </w:rPr>
              <w:t>Cerqueros entre 24 y 40 m</w:t>
            </w:r>
          </w:p>
        </w:tc>
        <w:tc>
          <w:tcPr>
            <w:tcW w:w="2105" w:type="dxa"/>
            <w:tcBorders>
              <w:top w:val="single" w:sz="4" w:space="0" w:color="auto"/>
              <w:left w:val="single" w:sz="4" w:space="0" w:color="auto"/>
              <w:bottom w:val="single" w:sz="4" w:space="0" w:color="auto"/>
              <w:right w:val="single" w:sz="4" w:space="0" w:color="auto"/>
            </w:tcBorders>
            <w:vAlign w:val="center"/>
          </w:tcPr>
          <w:p w14:paraId="56D2BA08"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35</w:t>
            </w:r>
          </w:p>
        </w:tc>
        <w:tc>
          <w:tcPr>
            <w:tcW w:w="1984" w:type="dxa"/>
            <w:tcBorders>
              <w:top w:val="single" w:sz="4" w:space="0" w:color="auto"/>
              <w:left w:val="single" w:sz="4" w:space="0" w:color="auto"/>
              <w:bottom w:val="single" w:sz="4" w:space="0" w:color="auto"/>
              <w:right w:val="single" w:sz="4" w:space="0" w:color="auto"/>
            </w:tcBorders>
            <w:noWrap/>
            <w:vAlign w:val="center"/>
          </w:tcPr>
          <w:p w14:paraId="6D37B18D"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4.880</w:t>
            </w:r>
          </w:p>
        </w:tc>
      </w:tr>
      <w:tr w:rsidR="009123AC" w:rsidRPr="00F0379B" w14:paraId="36D019A0" w14:textId="77777777" w:rsidTr="00CA749B">
        <w:trPr>
          <w:trHeight w:val="300"/>
          <w:jc w:val="center"/>
        </w:trPr>
        <w:tc>
          <w:tcPr>
            <w:tcW w:w="3277" w:type="dxa"/>
            <w:tcBorders>
              <w:right w:val="single" w:sz="4" w:space="0" w:color="auto"/>
            </w:tcBorders>
            <w:noWrap/>
          </w:tcPr>
          <w:p w14:paraId="713E0678" w14:textId="77777777" w:rsidR="009123AC" w:rsidRPr="00F0379B" w:rsidRDefault="009123AC" w:rsidP="009123AC">
            <w:pPr>
              <w:spacing w:after="0" w:line="240" w:lineRule="auto"/>
              <w:rPr>
                <w:rFonts w:ascii="Cambria" w:eastAsia="MS Gothic" w:hAnsi="Cambria" w:cs="Times New Roman"/>
                <w:color w:val="000000"/>
                <w:sz w:val="20"/>
                <w:szCs w:val="20"/>
                <w14:ligatures w14:val="standardContextual"/>
              </w:rPr>
            </w:pPr>
            <w:r w:rsidRPr="00F0379B">
              <w:rPr>
                <w:rFonts w:ascii="Cambria" w:eastAsiaTheme="minorHAnsi" w:hAnsi="Cambria" w:cs="Times New Roman"/>
                <w:color w:val="000000"/>
                <w:kern w:val="2"/>
                <w:sz w:val="20"/>
                <w:szCs w:val="20"/>
                <w14:ligatures w14:val="standardContextual"/>
              </w:rPr>
              <w:t>Cerqueros de menos de 24 m</w:t>
            </w:r>
          </w:p>
        </w:tc>
        <w:tc>
          <w:tcPr>
            <w:tcW w:w="2105" w:type="dxa"/>
            <w:tcBorders>
              <w:top w:val="single" w:sz="4" w:space="0" w:color="auto"/>
              <w:left w:val="single" w:sz="4" w:space="0" w:color="auto"/>
              <w:bottom w:val="single" w:sz="4" w:space="0" w:color="auto"/>
              <w:right w:val="single" w:sz="4" w:space="0" w:color="auto"/>
            </w:tcBorders>
            <w:vAlign w:val="center"/>
          </w:tcPr>
          <w:p w14:paraId="738B1018"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5</w:t>
            </w:r>
          </w:p>
        </w:tc>
        <w:tc>
          <w:tcPr>
            <w:tcW w:w="1984" w:type="dxa"/>
            <w:tcBorders>
              <w:top w:val="single" w:sz="4" w:space="0" w:color="auto"/>
              <w:left w:val="single" w:sz="4" w:space="0" w:color="auto"/>
              <w:bottom w:val="single" w:sz="4" w:space="0" w:color="auto"/>
              <w:right w:val="single" w:sz="4" w:space="0" w:color="auto"/>
            </w:tcBorders>
            <w:noWrap/>
            <w:vAlign w:val="center"/>
          </w:tcPr>
          <w:p w14:paraId="38F55524"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247</w:t>
            </w:r>
          </w:p>
        </w:tc>
      </w:tr>
      <w:tr w:rsidR="009123AC" w:rsidRPr="00F0379B" w14:paraId="6B2F3F8E" w14:textId="77777777" w:rsidTr="00CA749B">
        <w:trPr>
          <w:trHeight w:val="300"/>
          <w:jc w:val="center"/>
        </w:trPr>
        <w:tc>
          <w:tcPr>
            <w:tcW w:w="3277" w:type="dxa"/>
            <w:tcBorders>
              <w:right w:val="single" w:sz="4" w:space="0" w:color="auto"/>
            </w:tcBorders>
            <w:shd w:val="clear" w:color="auto" w:fill="BFBFBF"/>
            <w:noWrap/>
          </w:tcPr>
          <w:p w14:paraId="6873D6E7" w14:textId="77777777" w:rsidR="009123AC" w:rsidRPr="00F0379B" w:rsidRDefault="009123AC" w:rsidP="009123AC">
            <w:pPr>
              <w:spacing w:after="0" w:line="240" w:lineRule="auto"/>
              <w:rPr>
                <w:rFonts w:ascii="Cambria" w:eastAsia="MS Gothic" w:hAnsi="Cambria" w:cs="Times New Roman"/>
                <w:b/>
                <w:bCs/>
                <w:color w:val="000000"/>
                <w:sz w:val="20"/>
                <w:szCs w:val="20"/>
                <w14:ligatures w14:val="standardContextual"/>
              </w:rPr>
            </w:pPr>
            <w:r w:rsidRPr="00F0379B">
              <w:rPr>
                <w:rFonts w:ascii="Cambria" w:eastAsiaTheme="minorHAnsi" w:hAnsi="Cambria" w:cs="Times New Roman"/>
                <w:b/>
                <w:color w:val="000000"/>
                <w:kern w:val="2"/>
                <w:sz w:val="20"/>
                <w:szCs w:val="20"/>
                <w14:ligatures w14:val="standardContextual"/>
              </w:rPr>
              <w:t xml:space="preserve">Total flota de cerco </w:t>
            </w:r>
          </w:p>
        </w:tc>
        <w:tc>
          <w:tcPr>
            <w:tcW w:w="2105"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3F085C92" w14:textId="77777777" w:rsidR="009123AC" w:rsidRPr="00F0379B" w:rsidRDefault="009123AC" w:rsidP="009123AC">
            <w:pPr>
              <w:spacing w:after="0" w:line="240" w:lineRule="auto"/>
              <w:jc w:val="center"/>
              <w:rPr>
                <w:rFonts w:ascii="Cambria" w:eastAsia="MS Gothic" w:hAnsi="Cambria" w:cs="Times New Roman"/>
                <w:b/>
                <w:bCs/>
                <w:color w:val="000000"/>
                <w:sz w:val="20"/>
                <w:szCs w:val="20"/>
                <w14:ligatures w14:val="standardContextual"/>
              </w:rPr>
            </w:pPr>
            <w:r w:rsidRPr="00F0379B">
              <w:rPr>
                <w:rFonts w:ascii="Cambria" w:eastAsiaTheme="minorEastAsia" w:hAnsi="Cambria" w:cs="Calibri"/>
                <w:b/>
                <w:bCs/>
                <w:kern w:val="2"/>
                <w:sz w:val="20"/>
                <w:szCs w:val="20"/>
                <w:lang w:eastAsia="ja-JP"/>
                <w14:ligatures w14:val="standardContextual"/>
              </w:rPr>
              <w:t>71</w:t>
            </w:r>
          </w:p>
        </w:tc>
        <w:tc>
          <w:tcPr>
            <w:tcW w:w="1984"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3ED42228" w14:textId="77777777" w:rsidR="009123AC" w:rsidRPr="00F0379B" w:rsidRDefault="009123AC" w:rsidP="009123AC">
            <w:pPr>
              <w:spacing w:after="0" w:line="240" w:lineRule="auto"/>
              <w:jc w:val="center"/>
              <w:rPr>
                <w:rFonts w:ascii="Cambria" w:eastAsia="MS Gothic" w:hAnsi="Cambria" w:cs="Times New Roman"/>
                <w:b/>
                <w:bCs/>
                <w:color w:val="000000"/>
                <w:sz w:val="20"/>
                <w:szCs w:val="20"/>
                <w14:ligatures w14:val="standardContextual"/>
              </w:rPr>
            </w:pPr>
            <w:r w:rsidRPr="00F0379B">
              <w:rPr>
                <w:rFonts w:ascii="Cambria" w:eastAsiaTheme="minorEastAsia" w:hAnsi="Cambria" w:cs="Calibri"/>
                <w:b/>
                <w:bCs/>
                <w:kern w:val="2"/>
                <w:sz w:val="20"/>
                <w:szCs w:val="20"/>
                <w:lang w:eastAsia="ja-JP"/>
                <w14:ligatures w14:val="standardContextual"/>
              </w:rPr>
              <w:t>12.787</w:t>
            </w:r>
          </w:p>
        </w:tc>
      </w:tr>
      <w:tr w:rsidR="009123AC" w:rsidRPr="00F0379B" w14:paraId="6DA18BFA" w14:textId="77777777" w:rsidTr="00CA749B">
        <w:trPr>
          <w:trHeight w:val="300"/>
          <w:jc w:val="center"/>
        </w:trPr>
        <w:tc>
          <w:tcPr>
            <w:tcW w:w="3277" w:type="dxa"/>
            <w:tcBorders>
              <w:right w:val="single" w:sz="4" w:space="0" w:color="auto"/>
            </w:tcBorders>
            <w:noWrap/>
          </w:tcPr>
          <w:p w14:paraId="0EA6216D" w14:textId="77777777" w:rsidR="009123AC" w:rsidRPr="00F0379B" w:rsidRDefault="009123AC" w:rsidP="009123AC">
            <w:pPr>
              <w:spacing w:after="0" w:line="240" w:lineRule="auto"/>
              <w:rPr>
                <w:rFonts w:ascii="Cambria" w:eastAsia="MS Gothic" w:hAnsi="Cambria" w:cs="Times New Roman"/>
                <w:color w:val="000000"/>
                <w:sz w:val="20"/>
                <w:szCs w:val="20"/>
                <w14:ligatures w14:val="standardContextual"/>
              </w:rPr>
            </w:pPr>
            <w:r w:rsidRPr="00F0379B">
              <w:rPr>
                <w:rFonts w:ascii="Cambria" w:eastAsiaTheme="minorHAnsi" w:hAnsi="Cambria" w:cs="Times New Roman"/>
                <w:color w:val="000000"/>
                <w:kern w:val="2"/>
                <w:sz w:val="20"/>
                <w:szCs w:val="20"/>
                <w14:ligatures w14:val="standardContextual"/>
              </w:rPr>
              <w:t>Palangreros de más de 40 m</w:t>
            </w:r>
          </w:p>
        </w:tc>
        <w:tc>
          <w:tcPr>
            <w:tcW w:w="2105" w:type="dxa"/>
            <w:tcBorders>
              <w:top w:val="single" w:sz="4" w:space="0" w:color="auto"/>
              <w:left w:val="single" w:sz="4" w:space="0" w:color="auto"/>
              <w:bottom w:val="single" w:sz="4" w:space="0" w:color="auto"/>
              <w:right w:val="single" w:sz="4" w:space="0" w:color="auto"/>
            </w:tcBorders>
            <w:vAlign w:val="center"/>
          </w:tcPr>
          <w:p w14:paraId="165D0960" w14:textId="77777777" w:rsidR="009123AC" w:rsidRPr="00F0379B" w:rsidRDefault="009123AC" w:rsidP="009123AC">
            <w:pPr>
              <w:widowControl w:val="0"/>
              <w:tabs>
                <w:tab w:val="center" w:pos="4513"/>
                <w:tab w:val="right" w:pos="9026"/>
              </w:tabs>
              <w:spacing w:after="0" w:line="240" w:lineRule="auto"/>
              <w:rPr>
                <w:rFonts w:ascii="Cambria" w:eastAsia="MS Gothic" w:hAnsi="Cambria" w:cs="Calibri"/>
                <w:color w:val="000000"/>
                <w:kern w:val="2"/>
                <w:sz w:val="20"/>
                <w:szCs w:val="20"/>
                <w:lang w:eastAsia="ja-JP"/>
                <w14:ligatures w14:val="standardContextual"/>
              </w:rPr>
            </w:pPr>
            <w:r w:rsidRPr="00F0379B">
              <w:rPr>
                <w:rFonts w:ascii="Cambria" w:eastAsiaTheme="minorEastAsia" w:hAnsi="Cambria" w:cs="Calibri"/>
                <w:kern w:val="2"/>
                <w:sz w:val="20"/>
                <w:szCs w:val="20"/>
                <w:lang w:eastAsia="ja-JP"/>
                <w14:ligatures w14:val="standardContextual"/>
              </w:rPr>
              <w:t>0</w:t>
            </w:r>
          </w:p>
        </w:tc>
        <w:tc>
          <w:tcPr>
            <w:tcW w:w="1984" w:type="dxa"/>
            <w:tcBorders>
              <w:top w:val="single" w:sz="4" w:space="0" w:color="auto"/>
              <w:left w:val="single" w:sz="4" w:space="0" w:color="auto"/>
              <w:bottom w:val="single" w:sz="4" w:space="0" w:color="auto"/>
              <w:right w:val="single" w:sz="4" w:space="0" w:color="auto"/>
            </w:tcBorders>
            <w:noWrap/>
            <w:vAlign w:val="center"/>
          </w:tcPr>
          <w:p w14:paraId="0A3D52E3"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0</w:t>
            </w:r>
          </w:p>
        </w:tc>
      </w:tr>
      <w:tr w:rsidR="009123AC" w:rsidRPr="00F0379B" w14:paraId="634816E5" w14:textId="77777777" w:rsidTr="00CA749B">
        <w:trPr>
          <w:trHeight w:val="300"/>
          <w:jc w:val="center"/>
        </w:trPr>
        <w:tc>
          <w:tcPr>
            <w:tcW w:w="3277" w:type="dxa"/>
            <w:tcBorders>
              <w:right w:val="single" w:sz="4" w:space="0" w:color="auto"/>
            </w:tcBorders>
            <w:noWrap/>
          </w:tcPr>
          <w:p w14:paraId="6983FAE4" w14:textId="77777777" w:rsidR="009123AC" w:rsidRPr="00F0379B" w:rsidRDefault="009123AC" w:rsidP="009123AC">
            <w:pPr>
              <w:spacing w:after="0" w:line="240" w:lineRule="auto"/>
              <w:rPr>
                <w:rFonts w:ascii="Cambria" w:eastAsia="MS Gothic" w:hAnsi="Cambria" w:cs="Times New Roman"/>
                <w:color w:val="000000"/>
                <w:sz w:val="20"/>
                <w:szCs w:val="20"/>
                <w14:ligatures w14:val="standardContextual"/>
              </w:rPr>
            </w:pPr>
            <w:r w:rsidRPr="00F0379B">
              <w:rPr>
                <w:rFonts w:ascii="Cambria" w:eastAsiaTheme="minorHAnsi" w:hAnsi="Cambria" w:cs="Times New Roman"/>
                <w:color w:val="000000"/>
                <w:kern w:val="2"/>
                <w:sz w:val="20"/>
                <w:szCs w:val="20"/>
                <w14:ligatures w14:val="standardContextual"/>
              </w:rPr>
              <w:t>Palangreros entre 24 y 40 m</w:t>
            </w:r>
          </w:p>
        </w:tc>
        <w:tc>
          <w:tcPr>
            <w:tcW w:w="2105" w:type="dxa"/>
            <w:tcBorders>
              <w:top w:val="single" w:sz="4" w:space="0" w:color="auto"/>
              <w:left w:val="single" w:sz="4" w:space="0" w:color="auto"/>
              <w:bottom w:val="single" w:sz="4" w:space="0" w:color="auto"/>
              <w:right w:val="single" w:sz="4" w:space="0" w:color="auto"/>
            </w:tcBorders>
            <w:vAlign w:val="center"/>
          </w:tcPr>
          <w:p w14:paraId="073CED73"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4</w:t>
            </w:r>
          </w:p>
        </w:tc>
        <w:tc>
          <w:tcPr>
            <w:tcW w:w="1984" w:type="dxa"/>
            <w:tcBorders>
              <w:top w:val="single" w:sz="4" w:space="0" w:color="auto"/>
              <w:left w:val="single" w:sz="4" w:space="0" w:color="auto"/>
              <w:bottom w:val="single" w:sz="4" w:space="0" w:color="auto"/>
              <w:right w:val="single" w:sz="4" w:space="0" w:color="auto"/>
            </w:tcBorders>
            <w:noWrap/>
            <w:vAlign w:val="center"/>
          </w:tcPr>
          <w:p w14:paraId="476E087A"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40</w:t>
            </w:r>
          </w:p>
        </w:tc>
      </w:tr>
      <w:tr w:rsidR="009123AC" w:rsidRPr="00F0379B" w14:paraId="42AA1DE6" w14:textId="77777777" w:rsidTr="00CA749B">
        <w:trPr>
          <w:trHeight w:val="300"/>
          <w:jc w:val="center"/>
        </w:trPr>
        <w:tc>
          <w:tcPr>
            <w:tcW w:w="3277" w:type="dxa"/>
            <w:tcBorders>
              <w:right w:val="single" w:sz="4" w:space="0" w:color="auto"/>
            </w:tcBorders>
            <w:noWrap/>
          </w:tcPr>
          <w:p w14:paraId="5FA34294" w14:textId="77777777" w:rsidR="009123AC" w:rsidRPr="00F0379B" w:rsidRDefault="009123AC" w:rsidP="009123AC">
            <w:pPr>
              <w:spacing w:after="0" w:line="240" w:lineRule="auto"/>
              <w:rPr>
                <w:rFonts w:ascii="Cambria" w:eastAsia="MS Gothic" w:hAnsi="Cambria" w:cs="Times New Roman"/>
                <w:color w:val="000000"/>
                <w:sz w:val="20"/>
                <w:szCs w:val="20"/>
                <w14:ligatures w14:val="standardContextual"/>
              </w:rPr>
            </w:pPr>
            <w:r w:rsidRPr="00F0379B">
              <w:rPr>
                <w:rFonts w:ascii="Cambria" w:eastAsiaTheme="minorHAnsi" w:hAnsi="Cambria" w:cs="Times New Roman"/>
                <w:color w:val="000000"/>
                <w:kern w:val="2"/>
                <w:sz w:val="20"/>
                <w:szCs w:val="20"/>
                <w14:ligatures w14:val="standardContextual"/>
              </w:rPr>
              <w:t>Palangreros de menos de 24 m</w:t>
            </w:r>
          </w:p>
        </w:tc>
        <w:tc>
          <w:tcPr>
            <w:tcW w:w="2105" w:type="dxa"/>
            <w:tcBorders>
              <w:top w:val="single" w:sz="4" w:space="0" w:color="auto"/>
              <w:left w:val="single" w:sz="4" w:space="0" w:color="auto"/>
              <w:bottom w:val="single" w:sz="4" w:space="0" w:color="auto"/>
              <w:right w:val="single" w:sz="4" w:space="0" w:color="auto"/>
            </w:tcBorders>
            <w:vAlign w:val="center"/>
          </w:tcPr>
          <w:p w14:paraId="153E1D7B"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178</w:t>
            </w:r>
          </w:p>
        </w:tc>
        <w:tc>
          <w:tcPr>
            <w:tcW w:w="1984" w:type="dxa"/>
            <w:tcBorders>
              <w:top w:val="single" w:sz="4" w:space="0" w:color="auto"/>
              <w:left w:val="single" w:sz="4" w:space="0" w:color="auto"/>
              <w:bottom w:val="single" w:sz="4" w:space="0" w:color="auto"/>
              <w:right w:val="single" w:sz="4" w:space="0" w:color="auto"/>
            </w:tcBorders>
            <w:noWrap/>
            <w:vAlign w:val="center"/>
          </w:tcPr>
          <w:p w14:paraId="0AFDB8E0"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2.101</w:t>
            </w:r>
          </w:p>
        </w:tc>
      </w:tr>
      <w:tr w:rsidR="009123AC" w:rsidRPr="00F0379B" w14:paraId="53DD59D7" w14:textId="77777777" w:rsidTr="00CA749B">
        <w:trPr>
          <w:trHeight w:val="300"/>
          <w:jc w:val="center"/>
        </w:trPr>
        <w:tc>
          <w:tcPr>
            <w:tcW w:w="3277" w:type="dxa"/>
            <w:tcBorders>
              <w:right w:val="single" w:sz="4" w:space="0" w:color="auto"/>
            </w:tcBorders>
            <w:shd w:val="clear" w:color="auto" w:fill="BFBFBF"/>
            <w:noWrap/>
          </w:tcPr>
          <w:p w14:paraId="1349E70F" w14:textId="77777777" w:rsidR="009123AC" w:rsidRPr="00F0379B" w:rsidRDefault="009123AC" w:rsidP="009123AC">
            <w:pPr>
              <w:spacing w:after="0" w:line="240" w:lineRule="auto"/>
              <w:rPr>
                <w:rFonts w:ascii="Cambria" w:eastAsia="MS Gothic" w:hAnsi="Cambria" w:cs="Times New Roman"/>
                <w:b/>
                <w:bCs/>
                <w:color w:val="000000"/>
                <w:sz w:val="20"/>
                <w:szCs w:val="20"/>
                <w14:ligatures w14:val="standardContextual"/>
              </w:rPr>
            </w:pPr>
            <w:r w:rsidRPr="00F0379B">
              <w:rPr>
                <w:rFonts w:ascii="Cambria" w:eastAsiaTheme="minorHAnsi" w:hAnsi="Cambria" w:cs="Times New Roman"/>
                <w:b/>
                <w:color w:val="000000"/>
                <w:kern w:val="2"/>
                <w:sz w:val="20"/>
                <w:szCs w:val="20"/>
                <w14:ligatures w14:val="standardContextual"/>
              </w:rPr>
              <w:t>Total flota de palangre</w:t>
            </w:r>
          </w:p>
        </w:tc>
        <w:tc>
          <w:tcPr>
            <w:tcW w:w="2105"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1531F083" w14:textId="77777777" w:rsidR="009123AC" w:rsidRPr="00F0379B" w:rsidRDefault="009123AC" w:rsidP="009123AC">
            <w:pPr>
              <w:spacing w:after="0" w:line="240" w:lineRule="auto"/>
              <w:jc w:val="center"/>
              <w:rPr>
                <w:rFonts w:ascii="Cambria" w:eastAsia="MS Gothic" w:hAnsi="Cambria" w:cs="Times New Roman"/>
                <w:b/>
                <w:bCs/>
                <w:color w:val="000000"/>
                <w:sz w:val="20"/>
                <w:szCs w:val="20"/>
                <w14:ligatures w14:val="standardContextual"/>
              </w:rPr>
            </w:pPr>
            <w:r w:rsidRPr="00F0379B">
              <w:rPr>
                <w:rFonts w:ascii="Cambria" w:eastAsiaTheme="minorEastAsia" w:hAnsi="Cambria" w:cs="Calibri"/>
                <w:b/>
                <w:bCs/>
                <w:kern w:val="2"/>
                <w:sz w:val="20"/>
                <w:szCs w:val="20"/>
                <w:lang w:eastAsia="ja-JP"/>
                <w14:ligatures w14:val="standardContextual"/>
              </w:rPr>
              <w:t>182</w:t>
            </w:r>
          </w:p>
        </w:tc>
        <w:tc>
          <w:tcPr>
            <w:tcW w:w="1984"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37E47EB3" w14:textId="77777777" w:rsidR="009123AC" w:rsidRPr="00F0379B" w:rsidRDefault="009123AC" w:rsidP="009123AC">
            <w:pPr>
              <w:spacing w:after="0" w:line="240" w:lineRule="auto"/>
              <w:jc w:val="center"/>
              <w:rPr>
                <w:rFonts w:ascii="Cambria" w:eastAsia="MS Gothic" w:hAnsi="Cambria" w:cs="Times New Roman"/>
                <w:b/>
                <w:bCs/>
                <w:color w:val="000000"/>
                <w:sz w:val="20"/>
                <w:szCs w:val="20"/>
                <w14:ligatures w14:val="standardContextual"/>
              </w:rPr>
            </w:pPr>
            <w:r w:rsidRPr="00F0379B">
              <w:rPr>
                <w:rFonts w:ascii="Cambria" w:eastAsiaTheme="minorEastAsia" w:hAnsi="Cambria" w:cs="Calibri"/>
                <w:b/>
                <w:bCs/>
                <w:kern w:val="2"/>
                <w:sz w:val="20"/>
                <w:szCs w:val="20"/>
                <w:lang w:eastAsia="ja-JP"/>
                <w14:ligatures w14:val="standardContextual"/>
              </w:rPr>
              <w:t>2.141</w:t>
            </w:r>
          </w:p>
        </w:tc>
      </w:tr>
      <w:tr w:rsidR="009123AC" w:rsidRPr="00F0379B" w14:paraId="26404A91" w14:textId="77777777" w:rsidTr="00CA749B">
        <w:trPr>
          <w:trHeight w:val="341"/>
          <w:jc w:val="center"/>
        </w:trPr>
        <w:tc>
          <w:tcPr>
            <w:tcW w:w="3277" w:type="dxa"/>
            <w:tcBorders>
              <w:right w:val="single" w:sz="4" w:space="0" w:color="auto"/>
            </w:tcBorders>
            <w:noWrap/>
          </w:tcPr>
          <w:p w14:paraId="6DCC6B83" w14:textId="77777777" w:rsidR="009123AC" w:rsidRPr="00F0379B" w:rsidRDefault="009123AC" w:rsidP="009123AC">
            <w:pPr>
              <w:spacing w:after="0" w:line="240" w:lineRule="auto"/>
              <w:rPr>
                <w:rFonts w:ascii="Cambria" w:eastAsia="MS Gothic" w:hAnsi="Cambria" w:cs="Times New Roman"/>
                <w:color w:val="000000"/>
                <w:sz w:val="20"/>
                <w:szCs w:val="20"/>
                <w14:ligatures w14:val="standardContextual"/>
              </w:rPr>
            </w:pPr>
            <w:r w:rsidRPr="00F0379B">
              <w:rPr>
                <w:rFonts w:ascii="Cambria" w:eastAsiaTheme="minorHAnsi" w:hAnsi="Cambria" w:cs="Times New Roman"/>
                <w:color w:val="000000"/>
                <w:kern w:val="2"/>
                <w:sz w:val="20"/>
                <w:szCs w:val="20"/>
                <w14:ligatures w14:val="standardContextual"/>
              </w:rPr>
              <w:t>Cebo vivo</w:t>
            </w:r>
          </w:p>
        </w:tc>
        <w:tc>
          <w:tcPr>
            <w:tcW w:w="2105" w:type="dxa"/>
            <w:tcBorders>
              <w:top w:val="single" w:sz="4" w:space="0" w:color="auto"/>
              <w:left w:val="single" w:sz="4" w:space="0" w:color="auto"/>
              <w:bottom w:val="single" w:sz="4" w:space="0" w:color="auto"/>
              <w:right w:val="single" w:sz="4" w:space="0" w:color="auto"/>
            </w:tcBorders>
            <w:vAlign w:val="center"/>
          </w:tcPr>
          <w:p w14:paraId="56457BB2"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72</w:t>
            </w:r>
          </w:p>
        </w:tc>
        <w:tc>
          <w:tcPr>
            <w:tcW w:w="1984" w:type="dxa"/>
            <w:tcBorders>
              <w:top w:val="single" w:sz="4" w:space="0" w:color="auto"/>
              <w:left w:val="single" w:sz="4" w:space="0" w:color="auto"/>
              <w:bottom w:val="single" w:sz="4" w:space="0" w:color="auto"/>
              <w:right w:val="single" w:sz="4" w:space="0" w:color="auto"/>
            </w:tcBorders>
            <w:noWrap/>
            <w:vAlign w:val="center"/>
          </w:tcPr>
          <w:p w14:paraId="42A7464A"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1.764</w:t>
            </w:r>
          </w:p>
        </w:tc>
      </w:tr>
      <w:tr w:rsidR="009123AC" w:rsidRPr="00F0379B" w14:paraId="559BC479" w14:textId="77777777" w:rsidTr="00CA749B">
        <w:trPr>
          <w:trHeight w:val="300"/>
          <w:jc w:val="center"/>
        </w:trPr>
        <w:tc>
          <w:tcPr>
            <w:tcW w:w="3277" w:type="dxa"/>
            <w:tcBorders>
              <w:right w:val="single" w:sz="4" w:space="0" w:color="auto"/>
            </w:tcBorders>
            <w:noWrap/>
          </w:tcPr>
          <w:p w14:paraId="0B7973AC" w14:textId="77777777" w:rsidR="009123AC" w:rsidRPr="00F0379B" w:rsidRDefault="009123AC" w:rsidP="009123AC">
            <w:pPr>
              <w:spacing w:after="0" w:line="240" w:lineRule="auto"/>
              <w:rPr>
                <w:rFonts w:ascii="Cambria" w:eastAsia="MS Gothic" w:hAnsi="Cambria" w:cs="Times New Roman"/>
                <w:color w:val="000000"/>
                <w:sz w:val="20"/>
                <w:szCs w:val="20"/>
                <w14:ligatures w14:val="standardContextual"/>
              </w:rPr>
            </w:pPr>
            <w:r w:rsidRPr="00F0379B">
              <w:rPr>
                <w:rFonts w:ascii="Cambria" w:eastAsiaTheme="minorHAnsi" w:hAnsi="Cambria" w:cs="Times New Roman"/>
                <w:color w:val="000000"/>
                <w:kern w:val="2"/>
                <w:sz w:val="20"/>
                <w:szCs w:val="20"/>
                <w14:ligatures w14:val="standardContextual"/>
              </w:rPr>
              <w:t>Liña de mano</w:t>
            </w:r>
          </w:p>
        </w:tc>
        <w:tc>
          <w:tcPr>
            <w:tcW w:w="2105" w:type="dxa"/>
            <w:tcBorders>
              <w:top w:val="single" w:sz="4" w:space="0" w:color="auto"/>
              <w:left w:val="single" w:sz="4" w:space="0" w:color="auto"/>
              <w:bottom w:val="single" w:sz="4" w:space="0" w:color="auto"/>
              <w:right w:val="single" w:sz="4" w:space="0" w:color="auto"/>
            </w:tcBorders>
            <w:vAlign w:val="center"/>
          </w:tcPr>
          <w:p w14:paraId="4D573C8A"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88</w:t>
            </w:r>
          </w:p>
        </w:tc>
        <w:tc>
          <w:tcPr>
            <w:tcW w:w="1984" w:type="dxa"/>
            <w:tcBorders>
              <w:top w:val="single" w:sz="4" w:space="0" w:color="auto"/>
              <w:left w:val="single" w:sz="4" w:space="0" w:color="auto"/>
              <w:bottom w:val="single" w:sz="4" w:space="0" w:color="auto"/>
              <w:right w:val="single" w:sz="4" w:space="0" w:color="auto"/>
            </w:tcBorders>
            <w:noWrap/>
            <w:vAlign w:val="center"/>
          </w:tcPr>
          <w:p w14:paraId="26BA56AC"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327</w:t>
            </w:r>
          </w:p>
        </w:tc>
      </w:tr>
      <w:tr w:rsidR="009123AC" w:rsidRPr="00F0379B" w14:paraId="0825F72A" w14:textId="77777777" w:rsidTr="00CA749B">
        <w:trPr>
          <w:trHeight w:val="300"/>
          <w:jc w:val="center"/>
        </w:trPr>
        <w:tc>
          <w:tcPr>
            <w:tcW w:w="3277" w:type="dxa"/>
            <w:tcBorders>
              <w:right w:val="single" w:sz="4" w:space="0" w:color="auto"/>
            </w:tcBorders>
            <w:noWrap/>
          </w:tcPr>
          <w:p w14:paraId="53CD3471" w14:textId="77777777" w:rsidR="009123AC" w:rsidRPr="00F0379B" w:rsidRDefault="009123AC" w:rsidP="009123AC">
            <w:pPr>
              <w:spacing w:after="0" w:line="240" w:lineRule="auto"/>
              <w:rPr>
                <w:rFonts w:ascii="Cambria" w:eastAsia="MS Gothic" w:hAnsi="Cambria" w:cs="Times New Roman"/>
                <w:color w:val="000000"/>
                <w:sz w:val="20"/>
                <w:szCs w:val="20"/>
                <w14:ligatures w14:val="standardContextual"/>
              </w:rPr>
            </w:pPr>
            <w:r w:rsidRPr="00F0379B">
              <w:rPr>
                <w:rFonts w:ascii="Cambria" w:eastAsiaTheme="minorHAnsi" w:hAnsi="Cambria" w:cs="Times New Roman"/>
                <w:color w:val="000000"/>
                <w:kern w:val="2"/>
                <w:sz w:val="20"/>
                <w:szCs w:val="20"/>
                <w14:ligatures w14:val="standardContextual"/>
              </w:rPr>
              <w:t>Arrastrero</w:t>
            </w:r>
          </w:p>
        </w:tc>
        <w:tc>
          <w:tcPr>
            <w:tcW w:w="2105" w:type="dxa"/>
            <w:tcBorders>
              <w:top w:val="single" w:sz="4" w:space="0" w:color="auto"/>
              <w:left w:val="single" w:sz="4" w:space="0" w:color="auto"/>
              <w:bottom w:val="single" w:sz="4" w:space="0" w:color="auto"/>
              <w:right w:val="single" w:sz="4" w:space="0" w:color="auto"/>
            </w:tcBorders>
            <w:vAlign w:val="center"/>
          </w:tcPr>
          <w:p w14:paraId="0261AEC4" w14:textId="77777777" w:rsidR="009123AC" w:rsidRPr="00F0379B" w:rsidRDefault="009123AC" w:rsidP="009123AC">
            <w:pPr>
              <w:widowControl w:val="0"/>
              <w:tabs>
                <w:tab w:val="center" w:pos="4513"/>
                <w:tab w:val="right" w:pos="9026"/>
              </w:tabs>
              <w:spacing w:after="0" w:line="240" w:lineRule="auto"/>
              <w:rPr>
                <w:rFonts w:ascii="Cambria" w:eastAsia="MS Gothic" w:hAnsi="Cambria" w:cs="Calibri"/>
                <w:color w:val="000000"/>
                <w:kern w:val="2"/>
                <w:sz w:val="20"/>
                <w:szCs w:val="20"/>
                <w:lang w:eastAsia="ja-JP"/>
                <w14:ligatures w14:val="standardContextual"/>
              </w:rPr>
            </w:pPr>
            <w:r w:rsidRPr="00F0379B">
              <w:rPr>
                <w:rFonts w:ascii="Cambria" w:eastAsiaTheme="minorEastAsia" w:hAnsi="Cambria" w:cs="Calibri"/>
                <w:kern w:val="2"/>
                <w:sz w:val="20"/>
                <w:szCs w:val="20"/>
                <w:lang w:eastAsia="ja-JP"/>
                <w14:ligatures w14:val="standardContextual"/>
              </w:rPr>
              <w:t>57</w:t>
            </w:r>
          </w:p>
        </w:tc>
        <w:tc>
          <w:tcPr>
            <w:tcW w:w="1984" w:type="dxa"/>
            <w:tcBorders>
              <w:top w:val="single" w:sz="4" w:space="0" w:color="auto"/>
              <w:left w:val="single" w:sz="4" w:space="0" w:color="auto"/>
              <w:bottom w:val="single" w:sz="4" w:space="0" w:color="auto"/>
              <w:right w:val="single" w:sz="4" w:space="0" w:color="auto"/>
            </w:tcBorders>
            <w:noWrap/>
            <w:vAlign w:val="center"/>
          </w:tcPr>
          <w:p w14:paraId="787A5544"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472</w:t>
            </w:r>
          </w:p>
        </w:tc>
      </w:tr>
      <w:tr w:rsidR="009123AC" w:rsidRPr="00F0379B" w14:paraId="43216CE6" w14:textId="77777777" w:rsidTr="00CA749B">
        <w:trPr>
          <w:trHeight w:val="300"/>
          <w:jc w:val="center"/>
        </w:trPr>
        <w:tc>
          <w:tcPr>
            <w:tcW w:w="3277" w:type="dxa"/>
            <w:tcBorders>
              <w:right w:val="single" w:sz="4" w:space="0" w:color="auto"/>
            </w:tcBorders>
            <w:noWrap/>
          </w:tcPr>
          <w:p w14:paraId="3387A834" w14:textId="77777777" w:rsidR="009123AC" w:rsidRPr="00F0379B" w:rsidRDefault="009123AC" w:rsidP="009123AC">
            <w:pPr>
              <w:spacing w:after="0" w:line="240" w:lineRule="auto"/>
              <w:rPr>
                <w:rFonts w:ascii="Cambria" w:eastAsia="MS Gothic" w:hAnsi="Cambria" w:cs="Times New Roman"/>
                <w:color w:val="000000"/>
                <w:sz w:val="20"/>
                <w:szCs w:val="20"/>
                <w14:ligatures w14:val="standardContextual"/>
              </w:rPr>
            </w:pPr>
            <w:r w:rsidRPr="00F0379B">
              <w:rPr>
                <w:rFonts w:ascii="Cambria" w:eastAsiaTheme="minorHAnsi" w:hAnsi="Cambria" w:cs="Times New Roman"/>
                <w:color w:val="000000"/>
                <w:kern w:val="2"/>
                <w:sz w:val="20"/>
                <w:szCs w:val="20"/>
                <w14:ligatures w14:val="standardContextual"/>
              </w:rPr>
              <w:t>Almadraba</w:t>
            </w:r>
          </w:p>
        </w:tc>
        <w:tc>
          <w:tcPr>
            <w:tcW w:w="2105" w:type="dxa"/>
            <w:tcBorders>
              <w:top w:val="single" w:sz="4" w:space="0" w:color="auto"/>
              <w:left w:val="single" w:sz="4" w:space="0" w:color="auto"/>
              <w:bottom w:val="single" w:sz="4" w:space="0" w:color="auto"/>
              <w:right w:val="single" w:sz="4" w:space="0" w:color="auto"/>
            </w:tcBorders>
            <w:vAlign w:val="center"/>
          </w:tcPr>
          <w:p w14:paraId="764C913A"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10</w:t>
            </w:r>
          </w:p>
        </w:tc>
        <w:tc>
          <w:tcPr>
            <w:tcW w:w="1984" w:type="dxa"/>
            <w:tcBorders>
              <w:top w:val="single" w:sz="4" w:space="0" w:color="auto"/>
              <w:left w:val="single" w:sz="4" w:space="0" w:color="auto"/>
              <w:bottom w:val="single" w:sz="4" w:space="0" w:color="auto"/>
              <w:right w:val="single" w:sz="4" w:space="0" w:color="auto"/>
            </w:tcBorders>
            <w:noWrap/>
            <w:vAlign w:val="center"/>
          </w:tcPr>
          <w:p w14:paraId="726C6311"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2.936</w:t>
            </w:r>
          </w:p>
        </w:tc>
      </w:tr>
      <w:tr w:rsidR="009123AC" w:rsidRPr="00F0379B" w14:paraId="5E024535" w14:textId="77777777" w:rsidTr="00CA749B">
        <w:trPr>
          <w:trHeight w:val="300"/>
          <w:jc w:val="center"/>
        </w:trPr>
        <w:tc>
          <w:tcPr>
            <w:tcW w:w="3277" w:type="dxa"/>
            <w:tcBorders>
              <w:right w:val="single" w:sz="4" w:space="0" w:color="auto"/>
            </w:tcBorders>
            <w:noWrap/>
          </w:tcPr>
          <w:p w14:paraId="745B98C8" w14:textId="77777777" w:rsidR="009123AC" w:rsidRPr="00F0379B" w:rsidRDefault="009123AC" w:rsidP="009123AC">
            <w:pPr>
              <w:spacing w:after="0" w:line="240" w:lineRule="auto"/>
              <w:rPr>
                <w:rFonts w:ascii="Cambria" w:eastAsia="MS Gothic" w:hAnsi="Cambria" w:cs="Times New Roman"/>
                <w:color w:val="000000"/>
                <w:sz w:val="20"/>
                <w:szCs w:val="20"/>
                <w14:ligatures w14:val="standardContextual"/>
              </w:rPr>
            </w:pPr>
            <w:r w:rsidRPr="00F0379B">
              <w:rPr>
                <w:rFonts w:ascii="Cambria" w:eastAsiaTheme="minorHAnsi" w:hAnsi="Cambria" w:cs="Times New Roman"/>
                <w:color w:val="000000"/>
                <w:kern w:val="2"/>
                <w:sz w:val="20"/>
                <w:szCs w:val="20"/>
                <w14:ligatures w14:val="standardContextual"/>
              </w:rPr>
              <w:t>Pequeña escala</w:t>
            </w:r>
          </w:p>
        </w:tc>
        <w:tc>
          <w:tcPr>
            <w:tcW w:w="2105" w:type="dxa"/>
            <w:tcBorders>
              <w:top w:val="single" w:sz="4" w:space="0" w:color="auto"/>
              <w:left w:val="single" w:sz="4" w:space="0" w:color="auto"/>
              <w:bottom w:val="single" w:sz="4" w:space="0" w:color="auto"/>
              <w:right w:val="single" w:sz="4" w:space="0" w:color="auto"/>
            </w:tcBorders>
            <w:vAlign w:val="center"/>
          </w:tcPr>
          <w:p w14:paraId="790119B4"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1.192</w:t>
            </w:r>
          </w:p>
        </w:tc>
        <w:tc>
          <w:tcPr>
            <w:tcW w:w="1984" w:type="dxa"/>
            <w:tcBorders>
              <w:top w:val="single" w:sz="4" w:space="0" w:color="auto"/>
              <w:left w:val="single" w:sz="4" w:space="0" w:color="auto"/>
              <w:bottom w:val="single" w:sz="4" w:space="0" w:color="auto"/>
              <w:right w:val="single" w:sz="4" w:space="0" w:color="auto"/>
            </w:tcBorders>
            <w:noWrap/>
            <w:vAlign w:val="center"/>
          </w:tcPr>
          <w:p w14:paraId="3A4401B5"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1.798</w:t>
            </w:r>
          </w:p>
        </w:tc>
      </w:tr>
      <w:tr w:rsidR="009123AC" w:rsidRPr="00F0379B" w14:paraId="2E50FB30" w14:textId="77777777" w:rsidTr="00CA749B">
        <w:trPr>
          <w:trHeight w:val="315"/>
          <w:jc w:val="center"/>
        </w:trPr>
        <w:tc>
          <w:tcPr>
            <w:tcW w:w="3277" w:type="dxa"/>
            <w:tcBorders>
              <w:right w:val="single" w:sz="4" w:space="0" w:color="auto"/>
            </w:tcBorders>
            <w:noWrap/>
          </w:tcPr>
          <w:p w14:paraId="1825F4E6" w14:textId="77777777" w:rsidR="009123AC" w:rsidRPr="00F0379B" w:rsidRDefault="009123AC" w:rsidP="009123AC">
            <w:pPr>
              <w:spacing w:after="0" w:line="240" w:lineRule="auto"/>
              <w:rPr>
                <w:rFonts w:ascii="Cambria" w:eastAsia="MS Gothic" w:hAnsi="Cambria" w:cs="Times New Roman"/>
                <w:color w:val="000000"/>
                <w:sz w:val="20"/>
                <w:szCs w:val="20"/>
                <w14:ligatures w14:val="standardContextual"/>
              </w:rPr>
            </w:pPr>
            <w:r w:rsidRPr="00F0379B">
              <w:rPr>
                <w:rFonts w:ascii="Cambria" w:eastAsiaTheme="minorHAnsi" w:hAnsi="Cambria" w:cs="Times New Roman"/>
                <w:color w:val="000000"/>
                <w:kern w:val="2"/>
                <w:sz w:val="20"/>
                <w:szCs w:val="20"/>
                <w14:ligatures w14:val="standardContextual"/>
              </w:rPr>
              <w:t xml:space="preserve">Otros  </w:t>
            </w:r>
          </w:p>
        </w:tc>
        <w:tc>
          <w:tcPr>
            <w:tcW w:w="2105" w:type="dxa"/>
            <w:tcBorders>
              <w:top w:val="single" w:sz="4" w:space="0" w:color="auto"/>
              <w:left w:val="single" w:sz="4" w:space="0" w:color="auto"/>
              <w:bottom w:val="single" w:sz="4" w:space="0" w:color="auto"/>
              <w:right w:val="single" w:sz="4" w:space="0" w:color="auto"/>
            </w:tcBorders>
            <w:vAlign w:val="center"/>
          </w:tcPr>
          <w:p w14:paraId="0330CB96"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222</w:t>
            </w:r>
          </w:p>
        </w:tc>
        <w:tc>
          <w:tcPr>
            <w:tcW w:w="1984" w:type="dxa"/>
            <w:tcBorders>
              <w:top w:val="single" w:sz="4" w:space="0" w:color="auto"/>
              <w:left w:val="single" w:sz="4" w:space="0" w:color="auto"/>
              <w:bottom w:val="single" w:sz="4" w:space="0" w:color="auto"/>
              <w:right w:val="single" w:sz="4" w:space="0" w:color="auto"/>
            </w:tcBorders>
            <w:noWrap/>
            <w:vAlign w:val="center"/>
          </w:tcPr>
          <w:p w14:paraId="01FEFD88"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1.068</w:t>
            </w:r>
          </w:p>
        </w:tc>
      </w:tr>
      <w:tr w:rsidR="009123AC" w:rsidRPr="00F0379B" w14:paraId="6CE32E0B" w14:textId="77777777" w:rsidTr="00CA749B">
        <w:trPr>
          <w:trHeight w:val="315"/>
          <w:jc w:val="center"/>
        </w:trPr>
        <w:tc>
          <w:tcPr>
            <w:tcW w:w="3277" w:type="dxa"/>
            <w:tcBorders>
              <w:right w:val="single" w:sz="4" w:space="0" w:color="auto"/>
            </w:tcBorders>
            <w:shd w:val="clear" w:color="auto" w:fill="BFBFBF"/>
            <w:noWrap/>
          </w:tcPr>
          <w:p w14:paraId="73C1346D" w14:textId="77777777" w:rsidR="009123AC" w:rsidRPr="00F0379B" w:rsidRDefault="009123AC" w:rsidP="009123AC">
            <w:pPr>
              <w:spacing w:after="0" w:line="240" w:lineRule="auto"/>
              <w:rPr>
                <w:rFonts w:ascii="Cambria" w:eastAsia="MS Gothic" w:hAnsi="Cambria" w:cs="Times New Roman"/>
                <w:b/>
                <w:bCs/>
                <w:color w:val="000000"/>
                <w:sz w:val="20"/>
                <w:szCs w:val="20"/>
                <w14:ligatures w14:val="standardContextual"/>
              </w:rPr>
            </w:pPr>
            <w:r w:rsidRPr="00F0379B">
              <w:rPr>
                <w:rFonts w:ascii="Cambria" w:eastAsiaTheme="minorHAnsi" w:hAnsi="Cambria" w:cs="Times New Roman"/>
                <w:b/>
                <w:color w:val="000000"/>
                <w:kern w:val="2"/>
                <w:sz w:val="20"/>
                <w:szCs w:val="20"/>
                <w14:ligatures w14:val="standardContextual"/>
              </w:rPr>
              <w:t>Total flota de la UE</w:t>
            </w:r>
          </w:p>
        </w:tc>
        <w:tc>
          <w:tcPr>
            <w:tcW w:w="2105" w:type="dxa"/>
            <w:tcBorders>
              <w:top w:val="single" w:sz="4" w:space="0" w:color="auto"/>
              <w:left w:val="single" w:sz="4" w:space="0" w:color="auto"/>
              <w:bottom w:val="single" w:sz="4" w:space="0" w:color="auto"/>
              <w:right w:val="single" w:sz="4" w:space="0" w:color="auto"/>
            </w:tcBorders>
            <w:shd w:val="clear" w:color="auto" w:fill="BFBFBF"/>
            <w:vAlign w:val="center"/>
          </w:tcPr>
          <w:p w14:paraId="5605238C" w14:textId="77777777" w:rsidR="009123AC" w:rsidRPr="00F0379B" w:rsidRDefault="009123AC" w:rsidP="009123AC">
            <w:pPr>
              <w:spacing w:after="0" w:line="240" w:lineRule="auto"/>
              <w:jc w:val="center"/>
              <w:rPr>
                <w:rFonts w:ascii="Cambria" w:eastAsia="MS Gothic" w:hAnsi="Cambria" w:cs="Times New Roman"/>
                <w:b/>
                <w:bCs/>
                <w:color w:val="000000"/>
                <w:sz w:val="20"/>
                <w:szCs w:val="20"/>
                <w14:ligatures w14:val="standardContextual"/>
              </w:rPr>
            </w:pPr>
            <w:r w:rsidRPr="00F0379B">
              <w:rPr>
                <w:rFonts w:ascii="Cambria" w:eastAsiaTheme="minorEastAsia" w:hAnsi="Cambria" w:cs="Calibri"/>
                <w:b/>
                <w:bCs/>
                <w:kern w:val="2"/>
                <w:sz w:val="20"/>
                <w:szCs w:val="20"/>
                <w:lang w:eastAsia="ja-JP"/>
                <w14:ligatures w14:val="standardContextual"/>
              </w:rPr>
              <w:t>1.894</w:t>
            </w:r>
          </w:p>
        </w:tc>
        <w:tc>
          <w:tcPr>
            <w:tcW w:w="1984"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1E3185B5" w14:textId="77777777" w:rsidR="009123AC" w:rsidRPr="00F0379B" w:rsidRDefault="009123AC" w:rsidP="009123AC">
            <w:pPr>
              <w:spacing w:after="0" w:line="240" w:lineRule="auto"/>
              <w:jc w:val="center"/>
              <w:rPr>
                <w:rFonts w:ascii="Cambria" w:eastAsia="MS Gothic" w:hAnsi="Cambria" w:cs="Times New Roman"/>
                <w:b/>
                <w:bCs/>
                <w:color w:val="000000"/>
                <w:sz w:val="20"/>
                <w:szCs w:val="20"/>
                <w14:ligatures w14:val="standardContextual"/>
              </w:rPr>
            </w:pPr>
            <w:r w:rsidRPr="00F0379B">
              <w:rPr>
                <w:rFonts w:ascii="Cambria" w:eastAsiaTheme="minorEastAsia" w:hAnsi="Cambria" w:cs="Calibri"/>
                <w:b/>
                <w:bCs/>
                <w:kern w:val="2"/>
                <w:sz w:val="20"/>
                <w:szCs w:val="20"/>
                <w:lang w:eastAsia="ja-JP"/>
                <w14:ligatures w14:val="standardContextual"/>
              </w:rPr>
              <w:t>23.293</w:t>
            </w:r>
          </w:p>
        </w:tc>
      </w:tr>
      <w:tr w:rsidR="009123AC" w:rsidRPr="00F0379B" w14:paraId="68CD3F18" w14:textId="77777777" w:rsidTr="00CA749B">
        <w:trPr>
          <w:trHeight w:val="315"/>
          <w:jc w:val="center"/>
        </w:trPr>
        <w:tc>
          <w:tcPr>
            <w:tcW w:w="3277" w:type="dxa"/>
            <w:noWrap/>
          </w:tcPr>
          <w:p w14:paraId="626A4C29" w14:textId="77777777" w:rsidR="009123AC" w:rsidRPr="00F0379B" w:rsidRDefault="009123AC" w:rsidP="009123AC">
            <w:pPr>
              <w:spacing w:after="0" w:line="240" w:lineRule="auto"/>
              <w:rPr>
                <w:rFonts w:ascii="Cambria" w:eastAsia="MS Gothic" w:hAnsi="Cambria" w:cs="Times New Roman"/>
                <w:b/>
                <w:color w:val="000000"/>
                <w:sz w:val="20"/>
                <w:szCs w:val="20"/>
                <w14:ligatures w14:val="standardContextual"/>
              </w:rPr>
            </w:pPr>
            <w:r w:rsidRPr="00F0379B">
              <w:rPr>
                <w:rFonts w:ascii="Cambria" w:eastAsiaTheme="minorHAnsi" w:hAnsi="Cambria" w:cs="Times New Roman"/>
                <w:color w:val="000000"/>
                <w:kern w:val="2"/>
                <w:sz w:val="20"/>
                <w:szCs w:val="20"/>
                <w14:ligatures w14:val="standardContextual"/>
              </w:rPr>
              <w:t xml:space="preserve">Cuota </w:t>
            </w:r>
          </w:p>
        </w:tc>
        <w:tc>
          <w:tcPr>
            <w:tcW w:w="2105" w:type="dxa"/>
            <w:vAlign w:val="center"/>
          </w:tcPr>
          <w:p w14:paraId="22F8BDF4" w14:textId="77777777" w:rsidR="009123AC" w:rsidRPr="00F0379B" w:rsidRDefault="009123AC" w:rsidP="009123AC">
            <w:pPr>
              <w:spacing w:after="0" w:line="240" w:lineRule="auto"/>
              <w:jc w:val="center"/>
              <w:rPr>
                <w:rFonts w:ascii="Cambria" w:eastAsia="MS Gothic" w:hAnsi="Cambria" w:cs="Times New Roman"/>
                <w:b/>
                <w:color w:val="000000"/>
                <w:sz w:val="20"/>
                <w:szCs w:val="20"/>
                <w:lang w:val="en-GB" w:eastAsia="fr-FR" w:bidi="fr-FR"/>
                <w14:ligatures w14:val="standardContextual"/>
              </w:rPr>
            </w:pPr>
          </w:p>
        </w:tc>
        <w:tc>
          <w:tcPr>
            <w:tcW w:w="1984" w:type="dxa"/>
            <w:noWrap/>
            <w:vAlign w:val="center"/>
          </w:tcPr>
          <w:p w14:paraId="3B9BF330" w14:textId="77777777" w:rsidR="009123AC" w:rsidRPr="00F0379B" w:rsidRDefault="009123AC" w:rsidP="009123AC">
            <w:pPr>
              <w:spacing w:after="0" w:line="240" w:lineRule="auto"/>
              <w:jc w:val="center"/>
              <w:rPr>
                <w:rFonts w:ascii="Cambria" w:eastAsia="MS Gothic" w:hAnsi="Cambria" w:cs="Times New Roman"/>
                <w:b/>
                <w:color w:val="000000"/>
                <w:sz w:val="20"/>
                <w:szCs w:val="20"/>
                <w14:ligatures w14:val="standardContextual"/>
              </w:rPr>
            </w:pPr>
            <w:r w:rsidRPr="00F0379B">
              <w:rPr>
                <w:rFonts w:ascii="Cambria" w:eastAsiaTheme="minorEastAsia" w:hAnsi="Cambria" w:cs="Calibri"/>
                <w:b/>
                <w:bCs/>
                <w:color w:val="000000" w:themeColor="text1"/>
                <w:kern w:val="2"/>
                <w:sz w:val="20"/>
                <w:szCs w:val="20"/>
                <w:lang w:eastAsia="ja-JP"/>
                <w14:ligatures w14:val="standardContextual"/>
              </w:rPr>
              <w:t>25.164,62</w:t>
            </w:r>
          </w:p>
        </w:tc>
      </w:tr>
      <w:tr w:rsidR="009123AC" w:rsidRPr="00F0379B" w14:paraId="3F97AD33" w14:textId="77777777" w:rsidTr="00CA749B">
        <w:trPr>
          <w:trHeight w:val="315"/>
          <w:jc w:val="center"/>
        </w:trPr>
        <w:tc>
          <w:tcPr>
            <w:tcW w:w="3277" w:type="dxa"/>
            <w:noWrap/>
          </w:tcPr>
          <w:p w14:paraId="24FA6093" w14:textId="77777777" w:rsidR="009123AC" w:rsidRPr="00F0379B" w:rsidRDefault="009123AC" w:rsidP="009123AC">
            <w:pPr>
              <w:spacing w:after="0" w:line="240" w:lineRule="auto"/>
              <w:rPr>
                <w:rFonts w:ascii="Cambria" w:eastAsiaTheme="minorHAnsi" w:hAnsi="Cambria" w:cs="Times New Roman"/>
                <w:color w:val="000000"/>
                <w:kern w:val="2"/>
                <w:sz w:val="20"/>
                <w:szCs w:val="20"/>
                <w14:ligatures w14:val="standardContextual"/>
              </w:rPr>
            </w:pPr>
            <w:r w:rsidRPr="00F0379B">
              <w:rPr>
                <w:rFonts w:ascii="Cambria" w:eastAsiaTheme="minorHAnsi" w:hAnsi="Cambria" w:cs="Times New Roman"/>
                <w:color w:val="000000"/>
                <w:kern w:val="2"/>
                <w:sz w:val="20"/>
                <w:szCs w:val="20"/>
                <w14:ligatures w14:val="standardContextual"/>
              </w:rPr>
              <w:t>Cuota ajustada</w:t>
            </w:r>
            <w:r w:rsidRPr="00F0379B">
              <w:rPr>
                <w:rFonts w:ascii="Cambria" w:eastAsiaTheme="minorHAnsi" w:hAnsi="Cambria"/>
                <w:color w:val="000000"/>
                <w:kern w:val="2"/>
                <w:sz w:val="20"/>
                <w:szCs w:val="20"/>
                <w:vertAlign w:val="superscript"/>
                <w:lang w:eastAsia="ja-JP"/>
                <w14:ligatures w14:val="standardContextual"/>
              </w:rPr>
              <w:footnoteReference w:id="8"/>
            </w:r>
          </w:p>
        </w:tc>
        <w:tc>
          <w:tcPr>
            <w:tcW w:w="2105" w:type="dxa"/>
            <w:vAlign w:val="center"/>
          </w:tcPr>
          <w:p w14:paraId="3457AD9C" w14:textId="77777777" w:rsidR="009123AC" w:rsidRPr="00F0379B" w:rsidRDefault="009123AC" w:rsidP="009123AC">
            <w:pPr>
              <w:spacing w:after="0" w:line="240" w:lineRule="auto"/>
              <w:jc w:val="center"/>
              <w:rPr>
                <w:rFonts w:ascii="Cambria" w:eastAsia="MS Gothic" w:hAnsi="Cambria" w:cs="Times New Roman"/>
                <w:b/>
                <w:color w:val="000000"/>
                <w:sz w:val="20"/>
                <w:szCs w:val="20"/>
                <w:lang w:val="en-GB" w:eastAsia="fr-FR" w:bidi="fr-FR"/>
                <w14:ligatures w14:val="standardContextual"/>
              </w:rPr>
            </w:pPr>
          </w:p>
        </w:tc>
        <w:tc>
          <w:tcPr>
            <w:tcW w:w="1984" w:type="dxa"/>
            <w:noWrap/>
            <w:vAlign w:val="center"/>
          </w:tcPr>
          <w:p w14:paraId="22AC1B15" w14:textId="77777777" w:rsidR="009123AC" w:rsidRPr="00F0379B" w:rsidRDefault="009123AC" w:rsidP="009123AC">
            <w:pPr>
              <w:spacing w:after="0" w:line="240" w:lineRule="auto"/>
              <w:jc w:val="center"/>
              <w:rPr>
                <w:rFonts w:ascii="Cambria" w:eastAsiaTheme="minorHAnsi" w:hAnsi="Cambria" w:cs="Times New Roman"/>
                <w:color w:val="000000"/>
                <w:kern w:val="2"/>
                <w:sz w:val="20"/>
                <w:szCs w:val="20"/>
                <w14:ligatures w14:val="standardContextual"/>
              </w:rPr>
            </w:pPr>
            <w:r w:rsidRPr="00F0379B">
              <w:rPr>
                <w:rFonts w:ascii="Cambria" w:eastAsiaTheme="minorEastAsia" w:hAnsi="Cambria" w:cs="Calibri"/>
                <w:kern w:val="2"/>
                <w:sz w:val="20"/>
                <w:szCs w:val="20"/>
                <w:lang w:eastAsia="ja-JP"/>
                <w14:ligatures w14:val="standardContextual"/>
              </w:rPr>
              <w:t>23.382,03</w:t>
            </w:r>
          </w:p>
        </w:tc>
      </w:tr>
      <w:tr w:rsidR="009123AC" w:rsidRPr="00F0379B" w14:paraId="6B609ED5" w14:textId="77777777" w:rsidTr="00CA749B">
        <w:trPr>
          <w:trHeight w:val="315"/>
          <w:jc w:val="center"/>
        </w:trPr>
        <w:tc>
          <w:tcPr>
            <w:tcW w:w="3277" w:type="dxa"/>
            <w:noWrap/>
          </w:tcPr>
          <w:p w14:paraId="38DC5CB0" w14:textId="77777777" w:rsidR="009123AC" w:rsidRPr="00F0379B" w:rsidRDefault="009123AC" w:rsidP="009123AC">
            <w:pPr>
              <w:spacing w:after="0" w:line="240" w:lineRule="auto"/>
              <w:rPr>
                <w:rFonts w:ascii="Cambria" w:eastAsia="MS Gothic" w:hAnsi="Cambria" w:cs="Times New Roman"/>
                <w:b/>
                <w:color w:val="000000"/>
                <w:sz w:val="20"/>
                <w:szCs w:val="20"/>
                <w14:ligatures w14:val="standardContextual"/>
              </w:rPr>
            </w:pPr>
            <w:r w:rsidRPr="00F0379B">
              <w:rPr>
                <w:rFonts w:ascii="Cambria" w:eastAsiaTheme="minorHAnsi" w:hAnsi="Cambria" w:cs="Times New Roman"/>
                <w:color w:val="000000"/>
                <w:kern w:val="2"/>
                <w:sz w:val="20"/>
                <w:szCs w:val="20"/>
                <w14:ligatures w14:val="standardContextual"/>
              </w:rPr>
              <w:t>Barcos de recreo</w:t>
            </w:r>
          </w:p>
        </w:tc>
        <w:tc>
          <w:tcPr>
            <w:tcW w:w="2105" w:type="dxa"/>
            <w:vAlign w:val="center"/>
          </w:tcPr>
          <w:p w14:paraId="78DC99A3" w14:textId="77777777" w:rsidR="009123AC" w:rsidRPr="00F0379B" w:rsidRDefault="009123AC" w:rsidP="009123AC">
            <w:pPr>
              <w:spacing w:after="0" w:line="240" w:lineRule="auto"/>
              <w:jc w:val="center"/>
              <w:rPr>
                <w:rFonts w:ascii="Cambria" w:eastAsia="MS Gothic" w:hAnsi="Cambria" w:cs="Times New Roman"/>
                <w:color w:val="000000"/>
                <w:sz w:val="20"/>
                <w:szCs w:val="20"/>
                <w:lang w:val="en-GB" w:eastAsia="fr-FR" w:bidi="fr-FR"/>
                <w14:ligatures w14:val="standardContextual"/>
              </w:rPr>
            </w:pPr>
          </w:p>
        </w:tc>
        <w:tc>
          <w:tcPr>
            <w:tcW w:w="1984" w:type="dxa"/>
            <w:tcBorders>
              <w:top w:val="single" w:sz="4" w:space="0" w:color="auto"/>
              <w:left w:val="single" w:sz="4" w:space="0" w:color="auto"/>
              <w:bottom w:val="single" w:sz="4" w:space="0" w:color="auto"/>
              <w:right w:val="single" w:sz="4" w:space="0" w:color="auto"/>
            </w:tcBorders>
            <w:noWrap/>
            <w:vAlign w:val="center"/>
          </w:tcPr>
          <w:p w14:paraId="41FEE9EA"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color w:val="000000" w:themeColor="text1"/>
                <w:kern w:val="2"/>
                <w:sz w:val="20"/>
                <w:szCs w:val="20"/>
                <w:lang w:eastAsia="ja-JP"/>
                <w14:ligatures w14:val="standardContextual"/>
              </w:rPr>
              <w:t>134</w:t>
            </w:r>
          </w:p>
        </w:tc>
      </w:tr>
      <w:tr w:rsidR="009123AC" w:rsidRPr="00F0379B" w14:paraId="6DE2034E" w14:textId="77777777" w:rsidTr="00CA749B">
        <w:trPr>
          <w:trHeight w:val="315"/>
          <w:jc w:val="center"/>
        </w:trPr>
        <w:tc>
          <w:tcPr>
            <w:tcW w:w="3277" w:type="dxa"/>
            <w:noWrap/>
          </w:tcPr>
          <w:p w14:paraId="74BA2FA3" w14:textId="77777777" w:rsidR="009123AC" w:rsidRPr="00F0379B" w:rsidRDefault="009123AC" w:rsidP="009123AC">
            <w:pPr>
              <w:spacing w:after="0" w:line="240" w:lineRule="auto"/>
              <w:rPr>
                <w:rFonts w:ascii="Cambria" w:eastAsia="MS Gothic" w:hAnsi="Cambria" w:cs="Times New Roman"/>
                <w:b/>
                <w:color w:val="000000"/>
                <w:sz w:val="20"/>
                <w:szCs w:val="20"/>
                <w14:ligatures w14:val="standardContextual"/>
              </w:rPr>
            </w:pPr>
            <w:r w:rsidRPr="00F0379B">
              <w:rPr>
                <w:rFonts w:ascii="Cambria" w:eastAsiaTheme="minorHAnsi" w:hAnsi="Cambria" w:cs="Times New Roman"/>
                <w:color w:val="000000"/>
                <w:kern w:val="2"/>
                <w:sz w:val="20"/>
                <w:szCs w:val="20"/>
                <w14:ligatures w14:val="standardContextual"/>
              </w:rPr>
              <w:t>Reserva para captura fortuita</w:t>
            </w:r>
          </w:p>
        </w:tc>
        <w:tc>
          <w:tcPr>
            <w:tcW w:w="2105" w:type="dxa"/>
            <w:tcBorders>
              <w:top w:val="single" w:sz="4" w:space="0" w:color="auto"/>
            </w:tcBorders>
            <w:vAlign w:val="center"/>
          </w:tcPr>
          <w:p w14:paraId="25C26D8A" w14:textId="77777777" w:rsidR="009123AC" w:rsidRPr="00F0379B" w:rsidRDefault="009123AC" w:rsidP="009123AC">
            <w:pPr>
              <w:spacing w:after="0" w:line="240" w:lineRule="auto"/>
              <w:jc w:val="center"/>
              <w:rPr>
                <w:rFonts w:ascii="Cambria" w:eastAsia="MS Gothic" w:hAnsi="Cambria" w:cs="Times New Roman"/>
                <w:color w:val="000000"/>
                <w:sz w:val="20"/>
                <w:szCs w:val="20"/>
                <w:lang w:val="en-GB" w:eastAsia="fr-FR" w:bidi="fr-FR"/>
                <w14:ligatures w14:val="standardContextual"/>
              </w:rPr>
            </w:pPr>
          </w:p>
        </w:tc>
        <w:tc>
          <w:tcPr>
            <w:tcW w:w="1984" w:type="dxa"/>
            <w:tcBorders>
              <w:top w:val="single" w:sz="4" w:space="0" w:color="auto"/>
              <w:left w:val="single" w:sz="4" w:space="0" w:color="auto"/>
              <w:bottom w:val="single" w:sz="4" w:space="0" w:color="auto"/>
              <w:right w:val="single" w:sz="4" w:space="0" w:color="auto"/>
            </w:tcBorders>
            <w:noWrap/>
            <w:vAlign w:val="center"/>
          </w:tcPr>
          <w:p w14:paraId="2EF0FB36" w14:textId="77777777" w:rsidR="009123AC" w:rsidRPr="00F0379B" w:rsidRDefault="009123AC" w:rsidP="009123AC">
            <w:pPr>
              <w:spacing w:after="0" w:line="240" w:lineRule="auto"/>
              <w:jc w:val="center"/>
              <w:rPr>
                <w:rFonts w:ascii="Cambria" w:eastAsia="MS Gothic" w:hAnsi="Cambria" w:cs="Times New Roman"/>
                <w:color w:val="000000"/>
                <w:sz w:val="20"/>
                <w:szCs w:val="20"/>
                <w14:ligatures w14:val="standardContextual"/>
              </w:rPr>
            </w:pPr>
            <w:r w:rsidRPr="00F0379B">
              <w:rPr>
                <w:rFonts w:ascii="Cambria" w:eastAsiaTheme="minorEastAsia" w:hAnsi="Cambria" w:cs="Calibri"/>
                <w:kern w:val="2"/>
                <w:sz w:val="20"/>
                <w:szCs w:val="20"/>
                <w:lang w:eastAsia="ja-JP"/>
                <w14:ligatures w14:val="standardContextual"/>
              </w:rPr>
              <w:t>483</w:t>
            </w:r>
          </w:p>
        </w:tc>
      </w:tr>
      <w:tr w:rsidR="009123AC" w:rsidRPr="00F0379B" w14:paraId="6DFF0891" w14:textId="77777777" w:rsidTr="00CA749B">
        <w:trPr>
          <w:trHeight w:val="300"/>
          <w:jc w:val="center"/>
        </w:trPr>
        <w:tc>
          <w:tcPr>
            <w:tcW w:w="3277" w:type="dxa"/>
            <w:noWrap/>
          </w:tcPr>
          <w:p w14:paraId="12A5CC7D" w14:textId="77777777" w:rsidR="009123AC" w:rsidRPr="00F0379B" w:rsidRDefault="009123AC" w:rsidP="009123AC">
            <w:pPr>
              <w:spacing w:after="0" w:line="240" w:lineRule="auto"/>
              <w:rPr>
                <w:rFonts w:ascii="Cambria" w:eastAsia="MS Gothic" w:hAnsi="Cambria" w:cs="Times New Roman"/>
                <w:b/>
                <w:color w:val="000000"/>
                <w:sz w:val="20"/>
                <w:szCs w:val="20"/>
                <w14:ligatures w14:val="standardContextual"/>
              </w:rPr>
            </w:pPr>
            <w:r w:rsidRPr="00F0379B">
              <w:rPr>
                <w:rFonts w:ascii="Cambria" w:eastAsiaTheme="minorHAnsi" w:hAnsi="Cambria" w:cs="Times New Roman"/>
                <w:color w:val="000000"/>
                <w:kern w:val="2"/>
                <w:sz w:val="20"/>
                <w:szCs w:val="20"/>
                <w14:ligatures w14:val="standardContextual"/>
              </w:rPr>
              <w:t>Contingencia</w:t>
            </w:r>
          </w:p>
        </w:tc>
        <w:tc>
          <w:tcPr>
            <w:tcW w:w="2105" w:type="dxa"/>
            <w:noWrap/>
            <w:vAlign w:val="center"/>
          </w:tcPr>
          <w:p w14:paraId="7DA28257" w14:textId="77777777" w:rsidR="009123AC" w:rsidRPr="00F0379B" w:rsidRDefault="009123AC" w:rsidP="009123AC">
            <w:pPr>
              <w:spacing w:after="0" w:line="240" w:lineRule="auto"/>
              <w:jc w:val="center"/>
              <w:rPr>
                <w:rFonts w:ascii="Cambria" w:eastAsia="MS Gothic" w:hAnsi="Cambria" w:cs="Times New Roman"/>
                <w:color w:val="000000"/>
                <w:sz w:val="20"/>
                <w:szCs w:val="20"/>
                <w:lang w:val="en-GB" w:eastAsia="fr-FR" w:bidi="fr-FR"/>
                <w14:ligatures w14:val="standardContextual"/>
              </w:rPr>
            </w:pPr>
          </w:p>
        </w:tc>
        <w:tc>
          <w:tcPr>
            <w:tcW w:w="1984" w:type="dxa"/>
            <w:tcBorders>
              <w:top w:val="single" w:sz="4" w:space="0" w:color="auto"/>
              <w:left w:val="single" w:sz="4" w:space="0" w:color="auto"/>
              <w:bottom w:val="single" w:sz="4" w:space="0" w:color="auto"/>
              <w:right w:val="single" w:sz="4" w:space="0" w:color="auto"/>
            </w:tcBorders>
            <w:noWrap/>
            <w:vAlign w:val="center"/>
          </w:tcPr>
          <w:p w14:paraId="5E6F46E1" w14:textId="77777777" w:rsidR="009123AC" w:rsidRPr="00F0379B" w:rsidRDefault="009123AC" w:rsidP="009123AC">
            <w:pPr>
              <w:spacing w:after="0" w:line="240" w:lineRule="auto"/>
              <w:jc w:val="center"/>
              <w:rPr>
                <w:rFonts w:ascii="Cambria" w:eastAsia="MS Gothic" w:hAnsi="Cambria" w:cs="Times New Roman"/>
                <w:b/>
                <w:color w:val="000000"/>
                <w:sz w:val="20"/>
                <w:szCs w:val="20"/>
                <w14:ligatures w14:val="standardContextual"/>
              </w:rPr>
            </w:pPr>
            <w:r w:rsidRPr="00F0379B">
              <w:rPr>
                <w:rFonts w:ascii="Cambria" w:eastAsiaTheme="minorEastAsia" w:hAnsi="Cambria" w:cs="Calibri"/>
                <w:b/>
                <w:bCs/>
                <w:color w:val="000000" w:themeColor="text1"/>
                <w:kern w:val="2"/>
                <w:sz w:val="20"/>
                <w:szCs w:val="20"/>
                <w:lang w:eastAsia="ja-JP"/>
                <w14:ligatures w14:val="standardContextual"/>
              </w:rPr>
              <w:t>1.165</w:t>
            </w:r>
          </w:p>
        </w:tc>
      </w:tr>
    </w:tbl>
    <w:p w14:paraId="6BF892EB" w14:textId="77777777" w:rsidR="009123AC" w:rsidRPr="00F0379B" w:rsidRDefault="009123AC" w:rsidP="009123AC">
      <w:pPr>
        <w:spacing w:after="0" w:line="240" w:lineRule="auto"/>
        <w:jc w:val="both"/>
        <w:rPr>
          <w:rFonts w:ascii="Cambria" w:eastAsiaTheme="minorEastAsia"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La UE presenta aquí un plan de inspección complementario que cubre todas las pesquerías de atún rojo y que es capaz de abordar de manera eficaz los requisitos de control de la pesquería.</w:t>
      </w:r>
    </w:p>
    <w:p w14:paraId="3A291F1B"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MS Gothic" w:hAnsi="Cambria" w:cs="Times New Roman"/>
          <w:sz w:val="20"/>
          <w:szCs w:val="20"/>
          <w:lang w:eastAsia="fr-FR" w:bidi="fr-FR"/>
          <w14:ligatures w14:val="standardContextual"/>
        </w:rPr>
        <w:lastRenderedPageBreak/>
        <w:t xml:space="preserve">La Unión Europea realiza seguimiento en tiempo real de la pesquería de atún rojo comprometiéndose a emprender las medidas necesarias para garantizar la plena observancia de las Recomendaciones de ICCAT relacionadas con la ordenación de las pesquerías de atún rojo del este lo que incluye las Recomendaciones 25-04, </w:t>
      </w:r>
      <w:r w:rsidRPr="00F0379B">
        <w:rPr>
          <w:rFonts w:ascii="Cambria" w:eastAsiaTheme="minorEastAsia" w:hAnsi="Cambria"/>
          <w:kern w:val="2"/>
          <w:sz w:val="20"/>
          <w:szCs w:val="20"/>
          <w:lang w:eastAsia="ja-JP"/>
          <w14:ligatures w14:val="standardContextual"/>
        </w:rPr>
        <w:t>10-11, 22-16 y 23-21.</w:t>
      </w:r>
    </w:p>
    <w:p w14:paraId="569B31A3" w14:textId="77777777" w:rsidR="009123AC" w:rsidRPr="00F0379B" w:rsidRDefault="009123AC" w:rsidP="009123AC">
      <w:pPr>
        <w:spacing w:after="0" w:line="240" w:lineRule="auto"/>
        <w:jc w:val="both"/>
        <w:rPr>
          <w:rFonts w:ascii="Cambria" w:eastAsiaTheme="minorEastAsia" w:hAnsi="Cambria" w:cs="Times New Roman"/>
          <w:sz w:val="20"/>
          <w:szCs w:val="20"/>
          <w:lang w:eastAsia="fr-FR" w:bidi="fr-FR"/>
          <w14:ligatures w14:val="standardContextual"/>
        </w:rPr>
      </w:pPr>
    </w:p>
    <w:p w14:paraId="1ACC2A76" w14:textId="77777777" w:rsidR="009123AC" w:rsidRPr="00F0379B" w:rsidRDefault="009123AC" w:rsidP="009123AC">
      <w:pPr>
        <w:spacing w:after="0" w:line="240" w:lineRule="auto"/>
        <w:jc w:val="both"/>
        <w:rPr>
          <w:rFonts w:ascii="Cambria" w:eastAsiaTheme="minorEastAsia"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En la siguiente tabla, de la sección 1 d), se resumen las acciones emprendidas para implementar los requisitos de la Recomendación 25-04 de ICCAT, así como de las legislaciones y reglamentos internos pertinentes cuando procede.</w:t>
      </w:r>
    </w:p>
    <w:p w14:paraId="2585A817"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138E4F2D"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 xml:space="preserve">1 b) Traspaso </w:t>
      </w:r>
      <w:r w:rsidRPr="00F0379B">
        <w:rPr>
          <w:rFonts w:ascii="Cambria" w:eastAsiaTheme="minorEastAsia" w:hAnsi="Cambria"/>
          <w:b/>
          <w:bCs/>
          <w:i/>
          <w:iCs/>
          <w:kern w:val="2"/>
          <w:sz w:val="20"/>
          <w:szCs w:val="20"/>
          <w:lang w:eastAsia="ja-JP"/>
          <w14:ligatures w14:val="standardContextual"/>
        </w:rPr>
        <w:t>(párr. 6)</w:t>
      </w:r>
    </w:p>
    <w:p w14:paraId="55803C80"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339DDB75"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De conformidad con el párrafo 6 de la Recomendación </w:t>
      </w:r>
      <w:r w:rsidRPr="00F0379B">
        <w:rPr>
          <w:rFonts w:ascii="Cambria" w:eastAsia="MS Gothic" w:hAnsi="Cambria" w:cs="Times New Roman"/>
          <w:sz w:val="20"/>
          <w:szCs w:val="20"/>
          <w:lang w:eastAsia="fr-FR" w:bidi="fr-FR"/>
          <w14:ligatures w14:val="standardContextual"/>
        </w:rPr>
        <w:t>25-04</w:t>
      </w:r>
      <w:r w:rsidRPr="00F0379B">
        <w:rPr>
          <w:rFonts w:ascii="Cambria" w:eastAsiaTheme="minorEastAsia" w:hAnsi="Cambria"/>
          <w:bCs/>
          <w:kern w:val="2"/>
          <w:sz w:val="20"/>
          <w:szCs w:val="20"/>
          <w:lang w:eastAsia="ja-JP"/>
          <w14:ligatures w14:val="standardContextual"/>
        </w:rPr>
        <w:t xml:space="preserve">, la UE solicita transferir un máximo del 20 % de su cuota de 2025 a </w:t>
      </w:r>
      <w:r w:rsidRPr="00F0379B">
        <w:rPr>
          <w:rFonts w:ascii="Cambria" w:eastAsia="MS Gothic" w:hAnsi="Cambria" w:cs="Times New Roman"/>
          <w:bCs/>
          <w:sz w:val="20"/>
          <w:szCs w:val="20"/>
          <w:lang w:eastAsia="fr-FR" w:bidi="fr-FR"/>
          <w14:ligatures w14:val="standardContextual"/>
        </w:rPr>
        <w:t>2026.</w:t>
      </w:r>
      <w:r w:rsidRPr="00F0379B">
        <w:rPr>
          <w:rFonts w:ascii="Cambria" w:eastAsiaTheme="minorEastAsia" w:hAnsi="Cambria"/>
          <w:bCs/>
          <w:kern w:val="2"/>
          <w:sz w:val="20"/>
          <w:szCs w:val="20"/>
          <w:lang w:eastAsia="ja-JP"/>
          <w14:ligatures w14:val="standardContextual"/>
        </w:rPr>
        <w:t xml:space="preserve"> </w:t>
      </w:r>
    </w:p>
    <w:p w14:paraId="49F8F2FE"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p>
    <w:p w14:paraId="6E8ECBCB"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En 2025, el remanente de la UE era de 1.344,34 t, superior al máximo permitido del 5 % (</w:t>
      </w:r>
      <w:r w:rsidRPr="00F0379B">
        <w:rPr>
          <w:rFonts w:ascii="Cambria" w:eastAsiaTheme="minorEastAsia" w:hAnsi="Cambria"/>
          <w:kern w:val="2"/>
          <w:sz w:val="20"/>
          <w:szCs w:val="20"/>
          <w:lang w:eastAsia="ja-JP"/>
          <w14:ligatures w14:val="standardContextual"/>
        </w:rPr>
        <w:t>1,075,15 t</w:t>
      </w:r>
      <w:r w:rsidRPr="00F0379B">
        <w:rPr>
          <w:rFonts w:ascii="Cambria" w:eastAsiaTheme="minorEastAsia" w:hAnsi="Cambria"/>
          <w:bCs/>
          <w:kern w:val="2"/>
          <w:sz w:val="20"/>
          <w:szCs w:val="20"/>
          <w:lang w:eastAsia="ja-JP"/>
          <w14:ligatures w14:val="standardContextual"/>
        </w:rPr>
        <w:t>) previsto en la Rec.</w:t>
      </w:r>
      <w:r w:rsidRPr="00F0379B">
        <w:rPr>
          <w:rFonts w:ascii="Cambria" w:eastAsia="MS Gothic" w:hAnsi="Cambria" w:cs="Times New Roman"/>
          <w:sz w:val="20"/>
          <w:szCs w:val="20"/>
          <w:lang w:eastAsia="fr-FR" w:bidi="fr-FR"/>
          <w14:ligatures w14:val="standardContextual"/>
        </w:rPr>
        <w:t xml:space="preserve"> 24-05.</w:t>
      </w:r>
      <w:r w:rsidRPr="00F0379B">
        <w:rPr>
          <w:rFonts w:ascii="Cambria" w:eastAsiaTheme="minorEastAsia" w:hAnsi="Cambria"/>
          <w:bCs/>
          <w:kern w:val="2"/>
          <w:sz w:val="20"/>
          <w:szCs w:val="20"/>
          <w:lang w:eastAsia="ja-JP"/>
          <w14:ligatures w14:val="standardContextual"/>
        </w:rPr>
        <w:t xml:space="preserve"> Por lo tanto, la cuota ajustada de la UE para 2026, de conformidad con la implementación del traspaso de las </w:t>
      </w:r>
      <w:r w:rsidRPr="00F0379B">
        <w:rPr>
          <w:rFonts w:ascii="Cambria" w:eastAsiaTheme="minorEastAsia" w:hAnsi="Cambria"/>
          <w:kern w:val="2"/>
          <w:sz w:val="20"/>
          <w:szCs w:val="20"/>
          <w:lang w:eastAsia="ja-JP"/>
          <w14:ligatures w14:val="standardContextual"/>
        </w:rPr>
        <w:t>1.075,15</w:t>
      </w:r>
      <w:r w:rsidRPr="00F0379B">
        <w:rPr>
          <w:rFonts w:ascii="Cambria" w:eastAsiaTheme="minorEastAsia" w:hAnsi="Cambria"/>
          <w:bCs/>
          <w:kern w:val="2"/>
          <w:sz w:val="20"/>
          <w:szCs w:val="20"/>
          <w:lang w:eastAsia="ja-JP"/>
          <w14:ligatures w14:val="standardContextual"/>
        </w:rPr>
        <w:t> t de 2025, ascenderá a un total de 26.239,77 t.</w:t>
      </w:r>
    </w:p>
    <w:p w14:paraId="772D1C8F"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p>
    <w:p w14:paraId="18AD96DB"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El traspaso máximo permitido, modificado por la Recomendación 25-04 (20 %), aún no se ha incorporado a la legislación de la UE. La UE enviará un plan de pesca revisado que tendrá en cuenta este nuevo límite una vez que entre en vigor para los Estados miembros de la UE.</w:t>
      </w:r>
    </w:p>
    <w:p w14:paraId="5681219B"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p>
    <w:p w14:paraId="32F30D2D"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1 c) Destino de la captura</w:t>
      </w:r>
    </w:p>
    <w:p w14:paraId="314D5755"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p>
    <w:p w14:paraId="7F1C2580"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Las capturas de la UE se destinarán al desembarque y a la cría según los siguientes porcentajes (estimación preliminar):</w:t>
      </w:r>
    </w:p>
    <w:p w14:paraId="75D7A698" w14:textId="77777777" w:rsidR="009123AC" w:rsidRPr="00F0379B" w:rsidRDefault="009123AC" w:rsidP="009123AC">
      <w:pPr>
        <w:spacing w:after="0" w:line="240" w:lineRule="auto"/>
        <w:ind w:left="360" w:hanging="218"/>
        <w:jc w:val="both"/>
        <w:rPr>
          <w:rFonts w:ascii="Cambria" w:eastAsiaTheme="minorEastAsia" w:hAnsi="Cambria"/>
          <w:bCs/>
          <w:kern w:val="2"/>
          <w:sz w:val="20"/>
          <w:szCs w:val="20"/>
          <w:lang w:eastAsia="ja-JP"/>
          <w14:ligatures w14:val="standardContextual"/>
        </w:rPr>
      </w:pPr>
    </w:p>
    <w:p w14:paraId="6D1F023D" w14:textId="77777777" w:rsidR="009123AC" w:rsidRPr="00F0379B" w:rsidRDefault="009123AC" w:rsidP="009123AC">
      <w:pPr>
        <w:spacing w:after="0" w:line="240" w:lineRule="auto"/>
        <w:ind w:left="360" w:hanging="218"/>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Cría: 65 %</w:t>
      </w:r>
    </w:p>
    <w:p w14:paraId="59A5C316" w14:textId="77777777" w:rsidR="009123AC" w:rsidRPr="00F0379B" w:rsidRDefault="009123AC" w:rsidP="009123AC">
      <w:pPr>
        <w:spacing w:after="0" w:line="240" w:lineRule="auto"/>
        <w:ind w:left="360" w:hanging="218"/>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Desembarque: 35 %</w:t>
      </w:r>
    </w:p>
    <w:p w14:paraId="473A169B" w14:textId="77777777" w:rsidR="009123AC" w:rsidRPr="00F0379B" w:rsidRDefault="009123AC" w:rsidP="009123AC">
      <w:pPr>
        <w:spacing w:after="0" w:line="240" w:lineRule="auto"/>
        <w:rPr>
          <w:rFonts w:ascii="Cambria" w:eastAsiaTheme="minorEastAsia" w:hAnsi="Cambria"/>
          <w:i/>
          <w:kern w:val="2"/>
          <w:sz w:val="20"/>
          <w:szCs w:val="20"/>
          <w:lang w:eastAsia="ja-JP"/>
          <w14:ligatures w14:val="standardContextual"/>
        </w:rPr>
      </w:pPr>
    </w:p>
    <w:p w14:paraId="1A821C91" w14:textId="77777777" w:rsidR="009123AC" w:rsidRPr="00F0379B" w:rsidRDefault="009123AC" w:rsidP="009123AC">
      <w:pPr>
        <w:spacing w:after="0" w:line="240" w:lineRule="auto"/>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1 d)</w:t>
      </w:r>
    </w:p>
    <w:p w14:paraId="0C8E9B81" w14:textId="77777777" w:rsidR="009123AC" w:rsidRPr="00F0379B" w:rsidRDefault="009123AC" w:rsidP="009123AC">
      <w:pPr>
        <w:spacing w:after="0" w:line="240" w:lineRule="auto"/>
        <w:rPr>
          <w:rFonts w:ascii="Cambria" w:eastAsiaTheme="minorEastAsia" w:hAnsi="Cambria"/>
          <w:b/>
          <w:kern w:val="2"/>
          <w:sz w:val="20"/>
          <w:szCs w:val="20"/>
          <w:lang w:eastAsia="ja-JP"/>
          <w14:ligatures w14:val="standardContextual"/>
        </w:rPr>
      </w:pPr>
    </w:p>
    <w:tbl>
      <w:tblPr>
        <w:tblStyle w:val="TableGrid"/>
        <w:tblW w:w="9995" w:type="dxa"/>
        <w:jc w:val="center"/>
        <w:tblLayout w:type="fixed"/>
        <w:tblLook w:val="04A0" w:firstRow="1" w:lastRow="0" w:firstColumn="1" w:lastColumn="0" w:noHBand="0" w:noVBand="1"/>
      </w:tblPr>
      <w:tblGrid>
        <w:gridCol w:w="562"/>
        <w:gridCol w:w="1701"/>
        <w:gridCol w:w="2694"/>
        <w:gridCol w:w="2409"/>
        <w:gridCol w:w="2629"/>
      </w:tblGrid>
      <w:tr w:rsidR="009123AC" w:rsidRPr="00F0379B" w14:paraId="3006693C" w14:textId="77777777" w:rsidTr="00D3558E">
        <w:trPr>
          <w:trHeight w:val="840"/>
          <w:tblHeader/>
          <w:jc w:val="center"/>
        </w:trPr>
        <w:tc>
          <w:tcPr>
            <w:tcW w:w="562" w:type="dxa"/>
          </w:tcPr>
          <w:p w14:paraId="55F0598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701" w:type="dxa"/>
            <w:vAlign w:val="center"/>
          </w:tcPr>
          <w:p w14:paraId="00A6D288"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Requisito ICCAT</w:t>
            </w:r>
          </w:p>
          <w:p w14:paraId="1AE75A04" w14:textId="77777777" w:rsidR="009123AC" w:rsidRPr="00F0379B" w:rsidRDefault="009123AC" w:rsidP="009123AC">
            <w:pPr>
              <w:spacing w:line="240" w:lineRule="auto"/>
              <w:ind w:left="-105" w:right="-54"/>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 xml:space="preserve">(según </w:t>
            </w:r>
            <w:hyperlink r:id="rId112" w:history="1">
              <w:r w:rsidRPr="00F0379B">
                <w:rPr>
                  <w:rFonts w:ascii="Cambria" w:eastAsiaTheme="minorEastAsia" w:hAnsi="Cambria"/>
                  <w:i/>
                  <w:color w:val="0563C1" w:themeColor="hyperlink"/>
                  <w:kern w:val="2"/>
                  <w:sz w:val="20"/>
                  <w:szCs w:val="20"/>
                  <w:lang w:eastAsia="ja-JP"/>
                  <w14:ligatures w14:val="standardContextual"/>
                </w:rPr>
                <w:t>Rec. 25-04</w:t>
              </w:r>
            </w:hyperlink>
            <w:r w:rsidRPr="00F0379B">
              <w:rPr>
                <w:rFonts w:ascii="Cambria" w:eastAsiaTheme="minorEastAsia" w:hAnsi="Cambria"/>
                <w:kern w:val="2"/>
                <w:sz w:val="20"/>
                <w:szCs w:val="20"/>
                <w:lang w:eastAsia="ja-JP"/>
                <w14:ligatures w14:val="standardContextual"/>
              </w:rPr>
              <w:t xml:space="preserve">) </w:t>
            </w:r>
            <w:hyperlink r:id="rId113" w:history="1"/>
          </w:p>
        </w:tc>
        <w:tc>
          <w:tcPr>
            <w:tcW w:w="2694" w:type="dxa"/>
            <w:vAlign w:val="center"/>
          </w:tcPr>
          <w:p w14:paraId="3874FE2E"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Explicación de las acciones emprendidas por la CPC con fines de implementación</w:t>
            </w:r>
          </w:p>
        </w:tc>
        <w:tc>
          <w:tcPr>
            <w:tcW w:w="2409" w:type="dxa"/>
            <w:vAlign w:val="center"/>
          </w:tcPr>
          <w:p w14:paraId="7B480EED"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Leyes o reglamentos internos pertinentes</w:t>
            </w:r>
          </w:p>
          <w:p w14:paraId="167184F3"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(si procede)</w:t>
            </w:r>
          </w:p>
        </w:tc>
        <w:tc>
          <w:tcPr>
            <w:tcW w:w="2629" w:type="dxa"/>
            <w:vAlign w:val="center"/>
          </w:tcPr>
          <w:p w14:paraId="1C0612A8"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Nota</w:t>
            </w:r>
          </w:p>
        </w:tc>
      </w:tr>
      <w:tr w:rsidR="009123AC" w:rsidRPr="00F0379B" w14:paraId="255BE904" w14:textId="77777777" w:rsidTr="00CA749B">
        <w:trPr>
          <w:jc w:val="center"/>
        </w:trPr>
        <w:tc>
          <w:tcPr>
            <w:tcW w:w="562" w:type="dxa"/>
          </w:tcPr>
          <w:p w14:paraId="00FFF11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w:t>
            </w:r>
          </w:p>
        </w:tc>
        <w:tc>
          <w:tcPr>
            <w:tcW w:w="1701" w:type="dxa"/>
          </w:tcPr>
          <w:p w14:paraId="75D11ECD"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Consignación y comunicación de la captura (párrs. 74-88)</w:t>
            </w:r>
          </w:p>
        </w:tc>
        <w:tc>
          <w:tcPr>
            <w:tcW w:w="2694" w:type="dxa"/>
          </w:tcPr>
          <w:p w14:paraId="72978CB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Todos los buques de captura y las almadrabas de atún rojo del este deberán comunicar diariamente a sus autoridades la información del cuaderno de pesca durante todo el período de autorización, incluyendo como mínimo la fecha, la hora, la ubicación, el peso y el número de atunes rojos capturados, liberados y descartados. </w:t>
            </w:r>
          </w:p>
          <w:p w14:paraId="3AFD4F2C"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Estados Miembros envían informes semanales para todos los buques a la Comisión Europea que transmite dichos informes a la Secretaría de ICCAT.</w:t>
            </w:r>
          </w:p>
          <w:p w14:paraId="22D321FA" w14:textId="77777777" w:rsidR="009123AC" w:rsidRPr="00F0379B" w:rsidRDefault="009123AC" w:rsidP="009123AC">
            <w:pPr>
              <w:spacing w:line="240" w:lineRule="auto"/>
              <w:jc w:val="both"/>
              <w:rPr>
                <w:rFonts w:ascii="Cambria" w:eastAsia="Century" w:hAnsi="Cambria"/>
                <w:sz w:val="20"/>
                <w:szCs w:val="20"/>
              </w:rPr>
            </w:pPr>
            <w:r w:rsidRPr="00F0379B">
              <w:rPr>
                <w:rFonts w:ascii="Cambria" w:hAnsi="Cambria"/>
                <w:sz w:val="20"/>
                <w:szCs w:val="20"/>
              </w:rPr>
              <w:lastRenderedPageBreak/>
              <w:t>Todos los peces muertos (retenidos o descartados) se descontarán de la cuota.</w:t>
            </w:r>
          </w:p>
        </w:tc>
        <w:tc>
          <w:tcPr>
            <w:tcW w:w="2409" w:type="dxa"/>
          </w:tcPr>
          <w:p w14:paraId="18CB493E"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lastRenderedPageBreak/>
              <w:t>Reglamento (UE) n.º 2023/2053</w:t>
            </w:r>
            <w:r w:rsidRPr="00F0379B">
              <w:rPr>
                <w:rFonts w:ascii="Cambria" w:eastAsiaTheme="minorEastAsia" w:hAnsi="Cambria"/>
                <w:bCs/>
                <w:kern w:val="2"/>
                <w:sz w:val="20"/>
                <w:szCs w:val="20"/>
                <w:vertAlign w:val="superscript"/>
                <w:lang w:eastAsia="ja-JP"/>
                <w14:ligatures w14:val="standardContextual"/>
              </w:rPr>
              <w:footnoteReference w:id="9"/>
            </w:r>
          </w:p>
          <w:p w14:paraId="49C585B2"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Sección 2 Artículo 31 "Requisitos de registro de información" y Sección 4 “Obligaciones de comunicación de información”</w:t>
            </w:r>
          </w:p>
          <w:p w14:paraId="39A6E40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629" w:type="dxa"/>
          </w:tcPr>
          <w:p w14:paraId="52864BF0"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Todos los informes de capturas se registran a nivel de la UE y se cotejan con las autorizaciones, cuotas individuales, las cuotas nacionales y cuotas de la JFO (cuando procede).</w:t>
            </w:r>
          </w:p>
          <w:p w14:paraId="051C11E7"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p>
          <w:p w14:paraId="20E78AF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buques autorizados a pescar atún rojo del este, al margen de su eslora, deberán registrar sus capturas en un cuaderno de pesca.</w:t>
            </w:r>
          </w:p>
          <w:p w14:paraId="6DCBA4A2" w14:textId="77777777" w:rsidR="009123AC" w:rsidRPr="00F0379B" w:rsidRDefault="009123AC" w:rsidP="009123AC">
            <w:pPr>
              <w:spacing w:line="240" w:lineRule="auto"/>
              <w:jc w:val="both"/>
              <w:rPr>
                <w:rFonts w:ascii="Cambria" w:hAnsi="Cambria"/>
                <w:sz w:val="20"/>
                <w:szCs w:val="20"/>
              </w:rPr>
            </w:pPr>
          </w:p>
          <w:p w14:paraId="3877D8C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De conformidad con el Artículo 14 y el Artículo 15 del Reglamento del Consejo </w:t>
            </w:r>
            <w:r w:rsidRPr="00F0379B">
              <w:rPr>
                <w:rFonts w:ascii="Cambria" w:eastAsiaTheme="minorEastAsia" w:hAnsi="Cambria"/>
                <w:kern w:val="2"/>
                <w:sz w:val="20"/>
                <w:szCs w:val="20"/>
                <w:lang w:eastAsia="ja-JP"/>
                <w14:ligatures w14:val="standardContextual"/>
              </w:rPr>
              <w:lastRenderedPageBreak/>
              <w:t>(CE) n.º 1224/2009</w:t>
            </w:r>
            <w:r w:rsidRPr="00F0379B">
              <w:rPr>
                <w:rFonts w:ascii="Cambria" w:eastAsiaTheme="minorEastAsia" w:hAnsi="Cambria"/>
                <w:kern w:val="2"/>
                <w:sz w:val="20"/>
                <w:szCs w:val="20"/>
                <w:vertAlign w:val="superscript"/>
                <w:lang w:eastAsia="ja-JP"/>
                <w14:ligatures w14:val="standardContextual"/>
              </w:rPr>
              <w:footnoteReference w:id="10"/>
            </w:r>
            <w:r w:rsidRPr="00F0379B">
              <w:rPr>
                <w:rFonts w:ascii="Cambria" w:eastAsiaTheme="minorEastAsia" w:hAnsi="Cambria"/>
                <w:kern w:val="2"/>
                <w:sz w:val="20"/>
                <w:szCs w:val="20"/>
                <w:lang w:eastAsia="ja-JP"/>
                <w14:ligatures w14:val="standardContextual"/>
              </w:rPr>
              <w:t xml:space="preserve"> (Reglamento de control de la UE), todos los buques pesqueros de más de 10 m de la UE deben ir equipados con un cuaderno de pesca encuadernado con páginas cronológicamente numeradas. Para los buques pesqueros de más de 12 m se requiere un cuaderno de pesca electrónico.</w:t>
            </w:r>
          </w:p>
          <w:p w14:paraId="68C53DB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1DD580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 conformidad con el artículo 109 del citado Reglamento, los Estados miembros deben cotejar y validar la información comunicada por los operadores en los siguientes documentos y fuentes de datos: cuaderno pesca, declaración de desembarque, declaración de transbordo, notificación previa; declaraciones de recogida, documentos de transporte y notas de venta; licencias y autorizaciones de pesca; datos del sistema de seguimiento de buques; informes de inspección.</w:t>
            </w:r>
          </w:p>
          <w:p w14:paraId="538676A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883DA5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En el Artículo 31 y en el Anexo II del Reglamento (UE) n.º 2023/2053 se recogen requisitos adicionales establecidos por ICCAT.</w:t>
            </w:r>
          </w:p>
        </w:tc>
      </w:tr>
      <w:tr w:rsidR="009123AC" w:rsidRPr="00F0379B" w14:paraId="78CBE317" w14:textId="77777777" w:rsidTr="00CA749B">
        <w:trPr>
          <w:jc w:val="center"/>
        </w:trPr>
        <w:tc>
          <w:tcPr>
            <w:tcW w:w="562" w:type="dxa"/>
          </w:tcPr>
          <w:p w14:paraId="5206F4C6"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2</w:t>
            </w:r>
          </w:p>
        </w:tc>
        <w:tc>
          <w:tcPr>
            <w:tcW w:w="1701" w:type="dxa"/>
          </w:tcPr>
          <w:p w14:paraId="6FE94437"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Temporadas de pesca abiertas (párrs. 28-32</w:t>
            </w:r>
            <w:r w:rsidRPr="00F0379B">
              <w:rPr>
                <w:rFonts w:ascii="Cambria" w:eastAsiaTheme="minorEastAsia" w:hAnsi="Cambria"/>
                <w:b/>
                <w:bCs/>
                <w:kern w:val="2"/>
                <w:sz w:val="20"/>
                <w:szCs w:val="20"/>
                <w:lang w:eastAsia="ja-JP"/>
                <w14:ligatures w14:val="standardContextual"/>
              </w:rPr>
              <w:t>)</w:t>
            </w:r>
          </w:p>
        </w:tc>
        <w:tc>
          <w:tcPr>
            <w:tcW w:w="2694" w:type="dxa"/>
          </w:tcPr>
          <w:p w14:paraId="62EAEE96"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Las temporadas de pesca aplicables a las flotas de la UE en todos los Estados miembros afectados se corresponden a las temporadas establecidas por la Rec. </w:t>
            </w:r>
            <w:r w:rsidRPr="00F0379B">
              <w:rPr>
                <w:rFonts w:ascii="Cambria" w:eastAsiaTheme="minorEastAsia" w:hAnsi="Cambria"/>
                <w:kern w:val="2"/>
                <w:sz w:val="20"/>
                <w:szCs w:val="20"/>
                <w:lang w:eastAsia="ja-JP"/>
                <w14:ligatures w14:val="standardContextual"/>
              </w:rPr>
              <w:t>25-04</w:t>
            </w:r>
            <w:r w:rsidRPr="00F0379B">
              <w:rPr>
                <w:rFonts w:ascii="Cambria" w:eastAsiaTheme="minorEastAsia" w:hAnsi="Cambria"/>
                <w:bCs/>
                <w:kern w:val="2"/>
                <w:sz w:val="20"/>
                <w:szCs w:val="20"/>
                <w:lang w:eastAsia="ja-JP"/>
                <w14:ligatures w14:val="standardContextual"/>
              </w:rPr>
              <w:t xml:space="preserve"> de ICCAT. El Artículo 17 del Reglamento (UE) n.º 2023/2053 las traspone a la legislación comunitaria. </w:t>
            </w:r>
          </w:p>
          <w:p w14:paraId="69CFCD07"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p>
          <w:p w14:paraId="63F96BE5"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lastRenderedPageBreak/>
              <w:t>De acuerdo con el Artículo 35 del Reglamento de Control de la UE, los Estados miembros informarán a la Comisión del momento en que agoten su cuota de atún rojo del este.</w:t>
            </w:r>
          </w:p>
          <w:p w14:paraId="72AD0EAC"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p>
          <w:p w14:paraId="7418DE8F"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Además, con arreglo al Reglamento (UE) 2023/2053, cada Estado miembro comunicará a la Comisión en qué momento se estima que se ha agotado la cuota de atún rojo del este asignada a los grupos de artes a que hacen referencia el Artículo 11 del presente Reglamento, a una operación de pesca conjunta o a un cerquero. </w:t>
            </w:r>
          </w:p>
          <w:p w14:paraId="791EFA5F"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p>
          <w:p w14:paraId="34781A67"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Está vigente un sistema especial de alerta y comunicación para verificar, a nivel de la UE, la cuota utilizada en cada Estado miembro por cada flota.</w:t>
            </w:r>
          </w:p>
          <w:p w14:paraId="7E99C00D"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p>
          <w:p w14:paraId="6B699C5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cumplimiento de esta medida se verifica principalmente a través de los centros de seguimiento de pesca (FMC) de los Estados miembros, que funcionan todos 24 horas al día durante toda la semana. Estos FMC tienen delimitadas zonas y periodos autorizados, y se activan alarmas automáticas en caso de que haya buques en una zona o periodo no autorizados.</w:t>
            </w:r>
          </w:p>
          <w:p w14:paraId="4DA0C6D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2BF940A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Además, la UE despliega cada año un número importante de buques patrulla y medios aéreos durante la temporada de pesca del atún rojo </w:t>
            </w:r>
            <w:r w:rsidRPr="00F0379B">
              <w:rPr>
                <w:rFonts w:ascii="Cambria" w:eastAsiaTheme="minorEastAsia" w:hAnsi="Cambria"/>
                <w:bCs/>
                <w:kern w:val="2"/>
                <w:sz w:val="20"/>
                <w:szCs w:val="20"/>
                <w:lang w:eastAsia="ja-JP"/>
                <w14:ligatures w14:val="standardContextual"/>
              </w:rPr>
              <w:t>del este.</w:t>
            </w:r>
            <w:r w:rsidRPr="00F0379B">
              <w:rPr>
                <w:rFonts w:ascii="Cambria" w:eastAsiaTheme="minorEastAsia" w:hAnsi="Cambria"/>
                <w:kern w:val="2"/>
                <w:sz w:val="20"/>
                <w:szCs w:val="20"/>
                <w:lang w:eastAsia="ja-JP"/>
                <w14:ligatures w14:val="standardContextual"/>
              </w:rPr>
              <w:t xml:space="preserve"> Existen protocolos para la gestión de los informes de avistamiento.</w:t>
            </w:r>
          </w:p>
        </w:tc>
        <w:tc>
          <w:tcPr>
            <w:tcW w:w="2409" w:type="dxa"/>
          </w:tcPr>
          <w:p w14:paraId="143348DA"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lastRenderedPageBreak/>
              <w:t xml:space="preserve">Reglamento (UE) 2023/2053, Capítulo III "Medidas técnicas”, Sección 1 "Temporadas de pesca", Artículo 17 y Anexo I, “Palangreros, cerqueros, arrastreros pelágicos, almadrabas y pesquerías deportivas y de recreo” y “Buques de cebo vivo y </w:t>
            </w:r>
            <w:proofErr w:type="spellStart"/>
            <w:r w:rsidRPr="00F0379B">
              <w:rPr>
                <w:rFonts w:ascii="Cambria" w:eastAsiaTheme="minorEastAsia" w:hAnsi="Cambria"/>
                <w:bCs/>
                <w:kern w:val="2"/>
                <w:sz w:val="20"/>
                <w:szCs w:val="20"/>
                <w:lang w:eastAsia="ja-JP"/>
                <w14:ligatures w14:val="standardContextual"/>
              </w:rPr>
              <w:t>curricaneros</w:t>
            </w:r>
            <w:proofErr w:type="spellEnd"/>
            <w:r w:rsidRPr="00F0379B">
              <w:rPr>
                <w:rFonts w:ascii="Cambria" w:eastAsiaTheme="minorEastAsia" w:hAnsi="Cambria"/>
                <w:bCs/>
                <w:kern w:val="2"/>
                <w:sz w:val="20"/>
                <w:szCs w:val="20"/>
                <w:lang w:eastAsia="ja-JP"/>
                <w14:ligatures w14:val="standardContextual"/>
              </w:rPr>
              <w:t>”</w:t>
            </w:r>
          </w:p>
        </w:tc>
        <w:tc>
          <w:tcPr>
            <w:tcW w:w="2629" w:type="dxa"/>
          </w:tcPr>
          <w:p w14:paraId="0E7E8D6B"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De conformidad con las disposiciones de las Recomendación </w:t>
            </w:r>
            <w:r w:rsidRPr="00F0379B">
              <w:rPr>
                <w:rFonts w:ascii="Cambria" w:eastAsiaTheme="minorEastAsia" w:hAnsi="Cambria"/>
                <w:kern w:val="2"/>
                <w:sz w:val="20"/>
                <w:szCs w:val="20"/>
                <w:lang w:eastAsia="ja-JP"/>
                <w14:ligatures w14:val="standardContextual"/>
              </w:rPr>
              <w:t>25-04</w:t>
            </w:r>
            <w:r w:rsidRPr="00F0379B">
              <w:rPr>
                <w:rFonts w:ascii="Cambria" w:eastAsiaTheme="minorEastAsia" w:hAnsi="Cambria"/>
                <w:bCs/>
                <w:kern w:val="2"/>
                <w:sz w:val="20"/>
                <w:szCs w:val="20"/>
                <w:lang w:eastAsia="ja-JP"/>
                <w14:ligatures w14:val="standardContextual"/>
              </w:rPr>
              <w:t>, las temporadas de pesca serán las siguientes:</w:t>
            </w:r>
          </w:p>
          <w:p w14:paraId="2803FA8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3BAE8015"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temporada de pesca para los cerqueros se extenderá desde el 19 de mayo al 1 de julio.</w:t>
            </w:r>
          </w:p>
          <w:p w14:paraId="30746F3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DDB2C53"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lastRenderedPageBreak/>
              <w:t xml:space="preserve">Mediante derogación, la temporada de pesca para el cerco en el mar Adriático para fines de cría será del 26 de mayo al 15 de julio. </w:t>
            </w:r>
          </w:p>
          <w:p w14:paraId="5C4077D1"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lang w:eastAsia="ja-JP"/>
                <w14:ligatures w14:val="standardContextual"/>
              </w:rPr>
            </w:pPr>
          </w:p>
          <w:p w14:paraId="30417CF2"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lang w:eastAsia="ja-JP"/>
                <w14:ligatures w14:val="standardContextual"/>
              </w:rPr>
            </w:pPr>
            <w:r w:rsidRPr="00F0379B">
              <w:rPr>
                <w:rFonts w:ascii="Cambria" w:eastAsiaTheme="minorHAnsi" w:hAnsi="Cambria"/>
                <w:kern w:val="2"/>
                <w:sz w:val="20"/>
                <w:szCs w:val="20"/>
                <w14:ligatures w14:val="standardContextual"/>
              </w:rPr>
              <w:t xml:space="preserve">Mediante derogación, la temporada de pesca para el cerco en el mar Cantábrico </w:t>
            </w:r>
            <w:r w:rsidRPr="00F0379B">
              <w:rPr>
                <w:rFonts w:ascii="Cambria" w:eastAsiaTheme="minorEastAsia" w:hAnsi="Cambria"/>
                <w:kern w:val="2"/>
                <w:sz w:val="20"/>
                <w:szCs w:val="20"/>
                <w:lang w:eastAsia="ja-JP"/>
                <w14:ligatures w14:val="standardContextual"/>
              </w:rPr>
              <w:t xml:space="preserve">para fines de cría será del 26 de mayo al 31 de agosto. </w:t>
            </w:r>
          </w:p>
          <w:p w14:paraId="5B631898" w14:textId="77777777" w:rsidR="009123AC" w:rsidRPr="00F0379B" w:rsidRDefault="009123AC" w:rsidP="009123AC">
            <w:pPr>
              <w:autoSpaceDE w:val="0"/>
              <w:autoSpaceDN w:val="0"/>
              <w:adjustRightInd w:val="0"/>
              <w:spacing w:line="240" w:lineRule="auto"/>
              <w:jc w:val="both"/>
              <w:rPr>
                <w:rFonts w:ascii="Cambria" w:eastAsiaTheme="minorHAnsi" w:hAnsi="Cambria"/>
                <w:kern w:val="2"/>
                <w:sz w:val="20"/>
                <w:szCs w:val="20"/>
                <w14:ligatures w14:val="standardContextual"/>
              </w:rPr>
            </w:pPr>
          </w:p>
          <w:p w14:paraId="03B36068" w14:textId="77777777" w:rsidR="009123AC" w:rsidRPr="00F0379B" w:rsidRDefault="009123AC" w:rsidP="009123AC">
            <w:pPr>
              <w:autoSpaceDE w:val="0"/>
              <w:autoSpaceDN w:val="0"/>
              <w:adjustRightInd w:val="0"/>
              <w:spacing w:line="240" w:lineRule="auto"/>
              <w:rPr>
                <w:rFonts w:ascii="Cambria" w:eastAsiaTheme="minorHAnsi" w:hAnsi="Cambria"/>
                <w:kern w:val="2"/>
                <w:sz w:val="20"/>
                <w:szCs w:val="20"/>
                <w14:ligatures w14:val="standardContextual"/>
              </w:rPr>
            </w:pPr>
          </w:p>
          <w:p w14:paraId="13861973"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Para otras pesquerías no incluidas en los párrafos 28 y 30, las temporadas de pesca serán:</w:t>
            </w:r>
          </w:p>
          <w:p w14:paraId="1A8B15F0"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lang w:eastAsia="ja-JP"/>
                <w14:ligatures w14:val="standardContextual"/>
              </w:rPr>
            </w:pPr>
          </w:p>
          <w:p w14:paraId="64D564C3"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Croacia</w:t>
            </w:r>
            <w:r w:rsidRPr="00F0379B">
              <w:rPr>
                <w:rFonts w:ascii="Cambria" w:eastAsiaTheme="minorEastAsia" w:hAnsi="Cambria"/>
                <w:kern w:val="2"/>
                <w:sz w:val="20"/>
                <w:szCs w:val="20"/>
                <w:lang w:eastAsia="ja-JP"/>
                <w14:ligatures w14:val="standardContextual"/>
              </w:rPr>
              <w:t>:  la temporada abierta generalmente es del 15 de febrero al 31 de diciembre.</w:t>
            </w:r>
          </w:p>
          <w:p w14:paraId="69877F1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temporada de pesca deportiva está abierta del 1 de mayo al 1 de noviembre.</w:t>
            </w:r>
          </w:p>
          <w:p w14:paraId="0E2408B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temporada de pesca de recreo está abierta del 1 de junio al 1 de noviembre.</w:t>
            </w:r>
          </w:p>
          <w:p w14:paraId="176F79D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2AA24F1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Francia</w:t>
            </w:r>
            <w:r w:rsidRPr="00F0379B">
              <w:rPr>
                <w:rFonts w:ascii="Cambria" w:eastAsiaTheme="minorEastAsia" w:hAnsi="Cambria"/>
                <w:kern w:val="2"/>
                <w:sz w:val="20"/>
                <w:szCs w:val="20"/>
                <w:lang w:eastAsia="ja-JP"/>
                <w14:ligatures w14:val="standardContextual"/>
              </w:rPr>
              <w:t>: durante el periodo comprendido entre el 1 de febrero y el 31 de diciembre de 2026 para los buques pesqueros franceses que faenen con cualquier arte de pesca, salvo cerqueros y grandes palangreros pelágicos de más de 24 metros.</w:t>
            </w:r>
          </w:p>
          <w:p w14:paraId="2FC1670C" w14:textId="77777777" w:rsidR="009123AC" w:rsidRPr="00F0379B" w:rsidRDefault="009123AC" w:rsidP="009123AC">
            <w:pPr>
              <w:spacing w:line="240" w:lineRule="auto"/>
              <w:rPr>
                <w:rFonts w:ascii="Cambria" w:eastAsiaTheme="minorEastAsia" w:hAnsi="Cambria"/>
                <w:b/>
                <w:bCs/>
                <w:kern w:val="2"/>
                <w:sz w:val="20"/>
                <w:szCs w:val="20"/>
                <w:lang w:eastAsia="ja-JP"/>
                <w14:ligatures w14:val="standardContextual"/>
              </w:rPr>
            </w:pPr>
          </w:p>
          <w:p w14:paraId="299AFF9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Grecia:</w:t>
            </w:r>
            <w:r w:rsidRPr="00F0379B">
              <w:rPr>
                <w:rFonts w:ascii="Cambria" w:eastAsiaTheme="minorEastAsia" w:hAnsi="Cambria"/>
                <w:kern w:val="2"/>
                <w:sz w:val="20"/>
                <w:szCs w:val="20"/>
                <w:lang w:eastAsia="ja-JP"/>
                <w14:ligatures w14:val="standardContextual"/>
              </w:rPr>
              <w:t xml:space="preserve"> 10 de febrero de 2026 hasta que se consuma la cuota.</w:t>
            </w:r>
          </w:p>
          <w:p w14:paraId="3A4C2197" w14:textId="77777777" w:rsidR="009123AC" w:rsidRPr="00F0379B" w:rsidRDefault="009123AC" w:rsidP="009123AC">
            <w:pPr>
              <w:spacing w:line="240" w:lineRule="auto"/>
              <w:ind w:left="52"/>
              <w:contextualSpacing/>
              <w:rPr>
                <w:rFonts w:ascii="Cambria" w:eastAsiaTheme="minorHAnsi" w:hAnsi="Cambria"/>
                <w:kern w:val="2"/>
                <w:sz w:val="20"/>
                <w:szCs w:val="20"/>
                <w14:ligatures w14:val="standardContextual"/>
              </w:rPr>
            </w:pPr>
          </w:p>
          <w:p w14:paraId="15B1809D" w14:textId="77777777" w:rsidR="009123AC" w:rsidRPr="00F0379B" w:rsidRDefault="009123AC" w:rsidP="009123AC">
            <w:pPr>
              <w:spacing w:line="240" w:lineRule="auto"/>
              <w:contextualSpacing/>
              <w:rPr>
                <w:rFonts w:ascii="Cambria" w:eastAsiaTheme="minorHAnsi" w:hAnsi="Cambria"/>
                <w:kern w:val="2"/>
                <w:sz w:val="20"/>
                <w:szCs w:val="20"/>
                <w14:ligatures w14:val="standardContextual"/>
              </w:rPr>
            </w:pPr>
            <w:r w:rsidRPr="00F0379B">
              <w:rPr>
                <w:rFonts w:ascii="Cambria" w:eastAsiaTheme="minorHAnsi" w:hAnsi="Cambria"/>
                <w:b/>
                <w:kern w:val="2"/>
                <w:sz w:val="20"/>
                <w:szCs w:val="20"/>
                <w14:ligatures w14:val="standardContextual"/>
              </w:rPr>
              <w:t>Malta</w:t>
            </w:r>
            <w:r w:rsidRPr="00F0379B">
              <w:rPr>
                <w:rFonts w:ascii="Cambria" w:eastAsiaTheme="minorHAnsi" w:hAnsi="Cambria"/>
                <w:kern w:val="2"/>
                <w:sz w:val="20"/>
                <w:szCs w:val="20"/>
                <w14:ligatures w14:val="standardContextual"/>
              </w:rPr>
              <w:t>: Los palangreros históricos malteses de atún rojo del este tienen una temporada de pesca nacional establecida entre el 15 de abril y el 31 de diciembre o hasta que se consuma la cuota.</w:t>
            </w:r>
          </w:p>
          <w:p w14:paraId="559FC9F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Para los palangreros costeros de pequeña escala la temporada de pesca </w:t>
            </w:r>
            <w:r w:rsidRPr="00F0379B">
              <w:rPr>
                <w:rFonts w:ascii="Cambria" w:eastAsiaTheme="minorEastAsia" w:hAnsi="Cambria"/>
                <w:kern w:val="2"/>
                <w:sz w:val="20"/>
                <w:szCs w:val="20"/>
                <w:lang w:eastAsia="ja-JP"/>
                <w14:ligatures w14:val="standardContextual"/>
              </w:rPr>
              <w:lastRenderedPageBreak/>
              <w:t>estará abierta durante un periodo limitado predeterminado.</w:t>
            </w:r>
          </w:p>
          <w:p w14:paraId="6E132A9E" w14:textId="77777777" w:rsidR="009123AC" w:rsidRPr="00F0379B" w:rsidRDefault="009123AC" w:rsidP="009123AC">
            <w:pPr>
              <w:spacing w:line="240" w:lineRule="auto"/>
              <w:contextualSpacing/>
              <w:rPr>
                <w:rFonts w:ascii="Cambria" w:eastAsiaTheme="minorHAnsi" w:hAnsi="Cambria"/>
                <w:kern w:val="2"/>
                <w:sz w:val="20"/>
                <w:szCs w:val="20"/>
                <w14:ligatures w14:val="standardContextual"/>
              </w:rPr>
            </w:pPr>
            <w:r w:rsidRPr="00F0379B">
              <w:rPr>
                <w:rFonts w:ascii="Cambria" w:eastAsiaTheme="minorHAnsi" w:hAnsi="Cambria"/>
                <w:kern w:val="2"/>
                <w:sz w:val="20"/>
                <w:szCs w:val="20"/>
                <w14:ligatures w14:val="standardContextual"/>
              </w:rPr>
              <w:t>La pesca de recreo estará permitida del 16 de junio al 14 de octubre o hasta que se agote la cuota.</w:t>
            </w:r>
          </w:p>
          <w:p w14:paraId="7056EA34" w14:textId="77777777" w:rsidR="009123AC" w:rsidRPr="00F0379B" w:rsidRDefault="009123AC" w:rsidP="009123AC">
            <w:pPr>
              <w:spacing w:line="240" w:lineRule="auto"/>
              <w:contextualSpacing/>
              <w:rPr>
                <w:rFonts w:ascii="Cambria" w:eastAsiaTheme="minorHAnsi" w:hAnsi="Cambria"/>
                <w:kern w:val="2"/>
                <w:sz w:val="20"/>
                <w:szCs w:val="20"/>
                <w14:ligatures w14:val="standardContextual"/>
              </w:rPr>
            </w:pPr>
          </w:p>
          <w:p w14:paraId="5163C20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Portugal</w:t>
            </w:r>
            <w:r w:rsidRPr="00F0379B">
              <w:rPr>
                <w:rFonts w:ascii="Cambria" w:eastAsiaTheme="minorEastAsia" w:hAnsi="Cambria"/>
                <w:b/>
                <w:kern w:val="2"/>
                <w:sz w:val="20"/>
                <w:szCs w:val="20"/>
                <w:lang w:eastAsia="ja-JP"/>
                <w14:ligatures w14:val="standardContextual"/>
              </w:rPr>
              <w:t xml:space="preserve">: </w:t>
            </w:r>
            <w:r w:rsidRPr="00F0379B">
              <w:rPr>
                <w:rFonts w:ascii="Cambria" w:eastAsiaTheme="minorEastAsia" w:hAnsi="Cambria"/>
                <w:kern w:val="2"/>
                <w:sz w:val="20"/>
                <w:szCs w:val="20"/>
                <w:lang w:eastAsia="ja-JP"/>
                <w14:ligatures w14:val="standardContextual"/>
              </w:rPr>
              <w:t>Almadrabas- del 1 de abril al 31 de diciembre</w:t>
            </w:r>
          </w:p>
          <w:p w14:paraId="7B16769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Barcos de cebo vivo (cuota sectorial) - del 1 de marzo al 1 de julio.</w:t>
            </w:r>
          </w:p>
          <w:p w14:paraId="27D0F4C6"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14:ligatures w14:val="standardContextual"/>
              </w:rPr>
            </w:pPr>
          </w:p>
          <w:p w14:paraId="164B091A"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14:ligatures w14:val="standardContextual"/>
              </w:rPr>
            </w:pPr>
          </w:p>
          <w:p w14:paraId="57A8F4A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España</w:t>
            </w:r>
            <w:r w:rsidRPr="00F0379B">
              <w:rPr>
                <w:rFonts w:ascii="Cambria" w:eastAsiaTheme="minorEastAsia" w:hAnsi="Cambria"/>
                <w:kern w:val="2"/>
                <w:sz w:val="20"/>
                <w:szCs w:val="20"/>
                <w:lang w:eastAsia="ja-JP"/>
                <w14:ligatures w14:val="standardContextual"/>
              </w:rPr>
              <w:t>: Palangreros de más de 24 m: del 1 de enero al 31 de mayo.</w:t>
            </w:r>
          </w:p>
          <w:p w14:paraId="07BD7139" w14:textId="77777777" w:rsidR="009123AC" w:rsidRPr="00F0379B" w:rsidRDefault="009123AC" w:rsidP="009123AC">
            <w:pPr>
              <w:spacing w:line="240" w:lineRule="auto"/>
              <w:rPr>
                <w:rFonts w:ascii="Cambria" w:eastAsiaTheme="minorHAnsi" w:hAnsi="Cambria"/>
                <w:kern w:val="2"/>
                <w:sz w:val="20"/>
                <w:szCs w:val="20"/>
                <w14:ligatures w14:val="standardContextual"/>
              </w:rPr>
            </w:pPr>
            <w:r w:rsidRPr="00F0379B">
              <w:rPr>
                <w:rFonts w:ascii="Cambria" w:eastAsiaTheme="minorEastAsia" w:hAnsi="Cambria"/>
                <w:kern w:val="2"/>
                <w:sz w:val="20"/>
                <w:szCs w:val="20"/>
                <w:lang w:eastAsia="ja-JP"/>
                <w14:ligatures w14:val="standardContextual"/>
              </w:rPr>
              <w:t>Islas Canarias: a partir del 20 de enero de 2026.</w:t>
            </w:r>
          </w:p>
          <w:p w14:paraId="09AD5C0C"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lang w:eastAsia="ja-JP"/>
                <w14:ligatures w14:val="standardContextual"/>
              </w:rPr>
            </w:pPr>
          </w:p>
          <w:p w14:paraId="5AB0DEA5"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Dentro del Programa específico de control e inspección de la UE, las misiones de inspección se centran, entre otras cosas, en verificar el respeto de las temporadas de pesca.</w:t>
            </w:r>
            <w:r w:rsidRPr="00F0379B">
              <w:rPr>
                <w:rFonts w:ascii="Cambria" w:eastAsiaTheme="minorEastAsia" w:hAnsi="Cambria"/>
                <w:bCs/>
                <w:kern w:val="2"/>
                <w:sz w:val="20"/>
                <w:szCs w:val="20"/>
                <w:lang w:eastAsia="ja-JP"/>
                <w14:ligatures w14:val="standardContextual"/>
              </w:rPr>
              <w:t xml:space="preserve"> </w:t>
            </w:r>
          </w:p>
          <w:p w14:paraId="4E5A592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B1BE923" w14:textId="77777777" w:rsidR="009123AC" w:rsidRPr="00F0379B" w:rsidRDefault="009123AC" w:rsidP="009123AC">
            <w:pPr>
              <w:spacing w:line="240" w:lineRule="auto"/>
              <w:rPr>
                <w:rFonts w:ascii="Cambria" w:eastAsia="Century" w:hAnsi="Cambria"/>
                <w:kern w:val="2"/>
                <w:sz w:val="20"/>
                <w:szCs w:val="20"/>
                <w14:ligatures w14:val="standardContextual"/>
              </w:rPr>
            </w:pPr>
            <w:r w:rsidRPr="00F0379B">
              <w:rPr>
                <w:rFonts w:ascii="Cambria" w:eastAsiaTheme="minorEastAsia" w:hAnsi="Cambria"/>
                <w:kern w:val="2"/>
                <w:sz w:val="20"/>
                <w:szCs w:val="20"/>
                <w:lang w:eastAsia="ja-JP"/>
                <w14:ligatures w14:val="standardContextual"/>
              </w:rPr>
              <w:t xml:space="preserve">De conformidad con el párrafo 29 de la Rec.  25-04, la UE podría ampliar su periodo de pesca, para los buques afectados, en el número equivalente de días perdidos hasta un máximo de diez días en el caso de velocidades de viento que alcancen o superen el 5 de la escala Beaufort.  La evaluación de la duración de las malas condiciones meteorológicas con miras a la ampliación se basará en los informes de VMS que demuestren los días en los que el buque ha estado inactivo, y en el caso de JFO debe demostrarse la inactividad simultánea de todos los buques que participan en la JFO. </w:t>
            </w:r>
          </w:p>
        </w:tc>
      </w:tr>
      <w:tr w:rsidR="009123AC" w:rsidRPr="00F0379B" w14:paraId="01CEDA94" w14:textId="77777777" w:rsidTr="00CA749B">
        <w:trPr>
          <w:jc w:val="center"/>
        </w:trPr>
        <w:tc>
          <w:tcPr>
            <w:tcW w:w="562" w:type="dxa"/>
          </w:tcPr>
          <w:p w14:paraId="40D3E177"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3</w:t>
            </w:r>
          </w:p>
        </w:tc>
        <w:tc>
          <w:tcPr>
            <w:tcW w:w="1701" w:type="dxa"/>
          </w:tcPr>
          <w:p w14:paraId="1B7D72A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Talla mínima (párrs. 33-35)</w:t>
            </w:r>
          </w:p>
        </w:tc>
        <w:tc>
          <w:tcPr>
            <w:tcW w:w="2694" w:type="dxa"/>
          </w:tcPr>
          <w:p w14:paraId="36A4B4D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 conformidad con el Artículo 20 del Reglamento (UE) 2023/2053, están permitidas las capturas incidentales de un máximo del 5% de atún rojo del este con un peso entre 8 y 30 kg o con una longitud a la horquilla entre 75 y 115 cm para todos los buques de captura y todas las almadrabas que pescan activamente atún rojo del este. Estas capturas están sujetas a los requisitos de consignación en el cuaderno de pesca, de designación de puerto y de notificación previa de entrada en puerto y deberán deducirse de la cuota.</w:t>
            </w:r>
          </w:p>
          <w:p w14:paraId="67BA176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91FF9C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Artículo 15 del Reglamento UE n.º 1380/2013</w:t>
            </w:r>
            <w:r w:rsidRPr="00F0379B">
              <w:rPr>
                <w:rFonts w:ascii="Cambria" w:eastAsiaTheme="minorEastAsia" w:hAnsi="Cambria"/>
                <w:kern w:val="2"/>
                <w:sz w:val="20"/>
                <w:szCs w:val="20"/>
                <w:vertAlign w:val="superscript"/>
                <w:lang w:eastAsia="ja-JP"/>
                <w14:ligatures w14:val="standardContextual"/>
              </w:rPr>
              <w:footnoteReference w:id="11"/>
            </w:r>
            <w:r w:rsidRPr="00F0379B">
              <w:rPr>
                <w:rFonts w:ascii="Cambria" w:eastAsiaTheme="minorEastAsia" w:hAnsi="Cambria"/>
                <w:kern w:val="2"/>
                <w:sz w:val="20"/>
                <w:szCs w:val="20"/>
                <w:lang w:eastAsia="ja-JP"/>
                <w14:ligatures w14:val="standardContextual"/>
              </w:rPr>
              <w:t xml:space="preserve"> establece una obligación general de desembarque en toda la UE. Cuando se concede la derogación de este Reglamento de conformidad con el artículo 15.2, y en línea con las obligaciones internacionales, esto está previsto por el Reglamento delegado (UE) 1015/98</w:t>
            </w:r>
            <w:r w:rsidRPr="00F0379B">
              <w:rPr>
                <w:rFonts w:ascii="Cambria" w:eastAsiaTheme="minorEastAsia" w:hAnsi="Cambria"/>
                <w:kern w:val="2"/>
                <w:sz w:val="20"/>
                <w:szCs w:val="20"/>
                <w:vertAlign w:val="superscript"/>
                <w:lang w:eastAsia="ja-JP"/>
                <w14:ligatures w14:val="standardContextual"/>
              </w:rPr>
              <w:footnoteReference w:id="12"/>
            </w:r>
            <w:r w:rsidRPr="00F0379B">
              <w:rPr>
                <w:rFonts w:ascii="Cambria" w:eastAsiaTheme="minorEastAsia" w:hAnsi="Cambria"/>
                <w:kern w:val="2"/>
                <w:sz w:val="20"/>
                <w:szCs w:val="20"/>
                <w:lang w:eastAsia="ja-JP"/>
                <w14:ligatures w14:val="standardContextual"/>
              </w:rPr>
              <w:t xml:space="preserve"> de la Comisión.</w:t>
            </w:r>
          </w:p>
          <w:p w14:paraId="0ABECFD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539396F" w14:textId="77777777" w:rsidR="009123AC" w:rsidRPr="00F0379B" w:rsidRDefault="009123AC" w:rsidP="009123AC">
            <w:pPr>
              <w:spacing w:line="240" w:lineRule="auto"/>
              <w:rPr>
                <w:rFonts w:ascii="Cambria" w:eastAsia="Times New Roman"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Esta medida se aplica mediante inspecciones en el mar, inspecciones en el desembarque y controles durante el transporte y en los mercados.</w:t>
            </w:r>
          </w:p>
        </w:tc>
        <w:tc>
          <w:tcPr>
            <w:tcW w:w="2409" w:type="dxa"/>
          </w:tcPr>
          <w:p w14:paraId="0F5D4399"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Reglamento (UE) </w:t>
            </w:r>
            <w:r w:rsidRPr="00F0379B">
              <w:rPr>
                <w:rFonts w:ascii="Cambria" w:eastAsiaTheme="minorEastAsia" w:hAnsi="Cambria"/>
                <w:kern w:val="2"/>
                <w:sz w:val="20"/>
                <w:szCs w:val="20"/>
                <w:lang w:eastAsia="ja-JP"/>
                <w14:ligatures w14:val="standardContextual"/>
              </w:rPr>
              <w:t>2023/2053</w:t>
            </w:r>
            <w:r w:rsidRPr="00F0379B">
              <w:rPr>
                <w:rFonts w:ascii="Cambria" w:eastAsiaTheme="minorEastAsia" w:hAnsi="Cambria"/>
                <w:bCs/>
                <w:kern w:val="2"/>
                <w:sz w:val="20"/>
                <w:szCs w:val="20"/>
                <w:lang w:eastAsia="ja-JP"/>
                <w14:ligatures w14:val="standardContextual"/>
              </w:rPr>
              <w:t>, Capítulo III "Medidas técnicas"</w:t>
            </w:r>
          </w:p>
          <w:p w14:paraId="07F70A1F"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Sección 2 "Talla mínima de referencia a efectos de conservación, capturas incidentales, capturas accesorias" </w:t>
            </w:r>
          </w:p>
          <w:p w14:paraId="2B4BE9F5"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Artículo 19 "Talla mínima de referencia a efectos de conservación " </w:t>
            </w:r>
          </w:p>
          <w:p w14:paraId="1A5B134E"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Artículo 20 "Capturas incidentales" y el Anexo I del mismo Reglamento "Condiciones específicas que se aplican a las pesquerías a que se hace referencia en el artículo 19, apartado 2".</w:t>
            </w:r>
          </w:p>
          <w:p w14:paraId="33004CC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629" w:type="dxa"/>
          </w:tcPr>
          <w:p w14:paraId="2D8D9BE0"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Para la implementación de la derogación a la talla mínima establecida por el Artículo 19 (2) del Reglamento (UE) </w:t>
            </w:r>
            <w:r w:rsidRPr="00F0379B">
              <w:rPr>
                <w:rFonts w:ascii="Cambria" w:eastAsiaTheme="minorEastAsia" w:hAnsi="Cambria"/>
                <w:kern w:val="2"/>
                <w:sz w:val="20"/>
                <w:szCs w:val="20"/>
                <w:lang w:eastAsia="ja-JP"/>
                <w14:ligatures w14:val="standardContextual"/>
              </w:rPr>
              <w:t>2023/2053</w:t>
            </w:r>
            <w:r w:rsidRPr="00F0379B">
              <w:rPr>
                <w:rFonts w:ascii="Cambria" w:eastAsiaTheme="minorEastAsia" w:hAnsi="Cambria"/>
                <w:bCs/>
                <w:kern w:val="2"/>
                <w:sz w:val="20"/>
                <w:szCs w:val="20"/>
                <w:lang w:eastAsia="ja-JP"/>
                <w14:ligatures w14:val="standardContextual"/>
              </w:rPr>
              <w:t>, el Artículo 27 del Reglamento (UE) 2026/249 del Consejo del 26 de enero y el Anexo ID, establece limitaciones de capacidad de cría, engorde y pesca para el atún rojo del este, estableciendo anualmente el número de buques para cada Estado miembro afectado, incluyendo el número máximo de buques autorizados a pescar activamente atún rojo de entre 8 kg/75 cm y 30 kg/115 cm en el Atlántico este y el Mediterráneo, así como en el Adriático con fines de cría.</w:t>
            </w:r>
          </w:p>
          <w:p w14:paraId="2CA19B58"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p>
          <w:p w14:paraId="4ED156EF"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El cumplimiento de las disposiciones sobre limitación de capacidad se controla en el marco del plan de despliegue conjunto (JDP) (véase 3.2.2).</w:t>
            </w:r>
          </w:p>
          <w:p w14:paraId="5000F21B"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p>
          <w:p w14:paraId="4F54C32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Se establece una tolerancia de un máximo del 7% en peso para los ejemplares con una talla mínima de 6,4 o 66 cm capturados para fines de cría por el cerco que opera en el mar Adriático.</w:t>
            </w:r>
          </w:p>
        </w:tc>
      </w:tr>
      <w:tr w:rsidR="009123AC" w:rsidRPr="00F0379B" w14:paraId="6EEFB46B" w14:textId="77777777" w:rsidTr="00CA749B">
        <w:trPr>
          <w:jc w:val="center"/>
        </w:trPr>
        <w:tc>
          <w:tcPr>
            <w:tcW w:w="562" w:type="dxa"/>
          </w:tcPr>
          <w:p w14:paraId="77A41077"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4</w:t>
            </w:r>
          </w:p>
        </w:tc>
        <w:tc>
          <w:tcPr>
            <w:tcW w:w="1701" w:type="dxa"/>
          </w:tcPr>
          <w:p w14:paraId="6C18A7FB"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Captura fortuita (párr. 37) </w:t>
            </w:r>
          </w:p>
        </w:tc>
        <w:tc>
          <w:tcPr>
            <w:tcW w:w="2694" w:type="dxa"/>
          </w:tcPr>
          <w:p w14:paraId="08F1379B"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De conformidad con las medidas de ICCAT, la UE deduce todos los peces muertos capturados de forma fortuita de su cuota. Como cada año, para los </w:t>
            </w:r>
            <w:r w:rsidRPr="00F0379B">
              <w:rPr>
                <w:rFonts w:ascii="Cambria" w:eastAsiaTheme="minorEastAsia" w:hAnsi="Cambria"/>
                <w:kern w:val="2"/>
                <w:sz w:val="20"/>
                <w:szCs w:val="20"/>
                <w:lang w:eastAsia="ja-JP"/>
                <w14:ligatures w14:val="standardContextual"/>
              </w:rPr>
              <w:lastRenderedPageBreak/>
              <w:t xml:space="preserve">Estados miembros de la UE sin cuota, la UE reserva parte de su cuota en el Anexo ID del </w:t>
            </w:r>
            <w:r w:rsidRPr="00F0379B">
              <w:rPr>
                <w:rFonts w:ascii="Cambria" w:eastAsiaTheme="minorEastAsia" w:hAnsi="Cambria"/>
                <w:bCs/>
                <w:kern w:val="2"/>
                <w:sz w:val="20"/>
                <w:szCs w:val="20"/>
                <w:lang w:eastAsia="ja-JP"/>
                <w14:ligatures w14:val="standardContextual"/>
              </w:rPr>
              <w:t xml:space="preserve">Reglamento (UE) 2026/249 del Consejo del 26 de enero de 2026. </w:t>
            </w:r>
          </w:p>
          <w:p w14:paraId="28EEECA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0FAB1F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Una cuota de 495 t asignada a la captura fortuita ha sido incluida en el plan de pesca de la UE presentado a ICCAT.</w:t>
            </w:r>
          </w:p>
          <w:p w14:paraId="5C8A3A01" w14:textId="77777777" w:rsidR="009123AC" w:rsidRPr="00F0379B" w:rsidRDefault="009123AC" w:rsidP="009123AC">
            <w:pPr>
              <w:spacing w:line="240" w:lineRule="auto"/>
              <w:rPr>
                <w:rFonts w:ascii="Cambria" w:eastAsiaTheme="minorEastAsia" w:hAnsi="Cambria"/>
                <w:kern w:val="2"/>
                <w:sz w:val="20"/>
                <w:szCs w:val="20"/>
                <w14:ligatures w14:val="standardContextual"/>
              </w:rPr>
            </w:pPr>
            <w:r w:rsidRPr="00F0379B">
              <w:rPr>
                <w:rFonts w:ascii="Cambria" w:eastAsiaTheme="minorHAnsi" w:hAnsi="Cambria"/>
                <w:kern w:val="2"/>
                <w:sz w:val="20"/>
                <w:szCs w:val="20"/>
                <w14:ligatures w14:val="standardContextual"/>
              </w:rPr>
              <w:t>Esta misma cuota podría ajustarse a lo largo del año en caso de necesidad,</w:t>
            </w:r>
          </w:p>
          <w:p w14:paraId="3DE01A2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957D8D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cumplimiento de esta medida se verifica principalmente mediante inspecciones en el mar e inspecciones en el desembarque.</w:t>
            </w:r>
          </w:p>
        </w:tc>
        <w:tc>
          <w:tcPr>
            <w:tcW w:w="2409" w:type="dxa"/>
          </w:tcPr>
          <w:p w14:paraId="1A27141D"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lastRenderedPageBreak/>
              <w:t xml:space="preserve">Reglamento (UE) 2023/2053, Capítulo III "Medidas técnicas", Artículo 19 "Talla mínima de referencia a efectos de conservación, capturas </w:t>
            </w:r>
            <w:r w:rsidRPr="00F0379B">
              <w:rPr>
                <w:rFonts w:ascii="Cambria" w:eastAsiaTheme="minorEastAsia" w:hAnsi="Cambria"/>
                <w:bCs/>
                <w:kern w:val="2"/>
                <w:sz w:val="20"/>
                <w:szCs w:val="20"/>
                <w:lang w:eastAsia="ja-JP"/>
                <w14:ligatures w14:val="standardContextual"/>
              </w:rPr>
              <w:lastRenderedPageBreak/>
              <w:t>incidentales, capturas accesorias", Artículo 20 “Capturas incidentales por debajo de la talla mínima de referencia a efectos de conservación”, Artículo 21 "Captura fortuita".</w:t>
            </w:r>
          </w:p>
        </w:tc>
        <w:tc>
          <w:tcPr>
            <w:tcW w:w="2629" w:type="dxa"/>
          </w:tcPr>
          <w:p w14:paraId="683B6C1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lastRenderedPageBreak/>
              <w:t xml:space="preserve">En el Anexo ID del </w:t>
            </w:r>
            <w:r w:rsidRPr="00F0379B">
              <w:rPr>
                <w:rFonts w:ascii="Cambria" w:eastAsiaTheme="minorEastAsia" w:hAnsi="Cambria"/>
                <w:bCs/>
                <w:kern w:val="2"/>
                <w:sz w:val="20"/>
                <w:szCs w:val="20"/>
                <w:lang w:eastAsia="ja-JP"/>
                <w14:ligatures w14:val="standardContextual"/>
              </w:rPr>
              <w:t>Reglamento (UE) 2026/249 del Consejo del 26 de enero</w:t>
            </w:r>
            <w:r w:rsidRPr="00F0379B">
              <w:rPr>
                <w:rFonts w:ascii="Cambria" w:eastAsiaTheme="minorEastAsia" w:hAnsi="Cambria"/>
                <w:kern w:val="2"/>
                <w:sz w:val="20"/>
                <w:szCs w:val="20"/>
                <w:lang w:eastAsia="ja-JP"/>
                <w14:ligatures w14:val="standardContextual"/>
              </w:rPr>
              <w:t xml:space="preserve">, se prevé una cuota de captura fortuita para las capturas accidentales de los </w:t>
            </w:r>
            <w:r w:rsidRPr="00F0379B">
              <w:rPr>
                <w:rFonts w:ascii="Cambria" w:eastAsiaTheme="minorEastAsia" w:hAnsi="Cambria"/>
                <w:kern w:val="2"/>
                <w:sz w:val="20"/>
                <w:szCs w:val="20"/>
                <w:lang w:eastAsia="ja-JP"/>
                <w14:ligatures w14:val="standardContextual"/>
              </w:rPr>
              <w:lastRenderedPageBreak/>
              <w:t>Estados miembros sin cuota de atún rojo del este.</w:t>
            </w:r>
          </w:p>
          <w:p w14:paraId="4AAF444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40DAB33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buques de captura que no pesquen activamente el atún rojo del este no retendrán a bordo más del 20% de la captura total en peso o en número de ejemplares, con respecto a los túnidos y especies afines. Para los barcos costeros de pequeña escala, la cantidad de captura fortuita puede calcularse anualmente.</w:t>
            </w:r>
          </w:p>
          <w:p w14:paraId="211A9FB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156D518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Cualquier captura fortuita que supera el límite del 20%, de las capturas totales a bordo al final de cada marea de pesca se liberará viva cuando sea posible.</w:t>
            </w:r>
          </w:p>
          <w:p w14:paraId="1DDD3DB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4B94C27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Reglamento delegado (UE) 2015/98 de la Comisión establece en qué circunstancias puede liberarse o descartarse el atún rojo del este dentro de la UE. El Reglamento (UE) 404/2011</w:t>
            </w:r>
            <w:r w:rsidRPr="00F0379B">
              <w:rPr>
                <w:rFonts w:ascii="Cambria" w:eastAsiaTheme="minorEastAsia" w:hAnsi="Cambria"/>
                <w:kern w:val="2"/>
                <w:sz w:val="20"/>
                <w:szCs w:val="20"/>
                <w:vertAlign w:val="superscript"/>
                <w:lang w:eastAsia="ja-JP"/>
                <w14:ligatures w14:val="standardContextual"/>
              </w:rPr>
              <w:footnoteReference w:id="13"/>
            </w:r>
            <w:r w:rsidRPr="00F0379B">
              <w:rPr>
                <w:rFonts w:ascii="Cambria" w:eastAsiaTheme="minorEastAsia" w:hAnsi="Cambria"/>
                <w:kern w:val="2"/>
                <w:sz w:val="20"/>
                <w:szCs w:val="20"/>
                <w:lang w:eastAsia="ja-JP"/>
                <w14:ligatures w14:val="standardContextual"/>
              </w:rPr>
              <w:t xml:space="preserve"> establece que los descartes deben consignarse en el cuaderno de pesca. </w:t>
            </w:r>
          </w:p>
          <w:p w14:paraId="24F4F8D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4FA3C7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Toda la captura fortuita descartada o retenida a bordo se descuenta de la cuota.</w:t>
            </w:r>
          </w:p>
        </w:tc>
      </w:tr>
      <w:tr w:rsidR="009123AC" w:rsidRPr="00F0379B" w14:paraId="2BF21DE0" w14:textId="77777777" w:rsidTr="00CA749B">
        <w:trPr>
          <w:jc w:val="center"/>
        </w:trPr>
        <w:tc>
          <w:tcPr>
            <w:tcW w:w="562" w:type="dxa"/>
          </w:tcPr>
          <w:p w14:paraId="7CE9565E"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5</w:t>
            </w:r>
          </w:p>
        </w:tc>
        <w:tc>
          <w:tcPr>
            <w:tcW w:w="1701" w:type="dxa"/>
          </w:tcPr>
          <w:p w14:paraId="1EA34AC3"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Pesquerías deportivas y de recreo </w:t>
            </w:r>
          </w:p>
          <w:p w14:paraId="7977E2FE"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 (párr. 38-46)</w:t>
            </w:r>
          </w:p>
        </w:tc>
        <w:tc>
          <w:tcPr>
            <w:tcW w:w="2694" w:type="dxa"/>
          </w:tcPr>
          <w:p w14:paraId="074C2768"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La pesca de recreo y deportiva se gestiona de diferentes maneras en toda la UE, desde la prohibición total de estas actividades hasta la captura y liberación o la captura máxima por buque y día. En cualquier caso, las capturas muertas procedentes de las pesquerías deportivas y de </w:t>
            </w:r>
            <w:r w:rsidRPr="00F0379B">
              <w:rPr>
                <w:rFonts w:ascii="Cambria" w:eastAsiaTheme="minorEastAsia" w:hAnsi="Cambria"/>
                <w:bCs/>
                <w:kern w:val="2"/>
                <w:sz w:val="20"/>
                <w:szCs w:val="20"/>
                <w:lang w:eastAsia="ja-JP"/>
                <w14:ligatures w14:val="standardContextual"/>
              </w:rPr>
              <w:lastRenderedPageBreak/>
              <w:t xml:space="preserve">recreo se descuentan de la cuota. En este sentido, se ha asignado una cuota para las pesquerías deportivas y de recreo en el plan de pesca de 2024. Además, en el contexto de su plan de despliegue conjunto, la UE lleva a cabo varias inspecciones dirigidas a las actividades deportivas y de recreo, basadas en elementos de referencia mínimos establecidos basándose en un procedimiento de evaluación del riesgo. Por último, además de estas actividades comunes, cada Estado miembro de la UE también lleva a cabo programas de inspecciones dirigidos a las pesquerías deportivas y de recreo. </w:t>
            </w:r>
            <w:r w:rsidRPr="00F0379B">
              <w:rPr>
                <w:rFonts w:ascii="Cambria" w:eastAsiaTheme="minorEastAsia" w:hAnsi="Cambria"/>
                <w:kern w:val="2"/>
                <w:sz w:val="20"/>
                <w:szCs w:val="20"/>
                <w:lang w:eastAsia="ja-JP"/>
                <w14:ligatures w14:val="standardContextual"/>
              </w:rPr>
              <w:t>Los programas de los Estados miembros de la UE se evalúan mediante misiones de verificación específicas (visitas sobre el terreno) y auditorías.</w:t>
            </w:r>
          </w:p>
        </w:tc>
        <w:tc>
          <w:tcPr>
            <w:tcW w:w="2409" w:type="dxa"/>
          </w:tcPr>
          <w:p w14:paraId="0F908173" w14:textId="77777777" w:rsidR="009123AC" w:rsidRPr="00F0379B" w:rsidRDefault="009123AC" w:rsidP="009123AC">
            <w:pPr>
              <w:autoSpaceDE w:val="0"/>
              <w:autoSpaceDN w:val="0"/>
              <w:adjustRightInd w:val="0"/>
              <w:spacing w:line="240" w:lineRule="auto"/>
              <w:rPr>
                <w:rFonts w:ascii="Cambria" w:eastAsiaTheme="minorHAnsi" w:hAnsi="Cambria"/>
                <w:kern w:val="2"/>
                <w:sz w:val="20"/>
                <w:szCs w:val="20"/>
                <w14:ligatures w14:val="standardContextual"/>
              </w:rPr>
            </w:pPr>
            <w:r w:rsidRPr="00F0379B">
              <w:rPr>
                <w:rFonts w:ascii="Cambria" w:eastAsiaTheme="minorHAnsi" w:hAnsi="Cambria"/>
                <w:kern w:val="2"/>
                <w:sz w:val="20"/>
                <w:szCs w:val="20"/>
                <w14:ligatures w14:val="standardContextual"/>
              </w:rPr>
              <w:lastRenderedPageBreak/>
              <w:t>Reglamento (UE) 2023/2053, Capítulo IV "Pesca de recreo". Artículo 23 "Pesquerías deportiva y de recreo”. Artículo 24 “Condiciones específicas para la pesca de recreo”.</w:t>
            </w:r>
          </w:p>
          <w:p w14:paraId="35C2C2E3" w14:textId="77777777" w:rsidR="009123AC" w:rsidRPr="00F0379B" w:rsidRDefault="009123AC" w:rsidP="009123AC">
            <w:pPr>
              <w:spacing w:line="240" w:lineRule="auto"/>
              <w:rPr>
                <w:rFonts w:ascii="Cambria" w:eastAsiaTheme="minorHAnsi" w:hAnsi="Cambria"/>
                <w:kern w:val="2"/>
                <w:sz w:val="20"/>
                <w:szCs w:val="20"/>
                <w14:ligatures w14:val="standardContextual"/>
              </w:rPr>
            </w:pPr>
            <w:r w:rsidRPr="00F0379B">
              <w:rPr>
                <w:rFonts w:ascii="Cambria" w:eastAsiaTheme="minorHAnsi" w:hAnsi="Cambria"/>
                <w:kern w:val="2"/>
                <w:sz w:val="20"/>
                <w:szCs w:val="20"/>
                <w14:ligatures w14:val="standardContextual"/>
              </w:rPr>
              <w:t>Artículo 25 “Captura, marca y liberación”.</w:t>
            </w:r>
          </w:p>
          <w:p w14:paraId="0BBB5B7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629" w:type="dxa"/>
          </w:tcPr>
          <w:p w14:paraId="2DB0349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En virtud del Artículo 24 del Reglamento (UE) 2023/2053, cada Estado miembro de la UE está obligado a consignar los datos de captura, lo que incluye peso y talla de cada atún rojo del este capturado durante la pesca deportiva y de recreo, y a comunicar los datos del año precedente a </w:t>
            </w:r>
            <w:r w:rsidRPr="00F0379B">
              <w:rPr>
                <w:rFonts w:ascii="Cambria" w:eastAsiaTheme="minorEastAsia" w:hAnsi="Cambria"/>
                <w:kern w:val="2"/>
                <w:sz w:val="20"/>
                <w:szCs w:val="20"/>
                <w:lang w:eastAsia="ja-JP"/>
                <w14:ligatures w14:val="standardContextual"/>
              </w:rPr>
              <w:lastRenderedPageBreak/>
              <w:t>la Comisión de la UE antes del 30 de junio de cada año. La Comisión Europea remite esta información al SCRS.</w:t>
            </w:r>
          </w:p>
          <w:p w14:paraId="5BDDD78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8A20DA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Según el Artículo 4(8) del Reglamento delegado de la Comisión (UE) 2015/98, el límite de un pez por embarcación y día se aplicará a todas las embarcaciones de recreo.</w:t>
            </w:r>
          </w:p>
        </w:tc>
      </w:tr>
      <w:tr w:rsidR="009123AC" w:rsidRPr="00F0379B" w14:paraId="3EB6F9C7" w14:textId="77777777" w:rsidTr="00CA749B">
        <w:trPr>
          <w:jc w:val="center"/>
        </w:trPr>
        <w:tc>
          <w:tcPr>
            <w:tcW w:w="562" w:type="dxa"/>
          </w:tcPr>
          <w:p w14:paraId="0270F74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6</w:t>
            </w:r>
          </w:p>
        </w:tc>
        <w:tc>
          <w:tcPr>
            <w:tcW w:w="1701" w:type="dxa"/>
          </w:tcPr>
          <w:p w14:paraId="42CB8E5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Transbordo (párrs. 89-94)</w:t>
            </w:r>
          </w:p>
        </w:tc>
        <w:tc>
          <w:tcPr>
            <w:tcW w:w="2694" w:type="dxa"/>
          </w:tcPr>
          <w:p w14:paraId="1620DC9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Está prohibido el transbordo en el mar.</w:t>
            </w:r>
          </w:p>
          <w:p w14:paraId="05BAE7F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E62C70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inspecciones en tierra en el contexto del Plan de despliegue conjunto cubren también los transbordos.</w:t>
            </w:r>
          </w:p>
          <w:p w14:paraId="5E7A238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EB1865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transbordos de atún rojo del este en los puertos de la UE son escasos o inexistentes. </w:t>
            </w:r>
          </w:p>
          <w:p w14:paraId="4B7BE6C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En caso de transbordo en puerto, es obligatoria una cobertura total de inspección y existe una vigilancia continua de los lugares de transbordo autorizados.</w:t>
            </w:r>
          </w:p>
        </w:tc>
        <w:tc>
          <w:tcPr>
            <w:tcW w:w="2409" w:type="dxa"/>
          </w:tcPr>
          <w:p w14:paraId="6B51A0C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Reglamento (UE) </w:t>
            </w:r>
            <w:r w:rsidRPr="00F0379B">
              <w:rPr>
                <w:rFonts w:ascii="Cambria" w:eastAsiaTheme="minorEastAsia" w:hAnsi="Cambria"/>
                <w:kern w:val="2"/>
                <w:sz w:val="20"/>
                <w:szCs w:val="20"/>
                <w:lang w:eastAsia="ja-JP"/>
                <w14:ligatures w14:val="standardContextual"/>
              </w:rPr>
              <w:t xml:space="preserve">2023/2053 </w:t>
            </w:r>
            <w:r w:rsidRPr="00F0379B">
              <w:rPr>
                <w:rFonts w:ascii="Cambria" w:eastAsiaTheme="minorEastAsia" w:hAnsi="Cambria"/>
                <w:bCs/>
                <w:kern w:val="2"/>
                <w:sz w:val="20"/>
                <w:szCs w:val="20"/>
                <w:lang w:eastAsia="ja-JP"/>
                <w14:ligatures w14:val="standardContextual"/>
              </w:rPr>
              <w:t>Sección 3 "Desembarques y transbordos" y Artículo 35 "Transbordo"</w:t>
            </w:r>
          </w:p>
        </w:tc>
        <w:tc>
          <w:tcPr>
            <w:tcW w:w="2629" w:type="dxa"/>
          </w:tcPr>
          <w:p w14:paraId="35920AD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Artículo 35 del Reglamento (UE) 2023/2053 prohíbe todos los transbordos en el mar en la zona del Convenio. Los buques pesqueros sólo pueden transbordar las capturas de atún rojo del este en los puertos designados.</w:t>
            </w:r>
          </w:p>
        </w:tc>
      </w:tr>
      <w:tr w:rsidR="009123AC" w:rsidRPr="00F0379B" w14:paraId="4F2242B0" w14:textId="77777777" w:rsidTr="00CA749B">
        <w:trPr>
          <w:jc w:val="center"/>
        </w:trPr>
        <w:tc>
          <w:tcPr>
            <w:tcW w:w="562" w:type="dxa"/>
          </w:tcPr>
          <w:p w14:paraId="0C99240F"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7</w:t>
            </w:r>
          </w:p>
        </w:tc>
        <w:tc>
          <w:tcPr>
            <w:tcW w:w="1701" w:type="dxa"/>
          </w:tcPr>
          <w:p w14:paraId="6A0901F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VMS (párrs. 222-228)</w:t>
            </w:r>
          </w:p>
        </w:tc>
        <w:tc>
          <w:tcPr>
            <w:tcW w:w="2694" w:type="dxa"/>
          </w:tcPr>
          <w:p w14:paraId="769DCC4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Todos los buques son objeto de seguimiento de forma continua mediante el VMS y cualquier interrupción en la transmisión de datos VMS es objeto de seguimiento inmediato por parte del </w:t>
            </w:r>
            <w:r w:rsidRPr="00F0379B">
              <w:rPr>
                <w:rFonts w:ascii="Cambria" w:eastAsiaTheme="minorEastAsia" w:hAnsi="Cambria"/>
                <w:kern w:val="2"/>
                <w:sz w:val="20"/>
                <w:szCs w:val="20"/>
                <w:lang w:eastAsia="ja-JP"/>
                <w14:ligatures w14:val="standardContextual"/>
              </w:rPr>
              <w:lastRenderedPageBreak/>
              <w:t xml:space="preserve">Estado miembro de la UE afectado. </w:t>
            </w:r>
          </w:p>
          <w:p w14:paraId="1EB3A92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El software asociado al VMS en los distintos Estados miembros de la UE puede establecer alarmas y generar avisos automáticos para controlar diversos aspectos de interés. El VMS es controlado por los centros de seguimiento de pesca (FMC) de cada Estado miembro de la UE, que funcionan todos 24 horas al día durante toda la semana. </w:t>
            </w:r>
          </w:p>
          <w:p w14:paraId="6D6DD8E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2A27AAB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AECP también cuenta con su propio sistema de seguimiento de la actividad de los buques, denominado IMS, y su propio FMC. El IMS de la AECP es una herramienta operativa de coordinación del control pesquero que utiliza el entorno integrado de datos marítimos (</w:t>
            </w:r>
            <w:proofErr w:type="spellStart"/>
            <w:r w:rsidRPr="00F0379B">
              <w:rPr>
                <w:rFonts w:ascii="Cambria" w:eastAsiaTheme="minorEastAsia" w:hAnsi="Cambria"/>
                <w:kern w:val="2"/>
                <w:sz w:val="20"/>
                <w:szCs w:val="20"/>
                <w:lang w:eastAsia="ja-JP"/>
                <w14:ligatures w14:val="standardContextual"/>
              </w:rPr>
              <w:t>Imdate</w:t>
            </w:r>
            <w:proofErr w:type="spellEnd"/>
            <w:r w:rsidRPr="00F0379B">
              <w:rPr>
                <w:rFonts w:ascii="Cambria" w:eastAsiaTheme="minorEastAsia" w:hAnsi="Cambria"/>
                <w:kern w:val="2"/>
                <w:sz w:val="20"/>
                <w:szCs w:val="20"/>
                <w:lang w:eastAsia="ja-JP"/>
                <w14:ligatures w14:val="standardContextual"/>
              </w:rPr>
              <w:t xml:space="preserve">) desarrollado por la Agencia europea de seguridad marítima (AESM). Esta herramienta proporciona una imagen operativa del conocimiento marítimo en tiempo real, fusionando y correlacionando los informes del VMS, los informes de los sistemas terrestres de identificación automática (AIS), los de los AIS por satélite y los de identificación y seguimiento de largo alcance (LRIT), junto con los avistamientos visuales. El servicio proporciona una herramienta de análisis del comportamiento, evaluación de riesgos y clasificación de posibles objetivos de incumplimiento a los centros de seguimiento de la pesca de los Estados miembros de la UE e impulsa la evaluación y el seguimiento de las actividades de seguimiento </w:t>
            </w:r>
            <w:r w:rsidRPr="00F0379B">
              <w:rPr>
                <w:rFonts w:ascii="Cambria" w:eastAsiaTheme="minorEastAsia" w:hAnsi="Cambria"/>
                <w:kern w:val="2"/>
                <w:sz w:val="20"/>
                <w:szCs w:val="20"/>
                <w:lang w:eastAsia="ja-JP"/>
                <w14:ligatures w14:val="standardContextual"/>
              </w:rPr>
              <w:lastRenderedPageBreak/>
              <w:t>de la pesca que realiza la AECP.</w:t>
            </w:r>
          </w:p>
          <w:p w14:paraId="4ECC94A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196ECB2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Por último, el equipo responsable dentro de la Comisión Europea de la comunicación de la captura y del VMS por satélite hace un seguimiento en tiempo real de los envíos de mensajes VMS. Con este fin, se ha implementado un sistema IT especial.</w:t>
            </w:r>
          </w:p>
        </w:tc>
        <w:tc>
          <w:tcPr>
            <w:tcW w:w="2409" w:type="dxa"/>
          </w:tcPr>
          <w:p w14:paraId="4A73F81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lastRenderedPageBreak/>
              <w:t xml:space="preserve">De conformidad con el Artículo 9 " Sistema de seguimiento de buques" del Reglamento de Control de la UE, todos los buques de la UE de más de 12 m están </w:t>
            </w:r>
            <w:r w:rsidRPr="00F0379B">
              <w:rPr>
                <w:rFonts w:ascii="Cambria" w:eastAsiaTheme="minorEastAsia" w:hAnsi="Cambria"/>
                <w:kern w:val="2"/>
                <w:sz w:val="20"/>
                <w:szCs w:val="20"/>
                <w:lang w:eastAsia="ja-JP"/>
                <w14:ligatures w14:val="standardContextual"/>
              </w:rPr>
              <w:lastRenderedPageBreak/>
              <w:t>equipados con un VMS. Mediante el Artículo 57 del Reglamento (UE) 2023/2053 esta obligación se extiende a todos los remolcadores de atún rojo al margen de su eslora.</w:t>
            </w:r>
          </w:p>
          <w:p w14:paraId="5E00BC2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D3E25E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De conformidad con el Artículo 216 (2) del Tratado de funcionamiento de la Unión Europea, los Estados miembros tienen que tomar las medidas directas necesarias diseñadas para garantizar el cumplimiento de las Recomendaciones de ICCAT por parte de sus buques y, cuando proceda, sus nacionales, </w:t>
            </w:r>
          </w:p>
          <w:p w14:paraId="3441596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629" w:type="dxa"/>
          </w:tcPr>
          <w:p w14:paraId="4A0E89C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lastRenderedPageBreak/>
              <w:t>La UE sigue también las disposiciones adicionales establecidas en la Recomendación 18-10 de ICCAT.</w:t>
            </w:r>
          </w:p>
          <w:p w14:paraId="2AC838D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E3A382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lastRenderedPageBreak/>
              <w:t xml:space="preserve">Los mensajes VMS de los buques pesqueros que enarbolan su pabellón son remitidos a la Comisión de la UE al menos cada hora para los cerqueros y cada dos horas para los otros buques. </w:t>
            </w:r>
          </w:p>
          <w:p w14:paraId="7A88D6A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EA0B8F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obstante lo anterior, todos los buques de remolque utilizados para transportar atún rojo vivo deberán, al margen de su eslora, instalar y operar un VMS, de acuerdo con la Rec. 18-10, y transmitir mensajes al menos una vez cada hora.</w:t>
            </w:r>
          </w:p>
          <w:p w14:paraId="26E58B6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ha puesto en marcha un sistema específico de IT para garantizar la implementación de esta obligación a nivel de la UE.</w:t>
            </w:r>
          </w:p>
        </w:tc>
      </w:tr>
      <w:tr w:rsidR="009123AC" w:rsidRPr="00F0379B" w14:paraId="6C067A94" w14:textId="77777777" w:rsidTr="00CA749B">
        <w:trPr>
          <w:jc w:val="center"/>
        </w:trPr>
        <w:tc>
          <w:tcPr>
            <w:tcW w:w="562" w:type="dxa"/>
          </w:tcPr>
          <w:p w14:paraId="70654A54"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8</w:t>
            </w:r>
          </w:p>
        </w:tc>
        <w:tc>
          <w:tcPr>
            <w:tcW w:w="1701" w:type="dxa"/>
          </w:tcPr>
          <w:p w14:paraId="78E16409"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Programa de observadores de las CPC (párrs. 95-100)</w:t>
            </w:r>
          </w:p>
        </w:tc>
        <w:tc>
          <w:tcPr>
            <w:tcW w:w="2694" w:type="dxa"/>
          </w:tcPr>
          <w:p w14:paraId="79C7A04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Los patrones de cualquier buque pesquero con autorización de pesca europea para atún rojo del este, ya sea arrastrero pelágico, palangrero, cañero o almadraba, así como los patrones de los remolcadores deben recibir observadores de conformidad con las medidas establecidas en el Reglamento (UE) n.º </w:t>
            </w:r>
            <w:r w:rsidRPr="00F0379B">
              <w:rPr>
                <w:rFonts w:ascii="Cambria" w:eastAsiaTheme="minorEastAsia" w:hAnsi="Cambria"/>
                <w:kern w:val="2"/>
                <w:sz w:val="20"/>
                <w:szCs w:val="20"/>
                <w:lang w:eastAsia="ja-JP"/>
                <w14:ligatures w14:val="standardContextual"/>
              </w:rPr>
              <w:t>2023/2053</w:t>
            </w:r>
            <w:r w:rsidRPr="00F0379B">
              <w:rPr>
                <w:rFonts w:ascii="Cambria" w:eastAsiaTheme="minorEastAsia" w:hAnsi="Cambria"/>
                <w:bCs/>
                <w:kern w:val="2"/>
                <w:sz w:val="20"/>
                <w:szCs w:val="20"/>
                <w:lang w:eastAsia="ja-JP"/>
                <w14:ligatures w14:val="standardContextual"/>
              </w:rPr>
              <w:t>.</w:t>
            </w:r>
          </w:p>
        </w:tc>
        <w:tc>
          <w:tcPr>
            <w:tcW w:w="2409" w:type="dxa"/>
          </w:tcPr>
          <w:p w14:paraId="7A5CE376"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Reglamento (UE) </w:t>
            </w:r>
            <w:r w:rsidRPr="00F0379B">
              <w:rPr>
                <w:rFonts w:ascii="Cambria" w:eastAsiaTheme="minorEastAsia" w:hAnsi="Cambria"/>
                <w:kern w:val="2"/>
                <w:sz w:val="20"/>
                <w:szCs w:val="20"/>
                <w:lang w:eastAsia="ja-JP"/>
                <w14:ligatures w14:val="standardContextual"/>
              </w:rPr>
              <w:t>2023/2053</w:t>
            </w:r>
          </w:p>
          <w:p w14:paraId="588F2911" w14:textId="77777777" w:rsidR="009123AC" w:rsidRPr="00F0379B" w:rsidRDefault="009123AC" w:rsidP="009123AC">
            <w:pPr>
              <w:autoSpaceDE w:val="0"/>
              <w:autoSpaceDN w:val="0"/>
              <w:adjustRightInd w:val="0"/>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Sección 5 "Programas de observadores" </w:t>
            </w:r>
          </w:p>
          <w:p w14:paraId="07274D1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Artículo 38 " Programa de observadores nacionales"</w:t>
            </w:r>
          </w:p>
        </w:tc>
        <w:tc>
          <w:tcPr>
            <w:tcW w:w="2629" w:type="dxa"/>
          </w:tcPr>
          <w:p w14:paraId="09C6268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Artículo 38 del Reglamento (UE) 2023/2053, "Programa de observadores nacionales", establece los niveles mínimos de cobertura de observadores nacionales y describe las tareas que deben llevar a cabo los observadores nacionales.</w:t>
            </w:r>
          </w:p>
          <w:p w14:paraId="11BFFBF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D31985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coberturas de observadores nacionales mínimas en buques distintos a los cerqueros se establecen de conformidad con el párrafo 95 de la Rec. 25-04.</w:t>
            </w:r>
          </w:p>
          <w:p w14:paraId="42AEB74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43BAA91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Estados miembros de la UE garantizan una presencia espacial y temporal representativa de observadores nacionales en sus buques y almadrabas para asegurar que la Comisión de la UE recibe datos e información adecuados y apropiados sobre captura, esfuerzo y otros aspectos científicos y de ordenación, teniendo en cuenta las características de las flotas y las pesquerías. La implementación de estas disposiciones queda asegurada mediante el </w:t>
            </w:r>
            <w:r w:rsidRPr="00F0379B">
              <w:rPr>
                <w:rFonts w:ascii="Cambria" w:eastAsiaTheme="minorEastAsia" w:hAnsi="Cambria"/>
                <w:kern w:val="2"/>
                <w:sz w:val="20"/>
                <w:szCs w:val="20"/>
                <w:lang w:eastAsia="ja-JP"/>
                <w14:ligatures w14:val="standardContextual"/>
              </w:rPr>
              <w:lastRenderedPageBreak/>
              <w:t>Marco de recopilación de datos</w:t>
            </w:r>
            <w:r w:rsidRPr="00F0379B">
              <w:rPr>
                <w:rFonts w:ascii="Cambria" w:eastAsiaTheme="minorEastAsia" w:hAnsi="Cambria"/>
                <w:kern w:val="2"/>
                <w:sz w:val="20"/>
                <w:szCs w:val="20"/>
                <w:vertAlign w:val="superscript"/>
                <w:lang w:eastAsia="ja-JP"/>
                <w14:ligatures w14:val="standardContextual"/>
              </w:rPr>
              <w:footnoteReference w:id="14"/>
            </w:r>
            <w:r w:rsidRPr="00F0379B">
              <w:rPr>
                <w:rFonts w:ascii="Cambria" w:eastAsiaTheme="minorEastAsia" w:hAnsi="Cambria"/>
                <w:kern w:val="2"/>
                <w:sz w:val="20"/>
                <w:szCs w:val="20"/>
                <w:lang w:eastAsia="ja-JP"/>
                <w14:ligatures w14:val="standardContextual"/>
              </w:rPr>
              <w:t>.</w:t>
            </w:r>
          </w:p>
          <w:p w14:paraId="6AF59FF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23519F91" w14:textId="77777777" w:rsidTr="00CA749B">
        <w:trPr>
          <w:jc w:val="center"/>
        </w:trPr>
        <w:tc>
          <w:tcPr>
            <w:tcW w:w="562" w:type="dxa"/>
          </w:tcPr>
          <w:p w14:paraId="4F997447"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9</w:t>
            </w:r>
          </w:p>
        </w:tc>
        <w:tc>
          <w:tcPr>
            <w:tcW w:w="1701" w:type="dxa"/>
          </w:tcPr>
          <w:p w14:paraId="4D0EB304" w14:textId="77777777" w:rsidR="009123AC" w:rsidRPr="00F0379B" w:rsidRDefault="009123AC" w:rsidP="009123AC">
            <w:pPr>
              <w:spacing w:line="240" w:lineRule="auto"/>
              <w:rPr>
                <w:rFonts w:ascii="Cambria" w:eastAsiaTheme="minorEastAsia" w:hAnsi="Cambria"/>
                <w:b/>
                <w:kern w:val="2"/>
                <w:sz w:val="20"/>
                <w:szCs w:val="20"/>
                <w:lang w:val="pt-BR" w:eastAsia="ja-JP"/>
                <w14:ligatures w14:val="standardContextual"/>
              </w:rPr>
            </w:pPr>
            <w:r w:rsidRPr="00F0379B">
              <w:rPr>
                <w:rFonts w:ascii="Cambria" w:eastAsiaTheme="minorEastAsia" w:hAnsi="Cambria"/>
                <w:b/>
                <w:kern w:val="2"/>
                <w:sz w:val="20"/>
                <w:szCs w:val="20"/>
                <w:lang w:val="pt-BR" w:eastAsia="ja-JP"/>
                <w14:ligatures w14:val="standardContextual"/>
              </w:rPr>
              <w:t>Programa regional de observadores (párrs. 101-107)</w:t>
            </w:r>
          </w:p>
        </w:tc>
        <w:tc>
          <w:tcPr>
            <w:tcW w:w="2694" w:type="dxa"/>
          </w:tcPr>
          <w:p w14:paraId="47F6778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La UE garantiza una cobertura del 100% de todos los cerqueros y de todas las actividades de introducción en jaula y de sacrificio. Como en años anteriores, las respuestas a todos los casos indicados por el Programa regional de observadores se facilitarán debidamente a la Secretaría. </w:t>
            </w:r>
          </w:p>
        </w:tc>
        <w:tc>
          <w:tcPr>
            <w:tcW w:w="2409" w:type="dxa"/>
          </w:tcPr>
          <w:p w14:paraId="555405B4"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Reglamento (UE) 2023/2053 Artículo 39 y Anexo VIII "Programa regional de observadores de ICCAT"</w:t>
            </w:r>
          </w:p>
        </w:tc>
        <w:tc>
          <w:tcPr>
            <w:tcW w:w="2629" w:type="dxa"/>
          </w:tcPr>
          <w:p w14:paraId="136BA2C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6081B9D8" w14:textId="77777777" w:rsidTr="00CA749B">
        <w:trPr>
          <w:jc w:val="center"/>
        </w:trPr>
        <w:tc>
          <w:tcPr>
            <w:tcW w:w="562" w:type="dxa"/>
          </w:tcPr>
          <w:p w14:paraId="0D633247"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p>
          <w:p w14:paraId="318C94E7"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10</w:t>
            </w:r>
          </w:p>
        </w:tc>
        <w:tc>
          <w:tcPr>
            <w:tcW w:w="1701" w:type="dxa"/>
          </w:tcPr>
          <w:p w14:paraId="793923D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p>
          <w:p w14:paraId="20215C68"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Legislación nacional</w:t>
            </w:r>
          </w:p>
        </w:tc>
        <w:tc>
          <w:tcPr>
            <w:tcW w:w="2694" w:type="dxa"/>
          </w:tcPr>
          <w:p w14:paraId="3AE2BF26" w14:textId="77777777" w:rsidR="009123AC" w:rsidRPr="00F0379B" w:rsidRDefault="009123AC" w:rsidP="009123AC">
            <w:pPr>
              <w:tabs>
                <w:tab w:val="left" w:pos="324"/>
              </w:tabs>
              <w:spacing w:line="240" w:lineRule="auto"/>
              <w:ind w:left="35"/>
              <w:contextualSpacing/>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 (UE) 2023/2053</w:t>
            </w:r>
            <w:r w:rsidRPr="00F0379B">
              <w:rPr>
                <w:rFonts w:ascii="Cambria" w:eastAsiaTheme="minorEastAsia" w:hAnsi="Cambria"/>
                <w:kern w:val="2"/>
                <w:sz w:val="20"/>
                <w:szCs w:val="20"/>
                <w:vertAlign w:val="superscript"/>
                <w:lang w:eastAsia="ja-JP"/>
                <w14:ligatures w14:val="standardContextual"/>
              </w:rPr>
              <w:footnoteReference w:id="15"/>
            </w:r>
            <w:r w:rsidRPr="00F0379B">
              <w:rPr>
                <w:rFonts w:ascii="Cambria" w:eastAsiaTheme="minorEastAsia" w:hAnsi="Cambria"/>
                <w:kern w:val="2"/>
                <w:sz w:val="20"/>
                <w:szCs w:val="20"/>
                <w:lang w:eastAsia="ja-JP"/>
                <w14:ligatures w14:val="standardContextual"/>
              </w:rPr>
              <w:t xml:space="preserve">, que transponía la </w:t>
            </w:r>
            <w:proofErr w:type="gramStart"/>
            <w:r w:rsidRPr="00F0379B">
              <w:rPr>
                <w:rFonts w:ascii="Cambria" w:eastAsiaTheme="minorEastAsia" w:hAnsi="Cambria"/>
                <w:kern w:val="2"/>
                <w:sz w:val="20"/>
                <w:szCs w:val="20"/>
                <w:lang w:eastAsia="ja-JP"/>
                <w14:ligatures w14:val="standardContextual"/>
              </w:rPr>
              <w:t>Recomendación  22</w:t>
            </w:r>
            <w:proofErr w:type="gramEnd"/>
            <w:r w:rsidRPr="00F0379B">
              <w:rPr>
                <w:rFonts w:ascii="Cambria" w:eastAsiaTheme="minorEastAsia" w:hAnsi="Cambria"/>
                <w:kern w:val="2"/>
                <w:sz w:val="20"/>
                <w:szCs w:val="20"/>
                <w:lang w:eastAsia="ja-JP"/>
                <w14:ligatures w14:val="standardContextual"/>
              </w:rPr>
              <w:t xml:space="preserve">-08, modificado posteriormente por el Reglamento (UE) 2024/897, Reglamento </w:t>
            </w:r>
            <w:proofErr w:type="gramStart"/>
            <w:r w:rsidRPr="00F0379B">
              <w:rPr>
                <w:rFonts w:ascii="Cambria" w:eastAsiaTheme="minorEastAsia" w:hAnsi="Cambria"/>
                <w:kern w:val="2"/>
                <w:sz w:val="20"/>
                <w:szCs w:val="20"/>
                <w:lang w:eastAsia="ja-JP"/>
                <w14:ligatures w14:val="standardContextual"/>
              </w:rPr>
              <w:t>Delegado</w:t>
            </w:r>
            <w:proofErr w:type="gramEnd"/>
            <w:r w:rsidRPr="00F0379B">
              <w:rPr>
                <w:rFonts w:ascii="Cambria" w:eastAsiaTheme="minorEastAsia" w:hAnsi="Cambria"/>
                <w:kern w:val="2"/>
                <w:sz w:val="20"/>
                <w:szCs w:val="20"/>
                <w:lang w:eastAsia="ja-JP"/>
                <w14:ligatures w14:val="standardContextual"/>
              </w:rPr>
              <w:t xml:space="preserve"> (UE) 2024/1389 de la Comisión.</w:t>
            </w:r>
          </w:p>
          <w:p w14:paraId="27CBE59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4333143" w14:textId="77777777" w:rsidR="009123AC" w:rsidRPr="00F0379B" w:rsidRDefault="009123AC" w:rsidP="009123AC">
            <w:pPr>
              <w:snapToGrid w:val="0"/>
              <w:spacing w:line="240" w:lineRule="auto"/>
              <w:rPr>
                <w:rFonts w:ascii="Cambria" w:eastAsiaTheme="minorHAnsi" w:hAnsi="Cambria"/>
                <w:kern w:val="2"/>
                <w:sz w:val="20"/>
                <w:szCs w:val="20"/>
                <w14:ligatures w14:val="standardContextual"/>
              </w:rPr>
            </w:pPr>
            <w:r w:rsidRPr="00F0379B">
              <w:rPr>
                <w:rFonts w:ascii="Cambria" w:eastAsiaTheme="minorHAnsi" w:hAnsi="Cambria"/>
                <w:kern w:val="2"/>
                <w:sz w:val="20"/>
                <w:szCs w:val="20"/>
                <w14:ligatures w14:val="standardContextual"/>
              </w:rPr>
              <w:t>Reglamento (UE) 2023/2833</w:t>
            </w:r>
            <w:r w:rsidRPr="00F0379B">
              <w:rPr>
                <w:rFonts w:ascii="Cambria" w:eastAsiaTheme="minorEastAsia" w:hAnsi="Cambria"/>
                <w:kern w:val="2"/>
                <w:sz w:val="20"/>
                <w:szCs w:val="20"/>
                <w:vertAlign w:val="superscript"/>
                <w:lang w:val="en-GB" w:eastAsia="ja-JP"/>
                <w14:ligatures w14:val="standardContextual"/>
              </w:rPr>
              <w:footnoteReference w:id="16"/>
            </w:r>
            <w:r w:rsidRPr="00F0379B">
              <w:rPr>
                <w:rFonts w:ascii="Cambria" w:eastAsiaTheme="minorHAnsi" w:hAnsi="Cambria"/>
                <w:kern w:val="2"/>
                <w:sz w:val="20"/>
                <w:szCs w:val="20"/>
                <w14:ligatures w14:val="standardContextual"/>
              </w:rPr>
              <w:t xml:space="preserve"> por el que se implementan las Recomendaciones 18-13 y 21-19 sobre el programa ICCAT de documentación del atún rojo, que introduce la implementación del sistema de documentación de capturas de atún rojo, la Recomendación 10-11 sobre un programa electrónico de documentación de capturas de atún rojo (eBCD) y la Recomendación 22-16 sobre la aplicación del sistema eBCD.</w:t>
            </w:r>
          </w:p>
          <w:p w14:paraId="4AF5B0A7" w14:textId="77777777" w:rsidR="009123AC" w:rsidRPr="00F0379B" w:rsidRDefault="009123AC" w:rsidP="009123AC">
            <w:pPr>
              <w:snapToGrid w:val="0"/>
              <w:spacing w:line="240" w:lineRule="auto"/>
              <w:rPr>
                <w:rFonts w:ascii="Cambria" w:eastAsiaTheme="minorEastAsia" w:hAnsi="Cambria"/>
                <w:kern w:val="2"/>
                <w:sz w:val="20"/>
                <w:szCs w:val="20"/>
                <w14:ligatures w14:val="standardContextual"/>
              </w:rPr>
            </w:pPr>
          </w:p>
          <w:p w14:paraId="4E86E44A" w14:textId="77777777" w:rsidR="009123AC" w:rsidRPr="00F0379B" w:rsidRDefault="009123AC" w:rsidP="009123AC">
            <w:pPr>
              <w:snapToGrid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 (UE) 2019/833</w:t>
            </w:r>
            <w:r w:rsidRPr="00F0379B">
              <w:rPr>
                <w:rFonts w:ascii="Cambria" w:eastAsiaTheme="minorEastAsia" w:hAnsi="Cambria"/>
                <w:kern w:val="2"/>
                <w:sz w:val="20"/>
                <w:szCs w:val="20"/>
                <w:vertAlign w:val="superscript"/>
                <w:lang w:eastAsia="ja-JP"/>
                <w14:ligatures w14:val="standardContextual"/>
              </w:rPr>
              <w:footnoteReference w:id="17"/>
            </w:r>
            <w:r w:rsidRPr="00F0379B">
              <w:rPr>
                <w:rFonts w:ascii="Cambria" w:eastAsiaTheme="minorEastAsia" w:hAnsi="Cambria"/>
                <w:kern w:val="2"/>
                <w:sz w:val="20"/>
                <w:szCs w:val="20"/>
                <w:lang w:eastAsia="ja-JP"/>
                <w14:ligatures w14:val="standardContextual"/>
              </w:rPr>
              <w:t xml:space="preserve"> que traspone </w:t>
            </w:r>
            <w:r w:rsidRPr="00F0379B">
              <w:rPr>
                <w:rFonts w:ascii="Cambria" w:eastAsiaTheme="minorEastAsia" w:hAnsi="Cambria"/>
                <w:kern w:val="2"/>
                <w:sz w:val="20"/>
                <w:szCs w:val="20"/>
                <w:lang w:eastAsia="ja-JP"/>
                <w14:ligatures w14:val="standardContextual"/>
              </w:rPr>
              <w:lastRenderedPageBreak/>
              <w:t>parcialmente la Recomendación 18-02 sustituida por la Recomendación 19-04.</w:t>
            </w:r>
          </w:p>
          <w:p w14:paraId="27F0BAC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939701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 (UE) 2024/897</w:t>
            </w:r>
            <w:r w:rsidRPr="00F0379B">
              <w:rPr>
                <w:rFonts w:ascii="Cambria" w:eastAsiaTheme="minorEastAsia" w:hAnsi="Cambria"/>
                <w:kern w:val="2"/>
                <w:sz w:val="20"/>
                <w:szCs w:val="20"/>
                <w:vertAlign w:val="superscript"/>
                <w:lang w:eastAsia="ja-JP"/>
                <w14:ligatures w14:val="standardContextual"/>
              </w:rPr>
              <w:footnoteReference w:id="18"/>
            </w:r>
            <w:r w:rsidRPr="00F0379B">
              <w:rPr>
                <w:rFonts w:ascii="Cambria" w:eastAsiaTheme="minorEastAsia" w:hAnsi="Cambria"/>
                <w:kern w:val="2"/>
                <w:sz w:val="20"/>
                <w:szCs w:val="20"/>
                <w:lang w:eastAsia="ja-JP"/>
                <w14:ligatures w14:val="standardContextual"/>
              </w:rPr>
              <w:t>, que modifica el Reglamento (UE) 2017/2107, por el que se establecen medidas de ordenación, conservación y control aplicables en la zona del Convenio de la Comisión Internacional para la Conservación del Atún Atlántico (ICCAT), y el Reglamento (UE) 2023/2053, por el que se establece un plan de ordenación plurianual para el atún rojo del Atlántico oriental y el Mediterráneo.</w:t>
            </w:r>
          </w:p>
          <w:p w14:paraId="0B8D93A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166F03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 (UE) 2026/249 del Consejo, de 26 de enero de 2026</w:t>
            </w:r>
            <w:r w:rsidRPr="00F0379B">
              <w:rPr>
                <w:rFonts w:ascii="Cambria" w:eastAsiaTheme="minorEastAsia" w:hAnsi="Cambria"/>
                <w:kern w:val="2"/>
                <w:sz w:val="20"/>
                <w:szCs w:val="20"/>
                <w:vertAlign w:val="superscript"/>
                <w:lang w:eastAsia="ja-JP"/>
                <w14:ligatures w14:val="standardContextual"/>
              </w:rPr>
              <w:footnoteReference w:id="19"/>
            </w:r>
            <w:r w:rsidRPr="00F0379B">
              <w:rPr>
                <w:rFonts w:ascii="Cambria" w:eastAsiaTheme="minorEastAsia" w:hAnsi="Cambria"/>
                <w:kern w:val="2"/>
                <w:sz w:val="20"/>
                <w:szCs w:val="20"/>
                <w:lang w:eastAsia="ja-JP"/>
                <w14:ligatures w14:val="standardContextual"/>
              </w:rPr>
              <w:t>, por el que se fijan para 2025 las posibilidades de pesca para el atún rojo establecidas en los párrafos 4 y 6 de la Rec. 25-04.</w:t>
            </w:r>
          </w:p>
        </w:tc>
        <w:tc>
          <w:tcPr>
            <w:tcW w:w="2409" w:type="dxa"/>
          </w:tcPr>
          <w:p w14:paraId="751B74A7"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p>
        </w:tc>
        <w:tc>
          <w:tcPr>
            <w:tcW w:w="2629" w:type="dxa"/>
          </w:tcPr>
          <w:p w14:paraId="39572DB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3D863E36" w14:textId="77777777" w:rsidTr="00CA749B">
        <w:trPr>
          <w:jc w:val="center"/>
        </w:trPr>
        <w:tc>
          <w:tcPr>
            <w:tcW w:w="562" w:type="dxa"/>
            <w:vMerge w:val="restart"/>
          </w:tcPr>
          <w:p w14:paraId="6BC370AD"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11</w:t>
            </w:r>
          </w:p>
        </w:tc>
        <w:tc>
          <w:tcPr>
            <w:tcW w:w="1701" w:type="dxa"/>
          </w:tcPr>
          <w:p w14:paraId="43C69B8D"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Programa de marcado</w:t>
            </w:r>
          </w:p>
        </w:tc>
        <w:tc>
          <w:tcPr>
            <w:tcW w:w="2694" w:type="dxa"/>
          </w:tcPr>
          <w:p w14:paraId="354A500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De conformidad con las disposiciones de ICCAT, el uso de marcas sólo estará autorizado previa petición y cuando las cantidades de captura acumuladas no superen las cuotas o límites de captura de los Estados miembros de la UE para cada año de ordenación, incluyendo, cuando proceda, cuotas individuales asignadas a buques de captura o almadrabas, Se envía a ICCAT un resumen de cualquier programa de marcado implementado por </w:t>
            </w:r>
            <w:r w:rsidRPr="00F0379B">
              <w:rPr>
                <w:rFonts w:ascii="Cambria" w:eastAsiaTheme="minorEastAsia" w:hAnsi="Cambria"/>
                <w:kern w:val="2"/>
                <w:sz w:val="20"/>
                <w:szCs w:val="20"/>
                <w:lang w:eastAsia="ja-JP"/>
                <w14:ligatures w14:val="standardContextual"/>
              </w:rPr>
              <w:lastRenderedPageBreak/>
              <w:t>los Estados miembros de la UE.</w:t>
            </w:r>
          </w:p>
        </w:tc>
        <w:tc>
          <w:tcPr>
            <w:tcW w:w="2409" w:type="dxa"/>
          </w:tcPr>
          <w:p w14:paraId="7EEE0F2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lastRenderedPageBreak/>
              <w:t xml:space="preserve">Art. 6 del </w:t>
            </w:r>
            <w:proofErr w:type="gramStart"/>
            <w:r w:rsidRPr="00F0379B">
              <w:rPr>
                <w:rFonts w:ascii="Cambria" w:eastAsiaTheme="minorEastAsia" w:hAnsi="Cambria"/>
                <w:bCs/>
                <w:kern w:val="2"/>
                <w:sz w:val="20"/>
                <w:szCs w:val="20"/>
                <w:lang w:eastAsia="ja-JP"/>
                <w14:ligatures w14:val="standardContextual"/>
              </w:rPr>
              <w:t>Reg,  (</w:t>
            </w:r>
            <w:proofErr w:type="gramEnd"/>
            <w:r w:rsidRPr="00F0379B">
              <w:rPr>
                <w:rFonts w:ascii="Cambria" w:eastAsiaTheme="minorEastAsia" w:hAnsi="Cambria"/>
                <w:bCs/>
                <w:kern w:val="2"/>
                <w:sz w:val="20"/>
                <w:szCs w:val="20"/>
                <w:lang w:eastAsia="ja-JP"/>
                <w14:ligatures w14:val="standardContextual"/>
              </w:rPr>
              <w:t>UE) 2023/2833.</w:t>
            </w:r>
          </w:p>
        </w:tc>
        <w:tc>
          <w:tcPr>
            <w:tcW w:w="2629" w:type="dxa"/>
          </w:tcPr>
          <w:p w14:paraId="0DC79AB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UE sigue también las disposiciones adicionales establecidas a nivel de ICCAT mediante el párrafo 5 d de la Recomendación 22-16 de ICCAT </w:t>
            </w:r>
          </w:p>
        </w:tc>
      </w:tr>
      <w:tr w:rsidR="009123AC" w:rsidRPr="00F0379B" w14:paraId="333AF2C0" w14:textId="77777777" w:rsidTr="00CA749B">
        <w:trPr>
          <w:jc w:val="center"/>
        </w:trPr>
        <w:tc>
          <w:tcPr>
            <w:tcW w:w="562" w:type="dxa"/>
            <w:vMerge/>
          </w:tcPr>
          <w:p w14:paraId="620D6326"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p>
        </w:tc>
        <w:tc>
          <w:tcPr>
            <w:tcW w:w="1701" w:type="dxa"/>
          </w:tcPr>
          <w:p w14:paraId="36A19839"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Programa de marcado (párr. 44)</w:t>
            </w:r>
          </w:p>
        </w:tc>
        <w:tc>
          <w:tcPr>
            <w:tcW w:w="2694" w:type="dxa"/>
          </w:tcPr>
          <w:p w14:paraId="7059A05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UE llevará a cabo dos programas de marcado, en los que barcos comerciales/</w:t>
            </w:r>
          </w:p>
          <w:p w14:paraId="396A11F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de recreo realizarán actividades de captura y liberación en el contexto de proyectos científicos de institutos marinos integrados. Se prevé que la actividad se realice desde el 1 de julio hasta mediados de noviembre en las aguas alrededor de Irlanda, </w:t>
            </w:r>
            <w:proofErr w:type="spellStart"/>
            <w:r w:rsidRPr="00F0379B">
              <w:rPr>
                <w:rFonts w:ascii="Cambria" w:eastAsiaTheme="minorEastAsia" w:hAnsi="Cambria"/>
                <w:kern w:val="2"/>
                <w:sz w:val="20"/>
                <w:szCs w:val="20"/>
                <w:lang w:eastAsia="ja-JP"/>
                <w14:ligatures w14:val="standardContextual"/>
              </w:rPr>
              <w:t>Skagerrak</w:t>
            </w:r>
            <w:proofErr w:type="spellEnd"/>
            <w:r w:rsidRPr="00F0379B">
              <w:rPr>
                <w:rFonts w:ascii="Cambria" w:eastAsiaTheme="minorEastAsia" w:hAnsi="Cambria"/>
                <w:kern w:val="2"/>
                <w:sz w:val="20"/>
                <w:szCs w:val="20"/>
                <w:lang w:eastAsia="ja-JP"/>
                <w14:ligatures w14:val="standardContextual"/>
              </w:rPr>
              <w:t xml:space="preserve">, Kattegat y el estrecho de </w:t>
            </w:r>
            <w:proofErr w:type="spellStart"/>
            <w:r w:rsidRPr="00F0379B">
              <w:rPr>
                <w:rFonts w:ascii="Cambria" w:eastAsiaTheme="minorEastAsia" w:hAnsi="Cambria"/>
                <w:kern w:val="2"/>
                <w:sz w:val="20"/>
                <w:szCs w:val="20"/>
                <w:lang w:eastAsia="ja-JP"/>
                <w14:ligatures w14:val="standardContextual"/>
              </w:rPr>
              <w:t>Öresund</w:t>
            </w:r>
            <w:proofErr w:type="spellEnd"/>
            <w:r w:rsidRPr="00F0379B">
              <w:rPr>
                <w:rFonts w:ascii="Cambria" w:eastAsiaTheme="minorEastAsia" w:hAnsi="Cambria"/>
                <w:kern w:val="2"/>
                <w:sz w:val="20"/>
                <w:szCs w:val="20"/>
                <w:lang w:eastAsia="ja-JP"/>
                <w14:ligatures w14:val="standardContextual"/>
              </w:rPr>
              <w:t>.</w:t>
            </w:r>
          </w:p>
          <w:p w14:paraId="353EEB4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49D5848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Dinamarca</w:t>
            </w:r>
            <w:r w:rsidRPr="00F0379B">
              <w:rPr>
                <w:rFonts w:ascii="Cambria" w:eastAsiaTheme="minorEastAsia" w:hAnsi="Cambria"/>
                <w:kern w:val="2"/>
                <w:sz w:val="20"/>
                <w:szCs w:val="20"/>
                <w:lang w:eastAsia="ja-JP"/>
                <w14:ligatures w14:val="standardContextual"/>
              </w:rPr>
              <w:t>:</w:t>
            </w:r>
          </w:p>
          <w:p w14:paraId="1F4AC2B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pesquería danesa de "captura y liberación" se organizará en el contexto de un proyecto científico dirigido por el instituto de investigación danés, </w:t>
            </w:r>
          </w:p>
          <w:p w14:paraId="121C570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DTU Aqua. El proyecto es una </w:t>
            </w:r>
          </w:p>
          <w:p w14:paraId="6444312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continuación de proyectos similares realizados en los años 2017 a 2025. El proyecto forma parte del programa  </w:t>
            </w:r>
          </w:p>
          <w:p w14:paraId="271EEEE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de Investigación de atún rojo de DTU Aqua. Se prevé que alrededor de 150 embarcaciones deportivas participen en las actividades pesqueras durante 30 días de agosto a octubre de 2026 en </w:t>
            </w:r>
            <w:proofErr w:type="spellStart"/>
            <w:r w:rsidRPr="00F0379B">
              <w:rPr>
                <w:rFonts w:ascii="Cambria" w:eastAsiaTheme="minorEastAsia" w:hAnsi="Cambria"/>
                <w:kern w:val="2"/>
                <w:sz w:val="20"/>
                <w:szCs w:val="20"/>
                <w:lang w:eastAsia="ja-JP"/>
                <w14:ligatures w14:val="standardContextual"/>
              </w:rPr>
              <w:t>Skagerrak</w:t>
            </w:r>
            <w:proofErr w:type="spellEnd"/>
            <w:r w:rsidRPr="00F0379B">
              <w:rPr>
                <w:rFonts w:ascii="Cambria" w:eastAsiaTheme="minorEastAsia" w:hAnsi="Cambria"/>
                <w:kern w:val="2"/>
                <w:sz w:val="20"/>
                <w:szCs w:val="20"/>
                <w:lang w:eastAsia="ja-JP"/>
                <w14:ligatures w14:val="standardContextual"/>
              </w:rPr>
              <w:t xml:space="preserve">, Kattegat y en el estrecho de </w:t>
            </w:r>
            <w:proofErr w:type="spellStart"/>
            <w:r w:rsidRPr="00F0379B">
              <w:rPr>
                <w:rFonts w:ascii="Cambria" w:eastAsiaTheme="minorEastAsia" w:hAnsi="Cambria"/>
                <w:kern w:val="2"/>
                <w:sz w:val="20"/>
                <w:szCs w:val="20"/>
                <w:lang w:eastAsia="ja-JP"/>
                <w14:ligatures w14:val="standardContextual"/>
              </w:rPr>
              <w:t>Öresund</w:t>
            </w:r>
            <w:proofErr w:type="spellEnd"/>
            <w:r w:rsidRPr="00F0379B">
              <w:rPr>
                <w:rFonts w:ascii="Cambria" w:eastAsiaTheme="minorEastAsia" w:hAnsi="Cambria"/>
                <w:kern w:val="2"/>
                <w:sz w:val="20"/>
                <w:szCs w:val="20"/>
                <w:lang w:eastAsia="ja-JP"/>
                <w14:ligatures w14:val="standardContextual"/>
              </w:rPr>
              <w:t>. Si se produce una situación de malas condiciones meteorológicas durante el periodo de cuatro semanas, los periodos de pesca se prolongarán con un periodo de tiempo proporcional.</w:t>
            </w:r>
          </w:p>
          <w:p w14:paraId="68BEE05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DB04E3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FB5055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E9BD752"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Irlanda:</w:t>
            </w:r>
          </w:p>
          <w:p w14:paraId="0BA0151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Carta del atún IE – </w:t>
            </w:r>
            <w:r w:rsidRPr="00F0379B">
              <w:rPr>
                <w:rFonts w:ascii="Cambria" w:eastAsiaTheme="minorEastAsia" w:hAnsi="Cambria"/>
                <w:kern w:val="2"/>
                <w:sz w:val="20"/>
                <w:szCs w:val="20"/>
                <w:lang w:eastAsia="ja-JP"/>
                <w14:ligatures w14:val="standardContextual"/>
              </w:rPr>
              <w:t>Pesquería de captura, marcado y liberación.</w:t>
            </w:r>
          </w:p>
          <w:p w14:paraId="1756FFC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FA06ED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N.º de buques:</w:t>
            </w:r>
          </w:p>
          <w:p w14:paraId="48C9AC6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autorizará un máximo de 25 unidades.</w:t>
            </w:r>
          </w:p>
          <w:p w14:paraId="7BE824D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13DB21A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prevé que las actividades de la temporada de pesca tengan lugar del 1 de julio al 12 de noviembre.</w:t>
            </w:r>
          </w:p>
          <w:p w14:paraId="58A5F45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19B285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objetivo de estos proyectos será:</w:t>
            </w:r>
          </w:p>
          <w:p w14:paraId="6868363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0F42836" w14:textId="77777777" w:rsidR="009123AC" w:rsidRPr="00F0379B" w:rsidRDefault="009123AC" w:rsidP="009123AC">
            <w:pPr>
              <w:spacing w:line="240" w:lineRule="auto"/>
              <w:rPr>
                <w:rFonts w:ascii="Cambria" w:eastAsiaTheme="minorEastAsia" w:hAnsi="Cambria"/>
                <w:kern w:val="2"/>
                <w:sz w:val="20"/>
                <w:szCs w:val="20"/>
                <w14:ligatures w14:val="standardContextual"/>
              </w:rPr>
            </w:pPr>
            <w:r w:rsidRPr="00F0379B">
              <w:rPr>
                <w:rFonts w:ascii="Cambria" w:eastAsiaTheme="minorHAnsi" w:hAnsi="Cambria"/>
                <w:kern w:val="2"/>
                <w:sz w:val="20"/>
                <w:szCs w:val="20"/>
                <w14:ligatures w14:val="standardContextual"/>
              </w:rPr>
              <w:t>1) Patrones de migración, incluido el posible retorno de atunes individuales,</w:t>
            </w:r>
          </w:p>
          <w:p w14:paraId="31B73F63" w14:textId="77777777" w:rsidR="009123AC" w:rsidRPr="00F0379B" w:rsidRDefault="009123AC" w:rsidP="009123AC">
            <w:pPr>
              <w:spacing w:line="240" w:lineRule="auto"/>
              <w:rPr>
                <w:rFonts w:ascii="Cambria" w:eastAsiaTheme="minorEastAsia" w:hAnsi="Cambria"/>
                <w:kern w:val="2"/>
                <w:sz w:val="20"/>
                <w:szCs w:val="20"/>
                <w14:ligatures w14:val="standardContextual"/>
              </w:rPr>
            </w:pPr>
            <w:r w:rsidRPr="00F0379B">
              <w:rPr>
                <w:rFonts w:ascii="Cambria" w:eastAsiaTheme="minorHAnsi" w:hAnsi="Cambria"/>
                <w:kern w:val="2"/>
                <w:sz w:val="20"/>
                <w:szCs w:val="20"/>
                <w14:ligatures w14:val="standardContextual"/>
              </w:rPr>
              <w:t>2)Comportamiento detallado en materia de nado e inmersión,</w:t>
            </w:r>
          </w:p>
          <w:p w14:paraId="5E079367" w14:textId="77777777" w:rsidR="009123AC" w:rsidRPr="00F0379B" w:rsidRDefault="009123AC" w:rsidP="009123AC">
            <w:pPr>
              <w:spacing w:line="240" w:lineRule="auto"/>
              <w:rPr>
                <w:rFonts w:ascii="Cambria" w:eastAsiaTheme="minorEastAsia" w:hAnsi="Cambria"/>
                <w:kern w:val="2"/>
                <w:sz w:val="20"/>
                <w:szCs w:val="20"/>
                <w14:ligatures w14:val="standardContextual"/>
              </w:rPr>
            </w:pPr>
            <w:r w:rsidRPr="00F0379B">
              <w:rPr>
                <w:rFonts w:ascii="Cambria" w:eastAsiaTheme="minorHAnsi" w:hAnsi="Cambria"/>
                <w:kern w:val="2"/>
                <w:sz w:val="20"/>
                <w:szCs w:val="20"/>
                <w14:ligatures w14:val="standardContextual"/>
              </w:rPr>
              <w:t>3) Desplazamientos a lo largo del tiempo, incluida la migración a las zonas de desove, y</w:t>
            </w:r>
          </w:p>
          <w:p w14:paraId="63AEC4F9" w14:textId="77777777" w:rsidR="009123AC" w:rsidRPr="00F0379B" w:rsidRDefault="009123AC" w:rsidP="009123AC">
            <w:pPr>
              <w:spacing w:line="240" w:lineRule="auto"/>
              <w:rPr>
                <w:rFonts w:ascii="Cambria" w:eastAsiaTheme="minorEastAsia" w:hAnsi="Cambria"/>
                <w:kern w:val="2"/>
                <w:sz w:val="20"/>
                <w:szCs w:val="20"/>
                <w14:ligatures w14:val="standardContextual"/>
              </w:rPr>
            </w:pPr>
            <w:r w:rsidRPr="00F0379B">
              <w:rPr>
                <w:rFonts w:ascii="Cambria" w:eastAsiaTheme="minorHAnsi" w:hAnsi="Cambria"/>
                <w:kern w:val="2"/>
                <w:sz w:val="20"/>
                <w:szCs w:val="20"/>
                <w14:ligatures w14:val="standardContextual"/>
              </w:rPr>
              <w:t>4) Origen del stock y estado fisiológico mediante muestras de tejido y sangre de atunes rojos.</w:t>
            </w:r>
          </w:p>
          <w:p w14:paraId="42C771D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867998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investigadores informarán de sus actividades de conformidad con las disposiciones aplicables para ello en ICCAT. La recopilación de datos será coherente con el programa de investigación del GBYP de ICCAT y se comunicará y debatirá con ICCAT cuando sea necesario.</w:t>
            </w:r>
          </w:p>
        </w:tc>
        <w:tc>
          <w:tcPr>
            <w:tcW w:w="2409" w:type="dxa"/>
          </w:tcPr>
          <w:p w14:paraId="3979A80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lastRenderedPageBreak/>
              <w:t>Dinamarca</w:t>
            </w:r>
            <w:r w:rsidRPr="00F0379B">
              <w:rPr>
                <w:rFonts w:ascii="Cambria" w:eastAsiaTheme="minorEastAsia" w:hAnsi="Cambria"/>
                <w:b/>
                <w:kern w:val="2"/>
                <w:sz w:val="20"/>
                <w:szCs w:val="20"/>
                <w:lang w:eastAsia="ja-JP"/>
                <w14:ligatures w14:val="standardContextual"/>
              </w:rPr>
              <w:t>:</w:t>
            </w:r>
            <w:r w:rsidRPr="00F0379B">
              <w:rPr>
                <w:rFonts w:ascii="Cambria" w:eastAsiaTheme="minorEastAsia" w:hAnsi="Cambria"/>
                <w:kern w:val="2"/>
                <w:sz w:val="20"/>
                <w:szCs w:val="20"/>
                <w:lang w:eastAsia="ja-JP"/>
                <w14:ligatures w14:val="standardContextual"/>
              </w:rPr>
              <w:t xml:space="preserve">  La Ley de Pesca danesa es la base jurídica para la aplicación de la Política Pesquera Común. Según el artículo 10, el Ministro está facultado para establecer normas y medidas para cumplir la legislación pesquera de la Unión en Dinamarca y, según el artículo 109, para establecer las medidas y normas necesarias para poner en marcha la investigación científica con medidas públicas o autorizadas por el Estado. La Orden sobre pesca experimental establece las normas aplicables a los estudios, proyectos, etc. con fines científicos, medioambientales y de mejora de las stocks, </w:t>
            </w:r>
            <w:proofErr w:type="spellStart"/>
            <w:r w:rsidRPr="00F0379B">
              <w:rPr>
                <w:rFonts w:ascii="Cambria" w:eastAsiaTheme="minorEastAsia" w:hAnsi="Cambria"/>
                <w:kern w:val="2"/>
                <w:sz w:val="20"/>
                <w:szCs w:val="20"/>
                <w:lang w:eastAsia="ja-JP"/>
                <w14:ligatures w14:val="standardContextual"/>
              </w:rPr>
              <w:t>cf</w:t>
            </w:r>
            <w:proofErr w:type="spellEnd"/>
            <w:r w:rsidRPr="00F0379B">
              <w:rPr>
                <w:rFonts w:ascii="Cambria" w:eastAsiaTheme="minorEastAsia" w:hAnsi="Cambria"/>
                <w:kern w:val="2"/>
                <w:sz w:val="20"/>
                <w:szCs w:val="20"/>
                <w:lang w:eastAsia="ja-JP"/>
                <w14:ligatures w14:val="standardContextual"/>
              </w:rPr>
              <w:t>, §§ 10-12.</w:t>
            </w:r>
          </w:p>
          <w:p w14:paraId="0B2F382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2D8A31C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29A51BBA" w14:textId="77777777" w:rsidR="009123AC" w:rsidRPr="00F0379B" w:rsidRDefault="009123AC" w:rsidP="009123AC">
            <w:pPr>
              <w:spacing w:line="240" w:lineRule="auto"/>
              <w:rPr>
                <w:rFonts w:ascii="Cambria" w:eastAsia="Times New Roman" w:hAnsi="Cambria" w:cs="Calibri"/>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Irlanda: </w:t>
            </w:r>
            <w:hyperlink r:id="rId114" w:history="1">
              <w:r w:rsidRPr="00F0379B">
                <w:rPr>
                  <w:rFonts w:ascii="Cambria" w:eastAsiaTheme="minorEastAsia" w:hAnsi="Cambria"/>
                  <w:color w:val="0563C1"/>
                  <w:kern w:val="2"/>
                  <w:sz w:val="20"/>
                  <w:szCs w:val="20"/>
                  <w:lang w:eastAsia="ja-JP"/>
                  <w14:ligatures w14:val="standardContextual"/>
                </w:rPr>
                <w:t>Acta (consolidación) de pesquerías, 1959 (irishstatutebook.ie)</w:t>
              </w:r>
            </w:hyperlink>
          </w:p>
          <w:p w14:paraId="3E258663" w14:textId="77777777" w:rsidR="009123AC" w:rsidRPr="00F0379B" w:rsidRDefault="009123AC" w:rsidP="009123AC">
            <w:pPr>
              <w:spacing w:line="240" w:lineRule="auto"/>
              <w:rPr>
                <w:rFonts w:ascii="Cambria" w:eastAsia="Times New Roman" w:hAnsi="Cambria" w:cs="Calibri"/>
                <w:kern w:val="2"/>
                <w:sz w:val="20"/>
                <w:szCs w:val="20"/>
                <w:lang w:eastAsia="ja-JP"/>
                <w14:ligatures w14:val="standardContextual"/>
              </w:rPr>
            </w:pPr>
          </w:p>
          <w:p w14:paraId="40A1594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imes New Roman" w:hAnsi="Cambria"/>
                <w:kern w:val="2"/>
                <w:sz w:val="20"/>
                <w:szCs w:val="20"/>
                <w:lang w:eastAsia="ja-JP"/>
                <w14:ligatures w14:val="standardContextual"/>
              </w:rPr>
              <w:t xml:space="preserve">Estatuto 981 de 2020 Control de los métodos de pesca con caña en el mar de determinadas especies de peces </w:t>
            </w:r>
            <w:hyperlink r:id="rId115" w:anchor="page=null">
              <w:r w:rsidRPr="00F0379B">
                <w:rPr>
                  <w:rFonts w:ascii="Cambria" w:eastAsiaTheme="minorEastAsia" w:hAnsi="Cambria" w:cs="Calibri"/>
                  <w:color w:val="0563C1"/>
                  <w:kern w:val="2"/>
                  <w:sz w:val="20"/>
                  <w:szCs w:val="20"/>
                  <w:lang w:eastAsia="ja-JP"/>
                  <w14:ligatures w14:val="standardContextual"/>
                </w:rPr>
                <w:t>007db25e-64ad-4792-b25a-568987eea8be.pdf (www.gov.ie)</w:t>
              </w:r>
            </w:hyperlink>
          </w:p>
          <w:p w14:paraId="08EC0145" w14:textId="77777777" w:rsidR="009123AC" w:rsidRPr="00F0379B" w:rsidRDefault="009123AC" w:rsidP="009123AC">
            <w:pPr>
              <w:spacing w:line="240" w:lineRule="auto"/>
              <w:rPr>
                <w:rFonts w:ascii="Cambria" w:eastAsia="Times New Roman" w:hAnsi="Cambria" w:cs="Calibri"/>
                <w:kern w:val="2"/>
                <w:sz w:val="20"/>
                <w:szCs w:val="20"/>
                <w:lang w:eastAsia="ja-JP"/>
                <w14:ligatures w14:val="standardContextual"/>
              </w:rPr>
            </w:pPr>
          </w:p>
          <w:p w14:paraId="60F9782D" w14:textId="77777777" w:rsidR="009123AC" w:rsidRPr="00F0379B" w:rsidRDefault="009123AC" w:rsidP="009123AC">
            <w:pPr>
              <w:spacing w:line="240" w:lineRule="auto"/>
              <w:rPr>
                <w:rFonts w:ascii="Cambria" w:eastAsia="Times New Roman" w:hAnsi="Cambria" w:cs="Calibri"/>
                <w:kern w:val="2"/>
                <w:sz w:val="20"/>
                <w:szCs w:val="20"/>
                <w:lang w:eastAsia="ja-JP"/>
                <w14:ligatures w14:val="standardContextual"/>
              </w:rPr>
            </w:pPr>
            <w:r w:rsidRPr="00F0379B">
              <w:rPr>
                <w:rFonts w:ascii="Cambria" w:eastAsia="Times New Roman" w:hAnsi="Cambria"/>
                <w:kern w:val="2"/>
                <w:sz w:val="20"/>
                <w:szCs w:val="20"/>
                <w:lang w:eastAsia="ja-JP"/>
                <w14:ligatures w14:val="standardContextual"/>
              </w:rPr>
              <w:t xml:space="preserve">Reglamento SI n.º 352/2024 Mar-Pesca y jurisdicción marítima (atún rojo) </w:t>
            </w:r>
          </w:p>
          <w:p w14:paraId="5D84347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33DD4BBD"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p>
        </w:tc>
        <w:tc>
          <w:tcPr>
            <w:tcW w:w="2629" w:type="dxa"/>
          </w:tcPr>
          <w:p w14:paraId="4BAF665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22F5881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Se autorizará a los buques deportivos y de recreo que pretenden realizar actividades de captura y liberación desde el 1 de julio hasta mediados de noviembre en el contexto de proyectos científicos de institutos marinos integrados en el marco de programas científicos. La instalación y funcionamiento de un sistema VMS simple será un requisito de la autorización. </w:t>
            </w:r>
          </w:p>
          <w:p w14:paraId="4072E9EB" w14:textId="77777777" w:rsidR="009123AC" w:rsidRPr="00F0379B" w:rsidRDefault="009123AC" w:rsidP="009123AC">
            <w:pPr>
              <w:spacing w:line="240" w:lineRule="auto"/>
              <w:ind w:firstLine="840"/>
              <w:rPr>
                <w:rFonts w:ascii="Cambria" w:eastAsiaTheme="minorEastAsia" w:hAnsi="Cambria"/>
                <w:kern w:val="2"/>
                <w:sz w:val="20"/>
                <w:szCs w:val="20"/>
                <w:lang w:eastAsia="ja-JP"/>
                <w14:ligatures w14:val="standardContextual"/>
              </w:rPr>
            </w:pPr>
          </w:p>
          <w:p w14:paraId="1384B71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57185B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autoridades de control nacionales realizarán un seguimiento de las actividades de estos buques en el mar y en el desembarque para garantizar el cumplimiento de los reglamentos nacionales y de la UE.</w:t>
            </w:r>
          </w:p>
          <w:p w14:paraId="4F2471F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4434BD1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marcado será realizado por personal de los institutos marinos o por los operadores de los barcos de pesca de recreo. El método de recogida de datos consiste en marcar varios atunes rojos del este con diferentes tipos de marcas: marcas satelitales pop-up, marcas acústicas, marcas con acelerómetro, marcas con cámara y marcas ordinarias de ICCAT (marcas Floy). Las marcas están diseñadas para recoger una serie de datos complementarios, Los operadores afectados recibirán formación sobre marcado.</w:t>
            </w:r>
          </w:p>
          <w:p w14:paraId="3646E33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8876FD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Cualquier persona autorizada a dirigir su actividad al atún rojo del </w:t>
            </w:r>
            <w:r w:rsidRPr="00F0379B">
              <w:rPr>
                <w:rFonts w:ascii="Cambria" w:eastAsiaTheme="minorEastAsia" w:hAnsi="Cambria"/>
                <w:kern w:val="2"/>
                <w:sz w:val="20"/>
                <w:szCs w:val="20"/>
                <w:lang w:eastAsia="ja-JP"/>
                <w14:ligatures w14:val="standardContextual"/>
              </w:rPr>
              <w:lastRenderedPageBreak/>
              <w:t>este en una pesquería de captura, marcado y liberación no retendrá a bordo, transbordará, transferirá, remolcará, desembarcará, transportará, almacenará o venderá atún rojo del este.</w:t>
            </w:r>
          </w:p>
          <w:p w14:paraId="5EDBB55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se extraerá del mar ningún atún rojo del este capturado vivo, pero, en caso de que se extraiga, será manipulado cuidadosamente y se devolverá vivo a las aguas de las que se sacó.</w:t>
            </w:r>
          </w:p>
          <w:p w14:paraId="2DC9E4E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355FB1F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Cualquier atún rojo del este que muera durante la captura deberá ser consignado y descartado devolviéndolo inmediatamente al mar. El patrón del buque afectado informará inmediatamente a las autoridades de pabellón de cualquier descarte de atún rojo del este en dicha marea.</w:t>
            </w:r>
          </w:p>
        </w:tc>
      </w:tr>
      <w:tr w:rsidR="009123AC" w:rsidRPr="00F0379B" w14:paraId="3C96C160" w14:textId="77777777" w:rsidTr="00CA749B">
        <w:trPr>
          <w:jc w:val="center"/>
        </w:trPr>
        <w:tc>
          <w:tcPr>
            <w:tcW w:w="562" w:type="dxa"/>
          </w:tcPr>
          <w:p w14:paraId="777F750E"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12</w:t>
            </w:r>
          </w:p>
        </w:tc>
        <w:tc>
          <w:tcPr>
            <w:tcW w:w="1701" w:type="dxa"/>
          </w:tcPr>
          <w:p w14:paraId="6FBA9AF6"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Transferencias dentro de las granjas y entre granjas, y controles aleatorios en las granjas (párrs. </w:t>
            </w:r>
            <w:r w:rsidRPr="00F0379B">
              <w:rPr>
                <w:rFonts w:ascii="Cambria" w:eastAsiaTheme="minorEastAsia" w:hAnsi="Cambria"/>
                <w:b/>
                <w:bCs/>
                <w:kern w:val="2"/>
                <w:sz w:val="20"/>
                <w:szCs w:val="20"/>
                <w:lang w:eastAsia="ja-JP"/>
                <w14:ligatures w14:val="standardContextual"/>
              </w:rPr>
              <w:t>198-202 y 211-221</w:t>
            </w:r>
            <w:r w:rsidRPr="00F0379B">
              <w:rPr>
                <w:rFonts w:ascii="Cambria" w:eastAsiaTheme="minorEastAsia" w:hAnsi="Cambria"/>
                <w:b/>
                <w:kern w:val="2"/>
                <w:sz w:val="20"/>
                <w:szCs w:val="20"/>
                <w:lang w:eastAsia="ja-JP"/>
                <w14:ligatures w14:val="standardContextual"/>
              </w:rPr>
              <w:t>)</w:t>
            </w:r>
          </w:p>
        </w:tc>
        <w:tc>
          <w:tcPr>
            <w:tcW w:w="2694" w:type="dxa"/>
          </w:tcPr>
          <w:p w14:paraId="64D7B96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Se garantizará la trazabilidad en las granjas de la UE, en especial mediante el precintado, con precintos oficiales facilitados por las autoridades, de todas las jaulas que contienen atún rojo del este.  El desprecintado es posible en presencia de la autoridad competente de la granja. Las transferencias realizadas por los operadores de las granjas entre las jaulas de cría de la misma granja ("transferencia dentro de la </w:t>
            </w:r>
            <w:r w:rsidRPr="00F0379B">
              <w:rPr>
                <w:rFonts w:ascii="Cambria" w:eastAsiaTheme="minorEastAsia" w:hAnsi="Cambria"/>
                <w:kern w:val="2"/>
                <w:sz w:val="20"/>
                <w:szCs w:val="20"/>
                <w:lang w:eastAsia="ja-JP"/>
                <w14:ligatures w14:val="standardContextual"/>
              </w:rPr>
              <w:lastRenderedPageBreak/>
              <w:t>granja") seguirán todos los requisitos de las transferencias según lo establecido en los párrafos 198-202 de la Rec. 25-04 de ICCAT y, por lo tanto, requerirán que se realice la necesaria consignación en el sistema eBCD. La presencia de las autoridades de control y la grabación en vídeo de la transferencia son obligatorias para esas transferencias.</w:t>
            </w:r>
          </w:p>
          <w:p w14:paraId="42F00C1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E0BC0B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De conformidad con el párrafo 212 de la Rec. 25-04 de ICCAT los controles aleatorios se realizarán en las granjas desde el momento de la finalización de las operaciones de introducción en jaulas y hasta la primera introducción en jaulas del año siguiente. Dichos controles abarcarán las transferencias obligatorias de todos los peces de la(s) jaula(s) de la granja a otra(s) jaula(s) vacía(s) de la granja con el fin de que el número de atunes rojos pueda contarse mediante grabaciones de vídeo de control. </w:t>
            </w:r>
          </w:p>
          <w:p w14:paraId="73EE075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D9BCDE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número de controles será decidido por las autoridades del Estado miembro de la UE de la granja basándose en sus evaluaciones de riesgo.</w:t>
            </w:r>
          </w:p>
          <w:p w14:paraId="2D35D23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4CF02B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No obstante, el número de controles por año cubrirá el 10 % del número total de jaulas en cada granja bajo la jurisdicción de cada Estado miembro que siempre realice al menos un control/introducción en jaula, redondeado al alza cuando sea necesario. De ser necesario, tras el resultado del análisis de riesgos, los </w:t>
            </w:r>
            <w:r w:rsidRPr="00F0379B">
              <w:rPr>
                <w:rFonts w:ascii="Cambria" w:eastAsiaTheme="minorEastAsia" w:hAnsi="Cambria"/>
                <w:kern w:val="2"/>
                <w:sz w:val="20"/>
                <w:szCs w:val="20"/>
                <w:lang w:eastAsia="ja-JP"/>
                <w14:ligatures w14:val="standardContextual"/>
              </w:rPr>
              <w:lastRenderedPageBreak/>
              <w:t>porcentajes mencionados pueden aumentarse según sea necesario.</w:t>
            </w:r>
          </w:p>
          <w:p w14:paraId="14A7114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Las transferencias requerirán que se realice la necesaria consignación en el sistema eBCD.   </w:t>
            </w:r>
          </w:p>
          <w:p w14:paraId="684F780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4BBBD80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diferencias en el número de atunes rojos del este como resultado de controles aleatorios deberán ser debidamente investigadas siguiendo los procedimientos establecidos en la Recomendación 25-</w:t>
            </w:r>
            <w:proofErr w:type="gramStart"/>
            <w:r w:rsidRPr="00F0379B">
              <w:rPr>
                <w:rFonts w:ascii="Cambria" w:eastAsiaTheme="minorEastAsia" w:hAnsi="Cambria"/>
                <w:kern w:val="2"/>
                <w:sz w:val="20"/>
                <w:szCs w:val="20"/>
                <w:lang w:eastAsia="ja-JP"/>
                <w14:ligatures w14:val="standardContextual"/>
              </w:rPr>
              <w:t>04  y</w:t>
            </w:r>
            <w:proofErr w:type="gramEnd"/>
            <w:r w:rsidRPr="00F0379B">
              <w:rPr>
                <w:rFonts w:ascii="Cambria" w:eastAsiaTheme="minorEastAsia" w:hAnsi="Cambria"/>
                <w:kern w:val="2"/>
                <w:sz w:val="20"/>
                <w:szCs w:val="20"/>
                <w:lang w:eastAsia="ja-JP"/>
                <w14:ligatures w14:val="standardContextual"/>
              </w:rPr>
              <w:t xml:space="preserve"> en el plan de despliegue conjunto de la UE (JDP) y consignadas en el sistema de eBCD. En el caso de que las diferencias halladas en el número de atunes rojos del este supongan un exceso, las autoridades de control de la granja del Estado miembro deberán emitir una orden de liberación de la cantidad correspondiente.</w:t>
            </w:r>
          </w:p>
        </w:tc>
        <w:tc>
          <w:tcPr>
            <w:tcW w:w="2409" w:type="dxa"/>
          </w:tcPr>
          <w:p w14:paraId="005BE662"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p>
        </w:tc>
        <w:tc>
          <w:tcPr>
            <w:tcW w:w="2629" w:type="dxa"/>
          </w:tcPr>
          <w:p w14:paraId="60A1DC8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Estos elementos se abordan en el Plan de Despliegue Conjunto, en particular en su Anexo V, que incluye procedimientos armonizados para toda la UE.</w:t>
            </w:r>
          </w:p>
        </w:tc>
      </w:tr>
      <w:tr w:rsidR="009123AC" w:rsidRPr="00F0379B" w14:paraId="097D554E" w14:textId="77777777" w:rsidTr="00CA749B">
        <w:trPr>
          <w:jc w:val="center"/>
        </w:trPr>
        <w:tc>
          <w:tcPr>
            <w:tcW w:w="562" w:type="dxa"/>
          </w:tcPr>
          <w:p w14:paraId="7E8551EB"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lastRenderedPageBreak/>
              <w:t>13</w:t>
            </w:r>
          </w:p>
        </w:tc>
        <w:tc>
          <w:tcPr>
            <w:tcW w:w="1701" w:type="dxa"/>
          </w:tcPr>
          <w:p w14:paraId="5BA4A09A"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Estimaciones de traspaso en las granjas (párr. 203-210)</w:t>
            </w:r>
          </w:p>
        </w:tc>
        <w:tc>
          <w:tcPr>
            <w:tcW w:w="2694" w:type="dxa"/>
          </w:tcPr>
          <w:p w14:paraId="55B2141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 conformidad con las medidas establecidas en el párrafo 203-209 de la Recomendación 25-04 de ICCAT, se seguirán los siguientes procedimientos para la implementación de las evaluaciones de traspasos.</w:t>
            </w:r>
          </w:p>
          <w:p w14:paraId="2BB91ED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7E0838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Antes del comienzo de la siguiente temporada de pesca de cerco y almadraba, todos los peces que permanezcan en las jaulas se transferirán a otras jaulas vacías de la granja para que puedan contarse y realizarse estimaciones de peso mediante cámaras estereoscópicas.  </w:t>
            </w:r>
          </w:p>
          <w:p w14:paraId="7B21D98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CA419C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El atún rojo del este vivo traspasado se coloca en jaulas separadas en la granja, según el año de </w:t>
            </w:r>
            <w:r w:rsidRPr="00F0379B">
              <w:rPr>
                <w:rFonts w:ascii="Cambria" w:eastAsiaTheme="minorEastAsia" w:hAnsi="Cambria"/>
                <w:kern w:val="2"/>
                <w:sz w:val="20"/>
                <w:szCs w:val="20"/>
                <w:lang w:eastAsia="ja-JP"/>
                <w14:ligatures w14:val="standardContextual"/>
              </w:rPr>
              <w:lastRenderedPageBreak/>
              <w:t>captura y la JFO/misma CPC de la almadraba de origen.</w:t>
            </w:r>
          </w:p>
          <w:p w14:paraId="1E7E484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DA89DB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diferencias entre el número de ejemplares de atún rojo del este resultante de la evaluación del traspaso y el número previsto tras el sacrificio se investigan debidamente y se registran en el sistema eBCD. En el caso de un número en exceso, la autoridad de la granja ordena la liberación del número correspondiente de peces.</w:t>
            </w:r>
          </w:p>
          <w:p w14:paraId="78B77D5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324FBF2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UE transmite a la Secretaría de ICCAT la declaración anual de traspaso, de conformidad con el párrafo 207 de la Rec. 25-04.</w:t>
            </w:r>
          </w:p>
        </w:tc>
        <w:tc>
          <w:tcPr>
            <w:tcW w:w="2409" w:type="dxa"/>
          </w:tcPr>
          <w:p w14:paraId="38643712"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p>
        </w:tc>
        <w:tc>
          <w:tcPr>
            <w:tcW w:w="2629" w:type="dxa"/>
          </w:tcPr>
          <w:p w14:paraId="77A17E7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21E1ADAC" w14:textId="77777777" w:rsidTr="00CA749B">
        <w:trPr>
          <w:jc w:val="center"/>
        </w:trPr>
        <w:tc>
          <w:tcPr>
            <w:tcW w:w="562" w:type="dxa"/>
          </w:tcPr>
          <w:p w14:paraId="283E3C1F"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14</w:t>
            </w:r>
          </w:p>
        </w:tc>
        <w:tc>
          <w:tcPr>
            <w:tcW w:w="1701" w:type="dxa"/>
          </w:tcPr>
          <w:p w14:paraId="7695403C"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Cuota sectorial (párr. 15a)</w:t>
            </w:r>
          </w:p>
        </w:tc>
        <w:tc>
          <w:tcPr>
            <w:tcW w:w="2694" w:type="dxa"/>
          </w:tcPr>
          <w:p w14:paraId="56CE28D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Se asigna una cuota sectorial total a un grupo de barcos de pequeña escala con autorizaciones especiales de pesca, válidas para una temporada definida, que va desde uno a cuatro meses, La cuota asignada tiene en cuenta las ampliaciones del periodo o periodos de pesca. </w:t>
            </w:r>
          </w:p>
          <w:p w14:paraId="3E02BC3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9FB759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flotas y tipos de artes en la categoría de pequeña escala son muy heterogéneos en la UE. Cada Estado miembro de la UE es responsable del seguimiento de su flota, lo que incluye el consumo de la cuota, de conformidad con el Reglamento de control de la UE en vigor y la legislación nacional.</w:t>
            </w:r>
          </w:p>
          <w:p w14:paraId="0EDA825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Se hace un seguimiento del consumo de la cuota para estas asignaciones sectoriales siguiendo la legislación nacional. </w:t>
            </w:r>
          </w:p>
        </w:tc>
        <w:tc>
          <w:tcPr>
            <w:tcW w:w="2409" w:type="dxa"/>
          </w:tcPr>
          <w:p w14:paraId="6FC5FED7"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p>
        </w:tc>
        <w:tc>
          <w:tcPr>
            <w:tcW w:w="2629" w:type="dxa"/>
          </w:tcPr>
          <w:p w14:paraId="19CE7EC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bl>
    <w:p w14:paraId="69D0671D"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7B10B63F"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4B2C929C"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0801511A" w14:textId="77777777" w:rsidR="009123AC" w:rsidRPr="00F0379B" w:rsidRDefault="009123AC" w:rsidP="009123AC">
      <w:pPr>
        <w:spacing w:line="259" w:lineRule="auto"/>
        <w:rPr>
          <w:rFonts w:ascii="Cambria" w:eastAsiaTheme="minorEastAsia" w:hAnsi="Cambria"/>
          <w:b/>
          <w:bCs/>
          <w:i/>
          <w:color w:val="000000" w:themeColor="text1"/>
          <w:kern w:val="2"/>
          <w:sz w:val="20"/>
          <w:szCs w:val="20"/>
          <w:lang w:eastAsia="ja-JP"/>
          <w14:ligatures w14:val="standardContextual"/>
        </w:rPr>
      </w:pPr>
      <w:r w:rsidRPr="00F0379B">
        <w:rPr>
          <w:rFonts w:ascii="Cambria" w:eastAsiaTheme="minorEastAsia" w:hAnsi="Cambria"/>
          <w:b/>
          <w:bCs/>
          <w:i/>
          <w:color w:val="000000" w:themeColor="text1"/>
          <w:kern w:val="2"/>
          <w:sz w:val="20"/>
          <w:szCs w:val="20"/>
          <w:lang w:eastAsia="ja-JP"/>
          <w14:ligatures w14:val="standardContextual"/>
        </w:rPr>
        <w:br w:type="page"/>
      </w:r>
    </w:p>
    <w:p w14:paraId="35911189" w14:textId="77777777" w:rsidR="009123AC" w:rsidRPr="00F0379B" w:rsidRDefault="009123AC" w:rsidP="009123AC">
      <w:pPr>
        <w:spacing w:after="0" w:line="240" w:lineRule="auto"/>
        <w:jc w:val="both"/>
        <w:rPr>
          <w:rFonts w:ascii="Cambria" w:eastAsia="Cambria" w:hAnsi="Cambria" w:cs="Cambria"/>
          <w:color w:val="000000" w:themeColor="text1"/>
          <w:kern w:val="2"/>
          <w:sz w:val="20"/>
          <w:szCs w:val="20"/>
          <w:lang w:eastAsia="ja-JP"/>
          <w14:ligatures w14:val="standardContextual"/>
        </w:rPr>
      </w:pPr>
      <w:r w:rsidRPr="00F0379B">
        <w:rPr>
          <w:rFonts w:ascii="Cambria" w:eastAsiaTheme="minorEastAsia" w:hAnsi="Cambria"/>
          <w:b/>
          <w:bCs/>
          <w:i/>
          <w:color w:val="000000" w:themeColor="text1"/>
          <w:kern w:val="2"/>
          <w:sz w:val="20"/>
          <w:szCs w:val="20"/>
          <w:lang w:eastAsia="ja-JP"/>
          <w14:ligatures w14:val="standardContextual"/>
        </w:rPr>
        <w:lastRenderedPageBreak/>
        <w:t xml:space="preserve">1 e) Puertos designados </w:t>
      </w:r>
      <w:r w:rsidRPr="00F0379B">
        <w:rPr>
          <w:rFonts w:ascii="Cambria" w:eastAsiaTheme="minorEastAsia" w:hAnsi="Cambria"/>
          <w:b/>
          <w:bCs/>
          <w:i/>
          <w:iCs/>
          <w:kern w:val="2"/>
          <w:sz w:val="20"/>
          <w:szCs w:val="20"/>
          <w:lang w:eastAsia="ja-JP"/>
          <w14:ligatures w14:val="standardContextual"/>
        </w:rPr>
        <w:t>(párr. 80)</w:t>
      </w:r>
    </w:p>
    <w:p w14:paraId="195A8C5D" w14:textId="77777777" w:rsidR="009123AC" w:rsidRPr="00F0379B" w:rsidRDefault="009123AC" w:rsidP="009123AC">
      <w:pPr>
        <w:spacing w:after="0" w:line="240" w:lineRule="auto"/>
        <w:jc w:val="both"/>
        <w:rPr>
          <w:rFonts w:ascii="Cambria" w:eastAsiaTheme="minorEastAsia" w:hAnsi="Cambria"/>
          <w:b/>
          <w:bCs/>
          <w:kern w:val="2"/>
          <w:sz w:val="20"/>
          <w:szCs w:val="20"/>
          <w:lang w:eastAsia="ja-JP"/>
          <w14:ligatures w14:val="standardContextual"/>
        </w:rPr>
      </w:pPr>
    </w:p>
    <w:p w14:paraId="41C78C39" w14:textId="77777777" w:rsidR="009123AC" w:rsidRPr="00F0379B" w:rsidRDefault="009123AC" w:rsidP="009123AC">
      <w:pPr>
        <w:spacing w:after="0" w:line="240" w:lineRule="auto"/>
        <w:jc w:val="both"/>
        <w:rPr>
          <w:rFonts w:ascii="Cambria" w:eastAsia="Cambria" w:hAnsi="Cambria" w:cs="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ha presentado a la Secretaría de ICCAT, en el formulario CP24, la lista de puertos autorizados en 11 Estados miembros de la UE, incluidos los Estados miembros de la UE que no tienen pesquerías dirigidas al atún rojo del este, para permitir el desembarque de capturas fortuitas de atún rojo del este (</w:t>
      </w:r>
      <w:r w:rsidRPr="00F0379B">
        <w:rPr>
          <w:rFonts w:ascii="Cambria" w:eastAsiaTheme="minorEastAsia" w:hAnsi="Cambria"/>
          <w:b/>
          <w:bCs/>
          <w:kern w:val="2"/>
          <w:sz w:val="20"/>
          <w:szCs w:val="20"/>
          <w:lang w:eastAsia="ja-JP"/>
          <w14:ligatures w14:val="standardContextual"/>
        </w:rPr>
        <w:t>Anexo 1</w:t>
      </w:r>
      <w:r w:rsidRPr="00F0379B">
        <w:rPr>
          <w:rFonts w:ascii="Cambria" w:eastAsiaTheme="minorEastAsia" w:hAnsi="Cambria"/>
          <w:kern w:val="2"/>
          <w:sz w:val="20"/>
          <w:szCs w:val="20"/>
          <w:lang w:eastAsia="ja-JP"/>
          <w14:ligatures w14:val="standardContextual"/>
        </w:rPr>
        <w:t xml:space="preserve">). </w:t>
      </w:r>
    </w:p>
    <w:p w14:paraId="1F5B48A4" w14:textId="77777777" w:rsidR="009123AC" w:rsidRPr="00F0379B" w:rsidRDefault="009123AC" w:rsidP="009123AC">
      <w:pPr>
        <w:spacing w:after="0" w:line="240" w:lineRule="auto"/>
        <w:ind w:left="360" w:hanging="360"/>
        <w:contextualSpacing/>
        <w:jc w:val="both"/>
        <w:rPr>
          <w:rFonts w:ascii="Cambria" w:eastAsia="MS Gothic" w:hAnsi="Cambria" w:cs="Times New Roman"/>
          <w:b/>
          <w:sz w:val="20"/>
          <w:szCs w:val="20"/>
          <w:lang w:eastAsia="fr-FR" w:bidi="fr-FR"/>
          <w14:ligatures w14:val="standardContextual"/>
        </w:rPr>
      </w:pPr>
    </w:p>
    <w:p w14:paraId="0BFE7E91" w14:textId="77777777" w:rsidR="009123AC" w:rsidRPr="00F0379B" w:rsidRDefault="009123AC" w:rsidP="009123AC">
      <w:pPr>
        <w:tabs>
          <w:tab w:val="left" w:pos="426"/>
        </w:tabs>
        <w:spacing w:after="0" w:line="240" w:lineRule="auto"/>
        <w:ind w:left="426"/>
        <w:contextualSpacing/>
        <w:jc w:val="both"/>
        <w:rPr>
          <w:rFonts w:ascii="Cambria" w:eastAsia="MS Gothic" w:hAnsi="Cambria" w:cs="Times New Roman"/>
          <w:b/>
          <w:sz w:val="20"/>
          <w:szCs w:val="20"/>
          <w:lang w:eastAsia="fr-FR" w:bidi="fr-FR"/>
          <w14:ligatures w14:val="standardContextual"/>
        </w:rPr>
      </w:pPr>
    </w:p>
    <w:p w14:paraId="3D4A42FD" w14:textId="77777777" w:rsidR="009123AC" w:rsidRPr="00F0379B" w:rsidRDefault="009123AC" w:rsidP="00CE0EC8">
      <w:pPr>
        <w:widowControl w:val="0"/>
        <w:numPr>
          <w:ilvl w:val="0"/>
          <w:numId w:val="68"/>
        </w:numPr>
        <w:tabs>
          <w:tab w:val="left" w:pos="426"/>
        </w:tabs>
        <w:spacing w:after="0" w:line="240" w:lineRule="auto"/>
        <w:ind w:left="426" w:hanging="426"/>
        <w:contextualSpacing/>
        <w:jc w:val="both"/>
        <w:rPr>
          <w:rFonts w:ascii="Cambria" w:eastAsia="MS Gothic" w:hAnsi="Cambria" w:cs="Times New Roman"/>
          <w:b/>
          <w:sz w:val="20"/>
          <w:szCs w:val="20"/>
          <w:lang w:eastAsia="fr-FR" w:bidi="fr-FR"/>
          <w14:ligatures w14:val="standardContextual"/>
        </w:rPr>
      </w:pPr>
      <w:r w:rsidRPr="00F0379B">
        <w:rPr>
          <w:rFonts w:ascii="Cambria" w:eastAsia="MS Gothic" w:hAnsi="Cambria" w:cs="Times New Roman"/>
          <w:b/>
          <w:sz w:val="20"/>
          <w:szCs w:val="20"/>
          <w:lang w:eastAsia="fr-FR" w:bidi="fr-FR"/>
          <w14:ligatures w14:val="standardContextual"/>
        </w:rPr>
        <w:t>Plan anual de ordenación de la capacidad pesquera (párrs. 14-21)</w:t>
      </w:r>
    </w:p>
    <w:p w14:paraId="64F8B43B"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El plan de ordenación de la capacidad de la UE se detalla a continuación en la sección 7 “Tabla de capacidad”.</w:t>
      </w:r>
    </w:p>
    <w:p w14:paraId="342730D9" w14:textId="77777777" w:rsidR="009123AC" w:rsidRPr="00F0379B" w:rsidRDefault="009123AC" w:rsidP="009123AC">
      <w:pPr>
        <w:spacing w:after="0" w:line="240" w:lineRule="auto"/>
        <w:jc w:val="both"/>
        <w:rPr>
          <w:rFonts w:ascii="Cambria" w:eastAsia="MS Gothic" w:hAnsi="Cambria" w:cs="Times New Roman"/>
          <w:color w:val="000000"/>
          <w:sz w:val="20"/>
          <w:szCs w:val="20"/>
          <w14:ligatures w14:val="standardContextual"/>
        </w:rPr>
      </w:pPr>
    </w:p>
    <w:p w14:paraId="5E89C082" w14:textId="77777777" w:rsidR="009123AC" w:rsidRPr="00F0379B" w:rsidRDefault="009123AC" w:rsidP="009123AC">
      <w:pPr>
        <w:spacing w:after="0" w:line="240" w:lineRule="auto"/>
        <w:jc w:val="both"/>
        <w:rPr>
          <w:rFonts w:ascii="Cambria" w:eastAsia="MS Gothic" w:hAnsi="Cambria" w:cs="Times New Roman"/>
          <w:color w:val="000000"/>
          <w:sz w:val="20"/>
          <w:szCs w:val="20"/>
          <w14:ligatures w14:val="standardContextual"/>
        </w:rPr>
      </w:pPr>
    </w:p>
    <w:p w14:paraId="65AB2699" w14:textId="77777777" w:rsidR="009123AC" w:rsidRPr="00F0379B" w:rsidRDefault="009123AC" w:rsidP="00CE0EC8">
      <w:pPr>
        <w:widowControl w:val="0"/>
        <w:numPr>
          <w:ilvl w:val="0"/>
          <w:numId w:val="68"/>
        </w:numPr>
        <w:spacing w:after="0" w:line="240" w:lineRule="auto"/>
        <w:ind w:left="426" w:hanging="426"/>
        <w:contextualSpacing/>
        <w:jc w:val="both"/>
        <w:rPr>
          <w:rFonts w:ascii="Cambria" w:eastAsia="MS Gothic" w:hAnsi="Cambria" w:cs="Times New Roman"/>
          <w:b/>
          <w:sz w:val="20"/>
          <w:szCs w:val="20"/>
          <w:lang w:eastAsia="fr-FR" w:bidi="fr-FR"/>
          <w14:ligatures w14:val="standardContextual"/>
        </w:rPr>
      </w:pPr>
      <w:r w:rsidRPr="00F0379B">
        <w:rPr>
          <w:rFonts w:ascii="Cambria" w:eastAsia="MS Gothic" w:hAnsi="Cambria" w:cs="Times New Roman"/>
          <w:b/>
          <w:sz w:val="20"/>
          <w:szCs w:val="20"/>
          <w:lang w:eastAsia="fr-FR" w:bidi="fr-FR"/>
          <w14:ligatures w14:val="standardContextual"/>
        </w:rPr>
        <w:t>Plan anual de ordenación de la cría (párrs. 22-23), si es aplicable</w:t>
      </w:r>
    </w:p>
    <w:p w14:paraId="71F4A095" w14:textId="77777777" w:rsidR="009123AC" w:rsidRPr="00F0379B" w:rsidRDefault="009123AC" w:rsidP="009123AC">
      <w:pPr>
        <w:spacing w:after="0" w:line="240" w:lineRule="auto"/>
        <w:jc w:val="both"/>
        <w:rPr>
          <w:rFonts w:ascii="Cambria" w:eastAsia="MS Gothic" w:hAnsi="Cambria" w:cs="Times New Roman"/>
          <w:b/>
          <w:sz w:val="20"/>
          <w:szCs w:val="20"/>
          <w:lang w:eastAsia="fr-FR" w:bidi="fr-FR"/>
          <w14:ligatures w14:val="standardContextual"/>
        </w:rPr>
      </w:pPr>
    </w:p>
    <w:p w14:paraId="50C16EA3"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El plan de ordenación de la cría de la UE se detalla a continuación. Este plan de cría incluye cifras preliminares basadas en la asignación de cuotas prevista entre los Estados miembros de la UE a operaciones de pesca en granjas y las importaciones previstas de otras CPC.</w:t>
      </w:r>
    </w:p>
    <w:p w14:paraId="27BE3C75"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482214CB"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Por la presente, la UE se reserva su derecho a presentar, si procede, planes de ordenación de cría revisados a la Secretaría antes del 1 de junio de 2026, de conformidad con el párrafo 20 de la Recomendación 25-04 Mediterráneo.</w:t>
      </w:r>
    </w:p>
    <w:p w14:paraId="5E8483BD"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tbl>
      <w:tblPr>
        <w:tblStyle w:val="LightShading111"/>
        <w:tblpPr w:leftFromText="141" w:rightFromText="141" w:vertAnchor="text" w:horzAnchor="margin" w:tblpXSpec="center" w:tblpY="-9"/>
        <w:tblOverlap w:val="neve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410"/>
      </w:tblGrid>
      <w:tr w:rsidR="009123AC" w:rsidRPr="00F0379B" w14:paraId="27A2ABB7" w14:textId="77777777" w:rsidTr="00CA749B">
        <w:trPr>
          <w:cnfStyle w:val="100000000000" w:firstRow="1" w:lastRow="0" w:firstColumn="0" w:lastColumn="0" w:oddVBand="0" w:evenVBand="0" w:oddHBand="0"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1418" w:type="dxa"/>
            <w:vAlign w:val="center"/>
            <w:hideMark/>
          </w:tcPr>
          <w:p w14:paraId="1CBEDB41" w14:textId="77777777" w:rsidR="009123AC" w:rsidRPr="00F0379B" w:rsidRDefault="009123AC" w:rsidP="009123AC">
            <w:pPr>
              <w:keepNext/>
              <w:keepLines/>
              <w:spacing w:after="160" w:line="259" w:lineRule="auto"/>
              <w:jc w:val="center"/>
              <w:outlineLvl w:val="0"/>
              <w:rPr>
                <w:rFonts w:ascii="Cambria" w:eastAsiaTheme="minorEastAsia" w:hAnsi="Cambria" w:cstheme="minorBidi"/>
                <w:color w:val="auto"/>
                <w:kern w:val="2"/>
                <w:sz w:val="20"/>
                <w:szCs w:val="20"/>
                <w:lang w:eastAsia="ja-JP" w:bidi="ar-SA"/>
                <w14:ligatures w14:val="standardContextual"/>
              </w:rPr>
            </w:pPr>
          </w:p>
        </w:tc>
        <w:tc>
          <w:tcPr>
            <w:tcW w:w="2410" w:type="dxa"/>
            <w:vAlign w:val="center"/>
            <w:hideMark/>
          </w:tcPr>
          <w:p w14:paraId="60EE0E2D" w14:textId="77777777" w:rsidR="009123AC" w:rsidRPr="00F0379B" w:rsidRDefault="009123AC" w:rsidP="009123AC">
            <w:pPr>
              <w:keepNext/>
              <w:keepLines/>
              <w:spacing w:after="160" w:line="259" w:lineRule="auto"/>
              <w:jc w:val="center"/>
              <w:outlineLvl w:val="0"/>
              <w:cnfStyle w:val="100000000000" w:firstRow="1" w:lastRow="0" w:firstColumn="0" w:lastColumn="0" w:oddVBand="0" w:evenVBand="0" w:oddHBand="0" w:evenHBand="0" w:firstRowFirstColumn="0" w:firstRowLastColumn="0" w:lastRowFirstColumn="0" w:lastRowLastColumn="0"/>
              <w:rPr>
                <w:rFonts w:ascii="Cambria" w:eastAsiaTheme="minorEastAsia" w:hAnsi="Cambria" w:cstheme="minorBidi"/>
                <w:i/>
                <w:iCs/>
                <w:color w:val="auto"/>
                <w:kern w:val="2"/>
                <w:sz w:val="20"/>
                <w:szCs w:val="20"/>
                <w:lang w:eastAsia="ja-JP" w:bidi="ar-SA"/>
                <w14:ligatures w14:val="standardContextual"/>
              </w:rPr>
            </w:pPr>
            <w:r w:rsidRPr="00F0379B">
              <w:rPr>
                <w:rFonts w:ascii="Cambria" w:eastAsiaTheme="minorEastAsia" w:hAnsi="Cambria" w:cstheme="minorBidi"/>
                <w:i/>
                <w:iCs/>
                <w:color w:val="auto"/>
                <w:kern w:val="2"/>
                <w:sz w:val="20"/>
                <w:szCs w:val="20"/>
                <w:lang w:eastAsia="ja-JP" w:bidi="ar-SA"/>
                <w14:ligatures w14:val="standardContextual"/>
              </w:rPr>
              <w:t xml:space="preserve">Entrada de atún en estado salvaje (t) </w:t>
            </w:r>
            <w:r w:rsidRPr="00F0379B">
              <w:rPr>
                <w:rFonts w:ascii="Cambria" w:eastAsiaTheme="minorEastAsia" w:hAnsi="Cambria" w:cstheme="minorBidi"/>
                <w:i/>
                <w:iCs/>
                <w:color w:val="auto"/>
                <w:kern w:val="2"/>
                <w:sz w:val="20"/>
                <w:szCs w:val="20"/>
                <w:lang w:eastAsia="ja-JP" w:bidi="ar-SA"/>
                <w14:ligatures w14:val="standardContextual"/>
              </w:rPr>
              <w:br/>
              <w:t>2026</w:t>
            </w:r>
          </w:p>
        </w:tc>
      </w:tr>
      <w:tr w:rsidR="009123AC" w:rsidRPr="00F0379B" w14:paraId="1929CBD9" w14:textId="77777777" w:rsidTr="00CA7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single" w:sz="8" w:space="0" w:color="000000"/>
              <w:bottom w:val="single" w:sz="4" w:space="0" w:color="auto"/>
              <w:right w:val="single" w:sz="4" w:space="0" w:color="auto"/>
            </w:tcBorders>
            <w:shd w:val="clear" w:color="auto" w:fill="auto"/>
            <w:noWrap/>
            <w:hideMark/>
          </w:tcPr>
          <w:p w14:paraId="26A25D61" w14:textId="77777777" w:rsidR="009123AC" w:rsidRPr="00F0379B" w:rsidRDefault="009123AC" w:rsidP="009123AC">
            <w:pPr>
              <w:keepNext/>
              <w:keepLines/>
              <w:spacing w:after="160" w:line="259" w:lineRule="auto"/>
              <w:jc w:val="center"/>
              <w:outlineLvl w:val="0"/>
              <w:rPr>
                <w:rFonts w:ascii="Cambria" w:eastAsiaTheme="minorEastAsia" w:hAnsi="Cambria" w:cstheme="minorBidi"/>
                <w:i/>
                <w:color w:val="auto"/>
                <w:kern w:val="2"/>
                <w:sz w:val="20"/>
                <w:szCs w:val="20"/>
                <w:lang w:eastAsia="ja-JP" w:bidi="ar-SA"/>
                <w14:ligatures w14:val="standardContextual"/>
              </w:rPr>
            </w:pPr>
            <w:r w:rsidRPr="00F0379B">
              <w:rPr>
                <w:rFonts w:ascii="Cambria" w:eastAsiaTheme="minorEastAsia" w:hAnsi="Cambria" w:cstheme="minorBidi"/>
                <w:i/>
                <w:color w:val="auto"/>
                <w:kern w:val="2"/>
                <w:sz w:val="20"/>
                <w:szCs w:val="20"/>
                <w:lang w:eastAsia="ja-JP" w:bidi="ar-SA"/>
                <w14:ligatures w14:val="standardContextual"/>
              </w:rPr>
              <w:t>España</w:t>
            </w:r>
          </w:p>
        </w:tc>
        <w:tc>
          <w:tcPr>
            <w:tcW w:w="2410" w:type="dxa"/>
            <w:tcBorders>
              <w:left w:val="single" w:sz="4" w:space="0" w:color="auto"/>
              <w:bottom w:val="single" w:sz="4" w:space="0" w:color="auto"/>
            </w:tcBorders>
            <w:shd w:val="clear" w:color="auto" w:fill="auto"/>
            <w:noWrap/>
            <w:hideMark/>
          </w:tcPr>
          <w:p w14:paraId="3DE51A2B" w14:textId="77777777" w:rsidR="009123AC" w:rsidRPr="00F0379B" w:rsidRDefault="009123AC" w:rsidP="009123AC">
            <w:pPr>
              <w:keepNext/>
              <w:keepLines/>
              <w:spacing w:after="160" w:line="259" w:lineRule="auto"/>
              <w:jc w:val="center"/>
              <w:outlineLvl w:val="0"/>
              <w:cnfStyle w:val="000000100000" w:firstRow="0" w:lastRow="0" w:firstColumn="0" w:lastColumn="0" w:oddVBand="0" w:evenVBand="0" w:oddHBand="1" w:evenHBand="0" w:firstRowFirstColumn="0" w:firstRowLastColumn="0" w:lastRowFirstColumn="0" w:lastRowLastColumn="0"/>
              <w:rPr>
                <w:rFonts w:ascii="Cambria" w:eastAsiaTheme="minorEastAsia" w:hAnsi="Cambria" w:cstheme="minorBidi"/>
                <w:iCs/>
                <w:color w:val="auto"/>
                <w:kern w:val="2"/>
                <w:sz w:val="20"/>
                <w:szCs w:val="20"/>
                <w:lang w:eastAsia="ja-JP" w:bidi="ar-SA"/>
                <w14:ligatures w14:val="standardContextual"/>
              </w:rPr>
            </w:pPr>
            <w:r w:rsidRPr="00F0379B">
              <w:rPr>
                <w:rFonts w:ascii="Cambria" w:eastAsiaTheme="minorEastAsia" w:hAnsi="Cambria" w:cstheme="minorBidi"/>
                <w:color w:val="auto"/>
                <w:kern w:val="2"/>
                <w:sz w:val="20"/>
                <w:szCs w:val="20"/>
                <w:lang w:eastAsia="ja-JP" w:bidi="ar-SA"/>
                <w14:ligatures w14:val="standardContextual"/>
              </w:rPr>
              <w:t>10.550</w:t>
            </w:r>
          </w:p>
        </w:tc>
      </w:tr>
      <w:tr w:rsidR="009123AC" w:rsidRPr="00F0379B" w14:paraId="198045EA" w14:textId="77777777" w:rsidTr="00CA749B">
        <w:tc>
          <w:tcPr>
            <w:cnfStyle w:val="001000000000" w:firstRow="0" w:lastRow="0" w:firstColumn="1" w:lastColumn="0" w:oddVBand="0" w:evenVBand="0" w:oddHBand="0" w:evenHBand="0" w:firstRowFirstColumn="0" w:firstRowLastColumn="0" w:lastRowFirstColumn="0" w:lastRowLastColumn="0"/>
            <w:tcW w:w="1418" w:type="dxa"/>
            <w:tcBorders>
              <w:left w:val="nil"/>
            </w:tcBorders>
            <w:noWrap/>
            <w:hideMark/>
          </w:tcPr>
          <w:p w14:paraId="737E10B5" w14:textId="77777777" w:rsidR="009123AC" w:rsidRPr="00F0379B" w:rsidRDefault="009123AC" w:rsidP="009123AC">
            <w:pPr>
              <w:keepNext/>
              <w:keepLines/>
              <w:spacing w:after="160" w:line="259" w:lineRule="auto"/>
              <w:jc w:val="center"/>
              <w:outlineLvl w:val="0"/>
              <w:rPr>
                <w:rFonts w:ascii="Cambria" w:eastAsiaTheme="minorEastAsia" w:hAnsi="Cambria" w:cstheme="minorBidi"/>
                <w:i/>
                <w:color w:val="auto"/>
                <w:kern w:val="2"/>
                <w:sz w:val="20"/>
                <w:szCs w:val="20"/>
                <w:lang w:eastAsia="ja-JP" w:bidi="ar-SA"/>
                <w14:ligatures w14:val="standardContextual"/>
              </w:rPr>
            </w:pPr>
            <w:r w:rsidRPr="00F0379B">
              <w:rPr>
                <w:rFonts w:ascii="Cambria" w:eastAsiaTheme="minorEastAsia" w:hAnsi="Cambria" w:cstheme="minorBidi"/>
                <w:i/>
                <w:color w:val="auto"/>
                <w:kern w:val="2"/>
                <w:sz w:val="20"/>
                <w:szCs w:val="20"/>
                <w:lang w:eastAsia="ja-JP" w:bidi="ar-SA"/>
                <w14:ligatures w14:val="standardContextual"/>
              </w:rPr>
              <w:t>Croacia</w:t>
            </w:r>
          </w:p>
        </w:tc>
        <w:tc>
          <w:tcPr>
            <w:tcW w:w="2410" w:type="dxa"/>
            <w:tcBorders>
              <w:right w:val="nil"/>
            </w:tcBorders>
            <w:noWrap/>
            <w:hideMark/>
          </w:tcPr>
          <w:p w14:paraId="4653D788" w14:textId="77777777" w:rsidR="009123AC" w:rsidRPr="00F0379B" w:rsidRDefault="009123AC" w:rsidP="009123AC">
            <w:pPr>
              <w:keepNext/>
              <w:keepLines/>
              <w:spacing w:after="160" w:line="259" w:lineRule="auto"/>
              <w:jc w:val="center"/>
              <w:outlineLvl w:val="0"/>
              <w:cnfStyle w:val="000000000000" w:firstRow="0" w:lastRow="0" w:firstColumn="0" w:lastColumn="0" w:oddVBand="0" w:evenVBand="0" w:oddHBand="0" w:evenHBand="0" w:firstRowFirstColumn="0" w:firstRowLastColumn="0" w:lastRowFirstColumn="0" w:lastRowLastColumn="0"/>
              <w:rPr>
                <w:rFonts w:ascii="Cambria" w:eastAsiaTheme="minorEastAsia" w:hAnsi="Cambria" w:cstheme="minorBidi"/>
                <w:iCs/>
                <w:color w:val="auto"/>
                <w:kern w:val="2"/>
                <w:sz w:val="20"/>
                <w:szCs w:val="20"/>
                <w:lang w:eastAsia="ja-JP" w:bidi="ar-SA"/>
                <w14:ligatures w14:val="standardContextual"/>
              </w:rPr>
            </w:pPr>
            <w:r w:rsidRPr="00F0379B">
              <w:rPr>
                <w:rFonts w:ascii="Cambria" w:eastAsiaTheme="minorEastAsia" w:hAnsi="Cambria" w:cstheme="minorBidi"/>
                <w:color w:val="auto"/>
                <w:kern w:val="2"/>
                <w:sz w:val="20"/>
                <w:szCs w:val="20"/>
                <w:lang w:eastAsia="ja-JP" w:bidi="ar-SA"/>
                <w14:ligatures w14:val="standardContextual"/>
              </w:rPr>
              <w:t>2.947,00</w:t>
            </w:r>
          </w:p>
        </w:tc>
      </w:tr>
      <w:tr w:rsidR="009123AC" w:rsidRPr="00F0379B" w14:paraId="5400D6A0" w14:textId="77777777" w:rsidTr="00CA7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bottom w:val="single" w:sz="4" w:space="0" w:color="auto"/>
              <w:right w:val="single" w:sz="4" w:space="0" w:color="auto"/>
            </w:tcBorders>
            <w:shd w:val="clear" w:color="auto" w:fill="auto"/>
            <w:noWrap/>
            <w:hideMark/>
          </w:tcPr>
          <w:p w14:paraId="6906DCC0" w14:textId="77777777" w:rsidR="009123AC" w:rsidRPr="00F0379B" w:rsidRDefault="009123AC" w:rsidP="009123AC">
            <w:pPr>
              <w:keepNext/>
              <w:keepLines/>
              <w:spacing w:after="160" w:line="259" w:lineRule="auto"/>
              <w:jc w:val="center"/>
              <w:outlineLvl w:val="0"/>
              <w:rPr>
                <w:rFonts w:ascii="Cambria" w:eastAsiaTheme="minorEastAsia" w:hAnsi="Cambria" w:cstheme="minorBidi"/>
                <w:i/>
                <w:color w:val="auto"/>
                <w:kern w:val="2"/>
                <w:sz w:val="20"/>
                <w:szCs w:val="20"/>
                <w:lang w:eastAsia="ja-JP" w:bidi="ar-SA"/>
                <w14:ligatures w14:val="standardContextual"/>
              </w:rPr>
            </w:pPr>
            <w:r w:rsidRPr="00F0379B">
              <w:rPr>
                <w:rFonts w:ascii="Cambria" w:eastAsiaTheme="minorEastAsia" w:hAnsi="Cambria" w:cstheme="minorBidi"/>
                <w:i/>
                <w:color w:val="auto"/>
                <w:kern w:val="2"/>
                <w:sz w:val="20"/>
                <w:szCs w:val="20"/>
                <w:lang w:eastAsia="ja-JP" w:bidi="ar-SA"/>
                <w14:ligatures w14:val="standardContextual"/>
              </w:rPr>
              <w:t>Malta</w:t>
            </w:r>
          </w:p>
        </w:tc>
        <w:tc>
          <w:tcPr>
            <w:tcW w:w="2410" w:type="dxa"/>
            <w:tcBorders>
              <w:left w:val="single" w:sz="4" w:space="0" w:color="auto"/>
              <w:bottom w:val="single" w:sz="4" w:space="0" w:color="auto"/>
            </w:tcBorders>
            <w:shd w:val="clear" w:color="auto" w:fill="auto"/>
            <w:noWrap/>
            <w:hideMark/>
          </w:tcPr>
          <w:p w14:paraId="474F9B2D" w14:textId="77777777" w:rsidR="009123AC" w:rsidRPr="00F0379B" w:rsidRDefault="009123AC" w:rsidP="009123AC">
            <w:pPr>
              <w:keepNext/>
              <w:keepLines/>
              <w:spacing w:after="160" w:line="259" w:lineRule="auto"/>
              <w:jc w:val="center"/>
              <w:outlineLvl w:val="0"/>
              <w:cnfStyle w:val="000000100000" w:firstRow="0" w:lastRow="0" w:firstColumn="0" w:lastColumn="0" w:oddVBand="0" w:evenVBand="0" w:oddHBand="1" w:evenHBand="0" w:firstRowFirstColumn="0" w:firstRowLastColumn="0" w:lastRowFirstColumn="0" w:lastRowLastColumn="0"/>
              <w:rPr>
                <w:rFonts w:ascii="Cambria" w:eastAsiaTheme="minorEastAsia" w:hAnsi="Cambria" w:cstheme="minorBidi"/>
                <w:iCs/>
                <w:color w:val="auto"/>
                <w:kern w:val="2"/>
                <w:sz w:val="20"/>
                <w:szCs w:val="20"/>
                <w:lang w:eastAsia="ja-JP" w:bidi="ar-SA"/>
                <w14:ligatures w14:val="standardContextual"/>
              </w:rPr>
            </w:pPr>
            <w:r w:rsidRPr="00F0379B">
              <w:rPr>
                <w:rFonts w:ascii="Cambria" w:eastAsiaTheme="minorEastAsia" w:hAnsi="Cambria" w:cstheme="minorBidi"/>
                <w:color w:val="auto"/>
                <w:kern w:val="2"/>
                <w:sz w:val="20"/>
                <w:szCs w:val="20"/>
                <w:lang w:eastAsia="ja-JP" w:bidi="ar-SA"/>
                <w14:ligatures w14:val="standardContextual"/>
              </w:rPr>
              <w:t>8.786,00</w:t>
            </w:r>
          </w:p>
        </w:tc>
      </w:tr>
      <w:tr w:rsidR="009123AC" w:rsidRPr="00F0379B" w14:paraId="227E02BA" w14:textId="77777777" w:rsidTr="00CA749B">
        <w:tc>
          <w:tcPr>
            <w:cnfStyle w:val="001000000000" w:firstRow="0" w:lastRow="0" w:firstColumn="1" w:lastColumn="0" w:oddVBand="0" w:evenVBand="0" w:oddHBand="0" w:evenHBand="0" w:firstRowFirstColumn="0" w:firstRowLastColumn="0" w:lastRowFirstColumn="0" w:lastRowLastColumn="0"/>
            <w:tcW w:w="1418" w:type="dxa"/>
            <w:tcBorders>
              <w:left w:val="nil"/>
            </w:tcBorders>
            <w:noWrap/>
            <w:hideMark/>
          </w:tcPr>
          <w:p w14:paraId="3F36AAB1" w14:textId="77777777" w:rsidR="009123AC" w:rsidRPr="00F0379B" w:rsidRDefault="009123AC" w:rsidP="009123AC">
            <w:pPr>
              <w:keepNext/>
              <w:keepLines/>
              <w:spacing w:after="160" w:line="259" w:lineRule="auto"/>
              <w:jc w:val="center"/>
              <w:outlineLvl w:val="0"/>
              <w:rPr>
                <w:rFonts w:ascii="Cambria" w:eastAsiaTheme="minorEastAsia" w:hAnsi="Cambria" w:cstheme="minorBidi"/>
                <w:i/>
                <w:color w:val="auto"/>
                <w:kern w:val="2"/>
                <w:sz w:val="20"/>
                <w:szCs w:val="20"/>
                <w:lang w:eastAsia="ja-JP" w:bidi="ar-SA"/>
                <w14:ligatures w14:val="standardContextual"/>
              </w:rPr>
            </w:pPr>
            <w:r w:rsidRPr="00F0379B">
              <w:rPr>
                <w:rFonts w:ascii="Cambria" w:eastAsiaTheme="minorEastAsia" w:hAnsi="Cambria" w:cstheme="minorBidi"/>
                <w:i/>
                <w:color w:val="auto"/>
                <w:kern w:val="2"/>
                <w:sz w:val="20"/>
                <w:szCs w:val="20"/>
                <w:lang w:eastAsia="ja-JP" w:bidi="ar-SA"/>
                <w14:ligatures w14:val="standardContextual"/>
              </w:rPr>
              <w:t>Portugal</w:t>
            </w:r>
          </w:p>
        </w:tc>
        <w:tc>
          <w:tcPr>
            <w:tcW w:w="2410" w:type="dxa"/>
            <w:tcBorders>
              <w:right w:val="nil"/>
            </w:tcBorders>
            <w:noWrap/>
            <w:hideMark/>
          </w:tcPr>
          <w:p w14:paraId="2F3F17BA" w14:textId="77777777" w:rsidR="009123AC" w:rsidRPr="00F0379B" w:rsidRDefault="009123AC" w:rsidP="009123AC">
            <w:pPr>
              <w:keepNext/>
              <w:keepLines/>
              <w:spacing w:after="160" w:line="259" w:lineRule="auto"/>
              <w:jc w:val="center"/>
              <w:outlineLvl w:val="0"/>
              <w:cnfStyle w:val="000000000000" w:firstRow="0" w:lastRow="0" w:firstColumn="0" w:lastColumn="0" w:oddVBand="0" w:evenVBand="0" w:oddHBand="0" w:evenHBand="0" w:firstRowFirstColumn="0" w:firstRowLastColumn="0" w:lastRowFirstColumn="0" w:lastRowLastColumn="0"/>
              <w:rPr>
                <w:rFonts w:ascii="Cambria" w:eastAsiaTheme="minorEastAsia" w:hAnsi="Cambria" w:cstheme="minorBidi"/>
                <w:iCs/>
                <w:color w:val="auto"/>
                <w:kern w:val="2"/>
                <w:sz w:val="20"/>
                <w:szCs w:val="20"/>
                <w:lang w:eastAsia="ja-JP" w:bidi="ar-SA"/>
                <w14:ligatures w14:val="standardContextual"/>
              </w:rPr>
            </w:pPr>
            <w:r w:rsidRPr="00F0379B">
              <w:rPr>
                <w:rFonts w:ascii="Cambria" w:eastAsiaTheme="minorEastAsia" w:hAnsi="Cambria" w:cstheme="minorBidi"/>
                <w:color w:val="auto"/>
                <w:kern w:val="2"/>
                <w:sz w:val="20"/>
                <w:szCs w:val="20"/>
                <w:lang w:eastAsia="ja-JP" w:bidi="ar-SA"/>
                <w14:ligatures w14:val="standardContextual"/>
              </w:rPr>
              <w:t>626,00</w:t>
            </w:r>
          </w:p>
        </w:tc>
      </w:tr>
      <w:tr w:rsidR="009123AC" w:rsidRPr="00F0379B" w14:paraId="36C6B9CD" w14:textId="77777777" w:rsidTr="00CA7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bottom w:val="single" w:sz="4" w:space="0" w:color="auto"/>
              <w:right w:val="single" w:sz="4" w:space="0" w:color="auto"/>
            </w:tcBorders>
            <w:shd w:val="clear" w:color="auto" w:fill="auto"/>
            <w:noWrap/>
            <w:hideMark/>
          </w:tcPr>
          <w:p w14:paraId="573B7056" w14:textId="77777777" w:rsidR="009123AC" w:rsidRPr="00F0379B" w:rsidRDefault="009123AC" w:rsidP="009123AC">
            <w:pPr>
              <w:keepNext/>
              <w:keepLines/>
              <w:spacing w:after="160" w:line="259" w:lineRule="auto"/>
              <w:jc w:val="center"/>
              <w:outlineLvl w:val="0"/>
              <w:rPr>
                <w:rFonts w:ascii="Cambria" w:eastAsiaTheme="minorEastAsia" w:hAnsi="Cambria" w:cstheme="minorBidi"/>
                <w:i/>
                <w:color w:val="auto"/>
                <w:kern w:val="2"/>
                <w:sz w:val="20"/>
                <w:szCs w:val="20"/>
                <w:lang w:eastAsia="ja-JP" w:bidi="ar-SA"/>
                <w14:ligatures w14:val="standardContextual"/>
              </w:rPr>
            </w:pPr>
            <w:r w:rsidRPr="00F0379B">
              <w:rPr>
                <w:rFonts w:ascii="Cambria" w:eastAsiaTheme="minorEastAsia" w:hAnsi="Cambria" w:cstheme="minorBidi"/>
                <w:i/>
                <w:color w:val="auto"/>
                <w:kern w:val="2"/>
                <w:sz w:val="20"/>
                <w:szCs w:val="20"/>
                <w:lang w:eastAsia="ja-JP" w:bidi="ar-SA"/>
                <w14:ligatures w14:val="standardContextual"/>
              </w:rPr>
              <w:t>Italia</w:t>
            </w:r>
          </w:p>
        </w:tc>
        <w:tc>
          <w:tcPr>
            <w:tcW w:w="2410" w:type="dxa"/>
            <w:tcBorders>
              <w:left w:val="single" w:sz="4" w:space="0" w:color="auto"/>
              <w:bottom w:val="single" w:sz="4" w:space="0" w:color="auto"/>
            </w:tcBorders>
            <w:shd w:val="clear" w:color="auto" w:fill="auto"/>
            <w:noWrap/>
            <w:hideMark/>
          </w:tcPr>
          <w:p w14:paraId="1E517A1F" w14:textId="77777777" w:rsidR="009123AC" w:rsidRPr="00F0379B" w:rsidRDefault="009123AC" w:rsidP="009123AC">
            <w:pPr>
              <w:keepNext/>
              <w:keepLines/>
              <w:spacing w:after="160" w:line="259" w:lineRule="auto"/>
              <w:jc w:val="center"/>
              <w:outlineLvl w:val="0"/>
              <w:cnfStyle w:val="000000100000" w:firstRow="0" w:lastRow="0" w:firstColumn="0" w:lastColumn="0" w:oddVBand="0" w:evenVBand="0" w:oddHBand="1" w:evenHBand="0" w:firstRowFirstColumn="0" w:firstRowLastColumn="0" w:lastRowFirstColumn="0" w:lastRowLastColumn="0"/>
              <w:rPr>
                <w:rFonts w:ascii="Cambria" w:eastAsiaTheme="minorEastAsia" w:hAnsi="Cambria" w:cstheme="minorBidi"/>
                <w:iCs/>
                <w:color w:val="auto"/>
                <w:kern w:val="2"/>
                <w:sz w:val="20"/>
                <w:szCs w:val="20"/>
                <w:lang w:eastAsia="ja-JP" w:bidi="ar-SA"/>
                <w14:ligatures w14:val="standardContextual"/>
              </w:rPr>
            </w:pPr>
            <w:r w:rsidRPr="00F0379B">
              <w:rPr>
                <w:rFonts w:ascii="Cambria" w:eastAsiaTheme="minorEastAsia" w:hAnsi="Cambria" w:cstheme="minorBidi"/>
                <w:color w:val="auto"/>
                <w:kern w:val="2"/>
                <w:sz w:val="20"/>
                <w:szCs w:val="20"/>
                <w:lang w:eastAsia="ja-JP" w:bidi="ar-SA"/>
                <w14:ligatures w14:val="standardContextual"/>
              </w:rPr>
              <w:t>5.197,90</w:t>
            </w:r>
          </w:p>
        </w:tc>
      </w:tr>
      <w:tr w:rsidR="009123AC" w:rsidRPr="00F0379B" w14:paraId="4A24320C" w14:textId="77777777" w:rsidTr="00CA749B">
        <w:tc>
          <w:tcPr>
            <w:cnfStyle w:val="001000000000" w:firstRow="0" w:lastRow="0" w:firstColumn="1" w:lastColumn="0" w:oddVBand="0" w:evenVBand="0" w:oddHBand="0" w:evenHBand="0" w:firstRowFirstColumn="0" w:firstRowLastColumn="0" w:lastRowFirstColumn="0" w:lastRowLastColumn="0"/>
            <w:tcW w:w="1418" w:type="dxa"/>
            <w:tcBorders>
              <w:left w:val="nil"/>
            </w:tcBorders>
            <w:noWrap/>
            <w:hideMark/>
          </w:tcPr>
          <w:p w14:paraId="00D2AC57" w14:textId="77777777" w:rsidR="009123AC" w:rsidRPr="00F0379B" w:rsidRDefault="009123AC" w:rsidP="009123AC">
            <w:pPr>
              <w:keepNext/>
              <w:keepLines/>
              <w:spacing w:after="160" w:line="259" w:lineRule="auto"/>
              <w:jc w:val="center"/>
              <w:outlineLvl w:val="0"/>
              <w:rPr>
                <w:rFonts w:ascii="Cambria" w:eastAsiaTheme="minorEastAsia" w:hAnsi="Cambria" w:cstheme="minorBidi"/>
                <w:i/>
                <w:color w:val="auto"/>
                <w:kern w:val="2"/>
                <w:sz w:val="20"/>
                <w:szCs w:val="20"/>
                <w:lang w:eastAsia="ja-JP" w:bidi="ar-SA"/>
                <w14:ligatures w14:val="standardContextual"/>
              </w:rPr>
            </w:pPr>
            <w:r w:rsidRPr="00F0379B">
              <w:rPr>
                <w:rFonts w:ascii="Cambria" w:eastAsiaTheme="minorEastAsia" w:hAnsi="Cambria" w:cstheme="minorBidi"/>
                <w:i/>
                <w:color w:val="auto"/>
                <w:kern w:val="2"/>
                <w:sz w:val="20"/>
                <w:szCs w:val="20"/>
                <w:lang w:eastAsia="ja-JP" w:bidi="ar-SA"/>
                <w14:ligatures w14:val="standardContextual"/>
              </w:rPr>
              <w:t>Total UE</w:t>
            </w:r>
          </w:p>
        </w:tc>
        <w:tc>
          <w:tcPr>
            <w:tcW w:w="2410" w:type="dxa"/>
            <w:tcBorders>
              <w:right w:val="nil"/>
            </w:tcBorders>
            <w:noWrap/>
            <w:hideMark/>
          </w:tcPr>
          <w:p w14:paraId="2D2A484B" w14:textId="77777777" w:rsidR="009123AC" w:rsidRPr="00F0379B" w:rsidRDefault="009123AC" w:rsidP="009123AC">
            <w:pPr>
              <w:keepNext/>
              <w:keepLines/>
              <w:spacing w:after="160" w:line="259" w:lineRule="auto"/>
              <w:jc w:val="center"/>
              <w:outlineLvl w:val="0"/>
              <w:cnfStyle w:val="000000000000" w:firstRow="0" w:lastRow="0" w:firstColumn="0" w:lastColumn="0" w:oddVBand="0" w:evenVBand="0" w:oddHBand="0" w:evenHBand="0" w:firstRowFirstColumn="0" w:firstRowLastColumn="0" w:lastRowFirstColumn="0" w:lastRowLastColumn="0"/>
              <w:rPr>
                <w:rFonts w:ascii="Cambria" w:eastAsiaTheme="minorEastAsia" w:hAnsi="Cambria" w:cstheme="minorBidi"/>
                <w:b/>
                <w:bCs/>
                <w:iCs/>
                <w:color w:val="auto"/>
                <w:kern w:val="2"/>
                <w:sz w:val="20"/>
                <w:szCs w:val="20"/>
                <w:lang w:eastAsia="ja-JP" w:bidi="ar-SA"/>
                <w14:ligatures w14:val="standardContextual"/>
              </w:rPr>
            </w:pPr>
            <w:r w:rsidRPr="00F0379B">
              <w:rPr>
                <w:rFonts w:ascii="Cambria" w:eastAsiaTheme="minorEastAsia" w:hAnsi="Cambria" w:cstheme="minorBidi"/>
                <w:b/>
                <w:bCs/>
                <w:color w:val="auto"/>
                <w:kern w:val="2"/>
                <w:sz w:val="20"/>
                <w:szCs w:val="20"/>
                <w:lang w:eastAsia="ja-JP" w:bidi="ar-SA"/>
                <w14:ligatures w14:val="standardContextual"/>
              </w:rPr>
              <w:t>28.106,90</w:t>
            </w:r>
          </w:p>
        </w:tc>
      </w:tr>
    </w:tbl>
    <w:p w14:paraId="69A0E2AA"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5C249648"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02A63209"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3CDA29A2"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187C05B2"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68F33FF9"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56EA2A24"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705F9C7D"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1F035974"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5E8B7C4C"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282C628D"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49CD8720" w14:textId="77777777" w:rsidR="009123AC" w:rsidRPr="00F0379B" w:rsidRDefault="009123AC" w:rsidP="009123AC">
      <w:pPr>
        <w:keepNext/>
        <w:keepLines/>
        <w:spacing w:after="0" w:line="240" w:lineRule="auto"/>
        <w:outlineLvl w:val="0"/>
        <w:rPr>
          <w:rFonts w:ascii="Cambria" w:eastAsia="MS Gothic" w:hAnsi="Cambria" w:cs="Times New Roman"/>
          <w:color w:val="2E74B5"/>
          <w:sz w:val="20"/>
          <w:szCs w:val="20"/>
          <w:lang w:eastAsia="fr-FR" w:bidi="fr-FR"/>
          <w14:ligatures w14:val="standardContextual"/>
        </w:rPr>
      </w:pPr>
    </w:p>
    <w:p w14:paraId="766A95EA" w14:textId="77777777" w:rsidR="00382C6A" w:rsidRPr="00F0379B" w:rsidRDefault="00382C6A" w:rsidP="009123AC">
      <w:pPr>
        <w:keepNext/>
        <w:keepLines/>
        <w:spacing w:after="0" w:line="240" w:lineRule="auto"/>
        <w:outlineLvl w:val="0"/>
        <w:rPr>
          <w:rFonts w:ascii="Cambria" w:eastAsia="MS Gothic" w:hAnsi="Cambria" w:cs="Times New Roman"/>
          <w:color w:val="2E74B5"/>
          <w:sz w:val="20"/>
          <w:szCs w:val="20"/>
          <w:lang w:eastAsia="fr-FR" w:bidi="fr-FR"/>
          <w14:ligatures w14:val="standardContextual"/>
        </w:rPr>
      </w:pPr>
    </w:p>
    <w:p w14:paraId="6EAAC270" w14:textId="77777777" w:rsidR="00382C6A" w:rsidRPr="00F0379B" w:rsidRDefault="00382C6A" w:rsidP="009123AC">
      <w:pPr>
        <w:keepNext/>
        <w:keepLines/>
        <w:spacing w:after="0" w:line="240" w:lineRule="auto"/>
        <w:outlineLvl w:val="0"/>
        <w:rPr>
          <w:rFonts w:ascii="Cambria" w:eastAsia="MS Gothic" w:hAnsi="Cambria" w:cs="Times New Roman"/>
          <w:color w:val="2E74B5"/>
          <w:sz w:val="20"/>
          <w:szCs w:val="20"/>
          <w:lang w:eastAsia="fr-FR" w:bidi="fr-FR"/>
          <w14:ligatures w14:val="standardContextual"/>
        </w:rPr>
      </w:pPr>
    </w:p>
    <w:p w14:paraId="0FCFA6B0" w14:textId="77777777" w:rsidR="00382C6A" w:rsidRPr="00F0379B" w:rsidRDefault="00382C6A" w:rsidP="009123AC">
      <w:pPr>
        <w:keepNext/>
        <w:keepLines/>
        <w:spacing w:after="0" w:line="240" w:lineRule="auto"/>
        <w:outlineLvl w:val="0"/>
        <w:rPr>
          <w:rFonts w:ascii="Cambria" w:eastAsia="MS Gothic" w:hAnsi="Cambria" w:cs="Times New Roman"/>
          <w:color w:val="2E74B5"/>
          <w:sz w:val="20"/>
          <w:szCs w:val="20"/>
          <w:lang w:eastAsia="fr-FR" w:bidi="fr-FR"/>
          <w14:ligatures w14:val="standardContextual"/>
        </w:rPr>
      </w:pPr>
    </w:p>
    <w:p w14:paraId="57788884" w14:textId="77777777" w:rsidR="00382C6A" w:rsidRPr="00F0379B" w:rsidRDefault="00382C6A" w:rsidP="009123AC">
      <w:pPr>
        <w:keepNext/>
        <w:keepLines/>
        <w:spacing w:after="0" w:line="240" w:lineRule="auto"/>
        <w:outlineLvl w:val="0"/>
        <w:rPr>
          <w:rFonts w:ascii="Cambria" w:eastAsia="MS Gothic" w:hAnsi="Cambria" w:cs="Times New Roman"/>
          <w:color w:val="2E74B5"/>
          <w:sz w:val="20"/>
          <w:szCs w:val="20"/>
          <w:lang w:eastAsia="fr-FR" w:bidi="fr-FR"/>
          <w14:ligatures w14:val="standardContextual"/>
        </w:rPr>
      </w:pPr>
    </w:p>
    <w:p w14:paraId="6EC2F041" w14:textId="77777777" w:rsidR="00382C6A" w:rsidRPr="00F0379B" w:rsidRDefault="00382C6A" w:rsidP="009123AC">
      <w:pPr>
        <w:keepNext/>
        <w:keepLines/>
        <w:spacing w:after="0" w:line="240" w:lineRule="auto"/>
        <w:outlineLvl w:val="0"/>
        <w:rPr>
          <w:rFonts w:ascii="Cambria" w:eastAsia="MS Gothic" w:hAnsi="Cambria" w:cs="Times New Roman"/>
          <w:color w:val="2E74B5"/>
          <w:sz w:val="20"/>
          <w:szCs w:val="20"/>
          <w:lang w:eastAsia="fr-FR" w:bidi="fr-FR"/>
          <w14:ligatures w14:val="standardContextual"/>
        </w:rPr>
      </w:pPr>
    </w:p>
    <w:p w14:paraId="41C17F05" w14:textId="77777777" w:rsidR="00382C6A" w:rsidRPr="00F0379B" w:rsidRDefault="00382C6A" w:rsidP="009123AC">
      <w:pPr>
        <w:keepNext/>
        <w:keepLines/>
        <w:spacing w:after="0" w:line="240" w:lineRule="auto"/>
        <w:outlineLvl w:val="0"/>
        <w:rPr>
          <w:rFonts w:ascii="Cambria" w:eastAsia="MS Gothic" w:hAnsi="Cambria" w:cs="Times New Roman"/>
          <w:color w:val="2E74B5"/>
          <w:sz w:val="20"/>
          <w:szCs w:val="20"/>
          <w:lang w:eastAsia="fr-FR" w:bidi="fr-FR"/>
          <w14:ligatures w14:val="standardContextual"/>
        </w:rPr>
      </w:pPr>
    </w:p>
    <w:tbl>
      <w:tblPr>
        <w:tblW w:w="5000"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20"/>
        <w:gridCol w:w="1614"/>
        <w:gridCol w:w="1470"/>
        <w:gridCol w:w="1490"/>
        <w:gridCol w:w="2466"/>
      </w:tblGrid>
      <w:tr w:rsidR="009123AC" w:rsidRPr="00F0379B" w14:paraId="5F0361FB" w14:textId="77777777" w:rsidTr="00CA749B">
        <w:trPr>
          <w:trHeight w:val="57"/>
          <w:tblHeader/>
        </w:trPr>
        <w:tc>
          <w:tcPr>
            <w:tcW w:w="2020" w:type="dxa"/>
            <w:vAlign w:val="center"/>
          </w:tcPr>
          <w:p w14:paraId="6CC5B089" w14:textId="77777777" w:rsidR="009123AC" w:rsidRPr="00F0379B" w:rsidRDefault="009123AC" w:rsidP="009123AC">
            <w:pPr>
              <w:spacing w:after="0" w:line="240" w:lineRule="auto"/>
              <w:ind w:left="142"/>
              <w:jc w:val="center"/>
              <w:rPr>
                <w:rFonts w:ascii="Cambria" w:eastAsia="MS Gothic" w:hAnsi="Cambria"/>
                <w:b/>
                <w:sz w:val="20"/>
                <w:szCs w:val="20"/>
                <w:lang w:val="en-IE" w:eastAsia="fr-FR" w:bidi="fr-FR"/>
                <w14:ligatures w14:val="standardContextual"/>
              </w:rPr>
            </w:pPr>
            <w:r w:rsidRPr="00F0379B">
              <w:rPr>
                <w:rFonts w:ascii="Cambria" w:eastAsia="MS Gothic" w:hAnsi="Cambria"/>
                <w:b/>
                <w:i/>
                <w:color w:val="000000"/>
                <w:spacing w:val="-1"/>
                <w:sz w:val="20"/>
                <w:szCs w:val="20"/>
                <w:lang w:val="en-IE" w:eastAsia="fr-FR" w:bidi="fr-FR"/>
                <w14:ligatures w14:val="standardContextual"/>
              </w:rPr>
              <w:t xml:space="preserve">Nombre de la </w:t>
            </w:r>
            <w:proofErr w:type="spellStart"/>
            <w:r w:rsidRPr="00F0379B">
              <w:rPr>
                <w:rFonts w:ascii="Cambria" w:eastAsia="MS Gothic" w:hAnsi="Cambria"/>
                <w:b/>
                <w:i/>
                <w:color w:val="000000"/>
                <w:spacing w:val="-1"/>
                <w:sz w:val="20"/>
                <w:szCs w:val="20"/>
                <w:lang w:val="en-IE" w:eastAsia="fr-FR" w:bidi="fr-FR"/>
                <w14:ligatures w14:val="standardContextual"/>
              </w:rPr>
              <w:t>granja</w:t>
            </w:r>
            <w:proofErr w:type="spellEnd"/>
          </w:p>
        </w:tc>
        <w:tc>
          <w:tcPr>
            <w:tcW w:w="1614" w:type="dxa"/>
            <w:vAlign w:val="center"/>
          </w:tcPr>
          <w:p w14:paraId="771276C5" w14:textId="77777777" w:rsidR="009123AC" w:rsidRPr="00F0379B" w:rsidRDefault="009123AC" w:rsidP="009123AC">
            <w:pPr>
              <w:spacing w:after="0" w:line="240" w:lineRule="auto"/>
              <w:ind w:left="-3" w:firstLine="3"/>
              <w:jc w:val="center"/>
              <w:rPr>
                <w:rFonts w:ascii="Cambria" w:eastAsia="MS Gothic" w:hAnsi="Cambria"/>
                <w:b/>
                <w:sz w:val="20"/>
                <w:szCs w:val="20"/>
                <w:lang w:val="en-IE" w:eastAsia="fr-FR" w:bidi="fr-FR"/>
                <w14:ligatures w14:val="standardContextual"/>
              </w:rPr>
            </w:pPr>
            <w:r w:rsidRPr="00F0379B">
              <w:rPr>
                <w:rFonts w:ascii="Cambria" w:eastAsia="MS Gothic" w:hAnsi="Cambria"/>
                <w:b/>
                <w:i/>
                <w:color w:val="000000"/>
                <w:spacing w:val="-1"/>
                <w:sz w:val="20"/>
                <w:szCs w:val="20"/>
                <w:lang w:val="en-IE" w:eastAsia="fr-FR" w:bidi="fr-FR"/>
                <w14:ligatures w14:val="standardContextual"/>
              </w:rPr>
              <w:t>Nº ICCAT</w:t>
            </w:r>
          </w:p>
        </w:tc>
        <w:tc>
          <w:tcPr>
            <w:tcW w:w="2960" w:type="dxa"/>
            <w:gridSpan w:val="2"/>
            <w:vAlign w:val="center"/>
          </w:tcPr>
          <w:p w14:paraId="1A635F47" w14:textId="77777777" w:rsidR="009123AC" w:rsidRPr="00F0379B" w:rsidRDefault="009123AC" w:rsidP="009123AC">
            <w:pPr>
              <w:spacing w:after="0" w:line="240" w:lineRule="auto"/>
              <w:ind w:left="108"/>
              <w:jc w:val="center"/>
              <w:rPr>
                <w:rFonts w:ascii="Cambria" w:eastAsia="MS Gothic" w:hAnsi="Cambria"/>
                <w:b/>
                <w:sz w:val="20"/>
                <w:szCs w:val="20"/>
                <w:lang w:val="en-IE" w:eastAsia="fr-FR" w:bidi="fr-FR"/>
                <w14:ligatures w14:val="standardContextual"/>
              </w:rPr>
            </w:pPr>
            <w:proofErr w:type="spellStart"/>
            <w:r w:rsidRPr="00F0379B">
              <w:rPr>
                <w:rFonts w:ascii="Cambria" w:eastAsia="MS Gothic" w:hAnsi="Cambria"/>
                <w:b/>
                <w:i/>
                <w:color w:val="000000"/>
                <w:spacing w:val="-1"/>
                <w:sz w:val="20"/>
                <w:szCs w:val="20"/>
                <w:lang w:val="en-IE" w:eastAsia="fr-FR" w:bidi="fr-FR"/>
                <w14:ligatures w14:val="standardContextual"/>
              </w:rPr>
              <w:t>Coordenadas</w:t>
            </w:r>
            <w:proofErr w:type="spellEnd"/>
            <w:r w:rsidRPr="00F0379B">
              <w:rPr>
                <w:rFonts w:ascii="Cambria" w:eastAsia="MS Gothic" w:hAnsi="Cambria"/>
                <w:b/>
                <w:i/>
                <w:color w:val="000000"/>
                <w:spacing w:val="-1"/>
                <w:sz w:val="20"/>
                <w:szCs w:val="20"/>
                <w:lang w:val="en-IE" w:eastAsia="fr-FR" w:bidi="fr-FR"/>
                <w14:ligatures w14:val="standardContextual"/>
              </w:rPr>
              <w:t xml:space="preserve"> </w:t>
            </w:r>
            <w:proofErr w:type="spellStart"/>
            <w:r w:rsidRPr="00F0379B">
              <w:rPr>
                <w:rFonts w:ascii="Cambria" w:eastAsia="MS Gothic" w:hAnsi="Cambria"/>
                <w:b/>
                <w:i/>
                <w:color w:val="000000"/>
                <w:spacing w:val="-1"/>
                <w:sz w:val="20"/>
                <w:szCs w:val="20"/>
                <w:lang w:val="en-IE" w:eastAsia="fr-FR" w:bidi="fr-FR"/>
                <w14:ligatures w14:val="standardContextual"/>
              </w:rPr>
              <w:t>geográficas</w:t>
            </w:r>
            <w:proofErr w:type="spellEnd"/>
          </w:p>
        </w:tc>
        <w:tc>
          <w:tcPr>
            <w:tcW w:w="2466" w:type="dxa"/>
            <w:vAlign w:val="center"/>
          </w:tcPr>
          <w:p w14:paraId="714AD612" w14:textId="77777777" w:rsidR="009123AC" w:rsidRPr="00F0379B" w:rsidRDefault="009123AC" w:rsidP="009123AC">
            <w:pPr>
              <w:spacing w:after="0" w:line="240" w:lineRule="auto"/>
              <w:jc w:val="center"/>
              <w:rPr>
                <w:rFonts w:ascii="Cambria" w:eastAsia="MS Gothic" w:hAnsi="Cambria"/>
                <w:b/>
                <w:sz w:val="20"/>
                <w:szCs w:val="20"/>
                <w:lang w:eastAsia="fr-FR" w:bidi="fr-FR"/>
                <w14:ligatures w14:val="standardContextual"/>
              </w:rPr>
            </w:pPr>
            <w:r w:rsidRPr="00F0379B">
              <w:rPr>
                <w:rFonts w:ascii="Cambria" w:eastAsia="MS Gothic" w:hAnsi="Cambria"/>
                <w:b/>
                <w:i/>
                <w:iCs/>
                <w:color w:val="000000"/>
                <w:sz w:val="20"/>
                <w:szCs w:val="20"/>
                <w:lang w:eastAsia="fr-FR" w:bidi="fr-FR"/>
                <w14:ligatures w14:val="standardContextual"/>
              </w:rPr>
              <w:t>Entrada de atún en estado salvaje</w:t>
            </w:r>
            <w:r w:rsidRPr="00F0379B">
              <w:rPr>
                <w:rFonts w:ascii="Cambria" w:eastAsia="MS Gothic" w:hAnsi="Cambria"/>
                <w:b/>
                <w:i/>
                <w:color w:val="000000"/>
                <w:spacing w:val="-1"/>
                <w:sz w:val="20"/>
                <w:szCs w:val="20"/>
                <w:lang w:eastAsia="fr-FR" w:bidi="fr-FR"/>
                <w14:ligatures w14:val="standardContextual"/>
              </w:rPr>
              <w:t xml:space="preserve"> (t)</w:t>
            </w:r>
          </w:p>
        </w:tc>
      </w:tr>
      <w:tr w:rsidR="009123AC" w:rsidRPr="00F0379B" w14:paraId="100DEEF2" w14:textId="77777777" w:rsidTr="00CA749B">
        <w:trPr>
          <w:trHeight w:val="57"/>
        </w:trPr>
        <w:tc>
          <w:tcPr>
            <w:tcW w:w="2020" w:type="dxa"/>
            <w:vAlign w:val="center"/>
          </w:tcPr>
          <w:p w14:paraId="1FD2B453" w14:textId="77777777" w:rsidR="009123AC" w:rsidRPr="00F0379B" w:rsidRDefault="009123AC" w:rsidP="009123AC">
            <w:pPr>
              <w:spacing w:after="0" w:line="240" w:lineRule="auto"/>
              <w:ind w:left="102"/>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pacing w:val="-1"/>
                <w:sz w:val="20"/>
                <w:szCs w:val="20"/>
                <w:lang w:eastAsia="fr-FR" w:bidi="fr-FR"/>
                <w14:ligatures w14:val="standardContextual"/>
              </w:rPr>
              <w:t>Tuna</w:t>
            </w:r>
            <w:r w:rsidRPr="00F0379B">
              <w:rPr>
                <w:rFonts w:ascii="Cambria" w:eastAsia="MS Gothic" w:hAnsi="Cambria" w:cs="Times New Roman"/>
                <w:spacing w:val="-10"/>
                <w:sz w:val="20"/>
                <w:szCs w:val="20"/>
                <w:lang w:eastAsia="fr-FR" w:bidi="fr-FR"/>
                <w14:ligatures w14:val="standardContextual"/>
              </w:rPr>
              <w:t xml:space="preserve"> </w:t>
            </w:r>
            <w:r w:rsidRPr="00F0379B">
              <w:rPr>
                <w:rFonts w:ascii="Cambria" w:eastAsia="MS Gothic" w:hAnsi="Cambria" w:cs="Times New Roman"/>
                <w:spacing w:val="-1"/>
                <w:sz w:val="20"/>
                <w:szCs w:val="20"/>
                <w:lang w:eastAsia="fr-FR" w:bidi="fr-FR"/>
                <w14:ligatures w14:val="standardContextual"/>
              </w:rPr>
              <w:t>Graso</w:t>
            </w:r>
          </w:p>
        </w:tc>
        <w:tc>
          <w:tcPr>
            <w:tcW w:w="1614" w:type="dxa"/>
            <w:vAlign w:val="center"/>
          </w:tcPr>
          <w:p w14:paraId="715C9B55" w14:textId="77777777" w:rsidR="009123AC" w:rsidRPr="00F0379B" w:rsidRDefault="009123AC" w:rsidP="009123AC">
            <w:pPr>
              <w:spacing w:after="0" w:line="240" w:lineRule="auto"/>
              <w:ind w:left="139" w:hanging="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ATEU1ESP00001</w:t>
            </w:r>
          </w:p>
        </w:tc>
        <w:tc>
          <w:tcPr>
            <w:tcW w:w="2960" w:type="dxa"/>
            <w:gridSpan w:val="2"/>
            <w:vAlign w:val="center"/>
          </w:tcPr>
          <w:p w14:paraId="08BFFB27"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 xml:space="preserve">N </w:t>
            </w:r>
            <w:r w:rsidRPr="00F0379B">
              <w:rPr>
                <w:rFonts w:ascii="Cambria" w:eastAsia="MS Gothic" w:hAnsi="Cambria" w:cs="Times New Roman"/>
                <w:spacing w:val="-1"/>
                <w:sz w:val="20"/>
                <w:szCs w:val="20"/>
                <w:lang w:val="en-IE" w:eastAsia="fr-FR" w:bidi="fr-FR"/>
                <w14:ligatures w14:val="standardContextual"/>
              </w:rPr>
              <w:t>37°45,95'</w:t>
            </w:r>
            <w:r w:rsidRPr="00F0379B">
              <w:rPr>
                <w:rFonts w:ascii="Cambria" w:eastAsia="MS Gothic" w:hAnsi="Cambria" w:cs="Times New Roman"/>
                <w:spacing w:val="-5"/>
                <w:sz w:val="20"/>
                <w:szCs w:val="20"/>
                <w:lang w:val="en-IE" w:eastAsia="fr-FR" w:bidi="fr-FR"/>
                <w14:ligatures w14:val="standardContextual"/>
              </w:rPr>
              <w:t xml:space="preserve"> </w:t>
            </w:r>
            <w:r w:rsidRPr="00F0379B">
              <w:rPr>
                <w:rFonts w:ascii="Cambria" w:eastAsia="MS Gothic" w:hAnsi="Cambria" w:cs="Times New Roman"/>
                <w:sz w:val="20"/>
                <w:szCs w:val="20"/>
                <w:lang w:val="en-IE" w:eastAsia="fr-FR" w:bidi="fr-FR"/>
                <w14:ligatures w14:val="standardContextual"/>
              </w:rPr>
              <w:t>W</w:t>
            </w:r>
            <w:r w:rsidRPr="00F0379B">
              <w:rPr>
                <w:rFonts w:ascii="Cambria" w:eastAsia="MS Gothic" w:hAnsi="Cambria" w:cs="Times New Roman"/>
                <w:spacing w:val="5"/>
                <w:sz w:val="20"/>
                <w:szCs w:val="20"/>
                <w:lang w:val="en-IE" w:eastAsia="fr-FR" w:bidi="fr-FR"/>
                <w14:ligatures w14:val="standardContextual"/>
              </w:rPr>
              <w:t xml:space="preserve"> </w:t>
            </w:r>
            <w:r w:rsidRPr="00F0379B">
              <w:rPr>
                <w:rFonts w:ascii="Cambria" w:eastAsia="MS Gothic" w:hAnsi="Cambria" w:cs="Times New Roman"/>
                <w:spacing w:val="-1"/>
                <w:sz w:val="20"/>
                <w:szCs w:val="20"/>
                <w:lang w:val="en-IE" w:eastAsia="fr-FR" w:bidi="fr-FR"/>
                <w14:ligatures w14:val="standardContextual"/>
              </w:rPr>
              <w:t>00°39,49'</w:t>
            </w:r>
          </w:p>
        </w:tc>
        <w:tc>
          <w:tcPr>
            <w:tcW w:w="2466" w:type="dxa"/>
            <w:vAlign w:val="center"/>
          </w:tcPr>
          <w:p w14:paraId="4812B09A" w14:textId="77777777" w:rsidR="009123AC" w:rsidRPr="00F0379B" w:rsidRDefault="009123AC" w:rsidP="009123AC">
            <w:pPr>
              <w:spacing w:after="0" w:line="240" w:lineRule="auto"/>
              <w:jc w:val="center"/>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1500,00</w:t>
            </w:r>
          </w:p>
        </w:tc>
      </w:tr>
      <w:tr w:rsidR="009123AC" w:rsidRPr="00F0379B" w14:paraId="75E189DF" w14:textId="77777777" w:rsidTr="00CA749B">
        <w:trPr>
          <w:trHeight w:val="57"/>
        </w:trPr>
        <w:tc>
          <w:tcPr>
            <w:tcW w:w="2020" w:type="dxa"/>
            <w:vAlign w:val="center"/>
          </w:tcPr>
          <w:p w14:paraId="01947C14" w14:textId="77777777" w:rsidR="009123AC" w:rsidRPr="00F0379B" w:rsidRDefault="009123AC" w:rsidP="009123AC">
            <w:pPr>
              <w:spacing w:after="0" w:line="240" w:lineRule="auto"/>
              <w:ind w:left="102" w:right="104"/>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pacing w:val="-1"/>
                <w:sz w:val="20"/>
                <w:szCs w:val="20"/>
                <w:lang w:eastAsia="fr-FR" w:bidi="fr-FR"/>
                <w14:ligatures w14:val="standardContextual"/>
              </w:rPr>
              <w:t>Caladeros</w:t>
            </w:r>
            <w:r w:rsidRPr="00F0379B">
              <w:rPr>
                <w:rFonts w:ascii="Cambria" w:eastAsia="MS Gothic" w:hAnsi="Cambria" w:cs="Times New Roman"/>
                <w:sz w:val="20"/>
                <w:szCs w:val="20"/>
                <w:lang w:eastAsia="fr-FR" w:bidi="fr-FR"/>
                <w14:ligatures w14:val="standardContextual"/>
              </w:rPr>
              <w:t xml:space="preserve"> del</w:t>
            </w:r>
            <w:r w:rsidRPr="00F0379B">
              <w:rPr>
                <w:rFonts w:ascii="Cambria" w:eastAsia="MS Gothic" w:hAnsi="Cambria" w:cs="Times New Roman"/>
                <w:spacing w:val="26"/>
                <w:w w:val="99"/>
                <w:sz w:val="20"/>
                <w:szCs w:val="20"/>
                <w:lang w:eastAsia="fr-FR" w:bidi="fr-FR"/>
                <w14:ligatures w14:val="standardContextual"/>
              </w:rPr>
              <w:t xml:space="preserve"> </w:t>
            </w:r>
            <w:r w:rsidRPr="00F0379B">
              <w:rPr>
                <w:rFonts w:ascii="Cambria" w:eastAsia="MS Gothic" w:hAnsi="Cambria" w:cs="Times New Roman"/>
                <w:spacing w:val="-1"/>
                <w:sz w:val="20"/>
                <w:szCs w:val="20"/>
                <w:lang w:eastAsia="fr-FR" w:bidi="fr-FR"/>
                <w14:ligatures w14:val="standardContextual"/>
              </w:rPr>
              <w:t>Mediterráneo</w:t>
            </w:r>
          </w:p>
        </w:tc>
        <w:tc>
          <w:tcPr>
            <w:tcW w:w="1614" w:type="dxa"/>
            <w:vAlign w:val="center"/>
          </w:tcPr>
          <w:p w14:paraId="3868CDA7" w14:textId="77777777" w:rsidR="009123AC" w:rsidRPr="00F0379B" w:rsidRDefault="009123AC" w:rsidP="009123AC">
            <w:pPr>
              <w:spacing w:after="0" w:line="240" w:lineRule="auto"/>
              <w:ind w:left="139" w:hanging="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ATEU1ESP00003</w:t>
            </w:r>
          </w:p>
        </w:tc>
        <w:tc>
          <w:tcPr>
            <w:tcW w:w="2960" w:type="dxa"/>
            <w:gridSpan w:val="2"/>
            <w:vAlign w:val="center"/>
          </w:tcPr>
          <w:p w14:paraId="27A656F6" w14:textId="77777777" w:rsidR="009123AC" w:rsidRPr="00F0379B" w:rsidRDefault="009123AC" w:rsidP="009123AC">
            <w:pPr>
              <w:spacing w:after="0" w:line="240" w:lineRule="auto"/>
              <w:ind w:left="99" w:right="358"/>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spacing w:val="-1"/>
                <w:sz w:val="20"/>
                <w:szCs w:val="20"/>
                <w:lang w:val="pt-PT" w:eastAsia="fr-FR" w:bidi="fr-FR"/>
                <w14:ligatures w14:val="standardContextual"/>
              </w:rPr>
              <w:t>A:37º34'30.40''N</w:t>
            </w:r>
            <w:r w:rsidRPr="00F0379B">
              <w:rPr>
                <w:rFonts w:ascii="Cambria" w:eastAsia="MS Gothic" w:hAnsi="Cambria" w:cs="Times New Roman"/>
                <w:sz w:val="20"/>
                <w:szCs w:val="20"/>
                <w:lang w:val="pt-PT" w:eastAsia="fr-FR" w:bidi="fr-FR"/>
                <w14:ligatures w14:val="standardContextual"/>
              </w:rPr>
              <w:t xml:space="preserve"> </w:t>
            </w:r>
            <w:r w:rsidRPr="00F0379B">
              <w:rPr>
                <w:rFonts w:ascii="Cambria" w:eastAsia="MS Gothic" w:hAnsi="Cambria" w:cs="Times New Roman"/>
                <w:spacing w:val="-1"/>
                <w:sz w:val="20"/>
                <w:szCs w:val="20"/>
                <w:lang w:val="pt-PT" w:eastAsia="fr-FR" w:bidi="fr-FR"/>
                <w14:ligatures w14:val="standardContextual"/>
              </w:rPr>
              <w:t>00º49'95.30''W</w:t>
            </w:r>
            <w:r w:rsidRPr="00F0379B">
              <w:rPr>
                <w:rFonts w:ascii="Cambria" w:eastAsia="MS Gothic" w:hAnsi="Cambria" w:cs="Times New Roman"/>
                <w:spacing w:val="37"/>
                <w:sz w:val="20"/>
                <w:szCs w:val="20"/>
                <w:lang w:val="pt-PT" w:eastAsia="fr-FR" w:bidi="fr-FR"/>
                <w14:ligatures w14:val="standardContextual"/>
              </w:rPr>
              <w:t xml:space="preserve"> </w:t>
            </w:r>
            <w:r w:rsidRPr="00F0379B">
              <w:rPr>
                <w:rFonts w:ascii="Cambria" w:eastAsia="MS Gothic" w:hAnsi="Cambria" w:cs="Times New Roman"/>
                <w:spacing w:val="-1"/>
                <w:sz w:val="20"/>
                <w:szCs w:val="20"/>
                <w:lang w:val="pt-PT" w:eastAsia="fr-FR" w:bidi="fr-FR"/>
                <w14:ligatures w14:val="standardContextual"/>
              </w:rPr>
              <w:t>B:37º34'06.60''N</w:t>
            </w:r>
            <w:r w:rsidRPr="00F0379B">
              <w:rPr>
                <w:rFonts w:ascii="Cambria" w:eastAsia="MS Gothic" w:hAnsi="Cambria" w:cs="Times New Roman"/>
                <w:sz w:val="20"/>
                <w:szCs w:val="20"/>
                <w:lang w:val="pt-PT" w:eastAsia="fr-FR" w:bidi="fr-FR"/>
                <w14:ligatures w14:val="standardContextual"/>
              </w:rPr>
              <w:t xml:space="preserve"> </w:t>
            </w:r>
            <w:r w:rsidRPr="00F0379B">
              <w:rPr>
                <w:rFonts w:ascii="Cambria" w:eastAsia="MS Gothic" w:hAnsi="Cambria" w:cs="Times New Roman"/>
                <w:spacing w:val="-1"/>
                <w:sz w:val="20"/>
                <w:szCs w:val="20"/>
                <w:lang w:val="pt-PT" w:eastAsia="fr-FR" w:bidi="fr-FR"/>
                <w14:ligatures w14:val="standardContextual"/>
              </w:rPr>
              <w:t>00º50'11.40''W</w:t>
            </w:r>
            <w:r w:rsidRPr="00F0379B">
              <w:rPr>
                <w:rFonts w:ascii="Cambria" w:eastAsia="MS Gothic" w:hAnsi="Cambria" w:cs="Times New Roman"/>
                <w:spacing w:val="37"/>
                <w:sz w:val="20"/>
                <w:szCs w:val="20"/>
                <w:lang w:val="pt-PT" w:eastAsia="fr-FR" w:bidi="fr-FR"/>
                <w14:ligatures w14:val="standardContextual"/>
              </w:rPr>
              <w:t xml:space="preserve"> </w:t>
            </w:r>
            <w:r w:rsidRPr="00F0379B">
              <w:rPr>
                <w:rFonts w:ascii="Cambria" w:eastAsia="MS Gothic" w:hAnsi="Cambria" w:cs="Times New Roman"/>
                <w:spacing w:val="-1"/>
                <w:sz w:val="20"/>
                <w:szCs w:val="20"/>
                <w:lang w:val="pt-PT" w:eastAsia="fr-FR" w:bidi="fr-FR"/>
                <w14:ligatures w14:val="standardContextual"/>
              </w:rPr>
              <w:t>C:67º34'25.80''N</w:t>
            </w:r>
            <w:r w:rsidRPr="00F0379B">
              <w:rPr>
                <w:rFonts w:ascii="Cambria" w:eastAsia="MS Gothic" w:hAnsi="Cambria" w:cs="Times New Roman"/>
                <w:sz w:val="20"/>
                <w:szCs w:val="20"/>
                <w:lang w:val="pt-PT" w:eastAsia="fr-FR" w:bidi="fr-FR"/>
                <w14:ligatures w14:val="standardContextual"/>
              </w:rPr>
              <w:t xml:space="preserve"> </w:t>
            </w:r>
            <w:r w:rsidRPr="00F0379B">
              <w:rPr>
                <w:rFonts w:ascii="Cambria" w:eastAsia="MS Gothic" w:hAnsi="Cambria" w:cs="Times New Roman"/>
                <w:spacing w:val="-1"/>
                <w:sz w:val="20"/>
                <w:szCs w:val="20"/>
                <w:lang w:val="pt-PT" w:eastAsia="fr-FR" w:bidi="fr-FR"/>
                <w14:ligatures w14:val="standardContextual"/>
              </w:rPr>
              <w:t>00º50'56.20''W</w:t>
            </w:r>
            <w:r w:rsidRPr="00F0379B">
              <w:rPr>
                <w:rFonts w:ascii="Cambria" w:eastAsia="MS Gothic" w:hAnsi="Cambria" w:cs="Times New Roman"/>
                <w:spacing w:val="37"/>
                <w:sz w:val="20"/>
                <w:szCs w:val="20"/>
                <w:lang w:val="pt-PT" w:eastAsia="fr-FR" w:bidi="fr-FR"/>
                <w14:ligatures w14:val="standardContextual"/>
              </w:rPr>
              <w:t xml:space="preserve"> </w:t>
            </w:r>
            <w:r w:rsidRPr="00F0379B">
              <w:rPr>
                <w:rFonts w:ascii="Cambria" w:eastAsia="MS Gothic" w:hAnsi="Cambria" w:cs="Times New Roman"/>
                <w:spacing w:val="-1"/>
                <w:sz w:val="20"/>
                <w:szCs w:val="20"/>
                <w:lang w:val="pt-PT" w:eastAsia="fr-FR" w:bidi="fr-FR"/>
                <w14:ligatures w14:val="standardContextual"/>
              </w:rPr>
              <w:t>D:37º34'49.60''N</w:t>
            </w:r>
            <w:r w:rsidRPr="00F0379B">
              <w:rPr>
                <w:rFonts w:ascii="Cambria" w:eastAsia="MS Gothic" w:hAnsi="Cambria" w:cs="Times New Roman"/>
                <w:sz w:val="20"/>
                <w:szCs w:val="20"/>
                <w:lang w:val="pt-PT" w:eastAsia="fr-FR" w:bidi="fr-FR"/>
                <w14:ligatures w14:val="standardContextual"/>
              </w:rPr>
              <w:t xml:space="preserve"> </w:t>
            </w:r>
            <w:r w:rsidRPr="00F0379B">
              <w:rPr>
                <w:rFonts w:ascii="Cambria" w:eastAsia="MS Gothic" w:hAnsi="Cambria" w:cs="Times New Roman"/>
                <w:spacing w:val="-1"/>
                <w:sz w:val="20"/>
                <w:szCs w:val="20"/>
                <w:lang w:val="pt-PT" w:eastAsia="fr-FR" w:bidi="fr-FR"/>
                <w14:ligatures w14:val="standardContextual"/>
              </w:rPr>
              <w:t>00º50'40.10''W</w:t>
            </w:r>
          </w:p>
        </w:tc>
        <w:tc>
          <w:tcPr>
            <w:tcW w:w="2466" w:type="dxa"/>
            <w:vAlign w:val="center"/>
          </w:tcPr>
          <w:p w14:paraId="3362F1C3" w14:textId="77777777" w:rsidR="009123AC" w:rsidRPr="00F0379B" w:rsidRDefault="009123AC" w:rsidP="009123AC">
            <w:pPr>
              <w:spacing w:after="0" w:line="240" w:lineRule="auto"/>
              <w:jc w:val="center"/>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1375,00</w:t>
            </w:r>
          </w:p>
        </w:tc>
      </w:tr>
      <w:tr w:rsidR="009123AC" w:rsidRPr="00F0379B" w14:paraId="1DD2D399" w14:textId="77777777" w:rsidTr="00CA749B">
        <w:trPr>
          <w:trHeight w:val="57"/>
        </w:trPr>
        <w:tc>
          <w:tcPr>
            <w:tcW w:w="2020" w:type="dxa"/>
            <w:vAlign w:val="center"/>
          </w:tcPr>
          <w:p w14:paraId="68732D84" w14:textId="77777777" w:rsidR="009123AC" w:rsidRPr="00F0379B" w:rsidRDefault="009123AC" w:rsidP="009123AC">
            <w:pPr>
              <w:spacing w:after="0" w:line="240" w:lineRule="auto"/>
              <w:ind w:left="102" w:right="104"/>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Ensenada</w:t>
            </w:r>
            <w:r w:rsidRPr="00F0379B">
              <w:rPr>
                <w:rFonts w:ascii="Cambria" w:eastAsia="MS Gothic" w:hAnsi="Cambria" w:cs="Times New Roman"/>
                <w:sz w:val="20"/>
                <w:szCs w:val="20"/>
                <w:lang w:val="en-IE" w:eastAsia="fr-FR" w:bidi="fr-FR"/>
                <w14:ligatures w14:val="standardContextual"/>
              </w:rPr>
              <w:t xml:space="preserve"> de</w:t>
            </w:r>
            <w:r w:rsidRPr="00F0379B">
              <w:rPr>
                <w:rFonts w:ascii="Cambria" w:eastAsia="MS Gothic" w:hAnsi="Cambria" w:cs="Times New Roman"/>
                <w:spacing w:val="24"/>
                <w:w w:val="99"/>
                <w:sz w:val="20"/>
                <w:szCs w:val="20"/>
                <w:lang w:val="en-IE" w:eastAsia="fr-FR" w:bidi="fr-FR"/>
                <w14:ligatures w14:val="standardContextual"/>
              </w:rPr>
              <w:t xml:space="preserve"> </w:t>
            </w:r>
            <w:r w:rsidRPr="00F0379B">
              <w:rPr>
                <w:rFonts w:ascii="Cambria" w:eastAsia="MS Gothic" w:hAnsi="Cambria" w:cs="Times New Roman"/>
                <w:spacing w:val="-1"/>
                <w:sz w:val="20"/>
                <w:szCs w:val="20"/>
                <w:lang w:val="en-IE" w:eastAsia="fr-FR" w:bidi="fr-FR"/>
                <w14:ligatures w14:val="standardContextual"/>
              </w:rPr>
              <w:t>Barbate</w:t>
            </w:r>
          </w:p>
        </w:tc>
        <w:tc>
          <w:tcPr>
            <w:tcW w:w="1614" w:type="dxa"/>
            <w:vAlign w:val="center"/>
          </w:tcPr>
          <w:p w14:paraId="25A60463" w14:textId="77777777" w:rsidR="009123AC" w:rsidRPr="00F0379B" w:rsidRDefault="009123AC" w:rsidP="009123AC">
            <w:pPr>
              <w:spacing w:after="0" w:line="240" w:lineRule="auto"/>
              <w:ind w:left="139" w:hanging="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ATEU1ESP00004</w:t>
            </w:r>
          </w:p>
        </w:tc>
        <w:tc>
          <w:tcPr>
            <w:tcW w:w="2960" w:type="dxa"/>
            <w:gridSpan w:val="2"/>
            <w:vAlign w:val="center"/>
          </w:tcPr>
          <w:p w14:paraId="6D02FEDD" w14:textId="77777777" w:rsidR="009123AC" w:rsidRPr="00F0379B" w:rsidRDefault="009123AC" w:rsidP="009123AC">
            <w:pPr>
              <w:spacing w:after="0" w:line="240" w:lineRule="auto"/>
              <w:ind w:left="99"/>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pacing w:val="-1"/>
                <w:sz w:val="20"/>
                <w:szCs w:val="20"/>
                <w:lang w:eastAsia="fr-FR" w:bidi="fr-FR"/>
                <w14:ligatures w14:val="standardContextual"/>
              </w:rPr>
              <w:t>36º09'13''</w:t>
            </w:r>
            <w:r w:rsidRPr="00F0379B">
              <w:rPr>
                <w:rFonts w:ascii="Cambria" w:eastAsia="MS Gothic" w:hAnsi="Cambria" w:cs="Times New Roman"/>
                <w:sz w:val="20"/>
                <w:szCs w:val="20"/>
                <w:lang w:eastAsia="fr-FR" w:bidi="fr-FR"/>
                <w14:ligatures w14:val="standardContextual"/>
              </w:rPr>
              <w:t xml:space="preserve">N </w:t>
            </w:r>
            <w:r w:rsidRPr="00F0379B">
              <w:rPr>
                <w:rFonts w:ascii="Cambria" w:eastAsia="MS Gothic" w:hAnsi="Cambria" w:cs="Times New Roman"/>
                <w:spacing w:val="-1"/>
                <w:sz w:val="20"/>
                <w:szCs w:val="20"/>
                <w:lang w:eastAsia="fr-FR" w:bidi="fr-FR"/>
                <w14:ligatures w14:val="standardContextual"/>
              </w:rPr>
              <w:t>5º55'45''</w:t>
            </w:r>
            <w:r w:rsidRPr="00F0379B">
              <w:rPr>
                <w:rFonts w:ascii="Cambria" w:eastAsia="MS Gothic" w:hAnsi="Cambria" w:cs="Times New Roman"/>
                <w:spacing w:val="-6"/>
                <w:sz w:val="20"/>
                <w:szCs w:val="20"/>
                <w:lang w:eastAsia="fr-FR" w:bidi="fr-FR"/>
                <w14:ligatures w14:val="standardContextual"/>
              </w:rPr>
              <w:t xml:space="preserve"> </w:t>
            </w:r>
            <w:r w:rsidRPr="00F0379B">
              <w:rPr>
                <w:rFonts w:ascii="Cambria" w:eastAsia="MS Gothic" w:hAnsi="Cambria" w:cs="Times New Roman"/>
                <w:sz w:val="20"/>
                <w:szCs w:val="20"/>
                <w:lang w:eastAsia="fr-FR" w:bidi="fr-FR"/>
                <w14:ligatures w14:val="standardContextual"/>
              </w:rPr>
              <w:t>W</w:t>
            </w:r>
          </w:p>
        </w:tc>
        <w:tc>
          <w:tcPr>
            <w:tcW w:w="2466" w:type="dxa"/>
            <w:vAlign w:val="center"/>
          </w:tcPr>
          <w:p w14:paraId="26F84744" w14:textId="77777777" w:rsidR="009123AC" w:rsidRPr="00F0379B" w:rsidRDefault="009123AC" w:rsidP="009123AC">
            <w:pPr>
              <w:spacing w:after="0" w:line="240" w:lineRule="auto"/>
              <w:ind w:left="243" w:hanging="243"/>
              <w:jc w:val="center"/>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1000,00</w:t>
            </w:r>
          </w:p>
        </w:tc>
      </w:tr>
      <w:tr w:rsidR="009123AC" w:rsidRPr="00F0379B" w14:paraId="2CB4021A" w14:textId="77777777" w:rsidTr="00CA749B">
        <w:trPr>
          <w:trHeight w:val="57"/>
        </w:trPr>
        <w:tc>
          <w:tcPr>
            <w:tcW w:w="2020" w:type="dxa"/>
            <w:vAlign w:val="center"/>
          </w:tcPr>
          <w:p w14:paraId="3C0C4A88" w14:textId="77777777" w:rsidR="009123AC" w:rsidRPr="00F0379B" w:rsidRDefault="009123AC" w:rsidP="009123AC">
            <w:pPr>
              <w:spacing w:after="0" w:line="240" w:lineRule="auto"/>
              <w:ind w:left="102"/>
              <w:rPr>
                <w:rFonts w:ascii="Cambria" w:eastAsia="MS Gothic" w:hAnsi="Cambria" w:cs="Times New Roman"/>
                <w:sz w:val="20"/>
                <w:szCs w:val="20"/>
                <w:lang w:eastAsia="fr-FR" w:bidi="fr-FR"/>
                <w14:ligatures w14:val="standardContextual"/>
              </w:rPr>
            </w:pPr>
            <w:proofErr w:type="spellStart"/>
            <w:r w:rsidRPr="00F0379B">
              <w:rPr>
                <w:rFonts w:ascii="Cambria" w:eastAsia="MS Gothic" w:hAnsi="Cambria" w:cs="Times New Roman"/>
                <w:spacing w:val="-1"/>
                <w:sz w:val="20"/>
                <w:szCs w:val="20"/>
                <w:lang w:eastAsia="fr-FR" w:bidi="fr-FR"/>
                <w14:ligatures w14:val="standardContextual"/>
              </w:rPr>
              <w:t>Balfegó</w:t>
            </w:r>
            <w:proofErr w:type="spellEnd"/>
            <w:r w:rsidRPr="00F0379B">
              <w:rPr>
                <w:rFonts w:ascii="Cambria" w:eastAsia="MS Gothic" w:hAnsi="Cambria" w:cs="Times New Roman"/>
                <w:spacing w:val="39"/>
                <w:sz w:val="20"/>
                <w:szCs w:val="20"/>
                <w:lang w:eastAsia="fr-FR" w:bidi="fr-FR"/>
                <w14:ligatures w14:val="standardContextual"/>
              </w:rPr>
              <w:t xml:space="preserve"> </w:t>
            </w:r>
            <w:r w:rsidRPr="00F0379B">
              <w:rPr>
                <w:rFonts w:ascii="Cambria" w:eastAsia="MS Gothic" w:hAnsi="Cambria" w:cs="Times New Roman"/>
                <w:sz w:val="20"/>
                <w:szCs w:val="20"/>
                <w:lang w:eastAsia="fr-FR" w:bidi="fr-FR"/>
                <w14:ligatures w14:val="standardContextual"/>
              </w:rPr>
              <w:t>Tuna,</w:t>
            </w:r>
            <w:r w:rsidRPr="00F0379B">
              <w:rPr>
                <w:rFonts w:ascii="Cambria" w:eastAsia="MS Gothic" w:hAnsi="Cambria" w:cs="Times New Roman"/>
                <w:color w:val="000000"/>
                <w:sz w:val="20"/>
                <w:szCs w:val="20"/>
                <w:lang w:eastAsia="fr-FR" w:bidi="fr-FR"/>
                <w14:ligatures w14:val="standardContextual"/>
              </w:rPr>
              <w:t xml:space="preserve"> S.L.</w:t>
            </w:r>
          </w:p>
        </w:tc>
        <w:tc>
          <w:tcPr>
            <w:tcW w:w="1614" w:type="dxa"/>
            <w:vAlign w:val="center"/>
          </w:tcPr>
          <w:p w14:paraId="3E9414DB" w14:textId="77777777" w:rsidR="009123AC" w:rsidRPr="00F0379B" w:rsidRDefault="009123AC" w:rsidP="009123AC">
            <w:pPr>
              <w:spacing w:after="0" w:line="240" w:lineRule="auto"/>
              <w:ind w:left="139" w:hanging="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ATEU1ESP00005</w:t>
            </w:r>
          </w:p>
        </w:tc>
        <w:tc>
          <w:tcPr>
            <w:tcW w:w="2960" w:type="dxa"/>
            <w:gridSpan w:val="2"/>
            <w:vAlign w:val="center"/>
          </w:tcPr>
          <w:p w14:paraId="51F0DA0B" w14:textId="77777777" w:rsidR="009123AC" w:rsidRPr="00F0379B" w:rsidRDefault="009123AC" w:rsidP="009123AC">
            <w:pPr>
              <w:spacing w:after="0" w:line="240" w:lineRule="auto"/>
              <w:ind w:left="99"/>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sz w:val="20"/>
                <w:szCs w:val="20"/>
                <w:lang w:val="pt-PT" w:eastAsia="fr-FR" w:bidi="fr-FR"/>
                <w14:ligatures w14:val="standardContextual"/>
              </w:rPr>
              <w:t>A:40º</w:t>
            </w:r>
            <w:r w:rsidRPr="00F0379B">
              <w:rPr>
                <w:rFonts w:ascii="Cambria" w:eastAsia="MS Gothic" w:hAnsi="Cambria" w:cs="Times New Roman"/>
                <w:spacing w:val="-1"/>
                <w:sz w:val="20"/>
                <w:szCs w:val="20"/>
                <w:lang w:val="pt-PT" w:eastAsia="fr-FR" w:bidi="fr-FR"/>
                <w14:ligatures w14:val="standardContextual"/>
              </w:rPr>
              <w:t xml:space="preserve"> 51,5'N</w:t>
            </w:r>
            <w:r w:rsidRPr="00F0379B">
              <w:rPr>
                <w:rFonts w:ascii="Cambria" w:eastAsia="MS Gothic" w:hAnsi="Cambria" w:cs="Times New Roman"/>
                <w:sz w:val="20"/>
                <w:szCs w:val="20"/>
                <w:lang w:val="pt-PT" w:eastAsia="fr-FR" w:bidi="fr-FR"/>
                <w14:ligatures w14:val="standardContextual"/>
              </w:rPr>
              <w:t xml:space="preserve"> 00º</w:t>
            </w:r>
            <w:r w:rsidRPr="00F0379B">
              <w:rPr>
                <w:rFonts w:ascii="Cambria" w:eastAsia="MS Gothic" w:hAnsi="Cambria" w:cs="Times New Roman"/>
                <w:spacing w:val="-1"/>
                <w:sz w:val="20"/>
                <w:szCs w:val="20"/>
                <w:lang w:val="pt-PT" w:eastAsia="fr-FR" w:bidi="fr-FR"/>
                <w14:ligatures w14:val="standardContextual"/>
              </w:rPr>
              <w:t xml:space="preserve"> 51,0'</w:t>
            </w:r>
            <w:r w:rsidRPr="00F0379B">
              <w:rPr>
                <w:rFonts w:ascii="Cambria" w:eastAsia="MS Gothic" w:hAnsi="Cambria" w:cs="Times New Roman"/>
                <w:sz w:val="20"/>
                <w:szCs w:val="20"/>
                <w:lang w:val="pt-PT" w:eastAsia="fr-FR" w:bidi="fr-FR"/>
                <w14:ligatures w14:val="standardContextual"/>
              </w:rPr>
              <w:t>E</w:t>
            </w:r>
          </w:p>
          <w:p w14:paraId="1FE9B296" w14:textId="77777777" w:rsidR="009123AC" w:rsidRPr="00F0379B" w:rsidRDefault="009123AC" w:rsidP="009123AC">
            <w:pPr>
              <w:spacing w:after="0" w:line="240" w:lineRule="auto"/>
              <w:ind w:left="99"/>
              <w:rPr>
                <w:rFonts w:ascii="Cambria" w:eastAsia="MS Gothic" w:hAnsi="Cambria" w:cs="Times New Roman"/>
                <w:color w:val="000000"/>
                <w:spacing w:val="21"/>
                <w:sz w:val="20"/>
                <w:szCs w:val="20"/>
                <w:lang w:val="pt-PT" w:eastAsia="fr-FR" w:bidi="fr-FR"/>
                <w14:ligatures w14:val="standardContextual"/>
              </w:rPr>
            </w:pPr>
            <w:r w:rsidRPr="00F0379B">
              <w:rPr>
                <w:rFonts w:ascii="Cambria" w:eastAsia="MS Gothic" w:hAnsi="Cambria" w:cs="Times New Roman"/>
                <w:color w:val="000000"/>
                <w:sz w:val="20"/>
                <w:szCs w:val="20"/>
                <w:lang w:val="pt-PT" w:eastAsia="fr-FR" w:bidi="fr-FR"/>
                <w14:ligatures w14:val="standardContextual"/>
              </w:rPr>
              <w:t>B:40º</w:t>
            </w:r>
            <w:r w:rsidRPr="00F0379B">
              <w:rPr>
                <w:rFonts w:ascii="Cambria" w:eastAsia="MS Gothic" w:hAnsi="Cambria" w:cs="Times New Roman"/>
                <w:color w:val="000000"/>
                <w:spacing w:val="-1"/>
                <w:sz w:val="20"/>
                <w:szCs w:val="20"/>
                <w:lang w:val="pt-PT" w:eastAsia="fr-FR" w:bidi="fr-FR"/>
                <w14:ligatures w14:val="standardContextual"/>
              </w:rPr>
              <w:t xml:space="preserve"> 51,95</w:t>
            </w:r>
            <w:r w:rsidRPr="00F0379B">
              <w:rPr>
                <w:rFonts w:ascii="Cambria" w:eastAsia="MS Gothic" w:hAnsi="Cambria" w:cs="Times New Roman"/>
                <w:spacing w:val="-1"/>
                <w:sz w:val="20"/>
                <w:szCs w:val="20"/>
                <w:lang w:val="pt-PT" w:eastAsia="fr-FR" w:bidi="fr-FR"/>
                <w14:ligatures w14:val="standardContextual"/>
              </w:rPr>
              <w:t>'</w:t>
            </w:r>
            <w:r w:rsidRPr="00F0379B">
              <w:rPr>
                <w:rFonts w:ascii="Cambria" w:eastAsia="MS Gothic" w:hAnsi="Cambria" w:cs="Times New Roman"/>
                <w:color w:val="000000"/>
                <w:spacing w:val="-1"/>
                <w:sz w:val="20"/>
                <w:szCs w:val="20"/>
                <w:lang w:val="pt-PT" w:eastAsia="fr-FR" w:bidi="fr-FR"/>
                <w14:ligatures w14:val="standardContextual"/>
              </w:rPr>
              <w:t>N</w:t>
            </w:r>
            <w:r w:rsidRPr="00F0379B">
              <w:rPr>
                <w:rFonts w:ascii="Cambria" w:eastAsia="MS Gothic" w:hAnsi="Cambria" w:cs="Times New Roman"/>
                <w:color w:val="000000"/>
                <w:sz w:val="20"/>
                <w:szCs w:val="20"/>
                <w:lang w:val="pt-PT" w:eastAsia="fr-FR" w:bidi="fr-FR"/>
                <w14:ligatures w14:val="standardContextual"/>
              </w:rPr>
              <w:t xml:space="preserve"> 00º</w:t>
            </w:r>
            <w:r w:rsidRPr="00F0379B">
              <w:rPr>
                <w:rFonts w:ascii="Cambria" w:eastAsia="MS Gothic" w:hAnsi="Cambria" w:cs="Times New Roman"/>
                <w:color w:val="000000"/>
                <w:spacing w:val="-1"/>
                <w:sz w:val="20"/>
                <w:szCs w:val="20"/>
                <w:lang w:val="pt-PT" w:eastAsia="fr-FR" w:bidi="fr-FR"/>
                <w14:ligatures w14:val="standardContextual"/>
              </w:rPr>
              <w:t xml:space="preserve"> 51,17</w:t>
            </w:r>
            <w:r w:rsidRPr="00F0379B">
              <w:rPr>
                <w:rFonts w:ascii="Cambria" w:eastAsia="MS Gothic" w:hAnsi="Cambria" w:cs="Times New Roman"/>
                <w:spacing w:val="-1"/>
                <w:sz w:val="20"/>
                <w:szCs w:val="20"/>
                <w:lang w:val="pt-PT" w:eastAsia="fr-FR" w:bidi="fr-FR"/>
                <w14:ligatures w14:val="standardContextual"/>
              </w:rPr>
              <w:t>'</w:t>
            </w:r>
            <w:r w:rsidRPr="00F0379B">
              <w:rPr>
                <w:rFonts w:ascii="Cambria" w:eastAsia="MS Gothic" w:hAnsi="Cambria" w:cs="Times New Roman"/>
                <w:color w:val="000000"/>
                <w:spacing w:val="-1"/>
                <w:sz w:val="20"/>
                <w:szCs w:val="20"/>
                <w:lang w:val="pt-PT" w:eastAsia="fr-FR" w:bidi="fr-FR"/>
                <w14:ligatures w14:val="standardContextual"/>
              </w:rPr>
              <w:t>E</w:t>
            </w:r>
            <w:r w:rsidRPr="00F0379B">
              <w:rPr>
                <w:rFonts w:ascii="Cambria" w:eastAsia="MS Gothic" w:hAnsi="Cambria" w:cs="Times New Roman"/>
                <w:color w:val="000000"/>
                <w:spacing w:val="21"/>
                <w:sz w:val="20"/>
                <w:szCs w:val="20"/>
                <w:lang w:val="pt-PT" w:eastAsia="fr-FR" w:bidi="fr-FR"/>
                <w14:ligatures w14:val="standardContextual"/>
              </w:rPr>
              <w:t xml:space="preserve"> </w:t>
            </w:r>
          </w:p>
          <w:p w14:paraId="6374EF1E" w14:textId="77777777" w:rsidR="009123AC" w:rsidRPr="00F0379B" w:rsidRDefault="009123AC" w:rsidP="009123AC">
            <w:pPr>
              <w:spacing w:after="0" w:line="240" w:lineRule="auto"/>
              <w:ind w:left="99"/>
              <w:rPr>
                <w:rFonts w:ascii="Cambria" w:eastAsia="MS Gothic" w:hAnsi="Cambria" w:cs="Times New Roman"/>
                <w:color w:val="000000"/>
                <w:spacing w:val="29"/>
                <w:sz w:val="20"/>
                <w:szCs w:val="20"/>
                <w:lang w:val="pt-PT" w:eastAsia="fr-FR" w:bidi="fr-FR"/>
                <w14:ligatures w14:val="standardContextual"/>
              </w:rPr>
            </w:pPr>
            <w:r w:rsidRPr="00F0379B">
              <w:rPr>
                <w:rFonts w:ascii="Cambria" w:eastAsia="MS Gothic" w:hAnsi="Cambria" w:cs="Times New Roman"/>
                <w:color w:val="000000"/>
                <w:sz w:val="20"/>
                <w:szCs w:val="20"/>
                <w:lang w:val="pt-PT" w:eastAsia="fr-FR" w:bidi="fr-FR"/>
                <w14:ligatures w14:val="standardContextual"/>
              </w:rPr>
              <w:t>C:40º</w:t>
            </w:r>
            <w:r w:rsidRPr="00F0379B">
              <w:rPr>
                <w:rFonts w:ascii="Cambria" w:eastAsia="MS Gothic" w:hAnsi="Cambria" w:cs="Times New Roman"/>
                <w:color w:val="000000"/>
                <w:spacing w:val="-1"/>
                <w:sz w:val="20"/>
                <w:szCs w:val="20"/>
                <w:lang w:val="pt-PT" w:eastAsia="fr-FR" w:bidi="fr-FR"/>
                <w14:ligatures w14:val="standardContextual"/>
              </w:rPr>
              <w:t xml:space="preserve"> 51,57</w:t>
            </w:r>
            <w:r w:rsidRPr="00F0379B">
              <w:rPr>
                <w:rFonts w:ascii="Cambria" w:eastAsia="MS Gothic" w:hAnsi="Cambria" w:cs="Times New Roman"/>
                <w:spacing w:val="-1"/>
                <w:sz w:val="20"/>
                <w:szCs w:val="20"/>
                <w:lang w:val="pt-PT" w:eastAsia="fr-FR" w:bidi="fr-FR"/>
                <w14:ligatures w14:val="standardContextual"/>
              </w:rPr>
              <w:t>'</w:t>
            </w:r>
            <w:r w:rsidRPr="00F0379B">
              <w:rPr>
                <w:rFonts w:ascii="Cambria" w:eastAsia="MS Gothic" w:hAnsi="Cambria" w:cs="Times New Roman"/>
                <w:color w:val="000000"/>
                <w:spacing w:val="-1"/>
                <w:sz w:val="20"/>
                <w:szCs w:val="20"/>
                <w:lang w:val="pt-PT" w:eastAsia="fr-FR" w:bidi="fr-FR"/>
                <w14:ligatures w14:val="standardContextual"/>
              </w:rPr>
              <w:t>N</w:t>
            </w:r>
            <w:r w:rsidRPr="00F0379B">
              <w:rPr>
                <w:rFonts w:ascii="Cambria" w:eastAsia="MS Gothic" w:hAnsi="Cambria" w:cs="Times New Roman"/>
                <w:color w:val="000000"/>
                <w:sz w:val="20"/>
                <w:szCs w:val="20"/>
                <w:lang w:val="pt-PT" w:eastAsia="fr-FR" w:bidi="fr-FR"/>
                <w14:ligatures w14:val="standardContextual"/>
              </w:rPr>
              <w:t xml:space="preserve"> 00º</w:t>
            </w:r>
            <w:r w:rsidRPr="00F0379B">
              <w:rPr>
                <w:rFonts w:ascii="Cambria" w:eastAsia="MS Gothic" w:hAnsi="Cambria" w:cs="Times New Roman"/>
                <w:color w:val="000000"/>
                <w:spacing w:val="-1"/>
                <w:sz w:val="20"/>
                <w:szCs w:val="20"/>
                <w:lang w:val="pt-PT" w:eastAsia="fr-FR" w:bidi="fr-FR"/>
                <w14:ligatures w14:val="standardContextual"/>
              </w:rPr>
              <w:t xml:space="preserve"> 51,5</w:t>
            </w:r>
            <w:r w:rsidRPr="00F0379B">
              <w:rPr>
                <w:rFonts w:ascii="Cambria" w:eastAsia="MS Gothic" w:hAnsi="Cambria" w:cs="Times New Roman"/>
                <w:spacing w:val="-1"/>
                <w:sz w:val="20"/>
                <w:szCs w:val="20"/>
                <w:lang w:val="pt-PT" w:eastAsia="fr-FR" w:bidi="fr-FR"/>
                <w14:ligatures w14:val="standardContextual"/>
              </w:rPr>
              <w:t>'</w:t>
            </w:r>
            <w:r w:rsidRPr="00F0379B">
              <w:rPr>
                <w:rFonts w:ascii="Cambria" w:eastAsia="MS Gothic" w:hAnsi="Cambria" w:cs="Times New Roman"/>
                <w:color w:val="000000"/>
                <w:spacing w:val="-1"/>
                <w:sz w:val="20"/>
                <w:szCs w:val="20"/>
                <w:lang w:val="pt-PT" w:eastAsia="fr-FR" w:bidi="fr-FR"/>
                <w14:ligatures w14:val="standardContextual"/>
              </w:rPr>
              <w:t>E</w:t>
            </w:r>
            <w:r w:rsidRPr="00F0379B">
              <w:rPr>
                <w:rFonts w:ascii="Cambria" w:eastAsia="MS Gothic" w:hAnsi="Cambria" w:cs="Times New Roman"/>
                <w:color w:val="000000"/>
                <w:spacing w:val="29"/>
                <w:sz w:val="20"/>
                <w:szCs w:val="20"/>
                <w:lang w:val="pt-PT" w:eastAsia="fr-FR" w:bidi="fr-FR"/>
                <w14:ligatures w14:val="standardContextual"/>
              </w:rPr>
              <w:t xml:space="preserve"> </w:t>
            </w:r>
          </w:p>
          <w:p w14:paraId="18064ECF" w14:textId="77777777" w:rsidR="009123AC" w:rsidRPr="00F0379B" w:rsidRDefault="009123AC" w:rsidP="009123AC">
            <w:pPr>
              <w:spacing w:after="0" w:line="240" w:lineRule="auto"/>
              <w:ind w:left="99"/>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color w:val="000000"/>
                <w:sz w:val="20"/>
                <w:szCs w:val="20"/>
                <w:lang w:val="pt-PT" w:eastAsia="fr-FR" w:bidi="fr-FR"/>
                <w14:ligatures w14:val="standardContextual"/>
              </w:rPr>
              <w:t>D:40º</w:t>
            </w:r>
            <w:r w:rsidRPr="00F0379B">
              <w:rPr>
                <w:rFonts w:ascii="Cambria" w:eastAsia="MS Gothic" w:hAnsi="Cambria" w:cs="Times New Roman"/>
                <w:color w:val="000000"/>
                <w:spacing w:val="-1"/>
                <w:sz w:val="20"/>
                <w:szCs w:val="20"/>
                <w:lang w:val="pt-PT" w:eastAsia="fr-FR" w:bidi="fr-FR"/>
                <w14:ligatures w14:val="standardContextual"/>
              </w:rPr>
              <w:t xml:space="preserve"> 51,9</w:t>
            </w:r>
            <w:r w:rsidRPr="00F0379B">
              <w:rPr>
                <w:rFonts w:ascii="Cambria" w:eastAsia="MS Gothic" w:hAnsi="Cambria" w:cs="Times New Roman"/>
                <w:spacing w:val="-1"/>
                <w:sz w:val="20"/>
                <w:szCs w:val="20"/>
                <w:lang w:val="pt-PT" w:eastAsia="fr-FR" w:bidi="fr-FR"/>
                <w14:ligatures w14:val="standardContextual"/>
              </w:rPr>
              <w:t>'</w:t>
            </w:r>
            <w:r w:rsidRPr="00F0379B">
              <w:rPr>
                <w:rFonts w:ascii="Cambria" w:eastAsia="MS Gothic" w:hAnsi="Cambria" w:cs="Times New Roman"/>
                <w:color w:val="000000"/>
                <w:spacing w:val="-1"/>
                <w:sz w:val="20"/>
                <w:szCs w:val="20"/>
                <w:lang w:val="pt-PT" w:eastAsia="fr-FR" w:bidi="fr-FR"/>
                <w14:ligatures w14:val="standardContextual"/>
              </w:rPr>
              <w:t>N</w:t>
            </w:r>
            <w:r w:rsidRPr="00F0379B">
              <w:rPr>
                <w:rFonts w:ascii="Cambria" w:eastAsia="MS Gothic" w:hAnsi="Cambria" w:cs="Times New Roman"/>
                <w:color w:val="000000"/>
                <w:sz w:val="20"/>
                <w:szCs w:val="20"/>
                <w:lang w:val="pt-PT" w:eastAsia="fr-FR" w:bidi="fr-FR"/>
                <w14:ligatures w14:val="standardContextual"/>
              </w:rPr>
              <w:t xml:space="preserve"> 00º</w:t>
            </w:r>
            <w:r w:rsidRPr="00F0379B">
              <w:rPr>
                <w:rFonts w:ascii="Cambria" w:eastAsia="MS Gothic" w:hAnsi="Cambria" w:cs="Times New Roman"/>
                <w:color w:val="000000"/>
                <w:spacing w:val="-1"/>
                <w:sz w:val="20"/>
                <w:szCs w:val="20"/>
                <w:lang w:val="pt-PT" w:eastAsia="fr-FR" w:bidi="fr-FR"/>
                <w14:ligatures w14:val="standardContextual"/>
              </w:rPr>
              <w:t xml:space="preserve"> 51,61</w:t>
            </w:r>
            <w:r w:rsidRPr="00F0379B">
              <w:rPr>
                <w:rFonts w:ascii="Cambria" w:eastAsia="MS Gothic" w:hAnsi="Cambria" w:cs="Times New Roman"/>
                <w:spacing w:val="-1"/>
                <w:sz w:val="20"/>
                <w:szCs w:val="20"/>
                <w:lang w:val="pt-PT" w:eastAsia="fr-FR" w:bidi="fr-FR"/>
                <w14:ligatures w14:val="standardContextual"/>
              </w:rPr>
              <w:t>'</w:t>
            </w:r>
            <w:r w:rsidRPr="00F0379B">
              <w:rPr>
                <w:rFonts w:ascii="Cambria" w:eastAsia="MS Gothic" w:hAnsi="Cambria" w:cs="Times New Roman"/>
                <w:color w:val="000000"/>
                <w:spacing w:val="-1"/>
                <w:sz w:val="20"/>
                <w:szCs w:val="20"/>
                <w:lang w:val="pt-PT" w:eastAsia="fr-FR" w:bidi="fr-FR"/>
                <w14:ligatures w14:val="standardContextual"/>
              </w:rPr>
              <w:t>E</w:t>
            </w:r>
          </w:p>
        </w:tc>
        <w:tc>
          <w:tcPr>
            <w:tcW w:w="2466" w:type="dxa"/>
            <w:vAlign w:val="center"/>
          </w:tcPr>
          <w:p w14:paraId="450A06CF" w14:textId="77777777" w:rsidR="009123AC" w:rsidRPr="00F0379B" w:rsidRDefault="009123AC" w:rsidP="009123AC">
            <w:pPr>
              <w:spacing w:after="0" w:line="240" w:lineRule="auto"/>
              <w:jc w:val="center"/>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4400,00</w:t>
            </w:r>
          </w:p>
        </w:tc>
      </w:tr>
      <w:tr w:rsidR="009123AC" w:rsidRPr="00F0379B" w14:paraId="4FC6593B" w14:textId="77777777" w:rsidTr="00CA749B">
        <w:trPr>
          <w:trHeight w:val="57"/>
        </w:trPr>
        <w:tc>
          <w:tcPr>
            <w:tcW w:w="2020" w:type="dxa"/>
            <w:vAlign w:val="center"/>
          </w:tcPr>
          <w:p w14:paraId="10C15D30" w14:textId="77777777" w:rsidR="009123AC" w:rsidRPr="00F0379B" w:rsidRDefault="009123AC" w:rsidP="009123AC">
            <w:pPr>
              <w:spacing w:after="0" w:line="240" w:lineRule="auto"/>
              <w:ind w:left="102"/>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lastRenderedPageBreak/>
              <w:t>CALADEROS DEL MEDITERRANEO</w:t>
            </w:r>
          </w:p>
        </w:tc>
        <w:tc>
          <w:tcPr>
            <w:tcW w:w="1614" w:type="dxa"/>
            <w:vAlign w:val="center"/>
          </w:tcPr>
          <w:p w14:paraId="6520C7B0" w14:textId="77777777" w:rsidR="009123AC" w:rsidRPr="00F0379B" w:rsidRDefault="009123AC" w:rsidP="009123AC">
            <w:pPr>
              <w:spacing w:after="0" w:line="240" w:lineRule="auto"/>
              <w:ind w:left="139" w:hanging="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ATEU1ESP00011</w:t>
            </w:r>
          </w:p>
        </w:tc>
        <w:tc>
          <w:tcPr>
            <w:tcW w:w="2960" w:type="dxa"/>
            <w:gridSpan w:val="2"/>
            <w:vAlign w:val="center"/>
          </w:tcPr>
          <w:p w14:paraId="35998F31" w14:textId="77777777" w:rsidR="009123AC" w:rsidRPr="00F0379B" w:rsidRDefault="009123AC" w:rsidP="009123AC">
            <w:pPr>
              <w:spacing w:after="0" w:line="240" w:lineRule="auto"/>
              <w:ind w:left="99" w:right="334"/>
              <w:rPr>
                <w:rFonts w:ascii="Cambria" w:eastAsia="Century" w:hAnsi="Cambria"/>
                <w:spacing w:val="-1"/>
                <w:sz w:val="20"/>
                <w:szCs w:val="20"/>
                <w:lang w:val="pl-PL"/>
                <w14:ligatures w14:val="standardContextual"/>
              </w:rPr>
            </w:pPr>
            <w:r w:rsidRPr="00F0379B">
              <w:rPr>
                <w:rFonts w:ascii="Cambria" w:eastAsia="Century" w:hAnsi="Cambria"/>
                <w:spacing w:val="-1"/>
                <w:sz w:val="20"/>
                <w:szCs w:val="20"/>
                <w:lang w:val="pl-PL"/>
                <w14:ligatures w14:val="standardContextual"/>
              </w:rPr>
              <w:t>37°34'06,341''N; 0°52´39,300''W</w:t>
            </w:r>
          </w:p>
          <w:p w14:paraId="5F1725FD" w14:textId="77777777" w:rsidR="009123AC" w:rsidRPr="00F0379B" w:rsidRDefault="009123AC" w:rsidP="009123AC">
            <w:pPr>
              <w:spacing w:after="0" w:line="240" w:lineRule="auto"/>
              <w:ind w:left="99" w:right="334"/>
              <w:rPr>
                <w:rFonts w:ascii="Cambria" w:eastAsia="Century" w:hAnsi="Cambria"/>
                <w:spacing w:val="-1"/>
                <w:sz w:val="20"/>
                <w:szCs w:val="20"/>
                <w:lang w:val="pl-PL"/>
                <w14:ligatures w14:val="standardContextual"/>
              </w:rPr>
            </w:pPr>
            <w:r w:rsidRPr="00F0379B">
              <w:rPr>
                <w:rFonts w:ascii="Cambria" w:eastAsia="Century" w:hAnsi="Cambria"/>
                <w:spacing w:val="-1"/>
                <w:sz w:val="20"/>
                <w:szCs w:val="20"/>
                <w:lang w:val="pl-PL"/>
                <w14:ligatures w14:val="standardContextual"/>
              </w:rPr>
              <w:t>37°33'59,998''N; 0°53´12,358''W</w:t>
            </w:r>
          </w:p>
          <w:p w14:paraId="161936ED" w14:textId="77777777" w:rsidR="009123AC" w:rsidRPr="00F0379B" w:rsidRDefault="009123AC" w:rsidP="009123AC">
            <w:pPr>
              <w:spacing w:after="0" w:line="240" w:lineRule="auto"/>
              <w:ind w:left="99" w:right="334"/>
              <w:rPr>
                <w:rFonts w:ascii="Cambria" w:eastAsia="Century" w:hAnsi="Cambria"/>
                <w:spacing w:val="-1"/>
                <w:sz w:val="20"/>
                <w:szCs w:val="20"/>
                <w:lang w:val="pl-PL"/>
                <w14:ligatures w14:val="standardContextual"/>
              </w:rPr>
            </w:pPr>
            <w:r w:rsidRPr="00F0379B">
              <w:rPr>
                <w:rFonts w:ascii="Cambria" w:eastAsia="Century" w:hAnsi="Cambria"/>
                <w:spacing w:val="-1"/>
                <w:sz w:val="20"/>
                <w:szCs w:val="20"/>
                <w:lang w:val="pl-PL"/>
                <w14:ligatures w14:val="standardContextual"/>
              </w:rPr>
              <w:t>37°33'44,272''N; 0°53´12,802''W</w:t>
            </w:r>
          </w:p>
          <w:p w14:paraId="605CD7AB" w14:textId="77777777" w:rsidR="009123AC" w:rsidRPr="00F0379B" w:rsidRDefault="009123AC" w:rsidP="009123AC">
            <w:pPr>
              <w:spacing w:after="0" w:line="240" w:lineRule="auto"/>
              <w:ind w:left="99" w:right="334"/>
              <w:rPr>
                <w:rFonts w:ascii="Cambria" w:eastAsia="Century" w:hAnsi="Cambria"/>
                <w:spacing w:val="-1"/>
                <w:sz w:val="20"/>
                <w:szCs w:val="20"/>
                <w:lang w:val="pl-PL"/>
                <w14:ligatures w14:val="standardContextual"/>
              </w:rPr>
            </w:pPr>
            <w:r w:rsidRPr="00F0379B">
              <w:rPr>
                <w:rFonts w:ascii="Cambria" w:eastAsia="Century" w:hAnsi="Cambria"/>
                <w:spacing w:val="-1"/>
                <w:sz w:val="20"/>
                <w:szCs w:val="20"/>
                <w:lang w:val="pl-PL"/>
                <w14:ligatures w14:val="standardContextual"/>
              </w:rPr>
              <w:t>37°33’43,683''N; 0°52’39,943''W</w:t>
            </w:r>
          </w:p>
        </w:tc>
        <w:tc>
          <w:tcPr>
            <w:tcW w:w="2466" w:type="dxa"/>
            <w:vAlign w:val="center"/>
          </w:tcPr>
          <w:p w14:paraId="64CAB673" w14:textId="77777777" w:rsidR="009123AC" w:rsidRPr="00F0379B" w:rsidRDefault="009123AC" w:rsidP="009123AC">
            <w:pPr>
              <w:spacing w:after="0" w:line="240" w:lineRule="auto"/>
              <w:jc w:val="center"/>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825,00</w:t>
            </w:r>
          </w:p>
        </w:tc>
      </w:tr>
      <w:tr w:rsidR="009123AC" w:rsidRPr="00F0379B" w14:paraId="71ACF94F" w14:textId="77777777" w:rsidTr="00CA749B">
        <w:trPr>
          <w:trHeight w:val="57"/>
        </w:trPr>
        <w:tc>
          <w:tcPr>
            <w:tcW w:w="2020" w:type="dxa"/>
            <w:vAlign w:val="center"/>
          </w:tcPr>
          <w:p w14:paraId="075A0527" w14:textId="77777777" w:rsidR="009123AC" w:rsidRPr="00F0379B" w:rsidRDefault="009123AC" w:rsidP="009123AC">
            <w:pPr>
              <w:spacing w:after="0" w:line="240" w:lineRule="auto"/>
              <w:ind w:left="102"/>
              <w:rPr>
                <w:rFonts w:ascii="Cambria" w:eastAsia="MS Gothic" w:hAnsi="Cambria" w:cs="Times New Roman"/>
                <w:color w:val="000000"/>
                <w:spacing w:val="-1"/>
                <w:sz w:val="20"/>
                <w:szCs w:val="20"/>
                <w:lang w:val="en-IE" w:eastAsia="fr-FR" w:bidi="fr-FR"/>
                <w14:ligatures w14:val="standardContextual"/>
              </w:rPr>
            </w:pPr>
            <w:bookmarkStart w:id="10" w:name="_Hlk160566520"/>
            <w:r w:rsidRPr="00F0379B">
              <w:rPr>
                <w:rFonts w:ascii="Cambria" w:eastAsia="MS Gothic" w:hAnsi="Cambria" w:cs="Times New Roman"/>
                <w:color w:val="000000"/>
                <w:spacing w:val="-1"/>
                <w:sz w:val="20"/>
                <w:szCs w:val="20"/>
                <w:lang w:val="en-IE" w:eastAsia="fr-FR" w:bidi="fr-FR"/>
                <w14:ligatures w14:val="standardContextual"/>
              </w:rPr>
              <w:t>ITSAS BALFEGO</w:t>
            </w:r>
          </w:p>
        </w:tc>
        <w:tc>
          <w:tcPr>
            <w:tcW w:w="1614" w:type="dxa"/>
            <w:vAlign w:val="center"/>
          </w:tcPr>
          <w:p w14:paraId="23845F0B" w14:textId="77777777" w:rsidR="009123AC" w:rsidRPr="00F0379B" w:rsidRDefault="009123AC" w:rsidP="009123AC">
            <w:pPr>
              <w:spacing w:after="0" w:line="240" w:lineRule="auto"/>
              <w:ind w:left="50" w:hanging="2"/>
              <w:rPr>
                <w:rFonts w:ascii="Cambria" w:eastAsia="MS Gothic" w:hAnsi="Cambria" w:cs="Times New Roman"/>
                <w:spacing w:val="-1"/>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ATEU1ESP00018</w:t>
            </w:r>
          </w:p>
        </w:tc>
        <w:tc>
          <w:tcPr>
            <w:tcW w:w="2960" w:type="dxa"/>
            <w:gridSpan w:val="2"/>
            <w:vAlign w:val="center"/>
          </w:tcPr>
          <w:p w14:paraId="283EF37A" w14:textId="77777777" w:rsidR="009123AC" w:rsidRPr="00F0379B" w:rsidRDefault="009123AC" w:rsidP="009123AC">
            <w:pPr>
              <w:spacing w:after="0" w:line="240" w:lineRule="auto"/>
              <w:ind w:left="99" w:right="334"/>
              <w:rPr>
                <w:rFonts w:ascii="Cambria" w:eastAsia="Century" w:hAnsi="Cambria"/>
                <w:spacing w:val="-1"/>
                <w:sz w:val="20"/>
                <w:szCs w:val="20"/>
                <w:lang w:val="pt-PT"/>
                <w14:ligatures w14:val="standardContextual"/>
              </w:rPr>
            </w:pPr>
            <w:r w:rsidRPr="00F0379B">
              <w:rPr>
                <w:rFonts w:ascii="Cambria" w:eastAsia="Century" w:hAnsi="Cambria"/>
                <w:spacing w:val="-1"/>
                <w:sz w:val="20"/>
                <w:szCs w:val="20"/>
                <w:lang w:val="pt-PT"/>
                <w14:ligatures w14:val="standardContextual"/>
              </w:rPr>
              <w:t>A:43º22,</w:t>
            </w:r>
            <w:r w:rsidRPr="00F0379B">
              <w:rPr>
                <w:rFonts w:ascii="Cambria" w:eastAsia="Arial" w:hAnsi="Cambria"/>
                <w:spacing w:val="-1"/>
                <w:sz w:val="20"/>
                <w:szCs w:val="20"/>
                <w:lang w:val="pt-PT"/>
                <w14:ligatures w14:val="standardContextual"/>
              </w:rPr>
              <w:t>337</w:t>
            </w:r>
            <w:r w:rsidRPr="00F0379B">
              <w:rPr>
                <w:rFonts w:ascii="Cambria" w:eastAsia="Century" w:hAnsi="Cambria"/>
                <w:spacing w:val="-1"/>
                <w:sz w:val="20"/>
                <w:szCs w:val="20"/>
                <w:lang w:val="pt-PT"/>
                <w14:ligatures w14:val="standardContextual"/>
              </w:rPr>
              <w:t>'</w:t>
            </w:r>
            <w:r w:rsidRPr="00F0379B">
              <w:rPr>
                <w:rFonts w:ascii="Cambria" w:eastAsia="Arial" w:hAnsi="Cambria"/>
                <w:spacing w:val="-1"/>
                <w:sz w:val="20"/>
                <w:szCs w:val="20"/>
                <w:lang w:val="pt-PT"/>
                <w14:ligatures w14:val="standardContextual"/>
              </w:rPr>
              <w:t>N</w:t>
            </w:r>
            <w:r w:rsidRPr="00F0379B">
              <w:rPr>
                <w:rFonts w:ascii="Cambria" w:eastAsia="Century" w:hAnsi="Cambria"/>
                <w:sz w:val="20"/>
                <w:szCs w:val="20"/>
                <w:lang w:val="pt-PT"/>
                <w14:ligatures w14:val="standardContextual"/>
              </w:rPr>
              <w:t xml:space="preserve"> </w:t>
            </w:r>
            <w:r w:rsidRPr="00F0379B">
              <w:rPr>
                <w:rFonts w:ascii="Cambria" w:eastAsia="Century" w:hAnsi="Cambria"/>
                <w:spacing w:val="-1"/>
                <w:sz w:val="20"/>
                <w:szCs w:val="20"/>
                <w:lang w:val="pt-PT"/>
                <w14:ligatures w14:val="standardContextual"/>
              </w:rPr>
              <w:t>02º10,962'W</w:t>
            </w:r>
            <w:r w:rsidRPr="00F0379B">
              <w:rPr>
                <w:rFonts w:ascii="Cambria" w:eastAsia="Century" w:hAnsi="Cambria"/>
                <w:spacing w:val="33"/>
                <w:sz w:val="20"/>
                <w:szCs w:val="20"/>
                <w:lang w:val="pt-PT"/>
                <w14:ligatures w14:val="standardContextual"/>
              </w:rPr>
              <w:t xml:space="preserve"> </w:t>
            </w:r>
            <w:r w:rsidRPr="00F0379B">
              <w:rPr>
                <w:rFonts w:ascii="Cambria" w:eastAsia="Century" w:hAnsi="Cambria"/>
                <w:spacing w:val="-1"/>
                <w:sz w:val="20"/>
                <w:szCs w:val="20"/>
                <w:lang w:val="pt-PT"/>
                <w14:ligatures w14:val="standardContextual"/>
              </w:rPr>
              <w:t>B:43º22,564'N</w:t>
            </w:r>
            <w:r w:rsidRPr="00F0379B">
              <w:rPr>
                <w:rFonts w:ascii="Cambria" w:eastAsia="Century" w:hAnsi="Cambria"/>
                <w:sz w:val="20"/>
                <w:szCs w:val="20"/>
                <w:lang w:val="pt-PT"/>
                <w14:ligatures w14:val="standardContextual"/>
              </w:rPr>
              <w:t xml:space="preserve"> </w:t>
            </w:r>
            <w:r w:rsidRPr="00F0379B">
              <w:rPr>
                <w:rFonts w:ascii="Cambria" w:eastAsia="Century" w:hAnsi="Cambria"/>
                <w:spacing w:val="-1"/>
                <w:sz w:val="20"/>
                <w:szCs w:val="20"/>
                <w:lang w:val="pt-PT"/>
                <w14:ligatures w14:val="standardContextual"/>
              </w:rPr>
              <w:t>02º10,353'W</w:t>
            </w:r>
            <w:r w:rsidRPr="00F0379B">
              <w:rPr>
                <w:rFonts w:ascii="Cambria" w:eastAsia="Century" w:hAnsi="Cambria"/>
                <w:spacing w:val="37"/>
                <w:sz w:val="20"/>
                <w:szCs w:val="20"/>
                <w:lang w:val="pt-PT"/>
                <w14:ligatures w14:val="standardContextual"/>
              </w:rPr>
              <w:t xml:space="preserve"> </w:t>
            </w:r>
            <w:r w:rsidRPr="00F0379B">
              <w:rPr>
                <w:rFonts w:ascii="Cambria" w:eastAsia="Century" w:hAnsi="Cambria"/>
                <w:spacing w:val="-1"/>
                <w:sz w:val="20"/>
                <w:szCs w:val="20"/>
                <w:lang w:val="pt-PT"/>
                <w14:ligatures w14:val="standardContextual"/>
              </w:rPr>
              <w:t>C:43º22,166'</w:t>
            </w:r>
            <w:r w:rsidRPr="00F0379B">
              <w:rPr>
                <w:rFonts w:ascii="Cambria" w:eastAsia="Arial" w:hAnsi="Cambria"/>
                <w:spacing w:val="-1"/>
                <w:sz w:val="20"/>
                <w:szCs w:val="20"/>
                <w:lang w:val="pt-PT"/>
                <w14:ligatures w14:val="standardContextual"/>
              </w:rPr>
              <w:t>N</w:t>
            </w:r>
            <w:r w:rsidRPr="00F0379B">
              <w:rPr>
                <w:rFonts w:ascii="Cambria" w:eastAsia="Century" w:hAnsi="Cambria"/>
                <w:sz w:val="20"/>
                <w:szCs w:val="20"/>
                <w:lang w:val="pt-PT"/>
                <w14:ligatures w14:val="standardContextual"/>
              </w:rPr>
              <w:t xml:space="preserve"> </w:t>
            </w:r>
            <w:r w:rsidRPr="00F0379B">
              <w:rPr>
                <w:rFonts w:ascii="Cambria" w:eastAsia="Century" w:hAnsi="Cambria"/>
                <w:spacing w:val="-1"/>
                <w:sz w:val="20"/>
                <w:szCs w:val="20"/>
                <w:lang w:val="pt-PT"/>
                <w14:ligatures w14:val="standardContextual"/>
              </w:rPr>
              <w:t>02º10,080'W</w:t>
            </w:r>
            <w:r w:rsidRPr="00F0379B">
              <w:rPr>
                <w:rFonts w:ascii="Cambria" w:eastAsia="Century" w:hAnsi="Cambria"/>
                <w:spacing w:val="33"/>
                <w:sz w:val="20"/>
                <w:szCs w:val="20"/>
                <w:lang w:val="pt-PT"/>
                <w14:ligatures w14:val="standardContextual"/>
              </w:rPr>
              <w:t xml:space="preserve"> </w:t>
            </w:r>
            <w:r w:rsidRPr="00F0379B">
              <w:rPr>
                <w:rFonts w:ascii="Cambria" w:eastAsia="Century" w:hAnsi="Cambria"/>
                <w:spacing w:val="-1"/>
                <w:sz w:val="20"/>
                <w:szCs w:val="20"/>
                <w:lang w:val="pt-PT"/>
                <w14:ligatures w14:val="standardContextual"/>
              </w:rPr>
              <w:t>D:43º21,953'N</w:t>
            </w:r>
            <w:r w:rsidRPr="00F0379B">
              <w:rPr>
                <w:rFonts w:ascii="Cambria" w:eastAsia="Century" w:hAnsi="Cambria"/>
                <w:sz w:val="20"/>
                <w:szCs w:val="20"/>
                <w:lang w:val="pt-PT"/>
                <w14:ligatures w14:val="standardContextual"/>
              </w:rPr>
              <w:t xml:space="preserve"> </w:t>
            </w:r>
            <w:r w:rsidRPr="00F0379B">
              <w:rPr>
                <w:rFonts w:ascii="Cambria" w:eastAsia="Century" w:hAnsi="Cambria"/>
                <w:spacing w:val="-1"/>
                <w:sz w:val="20"/>
                <w:szCs w:val="20"/>
                <w:lang w:val="pt-PT"/>
                <w14:ligatures w14:val="standardContextual"/>
              </w:rPr>
              <w:t>02º10,706'W</w:t>
            </w:r>
          </w:p>
        </w:tc>
        <w:tc>
          <w:tcPr>
            <w:tcW w:w="2466" w:type="dxa"/>
            <w:vAlign w:val="center"/>
          </w:tcPr>
          <w:p w14:paraId="120F57EE" w14:textId="77777777" w:rsidR="009123AC" w:rsidRPr="00F0379B" w:rsidRDefault="009123AC" w:rsidP="009123AC">
            <w:pPr>
              <w:spacing w:after="0" w:line="240" w:lineRule="auto"/>
              <w:jc w:val="center"/>
              <w:rPr>
                <w:rFonts w:ascii="Cambria" w:eastAsia="Century" w:hAnsi="Cambria"/>
                <w:spacing w:val="-1"/>
                <w:sz w:val="20"/>
                <w:szCs w:val="20"/>
                <w:lang w:val="en-IE"/>
                <w14:ligatures w14:val="standardContextual"/>
              </w:rPr>
            </w:pPr>
            <w:r w:rsidRPr="00F0379B">
              <w:rPr>
                <w:rFonts w:ascii="Cambria" w:eastAsia="Century" w:hAnsi="Cambria"/>
                <w:spacing w:val="-1"/>
                <w:sz w:val="20"/>
                <w:szCs w:val="20"/>
                <w:lang w:val="en-IE"/>
                <w14:ligatures w14:val="standardContextual"/>
              </w:rPr>
              <w:t>200,00</w:t>
            </w:r>
          </w:p>
        </w:tc>
      </w:tr>
      <w:bookmarkEnd w:id="10"/>
      <w:tr w:rsidR="009123AC" w:rsidRPr="00F0379B" w14:paraId="6E331081" w14:textId="77777777" w:rsidTr="00CA749B">
        <w:trPr>
          <w:trHeight w:val="57"/>
        </w:trPr>
        <w:tc>
          <w:tcPr>
            <w:tcW w:w="2020" w:type="dxa"/>
            <w:vAlign w:val="center"/>
          </w:tcPr>
          <w:p w14:paraId="13E54037" w14:textId="77777777" w:rsidR="009123AC" w:rsidRPr="00F0379B" w:rsidRDefault="009123AC" w:rsidP="009123AC">
            <w:pPr>
              <w:spacing w:after="0" w:line="240" w:lineRule="auto"/>
              <w:ind w:left="102"/>
              <w:rPr>
                <w:rFonts w:ascii="Cambria" w:eastAsia="Century" w:hAnsi="Cambria"/>
                <w:spacing w:val="-1"/>
                <w:sz w:val="20"/>
                <w:szCs w:val="20"/>
                <w:lang w:val="en-IE"/>
                <w14:ligatures w14:val="standardContextual"/>
              </w:rPr>
            </w:pPr>
            <w:r w:rsidRPr="00F0379B">
              <w:rPr>
                <w:rFonts w:ascii="Cambria" w:eastAsia="Cambria" w:hAnsi="Cambria" w:cs="Cambria"/>
                <w:color w:val="000000" w:themeColor="text1"/>
                <w:kern w:val="2"/>
                <w:sz w:val="20"/>
                <w:szCs w:val="20"/>
                <w:lang w:eastAsia="ja-JP"/>
                <w14:ligatures w14:val="standardContextual"/>
              </w:rPr>
              <w:t>PISCIFACTORIAS DEL MEDITERRANEO 2</w:t>
            </w:r>
          </w:p>
        </w:tc>
        <w:tc>
          <w:tcPr>
            <w:tcW w:w="1614" w:type="dxa"/>
            <w:vAlign w:val="center"/>
          </w:tcPr>
          <w:p w14:paraId="5CDD42D7" w14:textId="77777777" w:rsidR="009123AC" w:rsidRPr="00F0379B" w:rsidRDefault="009123AC" w:rsidP="009123AC">
            <w:pPr>
              <w:spacing w:after="0" w:line="240" w:lineRule="auto"/>
              <w:ind w:left="50" w:hanging="2"/>
              <w:rPr>
                <w:rFonts w:ascii="Cambria" w:eastAsia="MS Gothic" w:hAnsi="Cambria" w:cs="Times New Roman"/>
                <w:sz w:val="20"/>
                <w:szCs w:val="20"/>
                <w:lang w:val="en-IE" w:eastAsia="fr-FR" w:bidi="fr-FR"/>
                <w14:ligatures w14:val="standardContextual"/>
              </w:rPr>
            </w:pPr>
            <w:r w:rsidRPr="00F0379B">
              <w:rPr>
                <w:rFonts w:ascii="Cambria" w:eastAsia="Cambria" w:hAnsi="Cambria" w:cs="Cambria"/>
                <w:color w:val="000000" w:themeColor="text1"/>
                <w:kern w:val="2"/>
                <w:sz w:val="20"/>
                <w:szCs w:val="20"/>
                <w:lang w:eastAsia="ja-JP"/>
                <w14:ligatures w14:val="standardContextual"/>
              </w:rPr>
              <w:t>ATEU1ESP00019</w:t>
            </w:r>
          </w:p>
        </w:tc>
        <w:tc>
          <w:tcPr>
            <w:tcW w:w="2960" w:type="dxa"/>
            <w:gridSpan w:val="2"/>
            <w:vAlign w:val="center"/>
          </w:tcPr>
          <w:p w14:paraId="2F5A092C" w14:textId="77777777" w:rsidR="009123AC" w:rsidRPr="00F0379B" w:rsidRDefault="009123AC" w:rsidP="009123AC">
            <w:pPr>
              <w:widowControl w:val="0"/>
              <w:spacing w:after="0" w:line="240" w:lineRule="auto"/>
              <w:rPr>
                <w:rFonts w:ascii="Cambria" w:eastAsiaTheme="minorHAnsi" w:hAnsi="Cambria"/>
                <w:sz w:val="20"/>
                <w:szCs w:val="20"/>
                <w:lang w:val="pt-PT"/>
              </w:rPr>
            </w:pPr>
            <w:r w:rsidRPr="00F0379B">
              <w:rPr>
                <w:rFonts w:ascii="Cambria" w:eastAsiaTheme="minorHAnsi" w:hAnsi="Cambria"/>
                <w:sz w:val="20"/>
                <w:szCs w:val="20"/>
                <w:lang w:val="pt-PT"/>
              </w:rPr>
              <w:t>A 37º 53,064’ N     0º 41,780’ W</w:t>
            </w:r>
          </w:p>
          <w:p w14:paraId="2C1EB95F" w14:textId="77777777" w:rsidR="009123AC" w:rsidRPr="00F0379B" w:rsidRDefault="009123AC" w:rsidP="009123AC">
            <w:pPr>
              <w:widowControl w:val="0"/>
              <w:spacing w:after="0" w:line="240" w:lineRule="auto"/>
              <w:rPr>
                <w:rFonts w:ascii="Cambria" w:eastAsiaTheme="minorHAnsi" w:hAnsi="Cambria"/>
                <w:sz w:val="20"/>
                <w:szCs w:val="20"/>
                <w:lang w:val="pt-PT"/>
              </w:rPr>
            </w:pPr>
            <w:r w:rsidRPr="00F0379B">
              <w:rPr>
                <w:rFonts w:ascii="Cambria" w:eastAsiaTheme="minorHAnsi" w:hAnsi="Cambria"/>
                <w:sz w:val="20"/>
                <w:szCs w:val="20"/>
                <w:lang w:val="pt-PT"/>
              </w:rPr>
              <w:t xml:space="preserve">B 37º 52,987’ N </w:t>
            </w:r>
            <w:r w:rsidRPr="00F0379B">
              <w:rPr>
                <w:rFonts w:ascii="Cambria" w:eastAsiaTheme="minorHAnsi" w:hAnsi="Cambria"/>
                <w:sz w:val="20"/>
                <w:szCs w:val="20"/>
                <w:lang w:val="pt-PT"/>
              </w:rPr>
              <w:tab/>
              <w:t xml:space="preserve"> 0º 41,453’ W</w:t>
            </w:r>
          </w:p>
          <w:p w14:paraId="31BA49EE" w14:textId="77777777" w:rsidR="009123AC" w:rsidRPr="00F0379B" w:rsidRDefault="009123AC" w:rsidP="009123AC">
            <w:pPr>
              <w:widowControl w:val="0"/>
              <w:spacing w:after="0" w:line="240" w:lineRule="auto"/>
              <w:rPr>
                <w:rFonts w:ascii="Cambria" w:eastAsiaTheme="minorHAnsi" w:hAnsi="Cambria"/>
                <w:sz w:val="20"/>
                <w:szCs w:val="20"/>
                <w:lang w:val="pt-PT"/>
              </w:rPr>
            </w:pPr>
            <w:r w:rsidRPr="00F0379B">
              <w:rPr>
                <w:rFonts w:ascii="Cambria" w:eastAsiaTheme="minorHAnsi" w:hAnsi="Cambria"/>
                <w:sz w:val="20"/>
                <w:szCs w:val="20"/>
                <w:lang w:val="pt-PT"/>
              </w:rPr>
              <w:t xml:space="preserve">C 37º 52,520’ N </w:t>
            </w:r>
            <w:r w:rsidRPr="00F0379B">
              <w:rPr>
                <w:rFonts w:ascii="Cambria" w:eastAsiaTheme="minorHAnsi" w:hAnsi="Cambria"/>
                <w:sz w:val="20"/>
                <w:szCs w:val="20"/>
                <w:lang w:val="pt-PT"/>
              </w:rPr>
              <w:tab/>
              <w:t xml:space="preserve"> 0º 41,627’ W</w:t>
            </w:r>
          </w:p>
          <w:p w14:paraId="52B2EFD3" w14:textId="77777777" w:rsidR="009123AC" w:rsidRPr="00F0379B" w:rsidRDefault="009123AC" w:rsidP="009123AC">
            <w:pPr>
              <w:spacing w:after="0" w:line="240" w:lineRule="auto"/>
              <w:ind w:right="68"/>
              <w:rPr>
                <w:rFonts w:ascii="Cambria" w:eastAsia="Century" w:hAnsi="Cambria"/>
                <w:sz w:val="20"/>
                <w:szCs w:val="20"/>
                <w:lang w:val="pt-PT"/>
                <w14:ligatures w14:val="standardContextual"/>
              </w:rPr>
            </w:pPr>
            <w:r w:rsidRPr="00F0379B">
              <w:rPr>
                <w:rFonts w:ascii="Cambria" w:eastAsiaTheme="minorEastAsia" w:hAnsi="Cambria"/>
                <w:kern w:val="2"/>
                <w:sz w:val="20"/>
                <w:szCs w:val="20"/>
                <w:lang w:val="pt-PT" w:eastAsia="ja-JP"/>
                <w14:ligatures w14:val="standardContextual"/>
              </w:rPr>
              <w:t xml:space="preserve">D 37º 52,597’ N </w:t>
            </w:r>
            <w:r w:rsidRPr="00F0379B">
              <w:rPr>
                <w:rFonts w:ascii="Cambria" w:eastAsiaTheme="minorEastAsia" w:hAnsi="Cambria"/>
                <w:kern w:val="2"/>
                <w:sz w:val="20"/>
                <w:szCs w:val="20"/>
                <w:lang w:val="pt-PT" w:eastAsia="ja-JP"/>
                <w14:ligatures w14:val="standardContextual"/>
              </w:rPr>
              <w:tab/>
              <w:t xml:space="preserve"> 0º 41,954’ W</w:t>
            </w:r>
          </w:p>
        </w:tc>
        <w:tc>
          <w:tcPr>
            <w:tcW w:w="2466" w:type="dxa"/>
            <w:vAlign w:val="center"/>
          </w:tcPr>
          <w:p w14:paraId="35A74C9E" w14:textId="77777777" w:rsidR="009123AC" w:rsidRPr="00F0379B" w:rsidRDefault="009123AC" w:rsidP="009123AC">
            <w:pPr>
              <w:spacing w:after="0" w:line="240" w:lineRule="auto"/>
              <w:jc w:val="center"/>
              <w:rPr>
                <w:rFonts w:ascii="Cambria" w:eastAsia="Century" w:hAnsi="Cambria"/>
                <w:sz w:val="20"/>
                <w:szCs w:val="20"/>
                <w:lang w:val="en-IE"/>
                <w14:ligatures w14:val="standardContextual"/>
              </w:rPr>
            </w:pPr>
            <w:r w:rsidRPr="00F0379B">
              <w:rPr>
                <w:rFonts w:ascii="Cambria" w:eastAsiaTheme="minorEastAsia" w:hAnsi="Cambria"/>
                <w:kern w:val="2"/>
                <w:sz w:val="20"/>
                <w:szCs w:val="20"/>
                <w:lang w:val="en-IE" w:eastAsia="ja-JP"/>
                <w14:ligatures w14:val="standardContextual"/>
              </w:rPr>
              <w:t>70</w:t>
            </w:r>
          </w:p>
        </w:tc>
      </w:tr>
      <w:tr w:rsidR="009123AC" w:rsidRPr="00F0379B" w14:paraId="3A6BFC55" w14:textId="77777777" w:rsidTr="00CA749B">
        <w:trPr>
          <w:trHeight w:val="57"/>
        </w:trPr>
        <w:tc>
          <w:tcPr>
            <w:tcW w:w="2020" w:type="dxa"/>
            <w:vAlign w:val="center"/>
          </w:tcPr>
          <w:p w14:paraId="380D0D2A" w14:textId="77777777" w:rsidR="009123AC" w:rsidRPr="00F0379B" w:rsidRDefault="009123AC" w:rsidP="009123AC">
            <w:pPr>
              <w:spacing w:after="0" w:line="240" w:lineRule="auto"/>
              <w:ind w:left="102"/>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Mediterraneo</w:t>
            </w:r>
          </w:p>
        </w:tc>
        <w:tc>
          <w:tcPr>
            <w:tcW w:w="1614" w:type="dxa"/>
            <w:vAlign w:val="center"/>
          </w:tcPr>
          <w:p w14:paraId="67BED81A" w14:textId="77777777" w:rsidR="009123AC" w:rsidRPr="00F0379B" w:rsidRDefault="009123AC" w:rsidP="009123AC">
            <w:pPr>
              <w:spacing w:after="0" w:line="240" w:lineRule="auto"/>
              <w:ind w:left="50" w:hanging="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ATEU1ESP00014</w:t>
            </w:r>
          </w:p>
        </w:tc>
        <w:tc>
          <w:tcPr>
            <w:tcW w:w="2960" w:type="dxa"/>
            <w:gridSpan w:val="2"/>
            <w:vAlign w:val="center"/>
          </w:tcPr>
          <w:p w14:paraId="1F75411A" w14:textId="77777777" w:rsidR="009123AC" w:rsidRPr="00F0379B" w:rsidRDefault="009123AC" w:rsidP="00693889">
            <w:pPr>
              <w:spacing w:after="0" w:line="240" w:lineRule="auto"/>
              <w:ind w:left="99" w:right="211"/>
              <w:rPr>
                <w:rFonts w:ascii="Cambria" w:eastAsia="Century" w:hAnsi="Cambria"/>
                <w:spacing w:val="26"/>
                <w:sz w:val="20"/>
                <w:szCs w:val="20"/>
                <w:lang w:val="pt-PT"/>
                <w14:ligatures w14:val="standardContextual"/>
              </w:rPr>
            </w:pPr>
            <w:bookmarkStart w:id="11" w:name="_Hlk127784839"/>
            <w:r w:rsidRPr="00F0379B">
              <w:rPr>
                <w:rFonts w:ascii="Cambria" w:eastAsia="Century" w:hAnsi="Cambria"/>
                <w:sz w:val="20"/>
                <w:szCs w:val="20"/>
                <w:lang w:val="pt-PT"/>
                <w14:ligatures w14:val="standardContextual"/>
              </w:rPr>
              <w:t>A: 37º</w:t>
            </w:r>
            <w:r w:rsidRPr="00F0379B">
              <w:rPr>
                <w:rFonts w:ascii="Cambria" w:eastAsia="Century" w:hAnsi="Cambria"/>
                <w:spacing w:val="-1"/>
                <w:sz w:val="20"/>
                <w:szCs w:val="20"/>
                <w:lang w:val="pt-PT"/>
                <w14:ligatures w14:val="standardContextual"/>
              </w:rPr>
              <w:t xml:space="preserve"> 49`,6 N</w:t>
            </w:r>
            <w:r w:rsidRPr="00F0379B">
              <w:rPr>
                <w:rFonts w:ascii="Cambria" w:eastAsia="Century" w:hAnsi="Cambria"/>
                <w:sz w:val="20"/>
                <w:szCs w:val="20"/>
                <w:lang w:val="pt-PT"/>
                <w14:ligatures w14:val="standardContextual"/>
              </w:rPr>
              <w:t xml:space="preserve"> </w:t>
            </w:r>
            <w:r w:rsidRPr="00F0379B">
              <w:rPr>
                <w:rFonts w:ascii="Cambria" w:eastAsia="Century" w:hAnsi="Cambria"/>
                <w:spacing w:val="-1"/>
                <w:sz w:val="20"/>
                <w:szCs w:val="20"/>
                <w:lang w:val="pt-PT"/>
                <w14:ligatures w14:val="standardContextual"/>
              </w:rPr>
              <w:t xml:space="preserve">000º </w:t>
            </w:r>
            <w:r w:rsidRPr="00F0379B">
              <w:rPr>
                <w:rFonts w:ascii="Cambria" w:eastAsia="Century" w:hAnsi="Cambria"/>
                <w:sz w:val="20"/>
                <w:szCs w:val="20"/>
                <w:lang w:val="pt-PT"/>
                <w14:ligatures w14:val="standardContextual"/>
              </w:rPr>
              <w:t>40´,7</w:t>
            </w:r>
            <w:r w:rsidRPr="00F0379B">
              <w:rPr>
                <w:rFonts w:ascii="Cambria" w:eastAsia="Century" w:hAnsi="Cambria"/>
                <w:spacing w:val="-6"/>
                <w:sz w:val="20"/>
                <w:szCs w:val="20"/>
                <w:lang w:val="pt-PT"/>
                <w14:ligatures w14:val="standardContextual"/>
              </w:rPr>
              <w:t xml:space="preserve"> </w:t>
            </w:r>
            <w:r w:rsidRPr="00F0379B">
              <w:rPr>
                <w:rFonts w:ascii="Cambria" w:eastAsia="Century" w:hAnsi="Cambria"/>
                <w:sz w:val="20"/>
                <w:szCs w:val="20"/>
                <w:lang w:val="pt-PT"/>
                <w14:ligatures w14:val="standardContextual"/>
              </w:rPr>
              <w:t>W</w:t>
            </w:r>
            <w:r w:rsidRPr="00F0379B">
              <w:rPr>
                <w:rFonts w:ascii="Cambria" w:eastAsia="Century" w:hAnsi="Cambria"/>
                <w:spacing w:val="26"/>
                <w:sz w:val="20"/>
                <w:szCs w:val="20"/>
                <w:lang w:val="pt-PT"/>
                <w14:ligatures w14:val="standardContextual"/>
              </w:rPr>
              <w:t xml:space="preserve"> </w:t>
            </w:r>
          </w:p>
          <w:p w14:paraId="704F4C3F" w14:textId="77777777" w:rsidR="009123AC" w:rsidRPr="00F0379B" w:rsidRDefault="009123AC" w:rsidP="00693889">
            <w:pPr>
              <w:spacing w:after="0" w:line="240" w:lineRule="auto"/>
              <w:ind w:left="99" w:right="211"/>
              <w:rPr>
                <w:rFonts w:ascii="Cambria" w:eastAsia="Century" w:hAnsi="Cambria"/>
                <w:spacing w:val="25"/>
                <w:sz w:val="20"/>
                <w:szCs w:val="20"/>
                <w:lang w:val="pt-PT"/>
                <w14:ligatures w14:val="standardContextual"/>
              </w:rPr>
            </w:pPr>
            <w:r w:rsidRPr="00F0379B">
              <w:rPr>
                <w:rFonts w:ascii="Cambria" w:eastAsia="Century" w:hAnsi="Cambria"/>
                <w:sz w:val="20"/>
                <w:szCs w:val="20"/>
                <w:lang w:val="pt-PT"/>
                <w14:ligatures w14:val="standardContextual"/>
              </w:rPr>
              <w:t>C:</w:t>
            </w:r>
            <w:r w:rsidRPr="00F0379B">
              <w:rPr>
                <w:rFonts w:ascii="Cambria" w:eastAsia="Century" w:hAnsi="Cambria"/>
                <w:spacing w:val="2"/>
                <w:sz w:val="20"/>
                <w:szCs w:val="20"/>
                <w:lang w:val="pt-PT"/>
                <w14:ligatures w14:val="standardContextual"/>
              </w:rPr>
              <w:t xml:space="preserve"> </w:t>
            </w:r>
            <w:r w:rsidRPr="00F0379B">
              <w:rPr>
                <w:rFonts w:ascii="Cambria" w:eastAsia="Century" w:hAnsi="Cambria"/>
                <w:sz w:val="20"/>
                <w:szCs w:val="20"/>
                <w:lang w:val="pt-PT"/>
                <w14:ligatures w14:val="standardContextual"/>
              </w:rPr>
              <w:t>37º</w:t>
            </w:r>
            <w:r w:rsidRPr="00F0379B">
              <w:rPr>
                <w:rFonts w:ascii="Cambria" w:eastAsia="Century" w:hAnsi="Cambria"/>
                <w:spacing w:val="2"/>
                <w:sz w:val="20"/>
                <w:szCs w:val="20"/>
                <w:lang w:val="pt-PT"/>
                <w14:ligatures w14:val="standardContextual"/>
              </w:rPr>
              <w:t xml:space="preserve"> </w:t>
            </w:r>
            <w:r w:rsidRPr="00F0379B">
              <w:rPr>
                <w:rFonts w:ascii="Cambria" w:eastAsia="Century" w:hAnsi="Cambria"/>
                <w:spacing w:val="-1"/>
                <w:sz w:val="20"/>
                <w:szCs w:val="20"/>
                <w:lang w:val="pt-PT"/>
                <w14:ligatures w14:val="standardContextual"/>
              </w:rPr>
              <w:t>49´,6 N</w:t>
            </w:r>
            <w:r w:rsidRPr="00F0379B">
              <w:rPr>
                <w:rFonts w:ascii="Cambria" w:eastAsia="Century" w:hAnsi="Cambria"/>
                <w:spacing w:val="3"/>
                <w:sz w:val="20"/>
                <w:szCs w:val="20"/>
                <w:lang w:val="pt-PT"/>
                <w14:ligatures w14:val="standardContextual"/>
              </w:rPr>
              <w:t xml:space="preserve"> </w:t>
            </w:r>
            <w:r w:rsidRPr="00F0379B">
              <w:rPr>
                <w:rFonts w:ascii="Cambria" w:eastAsia="Century" w:hAnsi="Cambria"/>
                <w:sz w:val="20"/>
                <w:szCs w:val="20"/>
                <w:lang w:val="pt-PT"/>
                <w14:ligatures w14:val="standardContextual"/>
              </w:rPr>
              <w:t>000º</w:t>
            </w:r>
            <w:r w:rsidRPr="00F0379B">
              <w:rPr>
                <w:rFonts w:ascii="Cambria" w:eastAsia="Century" w:hAnsi="Cambria"/>
                <w:spacing w:val="2"/>
                <w:sz w:val="20"/>
                <w:szCs w:val="20"/>
                <w:lang w:val="pt-PT"/>
                <w14:ligatures w14:val="standardContextual"/>
              </w:rPr>
              <w:t xml:space="preserve"> </w:t>
            </w:r>
            <w:r w:rsidRPr="00F0379B">
              <w:rPr>
                <w:rFonts w:ascii="Cambria" w:eastAsia="Century" w:hAnsi="Cambria"/>
                <w:spacing w:val="-1"/>
                <w:sz w:val="20"/>
                <w:szCs w:val="20"/>
                <w:lang w:val="pt-PT"/>
                <w14:ligatures w14:val="standardContextual"/>
              </w:rPr>
              <w:t>40´,4W</w:t>
            </w:r>
            <w:r w:rsidRPr="00F0379B">
              <w:rPr>
                <w:rFonts w:ascii="Cambria" w:eastAsia="Century" w:hAnsi="Cambria"/>
                <w:spacing w:val="25"/>
                <w:sz w:val="20"/>
                <w:szCs w:val="20"/>
                <w:lang w:val="pt-PT"/>
                <w14:ligatures w14:val="standardContextual"/>
              </w:rPr>
              <w:t xml:space="preserve"> </w:t>
            </w:r>
          </w:p>
          <w:p w14:paraId="2D2D09DE" w14:textId="77777777" w:rsidR="009123AC" w:rsidRPr="00F0379B" w:rsidRDefault="009123AC" w:rsidP="00693889">
            <w:pPr>
              <w:spacing w:after="0" w:line="240" w:lineRule="auto"/>
              <w:ind w:left="99" w:right="211"/>
              <w:rPr>
                <w:rFonts w:ascii="Cambria" w:eastAsia="Century" w:hAnsi="Cambria"/>
                <w:spacing w:val="25"/>
                <w:sz w:val="20"/>
                <w:szCs w:val="20"/>
                <w:lang w:val="pt-PT"/>
                <w14:ligatures w14:val="standardContextual"/>
              </w:rPr>
            </w:pPr>
            <w:r w:rsidRPr="00F0379B">
              <w:rPr>
                <w:rFonts w:ascii="Cambria" w:eastAsia="Century" w:hAnsi="Cambria"/>
                <w:sz w:val="20"/>
                <w:szCs w:val="20"/>
                <w:lang w:val="pt-PT"/>
                <w14:ligatures w14:val="standardContextual"/>
              </w:rPr>
              <w:t>B: 37º</w:t>
            </w:r>
            <w:r w:rsidRPr="00F0379B">
              <w:rPr>
                <w:rFonts w:ascii="Cambria" w:eastAsia="Century" w:hAnsi="Cambria"/>
                <w:spacing w:val="-1"/>
                <w:sz w:val="20"/>
                <w:szCs w:val="20"/>
                <w:lang w:val="pt-PT"/>
                <w14:ligatures w14:val="standardContextual"/>
              </w:rPr>
              <w:t xml:space="preserve"> 49´,0</w:t>
            </w:r>
            <w:r w:rsidRPr="00F0379B">
              <w:rPr>
                <w:rFonts w:ascii="Cambria" w:eastAsia="Century" w:hAnsi="Cambria"/>
                <w:sz w:val="20"/>
                <w:szCs w:val="20"/>
                <w:lang w:val="pt-PT"/>
                <w14:ligatures w14:val="standardContextual"/>
              </w:rPr>
              <w:t xml:space="preserve"> N </w:t>
            </w:r>
            <w:r w:rsidRPr="00F0379B">
              <w:rPr>
                <w:rFonts w:ascii="Cambria" w:eastAsia="Century" w:hAnsi="Cambria"/>
                <w:spacing w:val="-1"/>
                <w:sz w:val="20"/>
                <w:szCs w:val="20"/>
                <w:lang w:val="pt-PT"/>
                <w14:ligatures w14:val="standardContextual"/>
              </w:rPr>
              <w:t xml:space="preserve">000º </w:t>
            </w:r>
            <w:r w:rsidRPr="00F0379B">
              <w:rPr>
                <w:rFonts w:ascii="Cambria" w:eastAsia="Century" w:hAnsi="Cambria"/>
                <w:sz w:val="20"/>
                <w:szCs w:val="20"/>
                <w:lang w:val="pt-PT"/>
                <w14:ligatures w14:val="standardContextual"/>
              </w:rPr>
              <w:t>40´,5</w:t>
            </w:r>
            <w:r w:rsidRPr="00F0379B">
              <w:rPr>
                <w:rFonts w:ascii="Cambria" w:eastAsia="Century" w:hAnsi="Cambria"/>
                <w:spacing w:val="-6"/>
                <w:sz w:val="20"/>
                <w:szCs w:val="20"/>
                <w:lang w:val="pt-PT"/>
                <w14:ligatures w14:val="standardContextual"/>
              </w:rPr>
              <w:t xml:space="preserve"> </w:t>
            </w:r>
            <w:r w:rsidRPr="00F0379B">
              <w:rPr>
                <w:rFonts w:ascii="Cambria" w:eastAsia="Century" w:hAnsi="Cambria"/>
                <w:sz w:val="20"/>
                <w:szCs w:val="20"/>
                <w:lang w:val="pt-PT"/>
                <w14:ligatures w14:val="standardContextual"/>
              </w:rPr>
              <w:t>W</w:t>
            </w:r>
            <w:r w:rsidRPr="00F0379B">
              <w:rPr>
                <w:rFonts w:ascii="Cambria" w:eastAsia="Century" w:hAnsi="Cambria"/>
                <w:spacing w:val="25"/>
                <w:sz w:val="20"/>
                <w:szCs w:val="20"/>
                <w:lang w:val="pt-PT"/>
                <w14:ligatures w14:val="standardContextual"/>
              </w:rPr>
              <w:t xml:space="preserve"> </w:t>
            </w:r>
          </w:p>
          <w:p w14:paraId="33E06297" w14:textId="77777777" w:rsidR="009123AC" w:rsidRPr="00F0379B" w:rsidRDefault="009123AC" w:rsidP="00693889">
            <w:pPr>
              <w:tabs>
                <w:tab w:val="left" w:pos="1896"/>
              </w:tabs>
              <w:spacing w:after="0" w:line="240" w:lineRule="auto"/>
              <w:ind w:left="99" w:right="211"/>
              <w:rPr>
                <w:rFonts w:ascii="Cambria" w:eastAsia="Century" w:hAnsi="Cambria"/>
                <w:sz w:val="20"/>
                <w:szCs w:val="20"/>
                <w:lang w:val="pt-PT"/>
                <w14:ligatures w14:val="standardContextual"/>
              </w:rPr>
            </w:pPr>
            <w:r w:rsidRPr="00F0379B">
              <w:rPr>
                <w:rFonts w:ascii="Cambria" w:eastAsia="Century" w:hAnsi="Cambria"/>
                <w:sz w:val="20"/>
                <w:szCs w:val="20"/>
                <w:lang w:val="pt-PT"/>
                <w14:ligatures w14:val="standardContextual"/>
              </w:rPr>
              <w:t>D: 37º</w:t>
            </w:r>
            <w:r w:rsidRPr="00F0379B">
              <w:rPr>
                <w:rFonts w:ascii="Cambria" w:eastAsia="Century" w:hAnsi="Cambria"/>
                <w:spacing w:val="-1"/>
                <w:sz w:val="20"/>
                <w:szCs w:val="20"/>
                <w:lang w:val="pt-PT"/>
                <w14:ligatures w14:val="standardContextual"/>
              </w:rPr>
              <w:t xml:space="preserve"> 49´,0</w:t>
            </w:r>
            <w:r w:rsidRPr="00F0379B">
              <w:rPr>
                <w:rFonts w:ascii="Cambria" w:eastAsia="Century" w:hAnsi="Cambria"/>
                <w:sz w:val="20"/>
                <w:szCs w:val="20"/>
                <w:lang w:val="pt-PT"/>
                <w14:ligatures w14:val="standardContextual"/>
              </w:rPr>
              <w:t xml:space="preserve"> N </w:t>
            </w:r>
            <w:r w:rsidRPr="00F0379B">
              <w:rPr>
                <w:rFonts w:ascii="Cambria" w:eastAsia="Century" w:hAnsi="Cambria"/>
                <w:spacing w:val="-1"/>
                <w:sz w:val="20"/>
                <w:szCs w:val="20"/>
                <w:lang w:val="pt-PT"/>
                <w14:ligatures w14:val="standardContextual"/>
              </w:rPr>
              <w:t xml:space="preserve">000º </w:t>
            </w:r>
            <w:r w:rsidRPr="00F0379B">
              <w:rPr>
                <w:rFonts w:ascii="Cambria" w:eastAsia="Century" w:hAnsi="Cambria"/>
                <w:sz w:val="20"/>
                <w:szCs w:val="20"/>
                <w:lang w:val="pt-PT"/>
                <w14:ligatures w14:val="standardContextual"/>
              </w:rPr>
              <w:t>41´,0</w:t>
            </w:r>
            <w:r w:rsidRPr="00F0379B">
              <w:rPr>
                <w:rFonts w:ascii="Cambria" w:eastAsia="Century" w:hAnsi="Cambria"/>
                <w:spacing w:val="-6"/>
                <w:sz w:val="20"/>
                <w:szCs w:val="20"/>
                <w:lang w:val="pt-PT"/>
                <w14:ligatures w14:val="standardContextual"/>
              </w:rPr>
              <w:t xml:space="preserve"> </w:t>
            </w:r>
            <w:r w:rsidRPr="00F0379B">
              <w:rPr>
                <w:rFonts w:ascii="Cambria" w:eastAsia="Century" w:hAnsi="Cambria"/>
                <w:spacing w:val="3"/>
                <w:sz w:val="20"/>
                <w:szCs w:val="20"/>
                <w:lang w:val="pt-PT"/>
                <w14:ligatures w14:val="standardContextual"/>
              </w:rPr>
              <w:t>W"</w:t>
            </w:r>
            <w:bookmarkEnd w:id="11"/>
          </w:p>
        </w:tc>
        <w:tc>
          <w:tcPr>
            <w:tcW w:w="2466" w:type="dxa"/>
            <w:vAlign w:val="center"/>
          </w:tcPr>
          <w:p w14:paraId="423305A2" w14:textId="77777777" w:rsidR="009123AC" w:rsidRPr="00F0379B" w:rsidRDefault="009123AC" w:rsidP="009123AC">
            <w:pPr>
              <w:spacing w:after="0" w:line="240" w:lineRule="auto"/>
              <w:jc w:val="center"/>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1000,00</w:t>
            </w:r>
          </w:p>
        </w:tc>
      </w:tr>
      <w:tr w:rsidR="009123AC" w:rsidRPr="00F0379B" w14:paraId="59FC15F3" w14:textId="77777777" w:rsidTr="00693889">
        <w:trPr>
          <w:trHeight w:val="57"/>
        </w:trPr>
        <w:tc>
          <w:tcPr>
            <w:tcW w:w="2020" w:type="dxa"/>
            <w:vAlign w:val="center"/>
          </w:tcPr>
          <w:p w14:paraId="5BBC129B" w14:textId="77777777" w:rsidR="009123AC" w:rsidRPr="00F0379B" w:rsidRDefault="009123AC" w:rsidP="009123AC">
            <w:pPr>
              <w:tabs>
                <w:tab w:val="left" w:pos="874"/>
              </w:tabs>
              <w:spacing w:after="0" w:line="240" w:lineRule="auto"/>
              <w:ind w:left="102" w:right="104"/>
              <w:rPr>
                <w:rFonts w:ascii="Cambria" w:eastAsia="Century" w:hAnsi="Cambria"/>
                <w:sz w:val="20"/>
                <w:szCs w:val="20"/>
                <w14:ligatures w14:val="standardContextual"/>
              </w:rPr>
            </w:pPr>
            <w:r w:rsidRPr="00F0379B">
              <w:rPr>
                <w:rFonts w:ascii="Cambria" w:eastAsia="Century" w:hAnsi="Cambria"/>
                <w:spacing w:val="-1"/>
                <w:w w:val="95"/>
                <w:sz w:val="20"/>
                <w:szCs w:val="20"/>
                <w14:ligatures w14:val="standardContextual"/>
              </w:rPr>
              <w:t xml:space="preserve">Jadran </w:t>
            </w:r>
            <w:r w:rsidRPr="00F0379B">
              <w:rPr>
                <w:rFonts w:ascii="Cambria" w:eastAsia="Century" w:hAnsi="Cambria"/>
                <w:w w:val="95"/>
                <w:sz w:val="20"/>
                <w:szCs w:val="20"/>
                <w14:ligatures w14:val="standardContextual"/>
              </w:rPr>
              <w:t>Tuna</w:t>
            </w:r>
            <w:r w:rsidRPr="00F0379B">
              <w:rPr>
                <w:rFonts w:ascii="Cambria" w:eastAsia="Century" w:hAnsi="Cambria"/>
                <w:spacing w:val="24"/>
                <w:w w:val="99"/>
                <w:sz w:val="20"/>
                <w:szCs w:val="20"/>
                <w14:ligatures w14:val="standardContextual"/>
              </w:rPr>
              <w:t xml:space="preserve"> </w:t>
            </w:r>
            <w:r w:rsidRPr="00F0379B">
              <w:rPr>
                <w:rFonts w:ascii="Cambria" w:eastAsia="Century" w:hAnsi="Cambria"/>
                <w:spacing w:val="-1"/>
                <w:sz w:val="20"/>
                <w:szCs w:val="20"/>
                <w14:ligatures w14:val="standardContextual"/>
              </w:rPr>
              <w:t>D.O.O.</w:t>
            </w:r>
          </w:p>
        </w:tc>
        <w:tc>
          <w:tcPr>
            <w:tcW w:w="1614" w:type="dxa"/>
            <w:vAlign w:val="center"/>
          </w:tcPr>
          <w:p w14:paraId="5922BA52" w14:textId="77777777" w:rsidR="009123AC" w:rsidRPr="00F0379B" w:rsidRDefault="009123AC" w:rsidP="009123AC">
            <w:pPr>
              <w:spacing w:after="0" w:line="240" w:lineRule="auto"/>
              <w:ind w:left="50" w:hanging="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ATEU1HRV00008</w:t>
            </w:r>
          </w:p>
        </w:tc>
        <w:tc>
          <w:tcPr>
            <w:tcW w:w="1470" w:type="dxa"/>
            <w:vAlign w:val="center"/>
          </w:tcPr>
          <w:p w14:paraId="24FF2CFA" w14:textId="77777777" w:rsidR="00693889" w:rsidRPr="00F0379B" w:rsidRDefault="009123AC" w:rsidP="009123AC">
            <w:pPr>
              <w:spacing w:after="0" w:line="240" w:lineRule="auto"/>
              <w:ind w:left="99" w:right="155"/>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y</w:t>
            </w:r>
          </w:p>
          <w:p w14:paraId="2452B8DA" w14:textId="00FDD5C9" w:rsidR="009123AC" w:rsidRPr="00F0379B" w:rsidRDefault="009123AC" w:rsidP="009123AC">
            <w:pPr>
              <w:spacing w:after="0" w:line="240" w:lineRule="auto"/>
              <w:ind w:left="99" w:right="155"/>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5540056,00</w:t>
            </w:r>
          </w:p>
          <w:p w14:paraId="148A4D9A"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5540410,00</w:t>
            </w:r>
          </w:p>
          <w:p w14:paraId="18CFCE96"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5539883,45</w:t>
            </w:r>
          </w:p>
          <w:p w14:paraId="77350876"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5540237,52</w:t>
            </w:r>
          </w:p>
        </w:tc>
        <w:tc>
          <w:tcPr>
            <w:tcW w:w="1490" w:type="dxa"/>
            <w:vAlign w:val="center"/>
          </w:tcPr>
          <w:p w14:paraId="48928B01" w14:textId="77777777" w:rsidR="009123AC" w:rsidRPr="00F0379B" w:rsidRDefault="009123AC" w:rsidP="009123AC">
            <w:pPr>
              <w:spacing w:after="0" w:line="240" w:lineRule="auto"/>
              <w:ind w:left="99" w:right="570"/>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 xml:space="preserve">x </w:t>
            </w:r>
          </w:p>
          <w:p w14:paraId="38EB942F" w14:textId="77777777" w:rsidR="009123AC" w:rsidRPr="00F0379B" w:rsidRDefault="009123AC" w:rsidP="009123AC">
            <w:pPr>
              <w:spacing w:after="0" w:line="240" w:lineRule="auto"/>
              <w:ind w:left="99" w:right="68"/>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4854937,00</w:t>
            </w:r>
          </w:p>
          <w:p w14:paraId="40A09B5A"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4854333,00</w:t>
            </w:r>
          </w:p>
          <w:p w14:paraId="6C74A216"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4854835,87</w:t>
            </w:r>
          </w:p>
          <w:p w14:paraId="517B1064"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4854231,75</w:t>
            </w:r>
          </w:p>
        </w:tc>
        <w:tc>
          <w:tcPr>
            <w:tcW w:w="2466" w:type="dxa"/>
            <w:vAlign w:val="center"/>
          </w:tcPr>
          <w:p w14:paraId="7930A377" w14:textId="77777777" w:rsidR="009123AC" w:rsidRPr="00F0379B" w:rsidRDefault="009123AC" w:rsidP="009123AC">
            <w:pPr>
              <w:spacing w:after="0" w:line="240" w:lineRule="auto"/>
              <w:jc w:val="center"/>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707,969</w:t>
            </w:r>
          </w:p>
        </w:tc>
      </w:tr>
      <w:tr w:rsidR="009123AC" w:rsidRPr="00F0379B" w14:paraId="13C5CB5A" w14:textId="77777777" w:rsidTr="00693889">
        <w:trPr>
          <w:trHeight w:val="57"/>
        </w:trPr>
        <w:tc>
          <w:tcPr>
            <w:tcW w:w="2020" w:type="dxa"/>
            <w:vAlign w:val="center"/>
          </w:tcPr>
          <w:p w14:paraId="36E2DFB9" w14:textId="77777777" w:rsidR="009123AC" w:rsidRPr="00F0379B" w:rsidRDefault="009123AC" w:rsidP="009123AC">
            <w:pPr>
              <w:tabs>
                <w:tab w:val="left" w:pos="1011"/>
              </w:tabs>
              <w:spacing w:after="0" w:line="240" w:lineRule="auto"/>
              <w:ind w:left="102" w:right="105"/>
              <w:rPr>
                <w:rFonts w:ascii="Cambria" w:eastAsia="Century" w:hAnsi="Cambria"/>
                <w:sz w:val="20"/>
                <w:szCs w:val="20"/>
                <w:lang w:val="pt-PT"/>
                <w14:ligatures w14:val="standardContextual"/>
              </w:rPr>
            </w:pPr>
            <w:r w:rsidRPr="00F0379B">
              <w:rPr>
                <w:rFonts w:ascii="Cambria" w:eastAsia="Century" w:hAnsi="Cambria"/>
                <w:spacing w:val="-1"/>
                <w:w w:val="95"/>
                <w:sz w:val="20"/>
                <w:szCs w:val="20"/>
                <w:lang w:val="pt-PT"/>
                <w14:ligatures w14:val="standardContextual"/>
              </w:rPr>
              <w:t xml:space="preserve">Pelagos </w:t>
            </w:r>
            <w:r w:rsidRPr="00F0379B">
              <w:rPr>
                <w:rFonts w:ascii="Cambria" w:eastAsia="Century" w:hAnsi="Cambria"/>
                <w:spacing w:val="-1"/>
                <w:sz w:val="20"/>
                <w:szCs w:val="20"/>
                <w:lang w:val="pt-PT"/>
                <w14:ligatures w14:val="standardContextual"/>
              </w:rPr>
              <w:t>Net</w:t>
            </w:r>
            <w:r w:rsidRPr="00F0379B">
              <w:rPr>
                <w:rFonts w:ascii="Cambria" w:eastAsia="Century" w:hAnsi="Cambria"/>
                <w:spacing w:val="25"/>
                <w:w w:val="99"/>
                <w:sz w:val="20"/>
                <w:szCs w:val="20"/>
                <w:lang w:val="pt-PT"/>
                <w14:ligatures w14:val="standardContextual"/>
              </w:rPr>
              <w:t xml:space="preserve"> </w:t>
            </w:r>
            <w:r w:rsidRPr="00F0379B">
              <w:rPr>
                <w:rFonts w:ascii="Cambria" w:eastAsia="Century" w:hAnsi="Cambria"/>
                <w:spacing w:val="-1"/>
                <w:sz w:val="20"/>
                <w:szCs w:val="20"/>
                <w:lang w:val="pt-PT"/>
                <w14:ligatures w14:val="standardContextual"/>
              </w:rPr>
              <w:t>Farma</w:t>
            </w:r>
            <w:r w:rsidRPr="00F0379B">
              <w:rPr>
                <w:rFonts w:ascii="Cambria" w:eastAsia="Century" w:hAnsi="Cambria"/>
                <w:spacing w:val="-12"/>
                <w:sz w:val="20"/>
                <w:szCs w:val="20"/>
                <w:lang w:val="pt-PT"/>
                <w14:ligatures w14:val="standardContextual"/>
              </w:rPr>
              <w:t xml:space="preserve"> </w:t>
            </w:r>
            <w:r w:rsidRPr="00F0379B">
              <w:rPr>
                <w:rFonts w:ascii="Cambria" w:eastAsia="Century" w:hAnsi="Cambria"/>
                <w:sz w:val="20"/>
                <w:szCs w:val="20"/>
                <w:lang w:val="pt-PT"/>
                <w14:ligatures w14:val="standardContextual"/>
              </w:rPr>
              <w:t>D.O.O.</w:t>
            </w:r>
          </w:p>
        </w:tc>
        <w:tc>
          <w:tcPr>
            <w:tcW w:w="1614" w:type="dxa"/>
            <w:vAlign w:val="center"/>
          </w:tcPr>
          <w:p w14:paraId="38AD8AE2" w14:textId="77777777" w:rsidR="009123AC" w:rsidRPr="00F0379B" w:rsidRDefault="009123AC" w:rsidP="009123AC">
            <w:pPr>
              <w:spacing w:after="0" w:line="240" w:lineRule="auto"/>
              <w:ind w:left="50" w:hanging="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ATEU1HRV00011</w:t>
            </w:r>
          </w:p>
        </w:tc>
        <w:tc>
          <w:tcPr>
            <w:tcW w:w="1470" w:type="dxa"/>
            <w:vAlign w:val="center"/>
          </w:tcPr>
          <w:p w14:paraId="0D3E9B80" w14:textId="77777777" w:rsidR="007344DF" w:rsidRPr="00F0379B" w:rsidRDefault="009123AC" w:rsidP="009123AC">
            <w:pPr>
              <w:spacing w:after="0" w:line="240" w:lineRule="auto"/>
              <w:ind w:left="99" w:right="155"/>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y</w:t>
            </w:r>
          </w:p>
          <w:p w14:paraId="74B5CF4C" w14:textId="360587FC" w:rsidR="009123AC" w:rsidRPr="00F0379B" w:rsidRDefault="009123AC" w:rsidP="009123AC">
            <w:pPr>
              <w:spacing w:after="0" w:line="240" w:lineRule="auto"/>
              <w:ind w:left="99" w:right="155"/>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5521777,07</w:t>
            </w:r>
          </w:p>
          <w:p w14:paraId="7DDE9695"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5522396,80</w:t>
            </w:r>
          </w:p>
          <w:p w14:paraId="5F43DB9F"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5522324,84</w:t>
            </w:r>
          </w:p>
          <w:p w14:paraId="494D4897"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5521705,39</w:t>
            </w:r>
          </w:p>
        </w:tc>
        <w:tc>
          <w:tcPr>
            <w:tcW w:w="1490" w:type="dxa"/>
            <w:vAlign w:val="center"/>
          </w:tcPr>
          <w:p w14:paraId="34E69CED" w14:textId="77777777" w:rsidR="009123AC" w:rsidRPr="00F0379B" w:rsidRDefault="009123AC" w:rsidP="009123AC">
            <w:pPr>
              <w:spacing w:after="0" w:line="240" w:lineRule="auto"/>
              <w:ind w:left="99" w:right="570"/>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 xml:space="preserve">x </w:t>
            </w:r>
          </w:p>
          <w:p w14:paraId="0E1F024C" w14:textId="77777777" w:rsidR="009123AC" w:rsidRPr="00F0379B" w:rsidRDefault="009123AC" w:rsidP="009123AC">
            <w:pPr>
              <w:spacing w:after="0" w:line="240" w:lineRule="auto"/>
              <w:ind w:left="99" w:right="210"/>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4865868,10</w:t>
            </w:r>
          </w:p>
          <w:p w14:paraId="56A7DB0D"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4865705,51</w:t>
            </w:r>
          </w:p>
          <w:p w14:paraId="008B5978"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4865434,70</w:t>
            </w:r>
          </w:p>
          <w:p w14:paraId="7CF3F89A"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4865597,28</w:t>
            </w:r>
          </w:p>
        </w:tc>
        <w:tc>
          <w:tcPr>
            <w:tcW w:w="2466" w:type="dxa"/>
            <w:vAlign w:val="center"/>
          </w:tcPr>
          <w:p w14:paraId="36952C00" w14:textId="77777777" w:rsidR="009123AC" w:rsidRPr="00F0379B" w:rsidRDefault="009123AC" w:rsidP="009123AC">
            <w:pPr>
              <w:spacing w:after="0" w:line="240" w:lineRule="auto"/>
              <w:jc w:val="center"/>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683,298</w:t>
            </w:r>
          </w:p>
        </w:tc>
      </w:tr>
      <w:tr w:rsidR="009123AC" w:rsidRPr="00F0379B" w14:paraId="26F750DF" w14:textId="77777777" w:rsidTr="00693889">
        <w:trPr>
          <w:trHeight w:val="57"/>
        </w:trPr>
        <w:tc>
          <w:tcPr>
            <w:tcW w:w="2020" w:type="dxa"/>
            <w:vAlign w:val="center"/>
          </w:tcPr>
          <w:p w14:paraId="2616FCE3" w14:textId="77777777" w:rsidR="009123AC" w:rsidRPr="00F0379B" w:rsidRDefault="009123AC" w:rsidP="009123AC">
            <w:pPr>
              <w:spacing w:after="0" w:line="240" w:lineRule="auto"/>
              <w:ind w:left="102" w:right="420"/>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Sardina</w:t>
            </w:r>
            <w:r w:rsidRPr="00F0379B">
              <w:rPr>
                <w:rFonts w:ascii="Cambria" w:eastAsia="Century" w:hAnsi="Cambria"/>
                <w:spacing w:val="24"/>
                <w:w w:val="99"/>
                <w:sz w:val="20"/>
                <w:szCs w:val="20"/>
                <w:lang w:val="en-IE"/>
                <w14:ligatures w14:val="standardContextual"/>
              </w:rPr>
              <w:t xml:space="preserve"> </w:t>
            </w:r>
            <w:r w:rsidRPr="00F0379B">
              <w:rPr>
                <w:rFonts w:ascii="Cambria" w:eastAsia="Century" w:hAnsi="Cambria"/>
                <w:spacing w:val="-1"/>
                <w:sz w:val="20"/>
                <w:szCs w:val="20"/>
                <w:lang w:val="en-IE"/>
                <w14:ligatures w14:val="standardContextual"/>
              </w:rPr>
              <w:t>D.O.O.</w:t>
            </w:r>
          </w:p>
        </w:tc>
        <w:tc>
          <w:tcPr>
            <w:tcW w:w="1614" w:type="dxa"/>
            <w:vAlign w:val="center"/>
          </w:tcPr>
          <w:p w14:paraId="5AF044FD" w14:textId="77777777" w:rsidR="009123AC" w:rsidRPr="00F0379B" w:rsidRDefault="009123AC" w:rsidP="009123AC">
            <w:pPr>
              <w:spacing w:after="0" w:line="240" w:lineRule="auto"/>
              <w:ind w:left="50" w:hanging="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ATEU1HRV00006</w:t>
            </w:r>
          </w:p>
        </w:tc>
        <w:tc>
          <w:tcPr>
            <w:tcW w:w="1470" w:type="dxa"/>
            <w:vAlign w:val="center"/>
          </w:tcPr>
          <w:p w14:paraId="4E938469" w14:textId="77777777" w:rsidR="009123AC" w:rsidRPr="00F0379B" w:rsidRDefault="009123AC" w:rsidP="009123AC">
            <w:pPr>
              <w:spacing w:after="0" w:line="240" w:lineRule="auto"/>
              <w:ind w:left="99" w:right="13"/>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 xml:space="preserve">y </w:t>
            </w:r>
          </w:p>
          <w:p w14:paraId="0C4B9C92" w14:textId="77777777" w:rsidR="009123AC" w:rsidRPr="00F0379B" w:rsidRDefault="009123AC" w:rsidP="009123AC">
            <w:pPr>
              <w:spacing w:after="0" w:line="240" w:lineRule="auto"/>
              <w:ind w:left="99" w:right="13"/>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5620531</w:t>
            </w:r>
          </w:p>
          <w:p w14:paraId="4BC23A25" w14:textId="77777777" w:rsidR="009123AC" w:rsidRPr="00F0379B" w:rsidRDefault="009123AC" w:rsidP="009123AC">
            <w:pPr>
              <w:spacing w:after="0" w:line="240" w:lineRule="auto"/>
              <w:ind w:left="99" w:right="13"/>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5620851,14</w:t>
            </w:r>
          </w:p>
          <w:p w14:paraId="753D849D" w14:textId="77777777" w:rsidR="009123AC" w:rsidRPr="00F0379B" w:rsidRDefault="009123AC" w:rsidP="009123AC">
            <w:pPr>
              <w:spacing w:after="0" w:line="240" w:lineRule="auto"/>
              <w:ind w:left="99" w:right="13"/>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5620663,29</w:t>
            </w:r>
          </w:p>
          <w:p w14:paraId="54157FCF" w14:textId="77777777" w:rsidR="009123AC" w:rsidRPr="00F0379B" w:rsidRDefault="009123AC" w:rsidP="009123AC">
            <w:pPr>
              <w:spacing w:after="0" w:line="240" w:lineRule="auto"/>
              <w:ind w:left="99" w:right="13"/>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5620343,141</w:t>
            </w:r>
          </w:p>
        </w:tc>
        <w:tc>
          <w:tcPr>
            <w:tcW w:w="1490" w:type="dxa"/>
            <w:vAlign w:val="center"/>
          </w:tcPr>
          <w:p w14:paraId="57D4FCF1" w14:textId="77777777" w:rsidR="009123AC" w:rsidRPr="00F0379B" w:rsidRDefault="009123AC" w:rsidP="009123AC">
            <w:pPr>
              <w:spacing w:after="0" w:line="240" w:lineRule="auto"/>
              <w:ind w:left="96" w:right="13"/>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 xml:space="preserve">x </w:t>
            </w:r>
          </w:p>
          <w:p w14:paraId="20F8941A" w14:textId="77777777" w:rsidR="009123AC" w:rsidRPr="00F0379B" w:rsidRDefault="009123AC" w:rsidP="009123AC">
            <w:pPr>
              <w:spacing w:after="0" w:line="240" w:lineRule="auto"/>
              <w:ind w:left="96" w:right="13"/>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4795026,75</w:t>
            </w:r>
          </w:p>
          <w:p w14:paraId="7B566828" w14:textId="77777777" w:rsidR="009123AC" w:rsidRPr="00F0379B" w:rsidRDefault="009123AC" w:rsidP="009123AC">
            <w:pPr>
              <w:spacing w:after="0" w:line="240" w:lineRule="auto"/>
              <w:ind w:left="96" w:right="13"/>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4794700</w:t>
            </w:r>
          </w:p>
          <w:p w14:paraId="3CE6C802" w14:textId="77777777" w:rsidR="009123AC" w:rsidRPr="00F0379B" w:rsidRDefault="009123AC" w:rsidP="009123AC">
            <w:pPr>
              <w:spacing w:after="0" w:line="240" w:lineRule="auto"/>
              <w:ind w:left="96" w:right="13"/>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4794518,74</w:t>
            </w:r>
          </w:p>
          <w:p w14:paraId="7C93C9C4" w14:textId="77777777" w:rsidR="009123AC" w:rsidRPr="00F0379B" w:rsidRDefault="009123AC" w:rsidP="009123AC">
            <w:pPr>
              <w:spacing w:after="0" w:line="240" w:lineRule="auto"/>
              <w:ind w:left="96" w:right="13"/>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4794846,83</w:t>
            </w:r>
          </w:p>
        </w:tc>
        <w:tc>
          <w:tcPr>
            <w:tcW w:w="2466" w:type="dxa"/>
            <w:vAlign w:val="center"/>
          </w:tcPr>
          <w:p w14:paraId="4CB06AA0" w14:textId="77777777" w:rsidR="009123AC" w:rsidRPr="00F0379B" w:rsidRDefault="009123AC" w:rsidP="009123AC">
            <w:pPr>
              <w:spacing w:after="0" w:line="240" w:lineRule="auto"/>
              <w:jc w:val="center"/>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693,735</w:t>
            </w:r>
          </w:p>
        </w:tc>
      </w:tr>
      <w:tr w:rsidR="009123AC" w:rsidRPr="00F0379B" w14:paraId="11675ACF" w14:textId="77777777" w:rsidTr="00693889">
        <w:trPr>
          <w:trHeight w:val="57"/>
        </w:trPr>
        <w:tc>
          <w:tcPr>
            <w:tcW w:w="2020" w:type="dxa"/>
            <w:vMerge w:val="restart"/>
            <w:vAlign w:val="center"/>
          </w:tcPr>
          <w:p w14:paraId="78E63F31" w14:textId="77777777" w:rsidR="009123AC" w:rsidRPr="00F0379B" w:rsidRDefault="009123AC" w:rsidP="009123AC">
            <w:pPr>
              <w:spacing w:after="0" w:line="240" w:lineRule="auto"/>
              <w:ind w:left="102" w:right="104"/>
              <w:rPr>
                <w:rFonts w:ascii="Cambria" w:eastAsia="Century" w:hAnsi="Cambria"/>
                <w:sz w:val="20"/>
                <w:szCs w:val="20"/>
                <w:lang w:val="it-IT"/>
                <w14:ligatures w14:val="standardContextual"/>
              </w:rPr>
            </w:pPr>
            <w:r w:rsidRPr="00F0379B">
              <w:rPr>
                <w:rFonts w:ascii="Cambria" w:eastAsia="Century" w:hAnsi="Cambria"/>
                <w:spacing w:val="-1"/>
                <w:w w:val="95"/>
                <w:sz w:val="20"/>
                <w:szCs w:val="20"/>
                <w:lang w:val="it-IT"/>
                <w14:ligatures w14:val="standardContextual"/>
              </w:rPr>
              <w:t xml:space="preserve">Kali </w:t>
            </w:r>
            <w:r w:rsidRPr="00F0379B">
              <w:rPr>
                <w:rFonts w:ascii="Cambria" w:eastAsia="Century" w:hAnsi="Cambria"/>
                <w:spacing w:val="-1"/>
                <w:sz w:val="20"/>
                <w:szCs w:val="20"/>
                <w:lang w:val="it-IT"/>
                <w14:ligatures w14:val="standardContextual"/>
              </w:rPr>
              <w:t>Tuna</w:t>
            </w:r>
            <w:r w:rsidRPr="00F0379B">
              <w:rPr>
                <w:rFonts w:ascii="Cambria" w:eastAsia="Century" w:hAnsi="Cambria"/>
                <w:spacing w:val="26"/>
                <w:w w:val="99"/>
                <w:sz w:val="20"/>
                <w:szCs w:val="20"/>
                <w:lang w:val="it-IT"/>
                <w14:ligatures w14:val="standardContextual"/>
              </w:rPr>
              <w:t xml:space="preserve"> </w:t>
            </w:r>
            <w:r w:rsidRPr="00F0379B">
              <w:rPr>
                <w:rFonts w:ascii="Cambria" w:eastAsia="Century" w:hAnsi="Cambria"/>
                <w:spacing w:val="-1"/>
                <w:sz w:val="20"/>
                <w:szCs w:val="20"/>
                <w:lang w:val="it-IT"/>
                <w14:ligatures w14:val="standardContextual"/>
              </w:rPr>
              <w:t>D.O.O.</w:t>
            </w:r>
          </w:p>
        </w:tc>
        <w:tc>
          <w:tcPr>
            <w:tcW w:w="1614" w:type="dxa"/>
            <w:vMerge w:val="restart"/>
            <w:vAlign w:val="center"/>
          </w:tcPr>
          <w:p w14:paraId="3413463E" w14:textId="77777777" w:rsidR="009123AC" w:rsidRPr="00F0379B" w:rsidRDefault="009123AC" w:rsidP="009123AC">
            <w:pPr>
              <w:spacing w:after="0" w:line="240" w:lineRule="auto"/>
              <w:ind w:left="50" w:hanging="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ATEU1HRV00012</w:t>
            </w:r>
          </w:p>
        </w:tc>
        <w:tc>
          <w:tcPr>
            <w:tcW w:w="1470" w:type="dxa"/>
            <w:vAlign w:val="center"/>
          </w:tcPr>
          <w:p w14:paraId="627A93B6" w14:textId="477AB017" w:rsidR="009123AC" w:rsidRPr="00F0379B" w:rsidRDefault="007344DF" w:rsidP="009123AC">
            <w:pPr>
              <w:spacing w:after="0" w:line="240" w:lineRule="auto"/>
              <w:ind w:left="99" w:right="13"/>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y</w:t>
            </w:r>
          </w:p>
          <w:p w14:paraId="13818922" w14:textId="77777777" w:rsidR="009123AC" w:rsidRPr="00F0379B" w:rsidRDefault="009123AC" w:rsidP="009123AC">
            <w:pPr>
              <w:spacing w:after="0" w:line="240" w:lineRule="auto"/>
              <w:ind w:left="99" w:right="13"/>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5514248,71</w:t>
            </w:r>
          </w:p>
          <w:p w14:paraId="6B7692EC" w14:textId="77777777" w:rsidR="009123AC" w:rsidRPr="00F0379B" w:rsidRDefault="009123AC" w:rsidP="009123AC">
            <w:pPr>
              <w:spacing w:after="0" w:line="240" w:lineRule="auto"/>
              <w:ind w:left="99" w:right="13"/>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5514346,2201</w:t>
            </w:r>
          </w:p>
          <w:p w14:paraId="3EEF6311" w14:textId="77777777" w:rsidR="009123AC" w:rsidRPr="00F0379B" w:rsidRDefault="009123AC" w:rsidP="009123AC">
            <w:pPr>
              <w:spacing w:after="0" w:line="240" w:lineRule="auto"/>
              <w:ind w:left="99" w:right="13"/>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5514401,68</w:t>
            </w:r>
          </w:p>
          <w:p w14:paraId="00B85C6B" w14:textId="77777777" w:rsidR="009123AC" w:rsidRPr="00F0379B" w:rsidRDefault="009123AC" w:rsidP="009123AC">
            <w:pPr>
              <w:spacing w:after="0" w:line="240" w:lineRule="auto"/>
              <w:ind w:left="99" w:right="13"/>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5514499,2376</w:t>
            </w:r>
          </w:p>
        </w:tc>
        <w:tc>
          <w:tcPr>
            <w:tcW w:w="1490" w:type="dxa"/>
            <w:vAlign w:val="center"/>
          </w:tcPr>
          <w:p w14:paraId="3BBE3529" w14:textId="77777777" w:rsidR="009123AC" w:rsidRPr="00F0379B" w:rsidRDefault="009123AC" w:rsidP="009123AC">
            <w:pPr>
              <w:spacing w:after="0" w:line="240" w:lineRule="auto"/>
              <w:ind w:left="99" w:right="13"/>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 xml:space="preserve">x </w:t>
            </w:r>
          </w:p>
          <w:p w14:paraId="0B0A39E5" w14:textId="77777777" w:rsidR="009123AC" w:rsidRPr="00F0379B" w:rsidRDefault="009123AC" w:rsidP="009123AC">
            <w:pPr>
              <w:spacing w:after="0" w:line="240" w:lineRule="auto"/>
              <w:ind w:left="99" w:right="13"/>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4877864,54</w:t>
            </w:r>
          </w:p>
          <w:p w14:paraId="225BB686" w14:textId="77777777" w:rsidR="009123AC" w:rsidRPr="00F0379B" w:rsidRDefault="009123AC" w:rsidP="009123AC">
            <w:pPr>
              <w:spacing w:after="0" w:line="240" w:lineRule="auto"/>
              <w:ind w:left="99" w:right="13"/>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4877750,5522</w:t>
            </w:r>
          </w:p>
          <w:p w14:paraId="3375EC3A" w14:textId="77777777" w:rsidR="009123AC" w:rsidRPr="00F0379B" w:rsidRDefault="009123AC" w:rsidP="009123AC">
            <w:pPr>
              <w:spacing w:after="0" w:line="240" w:lineRule="auto"/>
              <w:ind w:left="99" w:right="13"/>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4877993,40</w:t>
            </w:r>
          </w:p>
          <w:p w14:paraId="4DF433BA" w14:textId="77777777" w:rsidR="009123AC" w:rsidRPr="00F0379B" w:rsidRDefault="009123AC" w:rsidP="009123AC">
            <w:pPr>
              <w:spacing w:after="0" w:line="240" w:lineRule="auto"/>
              <w:ind w:left="99" w:right="13"/>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4877879,4528</w:t>
            </w:r>
          </w:p>
        </w:tc>
        <w:tc>
          <w:tcPr>
            <w:tcW w:w="2466" w:type="dxa"/>
            <w:vMerge w:val="restart"/>
            <w:vAlign w:val="center"/>
          </w:tcPr>
          <w:p w14:paraId="2C714B6D" w14:textId="77777777" w:rsidR="009123AC" w:rsidRPr="00F0379B" w:rsidRDefault="009123AC" w:rsidP="009123AC">
            <w:pPr>
              <w:spacing w:after="0" w:line="240" w:lineRule="auto"/>
              <w:jc w:val="center"/>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567,298</w:t>
            </w:r>
          </w:p>
        </w:tc>
      </w:tr>
      <w:tr w:rsidR="009123AC" w:rsidRPr="00F0379B" w14:paraId="733D9A65" w14:textId="77777777" w:rsidTr="00693889">
        <w:trPr>
          <w:trHeight w:val="57"/>
        </w:trPr>
        <w:tc>
          <w:tcPr>
            <w:tcW w:w="2020" w:type="dxa"/>
            <w:vMerge/>
            <w:vAlign w:val="center"/>
          </w:tcPr>
          <w:p w14:paraId="4513723E" w14:textId="77777777" w:rsidR="009123AC" w:rsidRPr="00F0379B" w:rsidRDefault="009123AC" w:rsidP="009123AC">
            <w:pPr>
              <w:spacing w:after="0" w:line="240" w:lineRule="auto"/>
              <w:rPr>
                <w:rFonts w:ascii="Cambria" w:eastAsia="MS Gothic" w:hAnsi="Cambria" w:cs="Times New Roman"/>
                <w:color w:val="000000"/>
                <w:sz w:val="20"/>
                <w:szCs w:val="20"/>
                <w:lang w:val="en-IE" w:eastAsia="fr-FR" w:bidi="fr-FR"/>
                <w14:ligatures w14:val="standardContextual"/>
              </w:rPr>
            </w:pPr>
          </w:p>
        </w:tc>
        <w:tc>
          <w:tcPr>
            <w:tcW w:w="1614" w:type="dxa"/>
            <w:vMerge/>
            <w:vAlign w:val="center"/>
          </w:tcPr>
          <w:p w14:paraId="16129376" w14:textId="77777777" w:rsidR="009123AC" w:rsidRPr="00F0379B" w:rsidRDefault="009123AC" w:rsidP="009123AC">
            <w:pPr>
              <w:spacing w:after="0" w:line="240" w:lineRule="auto"/>
              <w:ind w:left="139" w:hanging="2"/>
              <w:rPr>
                <w:rFonts w:ascii="Cambria" w:eastAsia="MS Gothic" w:hAnsi="Cambria" w:cs="Times New Roman"/>
                <w:sz w:val="20"/>
                <w:szCs w:val="20"/>
                <w:lang w:val="en-IE" w:eastAsia="fr-FR" w:bidi="fr-FR"/>
                <w14:ligatures w14:val="standardContextual"/>
              </w:rPr>
            </w:pPr>
          </w:p>
        </w:tc>
        <w:tc>
          <w:tcPr>
            <w:tcW w:w="1470" w:type="dxa"/>
            <w:vAlign w:val="center"/>
          </w:tcPr>
          <w:p w14:paraId="61AFCEA9"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5515214,66</w:t>
            </w:r>
          </w:p>
          <w:p w14:paraId="30981D76"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5514694,4002</w:t>
            </w:r>
          </w:p>
          <w:p w14:paraId="56AEF934"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5515061,69</w:t>
            </w:r>
          </w:p>
          <w:p w14:paraId="119B28B8"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5514541,3353</w:t>
            </w:r>
          </w:p>
        </w:tc>
        <w:tc>
          <w:tcPr>
            <w:tcW w:w="1490" w:type="dxa"/>
            <w:vAlign w:val="center"/>
          </w:tcPr>
          <w:p w14:paraId="0875D2BE"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4877043,84</w:t>
            </w:r>
          </w:p>
          <w:p w14:paraId="2B2289D5"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4877651,5991</w:t>
            </w:r>
          </w:p>
          <w:p w14:paraId="670E7CCE"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4876914,98</w:t>
            </w:r>
          </w:p>
          <w:p w14:paraId="31D6CF2B"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4877522,6578</w:t>
            </w:r>
          </w:p>
        </w:tc>
        <w:tc>
          <w:tcPr>
            <w:tcW w:w="2466" w:type="dxa"/>
            <w:vMerge/>
            <w:vAlign w:val="center"/>
          </w:tcPr>
          <w:p w14:paraId="18D6606B" w14:textId="77777777" w:rsidR="009123AC" w:rsidRPr="00F0379B" w:rsidRDefault="009123AC" w:rsidP="009123AC">
            <w:pPr>
              <w:spacing w:after="0" w:line="240" w:lineRule="auto"/>
              <w:jc w:val="center"/>
              <w:rPr>
                <w:rFonts w:ascii="Cambria" w:eastAsia="MS Gothic" w:hAnsi="Cambria" w:cs="Times New Roman"/>
                <w:color w:val="000000"/>
                <w:sz w:val="20"/>
                <w:szCs w:val="20"/>
                <w:lang w:val="en-IE" w:eastAsia="fr-FR" w:bidi="fr-FR"/>
                <w14:ligatures w14:val="standardContextual"/>
              </w:rPr>
            </w:pPr>
          </w:p>
        </w:tc>
      </w:tr>
      <w:tr w:rsidR="009123AC" w:rsidRPr="00F0379B" w14:paraId="08CD92CF" w14:textId="77777777" w:rsidTr="00693889">
        <w:trPr>
          <w:trHeight w:val="57"/>
        </w:trPr>
        <w:tc>
          <w:tcPr>
            <w:tcW w:w="2020" w:type="dxa"/>
            <w:vMerge/>
            <w:vAlign w:val="center"/>
          </w:tcPr>
          <w:p w14:paraId="1D59175E" w14:textId="77777777" w:rsidR="009123AC" w:rsidRPr="00F0379B" w:rsidRDefault="009123AC" w:rsidP="009123AC">
            <w:pPr>
              <w:spacing w:after="0" w:line="240" w:lineRule="auto"/>
              <w:rPr>
                <w:rFonts w:ascii="Cambria" w:eastAsia="MS Gothic" w:hAnsi="Cambria" w:cs="Times New Roman"/>
                <w:color w:val="000000"/>
                <w:sz w:val="20"/>
                <w:szCs w:val="20"/>
                <w:lang w:val="en-IE" w:eastAsia="fr-FR" w:bidi="fr-FR"/>
                <w14:ligatures w14:val="standardContextual"/>
              </w:rPr>
            </w:pPr>
          </w:p>
        </w:tc>
        <w:tc>
          <w:tcPr>
            <w:tcW w:w="1614" w:type="dxa"/>
            <w:vMerge/>
            <w:vAlign w:val="center"/>
          </w:tcPr>
          <w:p w14:paraId="7DE24298" w14:textId="77777777" w:rsidR="009123AC" w:rsidRPr="00F0379B" w:rsidRDefault="009123AC" w:rsidP="009123AC">
            <w:pPr>
              <w:spacing w:after="0" w:line="240" w:lineRule="auto"/>
              <w:ind w:left="139" w:hanging="2"/>
              <w:rPr>
                <w:rFonts w:ascii="Cambria" w:eastAsia="MS Gothic" w:hAnsi="Cambria" w:cs="Times New Roman"/>
                <w:sz w:val="20"/>
                <w:szCs w:val="20"/>
                <w:lang w:val="en-IE" w:eastAsia="fr-FR" w:bidi="fr-FR"/>
                <w14:ligatures w14:val="standardContextual"/>
              </w:rPr>
            </w:pPr>
          </w:p>
        </w:tc>
        <w:tc>
          <w:tcPr>
            <w:tcW w:w="1470" w:type="dxa"/>
            <w:vAlign w:val="center"/>
          </w:tcPr>
          <w:p w14:paraId="6C21AC10"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5517392,279</w:t>
            </w:r>
          </w:p>
          <w:p w14:paraId="62D2E2EA"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5517553,927</w:t>
            </w:r>
          </w:p>
          <w:p w14:paraId="4F5803A6"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5517303,667</w:t>
            </w:r>
          </w:p>
          <w:p w14:paraId="7E90CC92"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5517142,018</w:t>
            </w:r>
          </w:p>
        </w:tc>
        <w:tc>
          <w:tcPr>
            <w:tcW w:w="1490" w:type="dxa"/>
            <w:vAlign w:val="center"/>
          </w:tcPr>
          <w:p w14:paraId="1404F201"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4868049,255</w:t>
            </w:r>
          </w:p>
          <w:p w14:paraId="1CC4D8AC"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4867931,485</w:t>
            </w:r>
          </w:p>
          <w:p w14:paraId="46B8FCD3"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4867587,981</w:t>
            </w:r>
          </w:p>
          <w:p w14:paraId="41C80949"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4867705,751</w:t>
            </w:r>
          </w:p>
        </w:tc>
        <w:tc>
          <w:tcPr>
            <w:tcW w:w="2466" w:type="dxa"/>
            <w:vMerge/>
            <w:vAlign w:val="center"/>
          </w:tcPr>
          <w:p w14:paraId="32191F2B" w14:textId="77777777" w:rsidR="009123AC" w:rsidRPr="00F0379B" w:rsidRDefault="009123AC" w:rsidP="009123AC">
            <w:pPr>
              <w:spacing w:after="0" w:line="240" w:lineRule="auto"/>
              <w:jc w:val="center"/>
              <w:rPr>
                <w:rFonts w:ascii="Cambria" w:eastAsia="MS Gothic" w:hAnsi="Cambria" w:cs="Times New Roman"/>
                <w:color w:val="000000"/>
                <w:sz w:val="20"/>
                <w:szCs w:val="20"/>
                <w:lang w:val="en-IE" w:eastAsia="fr-FR" w:bidi="fr-FR"/>
                <w14:ligatures w14:val="standardContextual"/>
              </w:rPr>
            </w:pPr>
          </w:p>
        </w:tc>
      </w:tr>
      <w:tr w:rsidR="009123AC" w:rsidRPr="00F0379B" w14:paraId="0B725572" w14:textId="77777777" w:rsidTr="00693889">
        <w:trPr>
          <w:trHeight w:val="57"/>
        </w:trPr>
        <w:tc>
          <w:tcPr>
            <w:tcW w:w="2020" w:type="dxa"/>
            <w:vMerge/>
            <w:vAlign w:val="center"/>
          </w:tcPr>
          <w:p w14:paraId="5185CF0A" w14:textId="77777777" w:rsidR="009123AC" w:rsidRPr="00F0379B" w:rsidRDefault="009123AC" w:rsidP="009123AC">
            <w:pPr>
              <w:spacing w:after="0" w:line="240" w:lineRule="auto"/>
              <w:rPr>
                <w:rFonts w:ascii="Cambria" w:eastAsia="MS Gothic" w:hAnsi="Cambria" w:cs="Times New Roman"/>
                <w:color w:val="000000"/>
                <w:sz w:val="20"/>
                <w:szCs w:val="20"/>
                <w:lang w:val="en-IE" w:eastAsia="fr-FR" w:bidi="fr-FR"/>
                <w14:ligatures w14:val="standardContextual"/>
              </w:rPr>
            </w:pPr>
          </w:p>
        </w:tc>
        <w:tc>
          <w:tcPr>
            <w:tcW w:w="1614" w:type="dxa"/>
            <w:vMerge/>
            <w:vAlign w:val="center"/>
          </w:tcPr>
          <w:p w14:paraId="1564832F" w14:textId="77777777" w:rsidR="009123AC" w:rsidRPr="00F0379B" w:rsidRDefault="009123AC" w:rsidP="009123AC">
            <w:pPr>
              <w:spacing w:after="0" w:line="240" w:lineRule="auto"/>
              <w:ind w:left="139" w:hanging="2"/>
              <w:rPr>
                <w:rFonts w:ascii="Cambria" w:eastAsia="MS Gothic" w:hAnsi="Cambria" w:cs="Times New Roman"/>
                <w:sz w:val="20"/>
                <w:szCs w:val="20"/>
                <w:lang w:val="en-IE" w:eastAsia="fr-FR" w:bidi="fr-FR"/>
                <w14:ligatures w14:val="standardContextual"/>
              </w:rPr>
            </w:pPr>
          </w:p>
        </w:tc>
        <w:tc>
          <w:tcPr>
            <w:tcW w:w="1470" w:type="dxa"/>
            <w:vAlign w:val="center"/>
          </w:tcPr>
          <w:p w14:paraId="4C095FAA"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5517801,279</w:t>
            </w:r>
          </w:p>
          <w:p w14:paraId="1EA7E270"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5517962,927</w:t>
            </w:r>
          </w:p>
          <w:p w14:paraId="29A6A8D2"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5517712,667</w:t>
            </w:r>
          </w:p>
          <w:p w14:paraId="79A75AB9"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5517551,018</w:t>
            </w:r>
          </w:p>
        </w:tc>
        <w:tc>
          <w:tcPr>
            <w:tcW w:w="1490" w:type="dxa"/>
            <w:vAlign w:val="center"/>
          </w:tcPr>
          <w:p w14:paraId="245074A1"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4867662,255</w:t>
            </w:r>
          </w:p>
          <w:p w14:paraId="3D96FD0F"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4867544,485</w:t>
            </w:r>
          </w:p>
          <w:p w14:paraId="6477079B"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4867200,981</w:t>
            </w:r>
          </w:p>
          <w:p w14:paraId="456BB95F"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4867318,751</w:t>
            </w:r>
          </w:p>
        </w:tc>
        <w:tc>
          <w:tcPr>
            <w:tcW w:w="2466" w:type="dxa"/>
            <w:vMerge/>
            <w:vAlign w:val="center"/>
          </w:tcPr>
          <w:p w14:paraId="50B35936" w14:textId="77777777" w:rsidR="009123AC" w:rsidRPr="00F0379B" w:rsidRDefault="009123AC" w:rsidP="009123AC">
            <w:pPr>
              <w:spacing w:after="0" w:line="240" w:lineRule="auto"/>
              <w:jc w:val="center"/>
              <w:rPr>
                <w:rFonts w:ascii="Cambria" w:eastAsia="MS Gothic" w:hAnsi="Cambria" w:cs="Times New Roman"/>
                <w:color w:val="000000"/>
                <w:sz w:val="20"/>
                <w:szCs w:val="20"/>
                <w:lang w:val="en-IE" w:eastAsia="fr-FR" w:bidi="fr-FR"/>
                <w14:ligatures w14:val="standardContextual"/>
              </w:rPr>
            </w:pPr>
          </w:p>
        </w:tc>
      </w:tr>
      <w:tr w:rsidR="009123AC" w:rsidRPr="00F0379B" w14:paraId="2E0D37F2" w14:textId="77777777" w:rsidTr="00693889">
        <w:trPr>
          <w:trHeight w:val="57"/>
        </w:trPr>
        <w:tc>
          <w:tcPr>
            <w:tcW w:w="2020" w:type="dxa"/>
            <w:vAlign w:val="center"/>
          </w:tcPr>
          <w:p w14:paraId="3C44AE50" w14:textId="77777777" w:rsidR="009123AC" w:rsidRPr="00F0379B" w:rsidRDefault="009123AC" w:rsidP="009123AC">
            <w:pPr>
              <w:spacing w:after="0" w:line="240" w:lineRule="auto"/>
              <w:rPr>
                <w:rFonts w:ascii="Cambria" w:eastAsia="MS Gothic" w:hAnsi="Cambria" w:cs="Times New Roman"/>
                <w:color w:val="000000"/>
                <w:sz w:val="20"/>
                <w:szCs w:val="20"/>
                <w:lang w:val="en-IE" w:eastAsia="fr-FR" w:bidi="fr-FR"/>
                <w14:ligatures w14:val="standardContextual"/>
              </w:rPr>
            </w:pPr>
          </w:p>
        </w:tc>
        <w:tc>
          <w:tcPr>
            <w:tcW w:w="1614" w:type="dxa"/>
            <w:vAlign w:val="center"/>
          </w:tcPr>
          <w:p w14:paraId="31DFF9DF" w14:textId="77777777" w:rsidR="009123AC" w:rsidRPr="00F0379B" w:rsidRDefault="009123AC" w:rsidP="009123AC">
            <w:pPr>
              <w:spacing w:after="0" w:line="240" w:lineRule="auto"/>
              <w:ind w:left="139" w:hanging="2"/>
              <w:rPr>
                <w:rFonts w:ascii="Cambria" w:eastAsia="MS Gothic" w:hAnsi="Cambria" w:cs="Times New Roman"/>
                <w:sz w:val="20"/>
                <w:szCs w:val="20"/>
                <w:lang w:val="en-IE" w:eastAsia="fr-FR" w:bidi="fr-FR"/>
                <w14:ligatures w14:val="standardContextual"/>
              </w:rPr>
            </w:pPr>
          </w:p>
        </w:tc>
        <w:tc>
          <w:tcPr>
            <w:tcW w:w="1470" w:type="dxa"/>
            <w:vAlign w:val="center"/>
          </w:tcPr>
          <w:p w14:paraId="7881AC6F"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5493440,00</w:t>
            </w:r>
          </w:p>
          <w:p w14:paraId="21C12905"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5493498,70</w:t>
            </w:r>
          </w:p>
          <w:p w14:paraId="0A4F60B0"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5494068,42</w:t>
            </w:r>
          </w:p>
          <w:p w14:paraId="223CF870"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5494006,73</w:t>
            </w:r>
          </w:p>
        </w:tc>
        <w:tc>
          <w:tcPr>
            <w:tcW w:w="1490" w:type="dxa"/>
            <w:vAlign w:val="center"/>
          </w:tcPr>
          <w:p w14:paraId="18139285"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4892040,00</w:t>
            </w:r>
          </w:p>
          <w:p w14:paraId="41E8A3C6"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4892120,96</w:t>
            </w:r>
          </w:p>
          <w:p w14:paraId="14DFCA42"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4891710,08</w:t>
            </w:r>
          </w:p>
          <w:p w14:paraId="685F0BF5" w14:textId="77777777" w:rsidR="009123AC" w:rsidRPr="00F0379B" w:rsidRDefault="009123AC" w:rsidP="009123AC">
            <w:pPr>
              <w:spacing w:after="0" w:line="240" w:lineRule="auto"/>
              <w:ind w:left="99"/>
              <w:rPr>
                <w:rFonts w:ascii="Cambria" w:eastAsia="Century" w:hAnsi="Cambria"/>
                <w:sz w:val="20"/>
                <w:szCs w:val="20"/>
                <w:lang w:val="en-IE"/>
                <w14:ligatures w14:val="standardContextual"/>
              </w:rPr>
            </w:pPr>
            <w:r w:rsidRPr="00F0379B">
              <w:rPr>
                <w:rFonts w:ascii="Cambria" w:eastAsia="Century" w:hAnsi="Cambria"/>
                <w:spacing w:val="-1"/>
                <w:sz w:val="20"/>
                <w:szCs w:val="20"/>
                <w:lang w:val="en-IE"/>
                <w14:ligatures w14:val="standardContextual"/>
              </w:rPr>
              <w:t>4891629,12</w:t>
            </w:r>
          </w:p>
        </w:tc>
        <w:tc>
          <w:tcPr>
            <w:tcW w:w="2466" w:type="dxa"/>
            <w:vAlign w:val="center"/>
          </w:tcPr>
          <w:p w14:paraId="215AA8DF" w14:textId="77777777" w:rsidR="009123AC" w:rsidRPr="00F0379B" w:rsidRDefault="009123AC" w:rsidP="009123AC">
            <w:pPr>
              <w:spacing w:after="0" w:line="240" w:lineRule="auto"/>
              <w:jc w:val="center"/>
              <w:rPr>
                <w:rFonts w:ascii="Cambria" w:eastAsia="MS Gothic" w:hAnsi="Cambria" w:cs="Times New Roman"/>
                <w:color w:val="000000"/>
                <w:sz w:val="20"/>
                <w:szCs w:val="20"/>
                <w:lang w:val="en-IE" w:eastAsia="fr-FR" w:bidi="fr-FR"/>
                <w14:ligatures w14:val="standardContextual"/>
              </w:rPr>
            </w:pPr>
          </w:p>
        </w:tc>
      </w:tr>
      <w:tr w:rsidR="009123AC" w:rsidRPr="00F0379B" w14:paraId="0781EE79" w14:textId="77777777" w:rsidTr="00693889">
        <w:trPr>
          <w:trHeight w:val="57"/>
        </w:trPr>
        <w:tc>
          <w:tcPr>
            <w:tcW w:w="2020" w:type="dxa"/>
            <w:vAlign w:val="center"/>
          </w:tcPr>
          <w:p w14:paraId="4C281CF3" w14:textId="77777777" w:rsidR="009123AC" w:rsidRPr="00F0379B" w:rsidRDefault="009123AC" w:rsidP="009123AC">
            <w:pPr>
              <w:spacing w:after="0" w:line="240" w:lineRule="auto"/>
              <w:rPr>
                <w:rFonts w:ascii="Cambria" w:eastAsia="MS Gothic" w:hAnsi="Cambria" w:cs="Times New Roman"/>
                <w:sz w:val="20"/>
                <w:szCs w:val="20"/>
                <w:lang w:val="en-IE" w:eastAsia="fr-FR" w:bidi="fr-FR"/>
                <w14:ligatures w14:val="standardContextual"/>
              </w:rPr>
            </w:pPr>
          </w:p>
        </w:tc>
        <w:tc>
          <w:tcPr>
            <w:tcW w:w="1614" w:type="dxa"/>
            <w:vAlign w:val="center"/>
          </w:tcPr>
          <w:p w14:paraId="39EB6E8B" w14:textId="77777777" w:rsidR="009123AC" w:rsidRPr="00F0379B" w:rsidRDefault="009123AC" w:rsidP="009123AC">
            <w:pPr>
              <w:spacing w:after="0" w:line="240" w:lineRule="auto"/>
              <w:ind w:left="139" w:hanging="2"/>
              <w:rPr>
                <w:rFonts w:ascii="Cambria" w:eastAsia="MS Gothic" w:hAnsi="Cambria" w:cs="Times New Roman"/>
                <w:sz w:val="20"/>
                <w:szCs w:val="20"/>
                <w:lang w:val="en-IE" w:eastAsia="fr-FR" w:bidi="fr-FR"/>
                <w14:ligatures w14:val="standardContextual"/>
              </w:rPr>
            </w:pPr>
          </w:p>
        </w:tc>
        <w:tc>
          <w:tcPr>
            <w:tcW w:w="1470" w:type="dxa"/>
            <w:vAlign w:val="center"/>
          </w:tcPr>
          <w:p w14:paraId="17FCA34A" w14:textId="77777777" w:rsidR="009123AC" w:rsidRPr="00F0379B" w:rsidRDefault="009123AC" w:rsidP="009123AC">
            <w:pPr>
              <w:spacing w:after="0" w:line="240" w:lineRule="auto"/>
              <w:ind w:left="99"/>
              <w:rPr>
                <w:rFonts w:ascii="Cambria" w:eastAsia="MS Gothic" w:hAnsi="Cambria" w:cs="Times New Roman"/>
                <w:spacing w:val="-1"/>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5494273,27</w:t>
            </w:r>
          </w:p>
          <w:p w14:paraId="52110AB9" w14:textId="77777777" w:rsidR="009123AC" w:rsidRPr="00F0379B" w:rsidRDefault="009123AC" w:rsidP="009123AC">
            <w:pPr>
              <w:spacing w:after="0" w:line="240" w:lineRule="auto"/>
              <w:ind w:left="99"/>
              <w:rPr>
                <w:rFonts w:ascii="Cambria" w:eastAsia="MS Gothic" w:hAnsi="Cambria" w:cs="Times New Roman"/>
                <w:spacing w:val="-1"/>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5494331,97</w:t>
            </w:r>
          </w:p>
          <w:p w14:paraId="72D547ED" w14:textId="77777777" w:rsidR="009123AC" w:rsidRPr="00F0379B" w:rsidRDefault="009123AC" w:rsidP="009123AC">
            <w:pPr>
              <w:spacing w:after="0" w:line="240" w:lineRule="auto"/>
              <w:ind w:left="99"/>
              <w:rPr>
                <w:rFonts w:ascii="Cambria" w:eastAsia="MS Gothic" w:hAnsi="Cambria" w:cs="Times New Roman"/>
                <w:spacing w:val="-1"/>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5494898,70</w:t>
            </w:r>
          </w:p>
          <w:p w14:paraId="7B353E70" w14:textId="77777777" w:rsidR="009123AC" w:rsidRPr="00F0379B" w:rsidRDefault="009123AC" w:rsidP="009123AC">
            <w:pPr>
              <w:spacing w:after="0" w:line="240" w:lineRule="auto"/>
              <w:ind w:left="99"/>
              <w:rPr>
                <w:rFonts w:ascii="Cambria" w:eastAsia="MS Gothic" w:hAnsi="Cambria" w:cs="Times New Roman"/>
                <w:spacing w:val="-1"/>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5494840,00</w:t>
            </w:r>
          </w:p>
          <w:p w14:paraId="44A94BE5" w14:textId="77777777" w:rsidR="009123AC" w:rsidRPr="00F0379B" w:rsidRDefault="009123AC" w:rsidP="009123AC">
            <w:pPr>
              <w:spacing w:after="0" w:line="240" w:lineRule="auto"/>
              <w:ind w:left="99"/>
              <w:rPr>
                <w:rFonts w:ascii="Cambria" w:eastAsia="MS Gothic" w:hAnsi="Cambria" w:cs="Times New Roman"/>
                <w:spacing w:val="-1"/>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5509116</w:t>
            </w:r>
          </w:p>
          <w:p w14:paraId="2DD157C0" w14:textId="77777777" w:rsidR="009123AC" w:rsidRPr="00F0379B" w:rsidRDefault="009123AC" w:rsidP="009123AC">
            <w:pPr>
              <w:spacing w:after="0" w:line="240" w:lineRule="auto"/>
              <w:ind w:left="99"/>
              <w:rPr>
                <w:rFonts w:ascii="Cambria" w:eastAsia="MS Gothic" w:hAnsi="Cambria" w:cs="Times New Roman"/>
                <w:spacing w:val="-1"/>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5509264</w:t>
            </w:r>
          </w:p>
          <w:p w14:paraId="53202622" w14:textId="77777777" w:rsidR="009123AC" w:rsidRPr="00F0379B" w:rsidRDefault="009123AC" w:rsidP="009123AC">
            <w:pPr>
              <w:spacing w:after="0" w:line="240" w:lineRule="auto"/>
              <w:ind w:left="99"/>
              <w:rPr>
                <w:rFonts w:ascii="Cambria" w:eastAsia="MS Gothic" w:hAnsi="Cambria" w:cs="Times New Roman"/>
                <w:spacing w:val="-1"/>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5508712</w:t>
            </w:r>
          </w:p>
          <w:p w14:paraId="1363C7D6"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5508860</w:t>
            </w:r>
          </w:p>
        </w:tc>
        <w:tc>
          <w:tcPr>
            <w:tcW w:w="1490" w:type="dxa"/>
            <w:vAlign w:val="center"/>
          </w:tcPr>
          <w:p w14:paraId="75F61C47" w14:textId="77777777" w:rsidR="009123AC" w:rsidRPr="00F0379B" w:rsidRDefault="009123AC" w:rsidP="009123AC">
            <w:pPr>
              <w:spacing w:after="0" w:line="240" w:lineRule="auto"/>
              <w:ind w:left="99"/>
              <w:rPr>
                <w:rFonts w:ascii="Cambria" w:eastAsia="MS Gothic" w:hAnsi="Cambria" w:cs="Times New Roman"/>
                <w:spacing w:val="-1"/>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4891535,88</w:t>
            </w:r>
          </w:p>
          <w:p w14:paraId="7DA7D131" w14:textId="77777777" w:rsidR="009123AC" w:rsidRPr="00F0379B" w:rsidRDefault="009123AC" w:rsidP="009123AC">
            <w:pPr>
              <w:spacing w:after="0" w:line="240" w:lineRule="auto"/>
              <w:ind w:left="99"/>
              <w:rPr>
                <w:rFonts w:ascii="Cambria" w:eastAsia="MS Gothic" w:hAnsi="Cambria" w:cs="Times New Roman"/>
                <w:spacing w:val="-1"/>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4891516,84</w:t>
            </w:r>
          </w:p>
          <w:p w14:paraId="2A113951" w14:textId="77777777" w:rsidR="009123AC" w:rsidRPr="00F0379B" w:rsidRDefault="009123AC" w:rsidP="009123AC">
            <w:pPr>
              <w:spacing w:after="0" w:line="240" w:lineRule="auto"/>
              <w:ind w:left="99"/>
              <w:rPr>
                <w:rFonts w:ascii="Cambria" w:eastAsia="MS Gothic" w:hAnsi="Cambria" w:cs="Times New Roman"/>
                <w:spacing w:val="-1"/>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4891105,96</w:t>
            </w:r>
          </w:p>
          <w:p w14:paraId="71D09D48" w14:textId="77777777" w:rsidR="009123AC" w:rsidRPr="00F0379B" w:rsidRDefault="009123AC" w:rsidP="009123AC">
            <w:pPr>
              <w:spacing w:after="0" w:line="240" w:lineRule="auto"/>
              <w:ind w:left="99"/>
              <w:rPr>
                <w:rFonts w:ascii="Cambria" w:eastAsia="MS Gothic" w:hAnsi="Cambria" w:cs="Times New Roman"/>
                <w:spacing w:val="-1"/>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4891025,00</w:t>
            </w:r>
          </w:p>
          <w:p w14:paraId="6B2ED095" w14:textId="77777777" w:rsidR="009123AC" w:rsidRPr="00F0379B" w:rsidRDefault="009123AC" w:rsidP="009123AC">
            <w:pPr>
              <w:spacing w:after="0" w:line="240" w:lineRule="auto"/>
              <w:ind w:left="99"/>
              <w:rPr>
                <w:rFonts w:ascii="Cambria" w:eastAsia="MS Gothic" w:hAnsi="Cambria" w:cs="Times New Roman"/>
                <w:spacing w:val="-1"/>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4875654</w:t>
            </w:r>
          </w:p>
          <w:p w14:paraId="7E04E706" w14:textId="77777777" w:rsidR="009123AC" w:rsidRPr="00F0379B" w:rsidRDefault="009123AC" w:rsidP="009123AC">
            <w:pPr>
              <w:spacing w:after="0" w:line="240" w:lineRule="auto"/>
              <w:ind w:left="99"/>
              <w:rPr>
                <w:rFonts w:ascii="Cambria" w:eastAsia="MS Gothic" w:hAnsi="Cambria" w:cs="Times New Roman"/>
                <w:spacing w:val="-1"/>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4875520</w:t>
            </w:r>
          </w:p>
          <w:p w14:paraId="1D1FDDF9" w14:textId="77777777" w:rsidR="009123AC" w:rsidRPr="00F0379B" w:rsidRDefault="009123AC" w:rsidP="009123AC">
            <w:pPr>
              <w:spacing w:after="0" w:line="240" w:lineRule="auto"/>
              <w:ind w:left="99"/>
              <w:rPr>
                <w:rFonts w:ascii="Cambria" w:eastAsia="MS Gothic" w:hAnsi="Cambria" w:cs="Times New Roman"/>
                <w:spacing w:val="-1"/>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4875211</w:t>
            </w:r>
          </w:p>
          <w:p w14:paraId="6A93589F"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4875076</w:t>
            </w:r>
          </w:p>
        </w:tc>
        <w:tc>
          <w:tcPr>
            <w:tcW w:w="2466" w:type="dxa"/>
            <w:vAlign w:val="center"/>
          </w:tcPr>
          <w:p w14:paraId="31BBAA53" w14:textId="77777777" w:rsidR="009123AC" w:rsidRPr="00F0379B" w:rsidRDefault="009123AC" w:rsidP="009123AC">
            <w:pPr>
              <w:spacing w:after="0" w:line="240" w:lineRule="auto"/>
              <w:jc w:val="center"/>
              <w:rPr>
                <w:rFonts w:ascii="Cambria" w:eastAsia="MS Gothic" w:hAnsi="Cambria" w:cs="Times New Roman"/>
                <w:sz w:val="20"/>
                <w:szCs w:val="20"/>
                <w:lang w:val="en-IE" w:eastAsia="fr-FR" w:bidi="fr-FR"/>
                <w14:ligatures w14:val="standardContextual"/>
              </w:rPr>
            </w:pPr>
          </w:p>
        </w:tc>
      </w:tr>
      <w:tr w:rsidR="009123AC" w:rsidRPr="00F0379B" w14:paraId="5C88A18F" w14:textId="77777777" w:rsidTr="00CA749B">
        <w:trPr>
          <w:trHeight w:val="57"/>
        </w:trPr>
        <w:tc>
          <w:tcPr>
            <w:tcW w:w="2020" w:type="dxa"/>
            <w:vAlign w:val="center"/>
          </w:tcPr>
          <w:p w14:paraId="1EA653E7" w14:textId="77777777" w:rsidR="009123AC" w:rsidRPr="00F0379B" w:rsidRDefault="009123AC" w:rsidP="009123AC">
            <w:pPr>
              <w:spacing w:after="0" w:line="240" w:lineRule="auto"/>
              <w:ind w:left="10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MFF Ltd.</w:t>
            </w:r>
          </w:p>
        </w:tc>
        <w:tc>
          <w:tcPr>
            <w:tcW w:w="1614" w:type="dxa"/>
            <w:vAlign w:val="center"/>
          </w:tcPr>
          <w:p w14:paraId="6DED8461" w14:textId="77777777" w:rsidR="009123AC" w:rsidRPr="00F0379B" w:rsidRDefault="009123AC" w:rsidP="009123AC">
            <w:pPr>
              <w:spacing w:after="0" w:line="240" w:lineRule="auto"/>
              <w:ind w:left="50"/>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ATEU1MLT00004</w:t>
            </w:r>
          </w:p>
        </w:tc>
        <w:tc>
          <w:tcPr>
            <w:tcW w:w="2960" w:type="dxa"/>
            <w:gridSpan w:val="2"/>
            <w:vAlign w:val="center"/>
          </w:tcPr>
          <w:p w14:paraId="4BFC77AC"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35.8785</w:t>
            </w:r>
            <w:r w:rsidRPr="00F0379B">
              <w:rPr>
                <w:rFonts w:ascii="Cambria" w:eastAsia="MS Gothic" w:hAnsi="Cambria" w:cs="Times New Roman"/>
                <w:sz w:val="20"/>
                <w:szCs w:val="20"/>
                <w:lang w:val="en-IE" w:eastAsia="fr-FR" w:bidi="fr-FR"/>
                <w14:ligatures w14:val="standardContextual"/>
              </w:rPr>
              <w:t xml:space="preserve"> (N) </w:t>
            </w:r>
            <w:r w:rsidRPr="00F0379B">
              <w:rPr>
                <w:rFonts w:ascii="Cambria" w:eastAsia="MS Gothic" w:hAnsi="Cambria" w:cs="Times New Roman"/>
                <w:spacing w:val="-1"/>
                <w:sz w:val="20"/>
                <w:szCs w:val="20"/>
                <w:lang w:val="en-IE" w:eastAsia="fr-FR" w:bidi="fr-FR"/>
                <w14:ligatures w14:val="standardContextual"/>
              </w:rPr>
              <w:t>14.6430</w:t>
            </w:r>
            <w:r w:rsidRPr="00F0379B">
              <w:rPr>
                <w:rFonts w:ascii="Cambria" w:eastAsia="MS Gothic" w:hAnsi="Cambria" w:cs="Times New Roman"/>
                <w:sz w:val="20"/>
                <w:szCs w:val="20"/>
                <w:lang w:val="en-IE" w:eastAsia="fr-FR" w:bidi="fr-FR"/>
                <w14:ligatures w14:val="standardContextual"/>
              </w:rPr>
              <w:t xml:space="preserve"> (E)</w:t>
            </w:r>
          </w:p>
          <w:p w14:paraId="2F87D3D5"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35.8784</w:t>
            </w:r>
            <w:r w:rsidRPr="00F0379B">
              <w:rPr>
                <w:rFonts w:ascii="Cambria" w:eastAsia="MS Gothic" w:hAnsi="Cambria" w:cs="Times New Roman"/>
                <w:sz w:val="20"/>
                <w:szCs w:val="20"/>
                <w:lang w:val="en-IE" w:eastAsia="fr-FR" w:bidi="fr-FR"/>
                <w14:ligatures w14:val="standardContextual"/>
              </w:rPr>
              <w:t xml:space="preserve"> (N) </w:t>
            </w:r>
            <w:r w:rsidRPr="00F0379B">
              <w:rPr>
                <w:rFonts w:ascii="Cambria" w:eastAsia="MS Gothic" w:hAnsi="Cambria" w:cs="Times New Roman"/>
                <w:spacing w:val="-1"/>
                <w:sz w:val="20"/>
                <w:szCs w:val="20"/>
                <w:lang w:val="en-IE" w:eastAsia="fr-FR" w:bidi="fr-FR"/>
                <w14:ligatures w14:val="standardContextual"/>
              </w:rPr>
              <w:t>14.6600</w:t>
            </w:r>
            <w:r w:rsidRPr="00F0379B">
              <w:rPr>
                <w:rFonts w:ascii="Cambria" w:eastAsia="MS Gothic" w:hAnsi="Cambria" w:cs="Times New Roman"/>
                <w:sz w:val="20"/>
                <w:szCs w:val="20"/>
                <w:lang w:val="en-IE" w:eastAsia="fr-FR" w:bidi="fr-FR"/>
                <w14:ligatures w14:val="standardContextual"/>
              </w:rPr>
              <w:t xml:space="preserve"> (E)</w:t>
            </w:r>
          </w:p>
          <w:p w14:paraId="08D65DC3"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35.8640</w:t>
            </w:r>
            <w:r w:rsidRPr="00F0379B">
              <w:rPr>
                <w:rFonts w:ascii="Cambria" w:eastAsia="MS Gothic" w:hAnsi="Cambria" w:cs="Times New Roman"/>
                <w:sz w:val="20"/>
                <w:szCs w:val="20"/>
                <w:lang w:val="en-IE" w:eastAsia="fr-FR" w:bidi="fr-FR"/>
                <w14:ligatures w14:val="standardContextual"/>
              </w:rPr>
              <w:t xml:space="preserve"> (N) </w:t>
            </w:r>
            <w:r w:rsidRPr="00F0379B">
              <w:rPr>
                <w:rFonts w:ascii="Cambria" w:eastAsia="MS Gothic" w:hAnsi="Cambria" w:cs="Times New Roman"/>
                <w:spacing w:val="-1"/>
                <w:sz w:val="20"/>
                <w:szCs w:val="20"/>
                <w:lang w:val="en-IE" w:eastAsia="fr-FR" w:bidi="fr-FR"/>
                <w14:ligatures w14:val="standardContextual"/>
              </w:rPr>
              <w:t>14.6600</w:t>
            </w:r>
            <w:r w:rsidRPr="00F0379B">
              <w:rPr>
                <w:rFonts w:ascii="Cambria" w:eastAsia="MS Gothic" w:hAnsi="Cambria" w:cs="Times New Roman"/>
                <w:sz w:val="20"/>
                <w:szCs w:val="20"/>
                <w:lang w:val="en-IE" w:eastAsia="fr-FR" w:bidi="fr-FR"/>
                <w14:ligatures w14:val="standardContextual"/>
              </w:rPr>
              <w:t xml:space="preserve"> (E)</w:t>
            </w:r>
          </w:p>
          <w:p w14:paraId="22D7AAFA"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35.8640</w:t>
            </w:r>
            <w:r w:rsidRPr="00F0379B">
              <w:rPr>
                <w:rFonts w:ascii="Cambria" w:eastAsia="MS Gothic" w:hAnsi="Cambria" w:cs="Times New Roman"/>
                <w:sz w:val="20"/>
                <w:szCs w:val="20"/>
                <w:lang w:val="en-IE" w:eastAsia="fr-FR" w:bidi="fr-FR"/>
                <w14:ligatures w14:val="standardContextual"/>
              </w:rPr>
              <w:t xml:space="preserve"> (N) </w:t>
            </w:r>
            <w:r w:rsidRPr="00F0379B">
              <w:rPr>
                <w:rFonts w:ascii="Cambria" w:eastAsia="MS Gothic" w:hAnsi="Cambria" w:cs="Times New Roman"/>
                <w:spacing w:val="-1"/>
                <w:sz w:val="20"/>
                <w:szCs w:val="20"/>
                <w:lang w:val="en-IE" w:eastAsia="fr-FR" w:bidi="fr-FR"/>
                <w14:ligatures w14:val="standardContextual"/>
              </w:rPr>
              <w:t>14.6430</w:t>
            </w:r>
            <w:r w:rsidRPr="00F0379B">
              <w:rPr>
                <w:rFonts w:ascii="Cambria" w:eastAsia="MS Gothic" w:hAnsi="Cambria" w:cs="Times New Roman"/>
                <w:sz w:val="20"/>
                <w:szCs w:val="20"/>
                <w:lang w:val="en-IE" w:eastAsia="fr-FR" w:bidi="fr-FR"/>
                <w14:ligatures w14:val="standardContextual"/>
              </w:rPr>
              <w:t xml:space="preserve"> (E)</w:t>
            </w:r>
          </w:p>
        </w:tc>
        <w:tc>
          <w:tcPr>
            <w:tcW w:w="2466" w:type="dxa"/>
            <w:vAlign w:val="center"/>
          </w:tcPr>
          <w:p w14:paraId="46C707F2" w14:textId="77777777" w:rsidR="009123AC" w:rsidRPr="00F0379B" w:rsidRDefault="009123AC" w:rsidP="009123AC">
            <w:pPr>
              <w:spacing w:after="0" w:line="240" w:lineRule="auto"/>
              <w:jc w:val="center"/>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2.142,927</w:t>
            </w:r>
          </w:p>
        </w:tc>
      </w:tr>
      <w:tr w:rsidR="009123AC" w:rsidRPr="00F0379B" w14:paraId="217A21C0" w14:textId="77777777" w:rsidTr="00CA749B">
        <w:trPr>
          <w:trHeight w:val="57"/>
        </w:trPr>
        <w:tc>
          <w:tcPr>
            <w:tcW w:w="2020" w:type="dxa"/>
            <w:vAlign w:val="center"/>
          </w:tcPr>
          <w:p w14:paraId="00AAD234" w14:textId="77777777" w:rsidR="009123AC" w:rsidRPr="00F0379B" w:rsidRDefault="009123AC" w:rsidP="009123AC">
            <w:pPr>
              <w:spacing w:after="0" w:line="240" w:lineRule="auto"/>
              <w:ind w:left="10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Fish</w:t>
            </w:r>
            <w:r w:rsidRPr="00F0379B">
              <w:rPr>
                <w:rFonts w:ascii="Cambria" w:eastAsia="MS Gothic" w:hAnsi="Cambria" w:cs="Times New Roman"/>
                <w:spacing w:val="-5"/>
                <w:sz w:val="20"/>
                <w:szCs w:val="20"/>
                <w:lang w:val="en-IE" w:eastAsia="fr-FR" w:bidi="fr-FR"/>
                <w14:ligatures w14:val="standardContextual"/>
              </w:rPr>
              <w:t xml:space="preserve"> </w:t>
            </w:r>
            <w:r w:rsidRPr="00F0379B">
              <w:rPr>
                <w:rFonts w:ascii="Cambria" w:eastAsia="MS Gothic" w:hAnsi="Cambria" w:cs="Times New Roman"/>
                <w:sz w:val="20"/>
                <w:szCs w:val="20"/>
                <w:lang w:val="en-IE" w:eastAsia="fr-FR" w:bidi="fr-FR"/>
                <w14:ligatures w14:val="standardContextual"/>
              </w:rPr>
              <w:t>&amp;</w:t>
            </w:r>
            <w:r w:rsidRPr="00F0379B">
              <w:rPr>
                <w:rFonts w:ascii="Cambria" w:eastAsia="MS Gothic" w:hAnsi="Cambria" w:cs="Times New Roman"/>
                <w:spacing w:val="-5"/>
                <w:sz w:val="20"/>
                <w:szCs w:val="20"/>
                <w:lang w:val="en-IE" w:eastAsia="fr-FR" w:bidi="fr-FR"/>
                <w14:ligatures w14:val="standardContextual"/>
              </w:rPr>
              <w:t xml:space="preserve"> </w:t>
            </w:r>
            <w:r w:rsidRPr="00F0379B">
              <w:rPr>
                <w:rFonts w:ascii="Cambria" w:eastAsia="MS Gothic" w:hAnsi="Cambria" w:cs="Times New Roman"/>
                <w:sz w:val="20"/>
                <w:szCs w:val="20"/>
                <w:lang w:val="en-IE" w:eastAsia="fr-FR" w:bidi="fr-FR"/>
                <w14:ligatures w14:val="standardContextual"/>
              </w:rPr>
              <w:t>Fish</w:t>
            </w:r>
          </w:p>
        </w:tc>
        <w:tc>
          <w:tcPr>
            <w:tcW w:w="1614" w:type="dxa"/>
            <w:vAlign w:val="center"/>
          </w:tcPr>
          <w:p w14:paraId="344ED3E8" w14:textId="77777777" w:rsidR="009123AC" w:rsidRPr="00F0379B" w:rsidRDefault="009123AC" w:rsidP="009123AC">
            <w:pPr>
              <w:spacing w:after="0" w:line="240" w:lineRule="auto"/>
              <w:ind w:left="50"/>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ATEUMLT00003</w:t>
            </w:r>
          </w:p>
        </w:tc>
        <w:tc>
          <w:tcPr>
            <w:tcW w:w="2960" w:type="dxa"/>
            <w:gridSpan w:val="2"/>
            <w:vAlign w:val="center"/>
          </w:tcPr>
          <w:p w14:paraId="4F243BE8" w14:textId="77777777" w:rsidR="009123AC" w:rsidRPr="00F0379B" w:rsidRDefault="009123AC" w:rsidP="009123AC">
            <w:pPr>
              <w:spacing w:after="0" w:line="240" w:lineRule="auto"/>
              <w:ind w:left="99"/>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spacing w:val="-1"/>
                <w:sz w:val="20"/>
                <w:szCs w:val="20"/>
                <w:lang w:val="pt-PT" w:eastAsia="fr-FR" w:bidi="fr-FR"/>
                <w14:ligatures w14:val="standardContextual"/>
              </w:rPr>
              <w:t>35.8640</w:t>
            </w:r>
            <w:r w:rsidRPr="00F0379B">
              <w:rPr>
                <w:rFonts w:ascii="Cambria" w:eastAsia="MS Gothic" w:hAnsi="Cambria" w:cs="Times New Roman"/>
                <w:sz w:val="20"/>
                <w:szCs w:val="20"/>
                <w:lang w:val="pt-PT" w:eastAsia="fr-FR" w:bidi="fr-FR"/>
                <w14:ligatures w14:val="standardContextual"/>
              </w:rPr>
              <w:t xml:space="preserve"> (N) </w:t>
            </w:r>
            <w:r w:rsidRPr="00F0379B">
              <w:rPr>
                <w:rFonts w:ascii="Cambria" w:eastAsia="MS Gothic" w:hAnsi="Cambria" w:cs="Times New Roman"/>
                <w:spacing w:val="-1"/>
                <w:sz w:val="20"/>
                <w:szCs w:val="20"/>
                <w:lang w:val="pt-PT" w:eastAsia="fr-FR" w:bidi="fr-FR"/>
                <w14:ligatures w14:val="standardContextual"/>
              </w:rPr>
              <w:t>14.6430</w:t>
            </w:r>
            <w:r w:rsidRPr="00F0379B">
              <w:rPr>
                <w:rFonts w:ascii="Cambria" w:eastAsia="MS Gothic" w:hAnsi="Cambria" w:cs="Times New Roman"/>
                <w:sz w:val="20"/>
                <w:szCs w:val="20"/>
                <w:lang w:val="pt-PT" w:eastAsia="fr-FR" w:bidi="fr-FR"/>
                <w14:ligatures w14:val="standardContextual"/>
              </w:rPr>
              <w:t xml:space="preserve"> (E)</w:t>
            </w:r>
          </w:p>
          <w:p w14:paraId="3C1B0358" w14:textId="77777777" w:rsidR="009123AC" w:rsidRPr="00F0379B" w:rsidRDefault="009123AC" w:rsidP="009123AC">
            <w:pPr>
              <w:spacing w:after="0" w:line="240" w:lineRule="auto"/>
              <w:ind w:left="99"/>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spacing w:val="-1"/>
                <w:sz w:val="20"/>
                <w:szCs w:val="20"/>
                <w:lang w:val="pt-PT" w:eastAsia="fr-FR" w:bidi="fr-FR"/>
                <w14:ligatures w14:val="standardContextual"/>
              </w:rPr>
              <w:t>35.8640</w:t>
            </w:r>
            <w:r w:rsidRPr="00F0379B">
              <w:rPr>
                <w:rFonts w:ascii="Cambria" w:eastAsia="MS Gothic" w:hAnsi="Cambria" w:cs="Times New Roman"/>
                <w:sz w:val="20"/>
                <w:szCs w:val="20"/>
                <w:lang w:val="pt-PT" w:eastAsia="fr-FR" w:bidi="fr-FR"/>
                <w14:ligatures w14:val="standardContextual"/>
              </w:rPr>
              <w:t xml:space="preserve"> (N) </w:t>
            </w:r>
            <w:r w:rsidRPr="00F0379B">
              <w:rPr>
                <w:rFonts w:ascii="Cambria" w:eastAsia="MS Gothic" w:hAnsi="Cambria" w:cs="Times New Roman"/>
                <w:spacing w:val="-1"/>
                <w:sz w:val="20"/>
                <w:szCs w:val="20"/>
                <w:lang w:val="pt-PT" w:eastAsia="fr-FR" w:bidi="fr-FR"/>
                <w14:ligatures w14:val="standardContextual"/>
              </w:rPr>
              <w:t>14.6600</w:t>
            </w:r>
            <w:r w:rsidRPr="00F0379B">
              <w:rPr>
                <w:rFonts w:ascii="Cambria" w:eastAsia="MS Gothic" w:hAnsi="Cambria" w:cs="Times New Roman"/>
                <w:sz w:val="20"/>
                <w:szCs w:val="20"/>
                <w:lang w:val="pt-PT" w:eastAsia="fr-FR" w:bidi="fr-FR"/>
                <w14:ligatures w14:val="standardContextual"/>
              </w:rPr>
              <w:t xml:space="preserve"> (E)</w:t>
            </w:r>
          </w:p>
          <w:p w14:paraId="735C10D8" w14:textId="77777777" w:rsidR="009123AC" w:rsidRPr="00F0379B" w:rsidRDefault="009123AC" w:rsidP="009123AC">
            <w:pPr>
              <w:spacing w:after="0" w:line="240" w:lineRule="auto"/>
              <w:ind w:left="99"/>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spacing w:val="-1"/>
                <w:sz w:val="20"/>
                <w:szCs w:val="20"/>
                <w:lang w:val="pt-PT" w:eastAsia="fr-FR" w:bidi="fr-FR"/>
                <w14:ligatures w14:val="standardContextual"/>
              </w:rPr>
              <w:t>35.8496</w:t>
            </w:r>
            <w:r w:rsidRPr="00F0379B">
              <w:rPr>
                <w:rFonts w:ascii="Cambria" w:eastAsia="MS Gothic" w:hAnsi="Cambria" w:cs="Times New Roman"/>
                <w:sz w:val="20"/>
                <w:szCs w:val="20"/>
                <w:lang w:val="pt-PT" w:eastAsia="fr-FR" w:bidi="fr-FR"/>
                <w14:ligatures w14:val="standardContextual"/>
              </w:rPr>
              <w:t xml:space="preserve"> (N) </w:t>
            </w:r>
            <w:r w:rsidRPr="00F0379B">
              <w:rPr>
                <w:rFonts w:ascii="Cambria" w:eastAsia="MS Gothic" w:hAnsi="Cambria" w:cs="Times New Roman"/>
                <w:spacing w:val="-1"/>
                <w:sz w:val="20"/>
                <w:szCs w:val="20"/>
                <w:lang w:val="pt-PT" w:eastAsia="fr-FR" w:bidi="fr-FR"/>
                <w14:ligatures w14:val="standardContextual"/>
              </w:rPr>
              <w:t>14.6600</w:t>
            </w:r>
            <w:r w:rsidRPr="00F0379B">
              <w:rPr>
                <w:rFonts w:ascii="Cambria" w:eastAsia="MS Gothic" w:hAnsi="Cambria" w:cs="Times New Roman"/>
                <w:sz w:val="20"/>
                <w:szCs w:val="20"/>
                <w:lang w:val="pt-PT" w:eastAsia="fr-FR" w:bidi="fr-FR"/>
                <w14:ligatures w14:val="standardContextual"/>
              </w:rPr>
              <w:t xml:space="preserve"> (E)</w:t>
            </w:r>
          </w:p>
          <w:p w14:paraId="2DFF326B" w14:textId="77777777" w:rsidR="009123AC" w:rsidRPr="00F0379B" w:rsidRDefault="009123AC" w:rsidP="009123AC">
            <w:pPr>
              <w:spacing w:after="0" w:line="240" w:lineRule="auto"/>
              <w:ind w:left="99"/>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spacing w:val="-1"/>
                <w:sz w:val="20"/>
                <w:szCs w:val="20"/>
                <w:lang w:val="pt-PT" w:eastAsia="fr-FR" w:bidi="fr-FR"/>
                <w14:ligatures w14:val="standardContextual"/>
              </w:rPr>
              <w:t>35.8495</w:t>
            </w:r>
            <w:r w:rsidRPr="00F0379B">
              <w:rPr>
                <w:rFonts w:ascii="Cambria" w:eastAsia="MS Gothic" w:hAnsi="Cambria" w:cs="Times New Roman"/>
                <w:sz w:val="20"/>
                <w:szCs w:val="20"/>
                <w:lang w:val="pt-PT" w:eastAsia="fr-FR" w:bidi="fr-FR"/>
                <w14:ligatures w14:val="standardContextual"/>
              </w:rPr>
              <w:t xml:space="preserve"> (N) </w:t>
            </w:r>
            <w:r w:rsidRPr="00F0379B">
              <w:rPr>
                <w:rFonts w:ascii="Cambria" w:eastAsia="MS Gothic" w:hAnsi="Cambria" w:cs="Times New Roman"/>
                <w:spacing w:val="-1"/>
                <w:sz w:val="20"/>
                <w:szCs w:val="20"/>
                <w:lang w:val="pt-PT" w:eastAsia="fr-FR" w:bidi="fr-FR"/>
                <w14:ligatures w14:val="standardContextual"/>
              </w:rPr>
              <w:t>14.6430</w:t>
            </w:r>
            <w:r w:rsidRPr="00F0379B">
              <w:rPr>
                <w:rFonts w:ascii="Cambria" w:eastAsia="MS Gothic" w:hAnsi="Cambria" w:cs="Times New Roman"/>
                <w:sz w:val="20"/>
                <w:szCs w:val="20"/>
                <w:lang w:val="pt-PT" w:eastAsia="fr-FR" w:bidi="fr-FR"/>
                <w14:ligatures w14:val="standardContextual"/>
              </w:rPr>
              <w:t xml:space="preserve"> (E)</w:t>
            </w:r>
          </w:p>
          <w:p w14:paraId="323E07C4" w14:textId="77777777" w:rsidR="009123AC" w:rsidRPr="00F0379B" w:rsidRDefault="009123AC" w:rsidP="009123AC">
            <w:pPr>
              <w:spacing w:after="0" w:line="240" w:lineRule="auto"/>
              <w:ind w:left="99"/>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spacing w:val="-1"/>
                <w:sz w:val="20"/>
                <w:szCs w:val="20"/>
                <w:lang w:val="pt-PT" w:eastAsia="fr-FR" w:bidi="fr-FR"/>
                <w14:ligatures w14:val="standardContextual"/>
              </w:rPr>
              <w:t>35.8496</w:t>
            </w:r>
            <w:r w:rsidRPr="00F0379B">
              <w:rPr>
                <w:rFonts w:ascii="Cambria" w:eastAsia="MS Gothic" w:hAnsi="Cambria" w:cs="Times New Roman"/>
                <w:sz w:val="20"/>
                <w:szCs w:val="20"/>
                <w:lang w:val="pt-PT" w:eastAsia="fr-FR" w:bidi="fr-FR"/>
                <w14:ligatures w14:val="standardContextual"/>
              </w:rPr>
              <w:t xml:space="preserve"> (N) </w:t>
            </w:r>
            <w:r w:rsidRPr="00F0379B">
              <w:rPr>
                <w:rFonts w:ascii="Cambria" w:eastAsia="MS Gothic" w:hAnsi="Cambria" w:cs="Times New Roman"/>
                <w:spacing w:val="-1"/>
                <w:sz w:val="20"/>
                <w:szCs w:val="20"/>
                <w:lang w:val="pt-PT" w:eastAsia="fr-FR" w:bidi="fr-FR"/>
                <w14:ligatures w14:val="standardContextual"/>
              </w:rPr>
              <w:t>14.6430</w:t>
            </w:r>
            <w:r w:rsidRPr="00F0379B">
              <w:rPr>
                <w:rFonts w:ascii="Cambria" w:eastAsia="MS Gothic" w:hAnsi="Cambria" w:cs="Times New Roman"/>
                <w:sz w:val="20"/>
                <w:szCs w:val="20"/>
                <w:lang w:val="pt-PT" w:eastAsia="fr-FR" w:bidi="fr-FR"/>
                <w14:ligatures w14:val="standardContextual"/>
              </w:rPr>
              <w:t xml:space="preserve"> (E)</w:t>
            </w:r>
          </w:p>
          <w:p w14:paraId="10BCBC54" w14:textId="77777777" w:rsidR="009123AC" w:rsidRPr="00F0379B" w:rsidRDefault="009123AC" w:rsidP="009123AC">
            <w:pPr>
              <w:spacing w:after="0" w:line="240" w:lineRule="auto"/>
              <w:ind w:left="99"/>
              <w:rPr>
                <w:rFonts w:ascii="Cambria" w:eastAsia="MS Gothic" w:hAnsi="Cambria" w:cs="Times New Roman"/>
                <w:sz w:val="20"/>
                <w:szCs w:val="20"/>
                <w:lang w:val="pt-BR" w:eastAsia="fr-FR" w:bidi="fr-FR"/>
                <w14:ligatures w14:val="standardContextual"/>
              </w:rPr>
            </w:pPr>
            <w:r w:rsidRPr="00F0379B">
              <w:rPr>
                <w:rFonts w:ascii="Cambria" w:eastAsia="MS Gothic" w:hAnsi="Cambria" w:cs="Times New Roman"/>
                <w:spacing w:val="-1"/>
                <w:sz w:val="20"/>
                <w:szCs w:val="20"/>
                <w:lang w:val="pt-BR" w:eastAsia="fr-FR" w:bidi="fr-FR"/>
                <w14:ligatures w14:val="standardContextual"/>
              </w:rPr>
              <w:t>35.8496</w:t>
            </w:r>
            <w:r w:rsidRPr="00F0379B">
              <w:rPr>
                <w:rFonts w:ascii="Cambria" w:eastAsia="MS Gothic" w:hAnsi="Cambria" w:cs="Times New Roman"/>
                <w:sz w:val="20"/>
                <w:szCs w:val="20"/>
                <w:lang w:val="pt-BR" w:eastAsia="fr-FR" w:bidi="fr-FR"/>
                <w14:ligatures w14:val="standardContextual"/>
              </w:rPr>
              <w:t xml:space="preserve"> (N) </w:t>
            </w:r>
            <w:r w:rsidRPr="00F0379B">
              <w:rPr>
                <w:rFonts w:ascii="Cambria" w:eastAsia="MS Gothic" w:hAnsi="Cambria" w:cs="Times New Roman"/>
                <w:spacing w:val="-1"/>
                <w:sz w:val="20"/>
                <w:szCs w:val="20"/>
                <w:lang w:val="pt-BR" w:eastAsia="fr-FR" w:bidi="fr-FR"/>
                <w14:ligatures w14:val="standardContextual"/>
              </w:rPr>
              <w:t>14.6600</w:t>
            </w:r>
            <w:r w:rsidRPr="00F0379B">
              <w:rPr>
                <w:rFonts w:ascii="Cambria" w:eastAsia="MS Gothic" w:hAnsi="Cambria" w:cs="Times New Roman"/>
                <w:sz w:val="20"/>
                <w:szCs w:val="20"/>
                <w:lang w:val="pt-BR" w:eastAsia="fr-FR" w:bidi="fr-FR"/>
                <w14:ligatures w14:val="standardContextual"/>
              </w:rPr>
              <w:t xml:space="preserve"> (E)</w:t>
            </w:r>
          </w:p>
          <w:p w14:paraId="339198FD" w14:textId="77777777" w:rsidR="009123AC" w:rsidRPr="00F0379B" w:rsidRDefault="009123AC" w:rsidP="009123AC">
            <w:pPr>
              <w:spacing w:after="0" w:line="240" w:lineRule="auto"/>
              <w:ind w:left="99"/>
              <w:rPr>
                <w:rFonts w:ascii="Cambria" w:eastAsia="MS Gothic" w:hAnsi="Cambria" w:cs="Times New Roman"/>
                <w:sz w:val="20"/>
                <w:szCs w:val="20"/>
                <w:lang w:val="pt-BR" w:eastAsia="fr-FR" w:bidi="fr-FR"/>
                <w14:ligatures w14:val="standardContextual"/>
              </w:rPr>
            </w:pPr>
            <w:r w:rsidRPr="00F0379B">
              <w:rPr>
                <w:rFonts w:ascii="Cambria" w:eastAsia="MS Gothic" w:hAnsi="Cambria" w:cs="Times New Roman"/>
                <w:spacing w:val="-1"/>
                <w:sz w:val="20"/>
                <w:szCs w:val="20"/>
                <w:lang w:val="pt-BR" w:eastAsia="fr-FR" w:bidi="fr-FR"/>
                <w14:ligatures w14:val="standardContextual"/>
              </w:rPr>
              <w:t>35.8352</w:t>
            </w:r>
            <w:r w:rsidRPr="00F0379B">
              <w:rPr>
                <w:rFonts w:ascii="Cambria" w:eastAsia="MS Gothic" w:hAnsi="Cambria" w:cs="Times New Roman"/>
                <w:sz w:val="20"/>
                <w:szCs w:val="20"/>
                <w:lang w:val="pt-BR" w:eastAsia="fr-FR" w:bidi="fr-FR"/>
                <w14:ligatures w14:val="standardContextual"/>
              </w:rPr>
              <w:t xml:space="preserve"> (N) </w:t>
            </w:r>
            <w:r w:rsidRPr="00F0379B">
              <w:rPr>
                <w:rFonts w:ascii="Cambria" w:eastAsia="MS Gothic" w:hAnsi="Cambria" w:cs="Times New Roman"/>
                <w:spacing w:val="-1"/>
                <w:sz w:val="20"/>
                <w:szCs w:val="20"/>
                <w:lang w:val="pt-BR" w:eastAsia="fr-FR" w:bidi="fr-FR"/>
                <w14:ligatures w14:val="standardContextual"/>
              </w:rPr>
              <w:t>14.6600</w:t>
            </w:r>
            <w:r w:rsidRPr="00F0379B">
              <w:rPr>
                <w:rFonts w:ascii="Cambria" w:eastAsia="MS Gothic" w:hAnsi="Cambria" w:cs="Times New Roman"/>
                <w:sz w:val="20"/>
                <w:szCs w:val="20"/>
                <w:lang w:val="pt-BR" w:eastAsia="fr-FR" w:bidi="fr-FR"/>
                <w14:ligatures w14:val="standardContextual"/>
              </w:rPr>
              <w:t xml:space="preserve"> (E)</w:t>
            </w:r>
          </w:p>
          <w:p w14:paraId="73A6FDC5"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35.8352</w:t>
            </w:r>
            <w:r w:rsidRPr="00F0379B">
              <w:rPr>
                <w:rFonts w:ascii="Cambria" w:eastAsia="MS Gothic" w:hAnsi="Cambria" w:cs="Times New Roman"/>
                <w:sz w:val="20"/>
                <w:szCs w:val="20"/>
                <w:lang w:val="en-IE" w:eastAsia="fr-FR" w:bidi="fr-FR"/>
                <w14:ligatures w14:val="standardContextual"/>
              </w:rPr>
              <w:t xml:space="preserve"> (N) </w:t>
            </w:r>
            <w:r w:rsidRPr="00F0379B">
              <w:rPr>
                <w:rFonts w:ascii="Cambria" w:eastAsia="MS Gothic" w:hAnsi="Cambria" w:cs="Times New Roman"/>
                <w:spacing w:val="-1"/>
                <w:sz w:val="20"/>
                <w:szCs w:val="20"/>
                <w:lang w:val="en-IE" w:eastAsia="fr-FR" w:bidi="fr-FR"/>
                <w14:ligatures w14:val="standardContextual"/>
              </w:rPr>
              <w:t>14.6430</w:t>
            </w:r>
            <w:r w:rsidRPr="00F0379B">
              <w:rPr>
                <w:rFonts w:ascii="Cambria" w:eastAsia="MS Gothic" w:hAnsi="Cambria" w:cs="Times New Roman"/>
                <w:sz w:val="20"/>
                <w:szCs w:val="20"/>
                <w:lang w:val="en-IE" w:eastAsia="fr-FR" w:bidi="fr-FR"/>
                <w14:ligatures w14:val="standardContextual"/>
              </w:rPr>
              <w:t xml:space="preserve"> (E)</w:t>
            </w:r>
          </w:p>
        </w:tc>
        <w:tc>
          <w:tcPr>
            <w:tcW w:w="2466" w:type="dxa"/>
            <w:vAlign w:val="center"/>
          </w:tcPr>
          <w:p w14:paraId="686262EE" w14:textId="77777777" w:rsidR="009123AC" w:rsidRPr="00F0379B" w:rsidRDefault="009123AC" w:rsidP="009123AC">
            <w:pPr>
              <w:spacing w:after="0" w:line="240" w:lineRule="auto"/>
              <w:jc w:val="center"/>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2.142,27</w:t>
            </w:r>
          </w:p>
        </w:tc>
      </w:tr>
      <w:tr w:rsidR="009123AC" w:rsidRPr="00F0379B" w14:paraId="3C3207E5" w14:textId="77777777" w:rsidTr="00CA749B">
        <w:trPr>
          <w:trHeight w:val="57"/>
        </w:trPr>
        <w:tc>
          <w:tcPr>
            <w:tcW w:w="2020" w:type="dxa"/>
            <w:vAlign w:val="center"/>
          </w:tcPr>
          <w:p w14:paraId="656D7BB2" w14:textId="77777777" w:rsidR="009123AC" w:rsidRPr="00F0379B" w:rsidRDefault="009123AC" w:rsidP="009123AC">
            <w:pPr>
              <w:spacing w:after="0" w:line="240" w:lineRule="auto"/>
              <w:ind w:left="10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Mare</w:t>
            </w:r>
            <w:r w:rsidRPr="00F0379B">
              <w:rPr>
                <w:rFonts w:ascii="Cambria" w:eastAsia="MS Gothic" w:hAnsi="Cambria" w:cs="Times New Roman"/>
                <w:spacing w:val="-10"/>
                <w:sz w:val="20"/>
                <w:szCs w:val="20"/>
                <w:lang w:val="en-IE" w:eastAsia="fr-FR" w:bidi="fr-FR"/>
                <w14:ligatures w14:val="standardContextual"/>
              </w:rPr>
              <w:t xml:space="preserve"> </w:t>
            </w:r>
            <w:r w:rsidRPr="00F0379B">
              <w:rPr>
                <w:rFonts w:ascii="Cambria" w:eastAsia="MS Gothic" w:hAnsi="Cambria" w:cs="Times New Roman"/>
                <w:sz w:val="20"/>
                <w:szCs w:val="20"/>
                <w:lang w:val="en-IE" w:eastAsia="fr-FR" w:bidi="fr-FR"/>
                <w14:ligatures w14:val="standardContextual"/>
              </w:rPr>
              <w:t>Blu</w:t>
            </w:r>
          </w:p>
        </w:tc>
        <w:tc>
          <w:tcPr>
            <w:tcW w:w="1614" w:type="dxa"/>
            <w:vAlign w:val="center"/>
          </w:tcPr>
          <w:p w14:paraId="342F374D" w14:textId="77777777" w:rsidR="009123AC" w:rsidRPr="00F0379B" w:rsidRDefault="009123AC" w:rsidP="009123AC">
            <w:pPr>
              <w:spacing w:after="0" w:line="240" w:lineRule="auto"/>
              <w:ind w:left="50"/>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ATEUMLT00008</w:t>
            </w:r>
          </w:p>
        </w:tc>
        <w:tc>
          <w:tcPr>
            <w:tcW w:w="2960" w:type="dxa"/>
            <w:gridSpan w:val="2"/>
            <w:vAlign w:val="center"/>
          </w:tcPr>
          <w:p w14:paraId="1269646F" w14:textId="77777777" w:rsidR="009123AC" w:rsidRPr="00F0379B" w:rsidRDefault="009123AC" w:rsidP="009123AC">
            <w:pPr>
              <w:spacing w:after="0" w:line="240" w:lineRule="auto"/>
              <w:ind w:left="99"/>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spacing w:val="-1"/>
                <w:sz w:val="20"/>
                <w:szCs w:val="20"/>
                <w:lang w:val="pt-PT" w:eastAsia="fr-FR" w:bidi="fr-FR"/>
                <w14:ligatures w14:val="standardContextual"/>
              </w:rPr>
              <w:t>35.8930</w:t>
            </w:r>
            <w:r w:rsidRPr="00F0379B">
              <w:rPr>
                <w:rFonts w:ascii="Cambria" w:eastAsia="MS Gothic" w:hAnsi="Cambria" w:cs="Times New Roman"/>
                <w:sz w:val="20"/>
                <w:szCs w:val="20"/>
                <w:lang w:val="pt-PT" w:eastAsia="fr-FR" w:bidi="fr-FR"/>
                <w14:ligatures w14:val="standardContextual"/>
              </w:rPr>
              <w:t xml:space="preserve"> (N) </w:t>
            </w:r>
            <w:r w:rsidRPr="00F0379B">
              <w:rPr>
                <w:rFonts w:ascii="Cambria" w:eastAsia="MS Gothic" w:hAnsi="Cambria" w:cs="Times New Roman"/>
                <w:spacing w:val="-1"/>
                <w:sz w:val="20"/>
                <w:szCs w:val="20"/>
                <w:lang w:val="pt-PT" w:eastAsia="fr-FR" w:bidi="fr-FR"/>
                <w14:ligatures w14:val="standardContextual"/>
              </w:rPr>
              <w:t>14.6430</w:t>
            </w:r>
            <w:r w:rsidRPr="00F0379B">
              <w:rPr>
                <w:rFonts w:ascii="Cambria" w:eastAsia="MS Gothic" w:hAnsi="Cambria" w:cs="Times New Roman"/>
                <w:sz w:val="20"/>
                <w:szCs w:val="20"/>
                <w:lang w:val="pt-PT" w:eastAsia="fr-FR" w:bidi="fr-FR"/>
                <w14:ligatures w14:val="standardContextual"/>
              </w:rPr>
              <w:t xml:space="preserve"> (E)</w:t>
            </w:r>
          </w:p>
          <w:p w14:paraId="703EB988" w14:textId="77777777" w:rsidR="009123AC" w:rsidRPr="00F0379B" w:rsidRDefault="009123AC" w:rsidP="009123AC">
            <w:pPr>
              <w:spacing w:after="0" w:line="240" w:lineRule="auto"/>
              <w:ind w:left="99"/>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spacing w:val="-1"/>
                <w:sz w:val="20"/>
                <w:szCs w:val="20"/>
                <w:lang w:val="pt-PT" w:eastAsia="fr-FR" w:bidi="fr-FR"/>
                <w14:ligatures w14:val="standardContextual"/>
              </w:rPr>
              <w:t>35.8930</w:t>
            </w:r>
            <w:r w:rsidRPr="00F0379B">
              <w:rPr>
                <w:rFonts w:ascii="Cambria" w:eastAsia="MS Gothic" w:hAnsi="Cambria" w:cs="Times New Roman"/>
                <w:sz w:val="20"/>
                <w:szCs w:val="20"/>
                <w:lang w:val="pt-PT" w:eastAsia="fr-FR" w:bidi="fr-FR"/>
                <w14:ligatures w14:val="standardContextual"/>
              </w:rPr>
              <w:t xml:space="preserve"> (N) </w:t>
            </w:r>
            <w:r w:rsidRPr="00F0379B">
              <w:rPr>
                <w:rFonts w:ascii="Cambria" w:eastAsia="MS Gothic" w:hAnsi="Cambria" w:cs="Times New Roman"/>
                <w:spacing w:val="-1"/>
                <w:sz w:val="20"/>
                <w:szCs w:val="20"/>
                <w:lang w:val="pt-PT" w:eastAsia="fr-FR" w:bidi="fr-FR"/>
                <w14:ligatures w14:val="standardContextual"/>
              </w:rPr>
              <w:t>14.6600</w:t>
            </w:r>
            <w:r w:rsidRPr="00F0379B">
              <w:rPr>
                <w:rFonts w:ascii="Cambria" w:eastAsia="MS Gothic" w:hAnsi="Cambria" w:cs="Times New Roman"/>
                <w:sz w:val="20"/>
                <w:szCs w:val="20"/>
                <w:lang w:val="pt-PT" w:eastAsia="fr-FR" w:bidi="fr-FR"/>
                <w14:ligatures w14:val="standardContextual"/>
              </w:rPr>
              <w:t xml:space="preserve"> (E)</w:t>
            </w:r>
          </w:p>
          <w:p w14:paraId="316093FD" w14:textId="77777777" w:rsidR="009123AC" w:rsidRPr="00F0379B" w:rsidRDefault="009123AC" w:rsidP="009123AC">
            <w:pPr>
              <w:spacing w:after="0" w:line="240" w:lineRule="auto"/>
              <w:ind w:left="99"/>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spacing w:val="-1"/>
                <w:sz w:val="20"/>
                <w:szCs w:val="20"/>
                <w:lang w:val="pt-PT" w:eastAsia="fr-FR" w:bidi="fr-FR"/>
                <w14:ligatures w14:val="standardContextual"/>
              </w:rPr>
              <w:t>35.8784</w:t>
            </w:r>
            <w:r w:rsidRPr="00F0379B">
              <w:rPr>
                <w:rFonts w:ascii="Cambria" w:eastAsia="MS Gothic" w:hAnsi="Cambria" w:cs="Times New Roman"/>
                <w:sz w:val="20"/>
                <w:szCs w:val="20"/>
                <w:lang w:val="pt-PT" w:eastAsia="fr-FR" w:bidi="fr-FR"/>
                <w14:ligatures w14:val="standardContextual"/>
              </w:rPr>
              <w:t xml:space="preserve"> (N) </w:t>
            </w:r>
            <w:r w:rsidRPr="00F0379B">
              <w:rPr>
                <w:rFonts w:ascii="Cambria" w:eastAsia="MS Gothic" w:hAnsi="Cambria" w:cs="Times New Roman"/>
                <w:spacing w:val="-1"/>
                <w:sz w:val="20"/>
                <w:szCs w:val="20"/>
                <w:lang w:val="pt-PT" w:eastAsia="fr-FR" w:bidi="fr-FR"/>
                <w14:ligatures w14:val="standardContextual"/>
              </w:rPr>
              <w:t>14.6600</w:t>
            </w:r>
            <w:r w:rsidRPr="00F0379B">
              <w:rPr>
                <w:rFonts w:ascii="Cambria" w:eastAsia="MS Gothic" w:hAnsi="Cambria" w:cs="Times New Roman"/>
                <w:sz w:val="20"/>
                <w:szCs w:val="20"/>
                <w:lang w:val="pt-PT" w:eastAsia="fr-FR" w:bidi="fr-FR"/>
                <w14:ligatures w14:val="standardContextual"/>
              </w:rPr>
              <w:t xml:space="preserve"> (E)</w:t>
            </w:r>
          </w:p>
          <w:p w14:paraId="611A14DE" w14:textId="77777777" w:rsidR="009123AC" w:rsidRPr="00F0379B" w:rsidRDefault="009123AC" w:rsidP="009123AC">
            <w:pPr>
              <w:spacing w:after="0" w:line="240" w:lineRule="auto"/>
              <w:ind w:left="99"/>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spacing w:val="-1"/>
                <w:sz w:val="20"/>
                <w:szCs w:val="20"/>
                <w:lang w:val="pt-PT" w:eastAsia="fr-FR" w:bidi="fr-FR"/>
                <w14:ligatures w14:val="standardContextual"/>
              </w:rPr>
              <w:t>35.8785</w:t>
            </w:r>
            <w:r w:rsidRPr="00F0379B">
              <w:rPr>
                <w:rFonts w:ascii="Cambria" w:eastAsia="MS Gothic" w:hAnsi="Cambria" w:cs="Times New Roman"/>
                <w:sz w:val="20"/>
                <w:szCs w:val="20"/>
                <w:lang w:val="pt-PT" w:eastAsia="fr-FR" w:bidi="fr-FR"/>
                <w14:ligatures w14:val="standardContextual"/>
              </w:rPr>
              <w:t xml:space="preserve"> (N) </w:t>
            </w:r>
            <w:r w:rsidRPr="00F0379B">
              <w:rPr>
                <w:rFonts w:ascii="Cambria" w:eastAsia="MS Gothic" w:hAnsi="Cambria" w:cs="Times New Roman"/>
                <w:spacing w:val="-1"/>
                <w:sz w:val="20"/>
                <w:szCs w:val="20"/>
                <w:lang w:val="pt-PT" w:eastAsia="fr-FR" w:bidi="fr-FR"/>
                <w14:ligatures w14:val="standardContextual"/>
              </w:rPr>
              <w:t>14.6430</w:t>
            </w:r>
            <w:r w:rsidRPr="00F0379B">
              <w:rPr>
                <w:rFonts w:ascii="Cambria" w:eastAsia="MS Gothic" w:hAnsi="Cambria" w:cs="Times New Roman"/>
                <w:sz w:val="20"/>
                <w:szCs w:val="20"/>
                <w:lang w:val="pt-PT" w:eastAsia="fr-FR" w:bidi="fr-FR"/>
                <w14:ligatures w14:val="standardContextual"/>
              </w:rPr>
              <w:t xml:space="preserve"> (E)</w:t>
            </w:r>
          </w:p>
          <w:p w14:paraId="409F7F2F" w14:textId="77777777" w:rsidR="009123AC" w:rsidRPr="00F0379B" w:rsidRDefault="009123AC" w:rsidP="009123AC">
            <w:pPr>
              <w:spacing w:after="0" w:line="240" w:lineRule="auto"/>
              <w:ind w:left="99"/>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spacing w:val="-1"/>
                <w:sz w:val="20"/>
                <w:szCs w:val="20"/>
                <w:lang w:val="pt-PT" w:eastAsia="fr-FR" w:bidi="fr-FR"/>
                <w14:ligatures w14:val="standardContextual"/>
              </w:rPr>
              <w:t>35.8930</w:t>
            </w:r>
            <w:r w:rsidRPr="00F0379B">
              <w:rPr>
                <w:rFonts w:ascii="Cambria" w:eastAsia="MS Gothic" w:hAnsi="Cambria" w:cs="Times New Roman"/>
                <w:sz w:val="20"/>
                <w:szCs w:val="20"/>
                <w:lang w:val="pt-PT" w:eastAsia="fr-FR" w:bidi="fr-FR"/>
                <w14:ligatures w14:val="standardContextual"/>
              </w:rPr>
              <w:t xml:space="preserve"> (N) </w:t>
            </w:r>
            <w:r w:rsidRPr="00F0379B">
              <w:rPr>
                <w:rFonts w:ascii="Cambria" w:eastAsia="MS Gothic" w:hAnsi="Cambria" w:cs="Times New Roman"/>
                <w:spacing w:val="-1"/>
                <w:sz w:val="20"/>
                <w:szCs w:val="20"/>
                <w:lang w:val="pt-PT" w:eastAsia="fr-FR" w:bidi="fr-FR"/>
                <w14:ligatures w14:val="standardContextual"/>
              </w:rPr>
              <w:t>14.6600</w:t>
            </w:r>
            <w:r w:rsidRPr="00F0379B">
              <w:rPr>
                <w:rFonts w:ascii="Cambria" w:eastAsia="MS Gothic" w:hAnsi="Cambria" w:cs="Times New Roman"/>
                <w:sz w:val="20"/>
                <w:szCs w:val="20"/>
                <w:lang w:val="pt-PT" w:eastAsia="fr-FR" w:bidi="fr-FR"/>
                <w14:ligatures w14:val="standardContextual"/>
              </w:rPr>
              <w:t xml:space="preserve"> (E)</w:t>
            </w:r>
          </w:p>
          <w:p w14:paraId="41DF158D"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35.8930</w:t>
            </w:r>
            <w:r w:rsidRPr="00F0379B">
              <w:rPr>
                <w:rFonts w:ascii="Cambria" w:eastAsia="MS Gothic" w:hAnsi="Cambria" w:cs="Times New Roman"/>
                <w:sz w:val="20"/>
                <w:szCs w:val="20"/>
                <w:lang w:val="en-IE" w:eastAsia="fr-FR" w:bidi="fr-FR"/>
                <w14:ligatures w14:val="standardContextual"/>
              </w:rPr>
              <w:t xml:space="preserve"> (N) </w:t>
            </w:r>
            <w:r w:rsidRPr="00F0379B">
              <w:rPr>
                <w:rFonts w:ascii="Cambria" w:eastAsia="MS Gothic" w:hAnsi="Cambria" w:cs="Times New Roman"/>
                <w:spacing w:val="-1"/>
                <w:sz w:val="20"/>
                <w:szCs w:val="20"/>
                <w:lang w:val="en-IE" w:eastAsia="fr-FR" w:bidi="fr-FR"/>
                <w14:ligatures w14:val="standardContextual"/>
              </w:rPr>
              <w:t>14.6770</w:t>
            </w:r>
            <w:r w:rsidRPr="00F0379B">
              <w:rPr>
                <w:rFonts w:ascii="Cambria" w:eastAsia="MS Gothic" w:hAnsi="Cambria" w:cs="Times New Roman"/>
                <w:sz w:val="20"/>
                <w:szCs w:val="20"/>
                <w:lang w:val="en-IE" w:eastAsia="fr-FR" w:bidi="fr-FR"/>
                <w14:ligatures w14:val="standardContextual"/>
              </w:rPr>
              <w:t xml:space="preserve"> (E)</w:t>
            </w:r>
          </w:p>
          <w:p w14:paraId="264A9625"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35.8785</w:t>
            </w:r>
            <w:r w:rsidRPr="00F0379B">
              <w:rPr>
                <w:rFonts w:ascii="Cambria" w:eastAsia="MS Gothic" w:hAnsi="Cambria" w:cs="Times New Roman"/>
                <w:sz w:val="20"/>
                <w:szCs w:val="20"/>
                <w:lang w:val="en-IE" w:eastAsia="fr-FR" w:bidi="fr-FR"/>
                <w14:ligatures w14:val="standardContextual"/>
              </w:rPr>
              <w:t xml:space="preserve"> (N) </w:t>
            </w:r>
            <w:r w:rsidRPr="00F0379B">
              <w:rPr>
                <w:rFonts w:ascii="Cambria" w:eastAsia="MS Gothic" w:hAnsi="Cambria" w:cs="Times New Roman"/>
                <w:spacing w:val="-1"/>
                <w:sz w:val="20"/>
                <w:szCs w:val="20"/>
                <w:lang w:val="en-IE" w:eastAsia="fr-FR" w:bidi="fr-FR"/>
                <w14:ligatures w14:val="standardContextual"/>
              </w:rPr>
              <w:t>14.6770</w:t>
            </w:r>
            <w:r w:rsidRPr="00F0379B">
              <w:rPr>
                <w:rFonts w:ascii="Cambria" w:eastAsia="MS Gothic" w:hAnsi="Cambria" w:cs="Times New Roman"/>
                <w:sz w:val="20"/>
                <w:szCs w:val="20"/>
                <w:lang w:val="en-IE" w:eastAsia="fr-FR" w:bidi="fr-FR"/>
                <w14:ligatures w14:val="standardContextual"/>
              </w:rPr>
              <w:t xml:space="preserve"> (E)</w:t>
            </w:r>
          </w:p>
          <w:p w14:paraId="166ECDB4"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35.8784</w:t>
            </w:r>
            <w:r w:rsidRPr="00F0379B">
              <w:rPr>
                <w:rFonts w:ascii="Cambria" w:eastAsia="MS Gothic" w:hAnsi="Cambria" w:cs="Times New Roman"/>
                <w:sz w:val="20"/>
                <w:szCs w:val="20"/>
                <w:lang w:val="en-IE" w:eastAsia="fr-FR" w:bidi="fr-FR"/>
                <w14:ligatures w14:val="standardContextual"/>
              </w:rPr>
              <w:t xml:space="preserve"> (N) </w:t>
            </w:r>
            <w:r w:rsidRPr="00F0379B">
              <w:rPr>
                <w:rFonts w:ascii="Cambria" w:eastAsia="MS Gothic" w:hAnsi="Cambria" w:cs="Times New Roman"/>
                <w:spacing w:val="-1"/>
                <w:sz w:val="20"/>
                <w:szCs w:val="20"/>
                <w:lang w:val="en-IE" w:eastAsia="fr-FR" w:bidi="fr-FR"/>
                <w14:ligatures w14:val="standardContextual"/>
              </w:rPr>
              <w:t>14.6600</w:t>
            </w:r>
            <w:r w:rsidRPr="00F0379B">
              <w:rPr>
                <w:rFonts w:ascii="Cambria" w:eastAsia="MS Gothic" w:hAnsi="Cambria" w:cs="Times New Roman"/>
                <w:sz w:val="20"/>
                <w:szCs w:val="20"/>
                <w:lang w:val="en-IE" w:eastAsia="fr-FR" w:bidi="fr-FR"/>
                <w14:ligatures w14:val="standardContextual"/>
              </w:rPr>
              <w:t xml:space="preserve"> (E)</w:t>
            </w:r>
          </w:p>
        </w:tc>
        <w:tc>
          <w:tcPr>
            <w:tcW w:w="2466" w:type="dxa"/>
            <w:vAlign w:val="center"/>
          </w:tcPr>
          <w:p w14:paraId="33D63813" w14:textId="77777777" w:rsidR="009123AC" w:rsidRPr="00F0379B" w:rsidRDefault="009123AC" w:rsidP="009123AC">
            <w:pPr>
              <w:spacing w:after="0" w:line="240" w:lineRule="auto"/>
              <w:jc w:val="center"/>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2.142,927</w:t>
            </w:r>
          </w:p>
        </w:tc>
      </w:tr>
      <w:tr w:rsidR="009123AC" w:rsidRPr="00F0379B" w14:paraId="22D7B9C0" w14:textId="77777777" w:rsidTr="00CA749B">
        <w:trPr>
          <w:trHeight w:val="57"/>
        </w:trPr>
        <w:tc>
          <w:tcPr>
            <w:tcW w:w="2020" w:type="dxa"/>
            <w:vAlign w:val="center"/>
          </w:tcPr>
          <w:p w14:paraId="6665B19C" w14:textId="77777777" w:rsidR="009123AC" w:rsidRPr="00F0379B" w:rsidRDefault="009123AC" w:rsidP="009123AC">
            <w:pPr>
              <w:spacing w:after="0" w:line="240" w:lineRule="auto"/>
              <w:ind w:left="10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MML</w:t>
            </w:r>
          </w:p>
        </w:tc>
        <w:tc>
          <w:tcPr>
            <w:tcW w:w="1614" w:type="dxa"/>
            <w:vAlign w:val="center"/>
          </w:tcPr>
          <w:p w14:paraId="665B8A35" w14:textId="77777777" w:rsidR="009123AC" w:rsidRPr="00F0379B" w:rsidRDefault="009123AC" w:rsidP="009123AC">
            <w:pPr>
              <w:spacing w:after="0" w:line="240" w:lineRule="auto"/>
              <w:ind w:left="50"/>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ATEUMLT00002</w:t>
            </w:r>
          </w:p>
        </w:tc>
        <w:tc>
          <w:tcPr>
            <w:tcW w:w="2960" w:type="dxa"/>
            <w:gridSpan w:val="2"/>
            <w:vAlign w:val="center"/>
          </w:tcPr>
          <w:p w14:paraId="60D1F99B"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35.58.33</w:t>
            </w:r>
            <w:r w:rsidRPr="00F0379B">
              <w:rPr>
                <w:rFonts w:ascii="Cambria" w:eastAsia="MS Gothic" w:hAnsi="Cambria" w:cs="Times New Roman"/>
                <w:sz w:val="20"/>
                <w:szCs w:val="20"/>
                <w:lang w:val="en-IE" w:eastAsia="fr-FR" w:bidi="fr-FR"/>
                <w14:ligatures w14:val="standardContextual"/>
              </w:rPr>
              <w:t xml:space="preserve"> (N)</w:t>
            </w:r>
            <w:r w:rsidRPr="00F0379B">
              <w:rPr>
                <w:rFonts w:ascii="Cambria" w:eastAsia="MS Gothic" w:hAnsi="Cambria" w:cs="Times New Roman"/>
                <w:spacing w:val="-2"/>
                <w:sz w:val="20"/>
                <w:szCs w:val="20"/>
                <w:lang w:val="en-IE" w:eastAsia="fr-FR" w:bidi="fr-FR"/>
                <w14:ligatures w14:val="standardContextual"/>
              </w:rPr>
              <w:t xml:space="preserve"> </w:t>
            </w:r>
            <w:r w:rsidRPr="00F0379B">
              <w:rPr>
                <w:rFonts w:ascii="Cambria" w:eastAsia="MS Gothic" w:hAnsi="Cambria" w:cs="Times New Roman"/>
                <w:spacing w:val="-1"/>
                <w:sz w:val="20"/>
                <w:szCs w:val="20"/>
                <w:lang w:val="en-IE" w:eastAsia="fr-FR" w:bidi="fr-FR"/>
                <w14:ligatures w14:val="standardContextual"/>
              </w:rPr>
              <w:t>14.24.48</w:t>
            </w:r>
            <w:r w:rsidRPr="00F0379B">
              <w:rPr>
                <w:rFonts w:ascii="Cambria" w:eastAsia="MS Gothic" w:hAnsi="Cambria" w:cs="Times New Roman"/>
                <w:sz w:val="20"/>
                <w:szCs w:val="20"/>
                <w:lang w:val="en-IE" w:eastAsia="fr-FR" w:bidi="fr-FR"/>
                <w14:ligatures w14:val="standardContextual"/>
              </w:rPr>
              <w:t xml:space="preserve"> (E)</w:t>
            </w:r>
          </w:p>
          <w:p w14:paraId="72618DCA"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35.58.45</w:t>
            </w:r>
            <w:r w:rsidRPr="00F0379B">
              <w:rPr>
                <w:rFonts w:ascii="Cambria" w:eastAsia="MS Gothic" w:hAnsi="Cambria" w:cs="Times New Roman"/>
                <w:sz w:val="20"/>
                <w:szCs w:val="20"/>
                <w:lang w:val="en-IE" w:eastAsia="fr-FR" w:bidi="fr-FR"/>
                <w14:ligatures w14:val="standardContextual"/>
              </w:rPr>
              <w:t xml:space="preserve"> (N)</w:t>
            </w:r>
            <w:r w:rsidRPr="00F0379B">
              <w:rPr>
                <w:rFonts w:ascii="Cambria" w:eastAsia="MS Gothic" w:hAnsi="Cambria" w:cs="Times New Roman"/>
                <w:spacing w:val="-2"/>
                <w:sz w:val="20"/>
                <w:szCs w:val="20"/>
                <w:lang w:val="en-IE" w:eastAsia="fr-FR" w:bidi="fr-FR"/>
                <w14:ligatures w14:val="standardContextual"/>
              </w:rPr>
              <w:t xml:space="preserve"> </w:t>
            </w:r>
            <w:r w:rsidRPr="00F0379B">
              <w:rPr>
                <w:rFonts w:ascii="Cambria" w:eastAsia="MS Gothic" w:hAnsi="Cambria" w:cs="Times New Roman"/>
                <w:spacing w:val="-1"/>
                <w:sz w:val="20"/>
                <w:szCs w:val="20"/>
                <w:lang w:val="en-IE" w:eastAsia="fr-FR" w:bidi="fr-FR"/>
                <w14:ligatures w14:val="standardContextual"/>
              </w:rPr>
              <w:t>14.24.54</w:t>
            </w:r>
            <w:r w:rsidRPr="00F0379B">
              <w:rPr>
                <w:rFonts w:ascii="Cambria" w:eastAsia="MS Gothic" w:hAnsi="Cambria" w:cs="Times New Roman"/>
                <w:sz w:val="20"/>
                <w:szCs w:val="20"/>
                <w:lang w:val="en-IE" w:eastAsia="fr-FR" w:bidi="fr-FR"/>
                <w14:ligatures w14:val="standardContextual"/>
              </w:rPr>
              <w:t xml:space="preserve"> (E)</w:t>
            </w:r>
          </w:p>
          <w:p w14:paraId="23898076"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35.58.34</w:t>
            </w:r>
            <w:r w:rsidRPr="00F0379B">
              <w:rPr>
                <w:rFonts w:ascii="Cambria" w:eastAsia="MS Gothic" w:hAnsi="Cambria" w:cs="Times New Roman"/>
                <w:sz w:val="20"/>
                <w:szCs w:val="20"/>
                <w:lang w:val="en-IE" w:eastAsia="fr-FR" w:bidi="fr-FR"/>
                <w14:ligatures w14:val="standardContextual"/>
              </w:rPr>
              <w:t xml:space="preserve"> (N)</w:t>
            </w:r>
            <w:r w:rsidRPr="00F0379B">
              <w:rPr>
                <w:rFonts w:ascii="Cambria" w:eastAsia="MS Gothic" w:hAnsi="Cambria" w:cs="Times New Roman"/>
                <w:spacing w:val="-2"/>
                <w:sz w:val="20"/>
                <w:szCs w:val="20"/>
                <w:lang w:val="en-IE" w:eastAsia="fr-FR" w:bidi="fr-FR"/>
                <w14:ligatures w14:val="standardContextual"/>
              </w:rPr>
              <w:t xml:space="preserve"> </w:t>
            </w:r>
            <w:r w:rsidRPr="00F0379B">
              <w:rPr>
                <w:rFonts w:ascii="Cambria" w:eastAsia="MS Gothic" w:hAnsi="Cambria" w:cs="Times New Roman"/>
                <w:spacing w:val="-1"/>
                <w:sz w:val="20"/>
                <w:szCs w:val="20"/>
                <w:lang w:val="en-IE" w:eastAsia="fr-FR" w:bidi="fr-FR"/>
                <w14:ligatures w14:val="standardContextual"/>
              </w:rPr>
              <w:t>14.25.43</w:t>
            </w:r>
            <w:r w:rsidRPr="00F0379B">
              <w:rPr>
                <w:rFonts w:ascii="Cambria" w:eastAsia="MS Gothic" w:hAnsi="Cambria" w:cs="Times New Roman"/>
                <w:sz w:val="20"/>
                <w:szCs w:val="20"/>
                <w:lang w:val="en-IE" w:eastAsia="fr-FR" w:bidi="fr-FR"/>
                <w14:ligatures w14:val="standardContextual"/>
              </w:rPr>
              <w:t xml:space="preserve"> (E)</w:t>
            </w:r>
          </w:p>
          <w:p w14:paraId="6D11EEEE"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35.58.19</w:t>
            </w:r>
            <w:r w:rsidRPr="00F0379B">
              <w:rPr>
                <w:rFonts w:ascii="Cambria" w:eastAsia="MS Gothic" w:hAnsi="Cambria" w:cs="Times New Roman"/>
                <w:sz w:val="20"/>
                <w:szCs w:val="20"/>
                <w:lang w:val="en-IE" w:eastAsia="fr-FR" w:bidi="fr-FR"/>
                <w14:ligatures w14:val="standardContextual"/>
              </w:rPr>
              <w:t xml:space="preserve"> (N)</w:t>
            </w:r>
            <w:r w:rsidRPr="00F0379B">
              <w:rPr>
                <w:rFonts w:ascii="Cambria" w:eastAsia="MS Gothic" w:hAnsi="Cambria" w:cs="Times New Roman"/>
                <w:spacing w:val="-2"/>
                <w:sz w:val="20"/>
                <w:szCs w:val="20"/>
                <w:lang w:val="en-IE" w:eastAsia="fr-FR" w:bidi="fr-FR"/>
                <w14:ligatures w14:val="standardContextual"/>
              </w:rPr>
              <w:t xml:space="preserve"> </w:t>
            </w:r>
            <w:r w:rsidRPr="00F0379B">
              <w:rPr>
                <w:rFonts w:ascii="Cambria" w:eastAsia="MS Gothic" w:hAnsi="Cambria" w:cs="Times New Roman"/>
                <w:spacing w:val="-1"/>
                <w:sz w:val="20"/>
                <w:szCs w:val="20"/>
                <w:lang w:val="en-IE" w:eastAsia="fr-FR" w:bidi="fr-FR"/>
                <w14:ligatures w14:val="standardContextual"/>
              </w:rPr>
              <w:t>14.25.38</w:t>
            </w:r>
            <w:r w:rsidRPr="00F0379B">
              <w:rPr>
                <w:rFonts w:ascii="Cambria" w:eastAsia="MS Gothic" w:hAnsi="Cambria" w:cs="Times New Roman"/>
                <w:sz w:val="20"/>
                <w:szCs w:val="20"/>
                <w:lang w:val="en-IE" w:eastAsia="fr-FR" w:bidi="fr-FR"/>
                <w14:ligatures w14:val="standardContextual"/>
              </w:rPr>
              <w:t xml:space="preserve"> (E)</w:t>
            </w:r>
          </w:p>
        </w:tc>
        <w:tc>
          <w:tcPr>
            <w:tcW w:w="2466" w:type="dxa"/>
            <w:vAlign w:val="center"/>
          </w:tcPr>
          <w:p w14:paraId="640805E9" w14:textId="77777777" w:rsidR="009123AC" w:rsidRPr="00F0379B" w:rsidRDefault="009123AC" w:rsidP="009123AC">
            <w:pPr>
              <w:spacing w:after="0" w:line="240" w:lineRule="auto"/>
              <w:jc w:val="center"/>
              <w:rPr>
                <w:rFonts w:ascii="Cambria" w:eastAsia="Century" w:hAnsi="Cambria"/>
                <w:sz w:val="20"/>
                <w:szCs w:val="20"/>
                <w:lang w:val="en-IE"/>
                <w14:ligatures w14:val="standardContextual"/>
              </w:rPr>
            </w:pPr>
            <w:r w:rsidRPr="00F0379B">
              <w:rPr>
                <w:rFonts w:ascii="Cambria" w:eastAsia="Century" w:hAnsi="Cambria"/>
                <w:sz w:val="20"/>
                <w:szCs w:val="20"/>
                <w:lang w:val="en-IE"/>
                <w14:ligatures w14:val="standardContextual"/>
              </w:rPr>
              <w:t>1.142,219</w:t>
            </w:r>
          </w:p>
        </w:tc>
      </w:tr>
      <w:tr w:rsidR="009123AC" w:rsidRPr="00F0379B" w14:paraId="497EDD8F" w14:textId="77777777" w:rsidTr="00CA749B">
        <w:trPr>
          <w:trHeight w:val="57"/>
        </w:trPr>
        <w:tc>
          <w:tcPr>
            <w:tcW w:w="2020" w:type="dxa"/>
            <w:vAlign w:val="center"/>
          </w:tcPr>
          <w:p w14:paraId="48FDC920" w14:textId="77777777" w:rsidR="009123AC" w:rsidRPr="00F0379B" w:rsidRDefault="009123AC" w:rsidP="009123AC">
            <w:pPr>
              <w:spacing w:after="0" w:line="240" w:lineRule="auto"/>
              <w:ind w:left="10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AJD</w:t>
            </w:r>
          </w:p>
        </w:tc>
        <w:tc>
          <w:tcPr>
            <w:tcW w:w="1614" w:type="dxa"/>
            <w:vAlign w:val="center"/>
          </w:tcPr>
          <w:p w14:paraId="4B19AA50" w14:textId="77777777" w:rsidR="009123AC" w:rsidRPr="00F0379B" w:rsidRDefault="009123AC" w:rsidP="009123AC">
            <w:pPr>
              <w:spacing w:after="0" w:line="240" w:lineRule="auto"/>
              <w:ind w:left="50"/>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ATEUMLT00001</w:t>
            </w:r>
          </w:p>
        </w:tc>
        <w:tc>
          <w:tcPr>
            <w:tcW w:w="2960" w:type="dxa"/>
            <w:gridSpan w:val="2"/>
            <w:vAlign w:val="center"/>
          </w:tcPr>
          <w:p w14:paraId="32A7A929"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35.58.33</w:t>
            </w:r>
            <w:r w:rsidRPr="00F0379B">
              <w:rPr>
                <w:rFonts w:ascii="Cambria" w:eastAsia="MS Gothic" w:hAnsi="Cambria" w:cs="Times New Roman"/>
                <w:sz w:val="20"/>
                <w:szCs w:val="20"/>
                <w:lang w:val="en-IE" w:eastAsia="fr-FR" w:bidi="fr-FR"/>
                <w14:ligatures w14:val="standardContextual"/>
              </w:rPr>
              <w:t xml:space="preserve"> (N)</w:t>
            </w:r>
            <w:r w:rsidRPr="00F0379B">
              <w:rPr>
                <w:rFonts w:ascii="Cambria" w:eastAsia="MS Gothic" w:hAnsi="Cambria" w:cs="Times New Roman"/>
                <w:spacing w:val="-2"/>
                <w:sz w:val="20"/>
                <w:szCs w:val="20"/>
                <w:lang w:val="en-IE" w:eastAsia="fr-FR" w:bidi="fr-FR"/>
                <w14:ligatures w14:val="standardContextual"/>
              </w:rPr>
              <w:t xml:space="preserve"> </w:t>
            </w:r>
            <w:r w:rsidRPr="00F0379B">
              <w:rPr>
                <w:rFonts w:ascii="Cambria" w:eastAsia="MS Gothic" w:hAnsi="Cambria" w:cs="Times New Roman"/>
                <w:spacing w:val="-1"/>
                <w:sz w:val="20"/>
                <w:szCs w:val="20"/>
                <w:lang w:val="en-IE" w:eastAsia="fr-FR" w:bidi="fr-FR"/>
                <w14:ligatures w14:val="standardContextual"/>
              </w:rPr>
              <w:t>14.24.48</w:t>
            </w:r>
            <w:r w:rsidRPr="00F0379B">
              <w:rPr>
                <w:rFonts w:ascii="Cambria" w:eastAsia="MS Gothic" w:hAnsi="Cambria" w:cs="Times New Roman"/>
                <w:sz w:val="20"/>
                <w:szCs w:val="20"/>
                <w:lang w:val="en-IE" w:eastAsia="fr-FR" w:bidi="fr-FR"/>
                <w14:ligatures w14:val="standardContextual"/>
              </w:rPr>
              <w:t xml:space="preserve"> (E)</w:t>
            </w:r>
          </w:p>
          <w:p w14:paraId="65116B86"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35.58.45</w:t>
            </w:r>
            <w:r w:rsidRPr="00F0379B">
              <w:rPr>
                <w:rFonts w:ascii="Cambria" w:eastAsia="MS Gothic" w:hAnsi="Cambria" w:cs="Times New Roman"/>
                <w:sz w:val="20"/>
                <w:szCs w:val="20"/>
                <w:lang w:val="en-IE" w:eastAsia="fr-FR" w:bidi="fr-FR"/>
                <w14:ligatures w14:val="standardContextual"/>
              </w:rPr>
              <w:t xml:space="preserve"> (N)</w:t>
            </w:r>
            <w:r w:rsidRPr="00F0379B">
              <w:rPr>
                <w:rFonts w:ascii="Cambria" w:eastAsia="MS Gothic" w:hAnsi="Cambria" w:cs="Times New Roman"/>
                <w:spacing w:val="-1"/>
                <w:sz w:val="20"/>
                <w:szCs w:val="20"/>
                <w:lang w:val="en-IE" w:eastAsia="fr-FR" w:bidi="fr-FR"/>
                <w14:ligatures w14:val="standardContextual"/>
              </w:rPr>
              <w:t xml:space="preserve"> 14.24.54</w:t>
            </w:r>
            <w:r w:rsidRPr="00F0379B">
              <w:rPr>
                <w:rFonts w:ascii="Cambria" w:eastAsia="MS Gothic" w:hAnsi="Cambria" w:cs="Times New Roman"/>
                <w:sz w:val="20"/>
                <w:szCs w:val="20"/>
                <w:lang w:val="en-IE" w:eastAsia="fr-FR" w:bidi="fr-FR"/>
                <w14:ligatures w14:val="standardContextual"/>
              </w:rPr>
              <w:t xml:space="preserve"> (E)</w:t>
            </w:r>
          </w:p>
          <w:p w14:paraId="6856E784"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35.58.34</w:t>
            </w:r>
            <w:r w:rsidRPr="00F0379B">
              <w:rPr>
                <w:rFonts w:ascii="Cambria" w:eastAsia="MS Gothic" w:hAnsi="Cambria" w:cs="Times New Roman"/>
                <w:sz w:val="20"/>
                <w:szCs w:val="20"/>
                <w:lang w:val="en-IE" w:eastAsia="fr-FR" w:bidi="fr-FR"/>
                <w14:ligatures w14:val="standardContextual"/>
              </w:rPr>
              <w:t xml:space="preserve"> (N)</w:t>
            </w:r>
            <w:r w:rsidRPr="00F0379B">
              <w:rPr>
                <w:rFonts w:ascii="Cambria" w:eastAsia="MS Gothic" w:hAnsi="Cambria" w:cs="Times New Roman"/>
                <w:spacing w:val="-2"/>
                <w:sz w:val="20"/>
                <w:szCs w:val="20"/>
                <w:lang w:val="en-IE" w:eastAsia="fr-FR" w:bidi="fr-FR"/>
                <w14:ligatures w14:val="standardContextual"/>
              </w:rPr>
              <w:t xml:space="preserve"> </w:t>
            </w:r>
            <w:r w:rsidRPr="00F0379B">
              <w:rPr>
                <w:rFonts w:ascii="Cambria" w:eastAsia="MS Gothic" w:hAnsi="Cambria" w:cs="Times New Roman"/>
                <w:spacing w:val="-1"/>
                <w:sz w:val="20"/>
                <w:szCs w:val="20"/>
                <w:lang w:val="en-IE" w:eastAsia="fr-FR" w:bidi="fr-FR"/>
                <w14:ligatures w14:val="standardContextual"/>
              </w:rPr>
              <w:t>14.25.43</w:t>
            </w:r>
            <w:r w:rsidRPr="00F0379B">
              <w:rPr>
                <w:rFonts w:ascii="Cambria" w:eastAsia="MS Gothic" w:hAnsi="Cambria" w:cs="Times New Roman"/>
                <w:sz w:val="20"/>
                <w:szCs w:val="20"/>
                <w:lang w:val="en-IE" w:eastAsia="fr-FR" w:bidi="fr-FR"/>
                <w14:ligatures w14:val="standardContextual"/>
              </w:rPr>
              <w:t xml:space="preserve"> (E)</w:t>
            </w:r>
          </w:p>
          <w:p w14:paraId="68FCAC1C" w14:textId="77777777" w:rsidR="009123AC" w:rsidRPr="00F0379B" w:rsidRDefault="009123AC" w:rsidP="009123AC">
            <w:pPr>
              <w:spacing w:after="0" w:line="240" w:lineRule="auto"/>
              <w:ind w:left="99"/>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pacing w:val="-1"/>
                <w:sz w:val="20"/>
                <w:szCs w:val="20"/>
                <w:lang w:val="en-IE" w:eastAsia="fr-FR" w:bidi="fr-FR"/>
                <w14:ligatures w14:val="standardContextual"/>
              </w:rPr>
              <w:t>35.58.19</w:t>
            </w:r>
            <w:r w:rsidRPr="00F0379B">
              <w:rPr>
                <w:rFonts w:ascii="Cambria" w:eastAsia="MS Gothic" w:hAnsi="Cambria" w:cs="Times New Roman"/>
                <w:sz w:val="20"/>
                <w:szCs w:val="20"/>
                <w:lang w:val="en-IE" w:eastAsia="fr-FR" w:bidi="fr-FR"/>
                <w14:ligatures w14:val="standardContextual"/>
              </w:rPr>
              <w:t xml:space="preserve"> (N)</w:t>
            </w:r>
            <w:r w:rsidRPr="00F0379B">
              <w:rPr>
                <w:rFonts w:ascii="Cambria" w:eastAsia="MS Gothic" w:hAnsi="Cambria" w:cs="Times New Roman"/>
                <w:spacing w:val="-2"/>
                <w:sz w:val="20"/>
                <w:szCs w:val="20"/>
                <w:lang w:val="en-IE" w:eastAsia="fr-FR" w:bidi="fr-FR"/>
                <w14:ligatures w14:val="standardContextual"/>
              </w:rPr>
              <w:t xml:space="preserve"> </w:t>
            </w:r>
            <w:r w:rsidRPr="00F0379B">
              <w:rPr>
                <w:rFonts w:ascii="Cambria" w:eastAsia="MS Gothic" w:hAnsi="Cambria" w:cs="Times New Roman"/>
                <w:spacing w:val="-1"/>
                <w:sz w:val="20"/>
                <w:szCs w:val="20"/>
                <w:lang w:val="en-IE" w:eastAsia="fr-FR" w:bidi="fr-FR"/>
                <w14:ligatures w14:val="standardContextual"/>
              </w:rPr>
              <w:t>14.25.38</w:t>
            </w:r>
            <w:r w:rsidRPr="00F0379B">
              <w:rPr>
                <w:rFonts w:ascii="Cambria" w:eastAsia="MS Gothic" w:hAnsi="Cambria" w:cs="Times New Roman"/>
                <w:sz w:val="20"/>
                <w:szCs w:val="20"/>
                <w:lang w:val="en-IE" w:eastAsia="fr-FR" w:bidi="fr-FR"/>
                <w14:ligatures w14:val="standardContextual"/>
              </w:rPr>
              <w:t xml:space="preserve"> (E)</w:t>
            </w:r>
          </w:p>
        </w:tc>
        <w:tc>
          <w:tcPr>
            <w:tcW w:w="2466" w:type="dxa"/>
            <w:vAlign w:val="center"/>
          </w:tcPr>
          <w:p w14:paraId="4063A35C" w14:textId="77777777" w:rsidR="009123AC" w:rsidRPr="00F0379B" w:rsidRDefault="009123AC" w:rsidP="009123AC">
            <w:pPr>
              <w:spacing w:after="0" w:line="240" w:lineRule="auto"/>
              <w:jc w:val="center"/>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1.215,00</w:t>
            </w:r>
          </w:p>
        </w:tc>
      </w:tr>
      <w:tr w:rsidR="009123AC" w:rsidRPr="00F0379B" w14:paraId="62B14709" w14:textId="77777777" w:rsidTr="00CA749B">
        <w:trPr>
          <w:trHeight w:val="57"/>
        </w:trPr>
        <w:tc>
          <w:tcPr>
            <w:tcW w:w="2020" w:type="dxa"/>
            <w:vAlign w:val="center"/>
          </w:tcPr>
          <w:p w14:paraId="23068853" w14:textId="77777777" w:rsidR="009123AC" w:rsidRPr="00F0379B" w:rsidRDefault="009123AC" w:rsidP="009123AC">
            <w:pPr>
              <w:spacing w:after="0" w:line="240" w:lineRule="auto"/>
              <w:ind w:left="102"/>
              <w:rPr>
                <w:rFonts w:ascii="Cambria" w:eastAsia="MS Gothic" w:hAnsi="Cambria" w:cs="Times New Roman"/>
                <w:sz w:val="20"/>
                <w:szCs w:val="20"/>
                <w:lang w:eastAsia="fr-FR" w:bidi="fr-FR"/>
                <w14:ligatures w14:val="standardContextual"/>
              </w:rPr>
            </w:pPr>
            <w:proofErr w:type="spellStart"/>
            <w:r w:rsidRPr="00F0379B">
              <w:rPr>
                <w:rFonts w:ascii="Cambria" w:eastAsia="MS Gothic" w:hAnsi="Cambria" w:cs="Times New Roman"/>
                <w:sz w:val="20"/>
                <w:szCs w:val="20"/>
                <w:lang w:eastAsia="fr-FR" w:bidi="fr-FR"/>
                <w14:ligatures w14:val="standardContextual"/>
              </w:rPr>
              <w:t>Tuniraise</w:t>
            </w:r>
            <w:proofErr w:type="spellEnd"/>
          </w:p>
        </w:tc>
        <w:tc>
          <w:tcPr>
            <w:tcW w:w="1614" w:type="dxa"/>
            <w:vAlign w:val="center"/>
          </w:tcPr>
          <w:p w14:paraId="4CA895AB" w14:textId="77777777" w:rsidR="009123AC" w:rsidRPr="00F0379B" w:rsidRDefault="009123AC" w:rsidP="009123AC">
            <w:pPr>
              <w:spacing w:after="0" w:line="240" w:lineRule="auto"/>
              <w:ind w:left="50"/>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 xml:space="preserve"> ATEU1PRT00002</w:t>
            </w:r>
          </w:p>
        </w:tc>
        <w:tc>
          <w:tcPr>
            <w:tcW w:w="2960" w:type="dxa"/>
            <w:gridSpan w:val="2"/>
            <w:vAlign w:val="center"/>
          </w:tcPr>
          <w:p w14:paraId="7A829FD4" w14:textId="77777777" w:rsidR="009123AC" w:rsidRPr="00F0379B" w:rsidRDefault="009123AC" w:rsidP="009123AC">
            <w:pPr>
              <w:spacing w:after="0" w:line="240" w:lineRule="auto"/>
              <w:ind w:left="99"/>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sz w:val="20"/>
                <w:szCs w:val="20"/>
                <w:lang w:val="pt-PT" w:eastAsia="fr-FR" w:bidi="fr-FR"/>
                <w14:ligatures w14:val="standardContextual"/>
              </w:rPr>
              <w:t>N 37º</w:t>
            </w:r>
            <w:r w:rsidRPr="00F0379B">
              <w:rPr>
                <w:rFonts w:ascii="Cambria" w:eastAsia="MS Gothic" w:hAnsi="Cambria" w:cs="Times New Roman"/>
                <w:spacing w:val="-1"/>
                <w:sz w:val="20"/>
                <w:szCs w:val="20"/>
                <w:lang w:val="pt-PT" w:eastAsia="fr-FR" w:bidi="fr-FR"/>
                <w14:ligatures w14:val="standardContextual"/>
              </w:rPr>
              <w:t xml:space="preserve"> 01.006’</w:t>
            </w:r>
            <w:r w:rsidRPr="00F0379B">
              <w:rPr>
                <w:rFonts w:ascii="Cambria" w:eastAsia="MS Gothic" w:hAnsi="Cambria" w:cs="Times New Roman"/>
                <w:sz w:val="20"/>
                <w:szCs w:val="20"/>
                <w:lang w:val="pt-PT" w:eastAsia="fr-FR" w:bidi="fr-FR"/>
                <w14:ligatures w14:val="standardContextual"/>
              </w:rPr>
              <w:t xml:space="preserve">  </w:t>
            </w:r>
            <w:r w:rsidRPr="00F0379B">
              <w:rPr>
                <w:rFonts w:ascii="Cambria" w:eastAsia="MS Gothic" w:hAnsi="Cambria" w:cs="Times New Roman"/>
                <w:spacing w:val="25"/>
                <w:sz w:val="20"/>
                <w:szCs w:val="20"/>
                <w:lang w:val="pt-PT" w:eastAsia="fr-FR" w:bidi="fr-FR"/>
                <w14:ligatures w14:val="standardContextual"/>
              </w:rPr>
              <w:t xml:space="preserve"> </w:t>
            </w:r>
            <w:r w:rsidRPr="00F0379B">
              <w:rPr>
                <w:rFonts w:ascii="Cambria" w:eastAsia="MS Gothic" w:hAnsi="Cambria" w:cs="Times New Roman"/>
                <w:sz w:val="20"/>
                <w:szCs w:val="20"/>
                <w:lang w:val="pt-PT" w:eastAsia="fr-FR" w:bidi="fr-FR"/>
                <w14:ligatures w14:val="standardContextual"/>
              </w:rPr>
              <w:t>W</w:t>
            </w:r>
            <w:r w:rsidRPr="00F0379B">
              <w:rPr>
                <w:rFonts w:ascii="Cambria" w:eastAsia="MS Gothic" w:hAnsi="Cambria" w:cs="Times New Roman"/>
                <w:spacing w:val="3"/>
                <w:sz w:val="20"/>
                <w:szCs w:val="20"/>
                <w:lang w:val="pt-PT" w:eastAsia="fr-FR" w:bidi="fr-FR"/>
                <w14:ligatures w14:val="standardContextual"/>
              </w:rPr>
              <w:t xml:space="preserve"> </w:t>
            </w:r>
            <w:r w:rsidRPr="00F0379B">
              <w:rPr>
                <w:rFonts w:ascii="Cambria" w:eastAsia="MS Gothic" w:hAnsi="Cambria" w:cs="Times New Roman"/>
                <w:sz w:val="20"/>
                <w:szCs w:val="20"/>
                <w:lang w:val="pt-PT" w:eastAsia="fr-FR" w:bidi="fr-FR"/>
                <w14:ligatures w14:val="standardContextual"/>
              </w:rPr>
              <w:t>07º</w:t>
            </w:r>
            <w:r w:rsidRPr="00F0379B">
              <w:rPr>
                <w:rFonts w:ascii="Cambria" w:eastAsia="MS Gothic" w:hAnsi="Cambria" w:cs="Times New Roman"/>
                <w:spacing w:val="-1"/>
                <w:sz w:val="20"/>
                <w:szCs w:val="20"/>
                <w:lang w:val="pt-PT" w:eastAsia="fr-FR" w:bidi="fr-FR"/>
                <w14:ligatures w14:val="standardContextual"/>
              </w:rPr>
              <w:t xml:space="preserve"> 42.615’</w:t>
            </w:r>
          </w:p>
          <w:p w14:paraId="003A78A3" w14:textId="77777777" w:rsidR="009123AC" w:rsidRPr="00F0379B" w:rsidRDefault="009123AC" w:rsidP="009123AC">
            <w:pPr>
              <w:spacing w:after="0" w:line="240" w:lineRule="auto"/>
              <w:ind w:left="99"/>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sz w:val="20"/>
                <w:szCs w:val="20"/>
                <w:lang w:val="pt-PT" w:eastAsia="fr-FR" w:bidi="fr-FR"/>
                <w14:ligatures w14:val="standardContextual"/>
              </w:rPr>
              <w:t>N 37º</w:t>
            </w:r>
            <w:r w:rsidRPr="00F0379B">
              <w:rPr>
                <w:rFonts w:ascii="Cambria" w:eastAsia="MS Gothic" w:hAnsi="Cambria" w:cs="Times New Roman"/>
                <w:spacing w:val="-1"/>
                <w:sz w:val="20"/>
                <w:szCs w:val="20"/>
                <w:lang w:val="pt-PT" w:eastAsia="fr-FR" w:bidi="fr-FR"/>
                <w14:ligatures w14:val="standardContextual"/>
              </w:rPr>
              <w:t xml:space="preserve"> 00.975’</w:t>
            </w:r>
            <w:r w:rsidRPr="00F0379B">
              <w:rPr>
                <w:rFonts w:ascii="Cambria" w:eastAsia="MS Gothic" w:hAnsi="Cambria" w:cs="Times New Roman"/>
                <w:sz w:val="20"/>
                <w:szCs w:val="20"/>
                <w:lang w:val="pt-PT" w:eastAsia="fr-FR" w:bidi="fr-FR"/>
                <w14:ligatures w14:val="standardContextual"/>
              </w:rPr>
              <w:t xml:space="preserve">  </w:t>
            </w:r>
            <w:r w:rsidRPr="00F0379B">
              <w:rPr>
                <w:rFonts w:ascii="Cambria" w:eastAsia="MS Gothic" w:hAnsi="Cambria" w:cs="Times New Roman"/>
                <w:spacing w:val="25"/>
                <w:sz w:val="20"/>
                <w:szCs w:val="20"/>
                <w:lang w:val="pt-PT" w:eastAsia="fr-FR" w:bidi="fr-FR"/>
                <w14:ligatures w14:val="standardContextual"/>
              </w:rPr>
              <w:t xml:space="preserve"> </w:t>
            </w:r>
            <w:r w:rsidRPr="00F0379B">
              <w:rPr>
                <w:rFonts w:ascii="Cambria" w:eastAsia="MS Gothic" w:hAnsi="Cambria" w:cs="Times New Roman"/>
                <w:sz w:val="20"/>
                <w:szCs w:val="20"/>
                <w:lang w:val="pt-PT" w:eastAsia="fr-FR" w:bidi="fr-FR"/>
                <w14:ligatures w14:val="standardContextual"/>
              </w:rPr>
              <w:t>W</w:t>
            </w:r>
            <w:r w:rsidRPr="00F0379B">
              <w:rPr>
                <w:rFonts w:ascii="Cambria" w:eastAsia="MS Gothic" w:hAnsi="Cambria" w:cs="Times New Roman"/>
                <w:spacing w:val="3"/>
                <w:sz w:val="20"/>
                <w:szCs w:val="20"/>
                <w:lang w:val="pt-PT" w:eastAsia="fr-FR" w:bidi="fr-FR"/>
                <w14:ligatures w14:val="standardContextual"/>
              </w:rPr>
              <w:t xml:space="preserve"> </w:t>
            </w:r>
            <w:r w:rsidRPr="00F0379B">
              <w:rPr>
                <w:rFonts w:ascii="Cambria" w:eastAsia="MS Gothic" w:hAnsi="Cambria" w:cs="Times New Roman"/>
                <w:sz w:val="20"/>
                <w:szCs w:val="20"/>
                <w:lang w:val="pt-PT" w:eastAsia="fr-FR" w:bidi="fr-FR"/>
                <w14:ligatures w14:val="standardContextual"/>
              </w:rPr>
              <w:t>07º</w:t>
            </w:r>
            <w:r w:rsidRPr="00F0379B">
              <w:rPr>
                <w:rFonts w:ascii="Cambria" w:eastAsia="MS Gothic" w:hAnsi="Cambria" w:cs="Times New Roman"/>
                <w:spacing w:val="-1"/>
                <w:sz w:val="20"/>
                <w:szCs w:val="20"/>
                <w:lang w:val="pt-PT" w:eastAsia="fr-FR" w:bidi="fr-FR"/>
                <w14:ligatures w14:val="standardContextual"/>
              </w:rPr>
              <w:t xml:space="preserve"> 42.607’</w:t>
            </w:r>
          </w:p>
          <w:p w14:paraId="5E32B8FD" w14:textId="77777777" w:rsidR="009123AC" w:rsidRPr="00F0379B" w:rsidRDefault="009123AC" w:rsidP="009123AC">
            <w:pPr>
              <w:spacing w:after="0" w:line="240" w:lineRule="auto"/>
              <w:ind w:left="99"/>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sz w:val="20"/>
                <w:szCs w:val="20"/>
                <w:lang w:val="pt-PT" w:eastAsia="fr-FR" w:bidi="fr-FR"/>
                <w14:ligatures w14:val="standardContextual"/>
              </w:rPr>
              <w:t>N 37º</w:t>
            </w:r>
            <w:r w:rsidRPr="00F0379B">
              <w:rPr>
                <w:rFonts w:ascii="Cambria" w:eastAsia="MS Gothic" w:hAnsi="Cambria" w:cs="Times New Roman"/>
                <w:spacing w:val="-1"/>
                <w:sz w:val="20"/>
                <w:szCs w:val="20"/>
                <w:lang w:val="pt-PT" w:eastAsia="fr-FR" w:bidi="fr-FR"/>
                <w14:ligatures w14:val="standardContextual"/>
              </w:rPr>
              <w:t xml:space="preserve"> 01.048’</w:t>
            </w:r>
            <w:r w:rsidRPr="00F0379B">
              <w:rPr>
                <w:rFonts w:ascii="Cambria" w:eastAsia="MS Gothic" w:hAnsi="Cambria" w:cs="Times New Roman"/>
                <w:sz w:val="20"/>
                <w:szCs w:val="20"/>
                <w:lang w:val="pt-PT" w:eastAsia="fr-FR" w:bidi="fr-FR"/>
                <w14:ligatures w14:val="standardContextual"/>
              </w:rPr>
              <w:t xml:space="preserve">  </w:t>
            </w:r>
            <w:r w:rsidRPr="00F0379B">
              <w:rPr>
                <w:rFonts w:ascii="Cambria" w:eastAsia="MS Gothic" w:hAnsi="Cambria" w:cs="Times New Roman"/>
                <w:spacing w:val="25"/>
                <w:sz w:val="20"/>
                <w:szCs w:val="20"/>
                <w:lang w:val="pt-PT" w:eastAsia="fr-FR" w:bidi="fr-FR"/>
                <w14:ligatures w14:val="standardContextual"/>
              </w:rPr>
              <w:t xml:space="preserve"> </w:t>
            </w:r>
            <w:r w:rsidRPr="00F0379B">
              <w:rPr>
                <w:rFonts w:ascii="Cambria" w:eastAsia="MS Gothic" w:hAnsi="Cambria" w:cs="Times New Roman"/>
                <w:sz w:val="20"/>
                <w:szCs w:val="20"/>
                <w:lang w:val="pt-PT" w:eastAsia="fr-FR" w:bidi="fr-FR"/>
                <w14:ligatures w14:val="standardContextual"/>
              </w:rPr>
              <w:t>W</w:t>
            </w:r>
            <w:r w:rsidRPr="00F0379B">
              <w:rPr>
                <w:rFonts w:ascii="Cambria" w:eastAsia="MS Gothic" w:hAnsi="Cambria" w:cs="Times New Roman"/>
                <w:spacing w:val="3"/>
                <w:sz w:val="20"/>
                <w:szCs w:val="20"/>
                <w:lang w:val="pt-PT" w:eastAsia="fr-FR" w:bidi="fr-FR"/>
                <w14:ligatures w14:val="standardContextual"/>
              </w:rPr>
              <w:t xml:space="preserve"> </w:t>
            </w:r>
            <w:r w:rsidRPr="00F0379B">
              <w:rPr>
                <w:rFonts w:ascii="Cambria" w:eastAsia="MS Gothic" w:hAnsi="Cambria" w:cs="Times New Roman"/>
                <w:sz w:val="20"/>
                <w:szCs w:val="20"/>
                <w:lang w:val="pt-PT" w:eastAsia="fr-FR" w:bidi="fr-FR"/>
                <w14:ligatures w14:val="standardContextual"/>
              </w:rPr>
              <w:t>07º</w:t>
            </w:r>
            <w:r w:rsidRPr="00F0379B">
              <w:rPr>
                <w:rFonts w:ascii="Cambria" w:eastAsia="MS Gothic" w:hAnsi="Cambria" w:cs="Times New Roman"/>
                <w:spacing w:val="-1"/>
                <w:sz w:val="20"/>
                <w:szCs w:val="20"/>
                <w:lang w:val="pt-PT" w:eastAsia="fr-FR" w:bidi="fr-FR"/>
                <w14:ligatures w14:val="standardContextual"/>
              </w:rPr>
              <w:t xml:space="preserve"> 42.500’</w:t>
            </w:r>
          </w:p>
          <w:p w14:paraId="5AEFAF75" w14:textId="77777777" w:rsidR="009123AC" w:rsidRPr="00F0379B" w:rsidRDefault="009123AC" w:rsidP="009123AC">
            <w:pPr>
              <w:spacing w:after="0" w:line="240" w:lineRule="auto"/>
              <w:ind w:left="99"/>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sz w:val="20"/>
                <w:szCs w:val="20"/>
                <w:lang w:val="pt-PT" w:eastAsia="fr-FR" w:bidi="fr-FR"/>
                <w14:ligatures w14:val="standardContextual"/>
              </w:rPr>
              <w:t>N 37º</w:t>
            </w:r>
            <w:r w:rsidRPr="00F0379B">
              <w:rPr>
                <w:rFonts w:ascii="Cambria" w:eastAsia="MS Gothic" w:hAnsi="Cambria" w:cs="Times New Roman"/>
                <w:spacing w:val="-1"/>
                <w:sz w:val="20"/>
                <w:szCs w:val="20"/>
                <w:lang w:val="pt-PT" w:eastAsia="fr-FR" w:bidi="fr-FR"/>
                <w14:ligatures w14:val="standardContextual"/>
              </w:rPr>
              <w:t xml:space="preserve"> 01.024’</w:t>
            </w:r>
            <w:r w:rsidRPr="00F0379B">
              <w:rPr>
                <w:rFonts w:ascii="Cambria" w:eastAsia="MS Gothic" w:hAnsi="Cambria" w:cs="Times New Roman"/>
                <w:sz w:val="20"/>
                <w:szCs w:val="20"/>
                <w:lang w:val="pt-PT" w:eastAsia="fr-FR" w:bidi="fr-FR"/>
                <w14:ligatures w14:val="standardContextual"/>
              </w:rPr>
              <w:t xml:space="preserve">  </w:t>
            </w:r>
            <w:r w:rsidRPr="00F0379B">
              <w:rPr>
                <w:rFonts w:ascii="Cambria" w:eastAsia="MS Gothic" w:hAnsi="Cambria" w:cs="Times New Roman"/>
                <w:spacing w:val="25"/>
                <w:sz w:val="20"/>
                <w:szCs w:val="20"/>
                <w:lang w:val="pt-PT" w:eastAsia="fr-FR" w:bidi="fr-FR"/>
                <w14:ligatures w14:val="standardContextual"/>
              </w:rPr>
              <w:t xml:space="preserve"> </w:t>
            </w:r>
            <w:r w:rsidRPr="00F0379B">
              <w:rPr>
                <w:rFonts w:ascii="Cambria" w:eastAsia="MS Gothic" w:hAnsi="Cambria" w:cs="Times New Roman"/>
                <w:sz w:val="20"/>
                <w:szCs w:val="20"/>
                <w:lang w:val="pt-PT" w:eastAsia="fr-FR" w:bidi="fr-FR"/>
                <w14:ligatures w14:val="standardContextual"/>
              </w:rPr>
              <w:t>W</w:t>
            </w:r>
            <w:r w:rsidRPr="00F0379B">
              <w:rPr>
                <w:rFonts w:ascii="Cambria" w:eastAsia="MS Gothic" w:hAnsi="Cambria" w:cs="Times New Roman"/>
                <w:spacing w:val="3"/>
                <w:sz w:val="20"/>
                <w:szCs w:val="20"/>
                <w:lang w:val="pt-PT" w:eastAsia="fr-FR" w:bidi="fr-FR"/>
                <w14:ligatures w14:val="standardContextual"/>
              </w:rPr>
              <w:t xml:space="preserve"> </w:t>
            </w:r>
            <w:r w:rsidRPr="00F0379B">
              <w:rPr>
                <w:rFonts w:ascii="Cambria" w:eastAsia="MS Gothic" w:hAnsi="Cambria" w:cs="Times New Roman"/>
                <w:sz w:val="20"/>
                <w:szCs w:val="20"/>
                <w:lang w:val="pt-PT" w:eastAsia="fr-FR" w:bidi="fr-FR"/>
                <w14:ligatures w14:val="standardContextual"/>
              </w:rPr>
              <w:t>07º</w:t>
            </w:r>
            <w:r w:rsidRPr="00F0379B">
              <w:rPr>
                <w:rFonts w:ascii="Cambria" w:eastAsia="MS Gothic" w:hAnsi="Cambria" w:cs="Times New Roman"/>
                <w:spacing w:val="-1"/>
                <w:sz w:val="20"/>
                <w:szCs w:val="20"/>
                <w:lang w:val="pt-PT" w:eastAsia="fr-FR" w:bidi="fr-FR"/>
                <w14:ligatures w14:val="standardContextual"/>
              </w:rPr>
              <w:t xml:space="preserve"> 42.485’</w:t>
            </w:r>
          </w:p>
        </w:tc>
        <w:tc>
          <w:tcPr>
            <w:tcW w:w="2466" w:type="dxa"/>
            <w:vAlign w:val="center"/>
          </w:tcPr>
          <w:p w14:paraId="382AF2CC" w14:textId="77777777" w:rsidR="009123AC" w:rsidRPr="00F0379B" w:rsidRDefault="009123AC" w:rsidP="009123AC">
            <w:pPr>
              <w:spacing w:after="0" w:line="240" w:lineRule="auto"/>
              <w:jc w:val="center"/>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313,00</w:t>
            </w:r>
          </w:p>
        </w:tc>
      </w:tr>
      <w:tr w:rsidR="009123AC" w:rsidRPr="00F0379B" w14:paraId="03177E3E" w14:textId="77777777" w:rsidTr="00CA749B">
        <w:trPr>
          <w:trHeight w:val="57"/>
        </w:trPr>
        <w:tc>
          <w:tcPr>
            <w:tcW w:w="2020" w:type="dxa"/>
            <w:vAlign w:val="center"/>
          </w:tcPr>
          <w:p w14:paraId="45FF16AF" w14:textId="77777777" w:rsidR="009123AC" w:rsidRPr="00F0379B" w:rsidRDefault="009123AC" w:rsidP="009123AC">
            <w:pPr>
              <w:spacing w:after="0" w:line="240" w:lineRule="auto"/>
              <w:ind w:left="10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Barril</w:t>
            </w:r>
          </w:p>
        </w:tc>
        <w:tc>
          <w:tcPr>
            <w:tcW w:w="1614" w:type="dxa"/>
            <w:vAlign w:val="center"/>
          </w:tcPr>
          <w:p w14:paraId="66161F6C" w14:textId="77777777" w:rsidR="009123AC" w:rsidRPr="00F0379B" w:rsidRDefault="009123AC" w:rsidP="009123AC">
            <w:pPr>
              <w:spacing w:after="0" w:line="240" w:lineRule="auto"/>
              <w:ind w:left="50"/>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ATEU1PRT00003</w:t>
            </w:r>
          </w:p>
        </w:tc>
        <w:tc>
          <w:tcPr>
            <w:tcW w:w="2960" w:type="dxa"/>
            <w:gridSpan w:val="2"/>
            <w:tcBorders>
              <w:top w:val="single" w:sz="4" w:space="0" w:color="auto"/>
              <w:left w:val="single" w:sz="4" w:space="0" w:color="auto"/>
              <w:bottom w:val="single" w:sz="4" w:space="0" w:color="auto"/>
              <w:right w:val="single" w:sz="4" w:space="0" w:color="auto"/>
            </w:tcBorders>
            <w:vAlign w:val="center"/>
          </w:tcPr>
          <w:p w14:paraId="79C068FE" w14:textId="77777777" w:rsidR="009123AC" w:rsidRPr="00F0379B" w:rsidRDefault="009123AC" w:rsidP="009123AC">
            <w:pPr>
              <w:spacing w:after="0" w:line="240" w:lineRule="auto"/>
              <w:ind w:left="102"/>
              <w:rPr>
                <w:rFonts w:ascii="Cambria" w:eastAsia="MS Gothic" w:hAnsi="Cambria" w:cs="Times New Roman"/>
                <w:color w:val="000000"/>
                <w:sz w:val="20"/>
                <w:szCs w:val="20"/>
                <w:lang w:val="pt-PT" w:eastAsia="fr-FR" w:bidi="fr-FR"/>
                <w14:ligatures w14:val="standardContextual"/>
              </w:rPr>
            </w:pPr>
            <w:r w:rsidRPr="00F0379B">
              <w:rPr>
                <w:rFonts w:ascii="Cambria" w:eastAsia="MS Gothic" w:hAnsi="Cambria" w:cs="Times New Roman"/>
                <w:color w:val="000000"/>
                <w:sz w:val="20"/>
                <w:szCs w:val="20"/>
                <w:lang w:val="pt-PT" w:eastAsia="fr-FR" w:bidi="fr-FR"/>
                <w14:ligatures w14:val="standardContextual"/>
              </w:rPr>
              <w:t xml:space="preserve">Latitude N 37°02’21.4’’; </w:t>
            </w:r>
          </w:p>
          <w:p w14:paraId="6588D4A7" w14:textId="77777777" w:rsidR="009123AC" w:rsidRPr="00F0379B" w:rsidRDefault="009123AC" w:rsidP="009123AC">
            <w:pPr>
              <w:spacing w:after="0" w:line="240" w:lineRule="auto"/>
              <w:ind w:left="102"/>
              <w:rPr>
                <w:rFonts w:ascii="Cambria" w:eastAsia="MS Gothic" w:hAnsi="Cambria" w:cs="Times New Roman"/>
                <w:sz w:val="20"/>
                <w:szCs w:val="20"/>
                <w:lang w:val="pt-PT" w:eastAsia="fr-FR" w:bidi="fr-FR"/>
                <w14:ligatures w14:val="standardContextual"/>
              </w:rPr>
            </w:pPr>
            <w:r w:rsidRPr="00F0379B">
              <w:rPr>
                <w:rFonts w:ascii="Cambria" w:eastAsia="MS Gothic" w:hAnsi="Cambria" w:cs="Times New Roman"/>
                <w:color w:val="000000"/>
                <w:sz w:val="20"/>
                <w:szCs w:val="20"/>
                <w:lang w:val="pt-PT" w:eastAsia="fr-FR" w:bidi="fr-FR"/>
                <w14:ligatures w14:val="standardContextual"/>
              </w:rPr>
              <w:t xml:space="preserve">Longitude W 07°39’51.4’’ </w:t>
            </w:r>
          </w:p>
        </w:tc>
        <w:tc>
          <w:tcPr>
            <w:tcW w:w="2466" w:type="dxa"/>
            <w:vAlign w:val="center"/>
          </w:tcPr>
          <w:p w14:paraId="4D52F896" w14:textId="77777777" w:rsidR="009123AC" w:rsidRPr="00F0379B" w:rsidRDefault="009123AC" w:rsidP="009123AC">
            <w:pPr>
              <w:spacing w:after="0" w:line="240" w:lineRule="auto"/>
              <w:jc w:val="center"/>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313,00</w:t>
            </w:r>
          </w:p>
        </w:tc>
      </w:tr>
      <w:tr w:rsidR="009123AC" w:rsidRPr="00F0379B" w14:paraId="12E8C63C" w14:textId="77777777" w:rsidTr="00CA749B">
        <w:trPr>
          <w:trHeight w:val="57"/>
        </w:trPr>
        <w:tc>
          <w:tcPr>
            <w:tcW w:w="2020" w:type="dxa"/>
            <w:vAlign w:val="center"/>
          </w:tcPr>
          <w:p w14:paraId="3752CBA5" w14:textId="77777777" w:rsidR="009123AC" w:rsidRPr="00F0379B" w:rsidRDefault="009123AC" w:rsidP="009123AC">
            <w:pPr>
              <w:tabs>
                <w:tab w:val="left" w:pos="600"/>
              </w:tabs>
              <w:spacing w:after="0" w:line="240" w:lineRule="auto"/>
              <w:ind w:left="102" w:right="101"/>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w w:val="95"/>
                <w:sz w:val="20"/>
                <w:szCs w:val="20"/>
                <w:lang w:eastAsia="fr-FR" w:bidi="fr-FR"/>
                <w14:ligatures w14:val="standardContextual"/>
              </w:rPr>
              <w:t xml:space="preserve">La </w:t>
            </w:r>
            <w:r w:rsidRPr="00F0379B">
              <w:rPr>
                <w:rFonts w:ascii="Cambria" w:eastAsia="MS Gothic" w:hAnsi="Cambria" w:cs="Times New Roman"/>
                <w:spacing w:val="-1"/>
                <w:sz w:val="20"/>
                <w:szCs w:val="20"/>
                <w:lang w:eastAsia="fr-FR" w:bidi="fr-FR"/>
                <w14:ligatures w14:val="standardContextual"/>
              </w:rPr>
              <w:t>Favorita</w:t>
            </w:r>
            <w:r w:rsidRPr="00F0379B">
              <w:rPr>
                <w:rFonts w:ascii="Cambria" w:eastAsia="MS Gothic" w:hAnsi="Cambria" w:cs="Times New Roman"/>
                <w:spacing w:val="27"/>
                <w:w w:val="99"/>
                <w:sz w:val="20"/>
                <w:szCs w:val="20"/>
                <w:lang w:eastAsia="fr-FR" w:bidi="fr-FR"/>
                <w14:ligatures w14:val="standardContextual"/>
              </w:rPr>
              <w:t xml:space="preserve"> </w:t>
            </w:r>
            <w:proofErr w:type="spellStart"/>
            <w:r w:rsidRPr="00F0379B">
              <w:rPr>
                <w:rFonts w:ascii="Cambria" w:eastAsia="MS Gothic" w:hAnsi="Cambria" w:cs="Times New Roman"/>
                <w:spacing w:val="-1"/>
                <w:sz w:val="20"/>
                <w:szCs w:val="20"/>
                <w:lang w:eastAsia="fr-FR" w:bidi="fr-FR"/>
                <w14:ligatures w14:val="standardContextual"/>
              </w:rPr>
              <w:t>Snc</w:t>
            </w:r>
            <w:proofErr w:type="spellEnd"/>
            <w:r w:rsidRPr="00F0379B">
              <w:rPr>
                <w:rFonts w:ascii="Cambria" w:eastAsia="MS Gothic" w:hAnsi="Cambria" w:cs="Times New Roman"/>
                <w:spacing w:val="-1"/>
                <w:sz w:val="20"/>
                <w:szCs w:val="20"/>
                <w:lang w:eastAsia="fr-FR" w:bidi="fr-FR"/>
                <w14:ligatures w14:val="standardContextual"/>
              </w:rPr>
              <w:t>.</w:t>
            </w:r>
            <w:r w:rsidRPr="00F0379B">
              <w:rPr>
                <w:rFonts w:ascii="Cambria" w:eastAsia="MS Gothic" w:hAnsi="Cambria" w:cs="Times New Roman"/>
                <w:spacing w:val="-1"/>
                <w:sz w:val="20"/>
                <w:szCs w:val="20"/>
                <w:vertAlign w:val="superscript"/>
                <w:lang w:eastAsia="fr-FR" w:bidi="fr-FR"/>
                <w14:ligatures w14:val="standardContextual"/>
              </w:rPr>
              <w:t xml:space="preserve"> </w:t>
            </w:r>
          </w:p>
        </w:tc>
        <w:tc>
          <w:tcPr>
            <w:tcW w:w="1614" w:type="dxa"/>
            <w:vAlign w:val="center"/>
          </w:tcPr>
          <w:p w14:paraId="7E5B387B" w14:textId="77777777" w:rsidR="009123AC" w:rsidRPr="00F0379B" w:rsidRDefault="009123AC" w:rsidP="009123AC">
            <w:pPr>
              <w:spacing w:after="0" w:line="240" w:lineRule="auto"/>
              <w:ind w:left="139" w:hanging="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ATEU1ITA00015</w:t>
            </w:r>
          </w:p>
        </w:tc>
        <w:tc>
          <w:tcPr>
            <w:tcW w:w="2960" w:type="dxa"/>
            <w:gridSpan w:val="2"/>
            <w:vAlign w:val="center"/>
          </w:tcPr>
          <w:p w14:paraId="0C92B8BA" w14:textId="77777777" w:rsidR="009123AC" w:rsidRPr="00F0379B" w:rsidRDefault="009123AC" w:rsidP="009123AC">
            <w:pPr>
              <w:spacing w:after="0" w:line="240" w:lineRule="auto"/>
              <w:rPr>
                <w:rFonts w:ascii="Cambria" w:eastAsia="MS Gothic" w:hAnsi="Cambria" w:cs="Times New Roman"/>
                <w:color w:val="000000"/>
                <w:sz w:val="20"/>
                <w:szCs w:val="20"/>
                <w:lang w:val="fi-FI" w:eastAsia="fr-FR" w:bidi="fr-FR"/>
                <w14:ligatures w14:val="standardContextual"/>
              </w:rPr>
            </w:pPr>
            <w:r w:rsidRPr="00F0379B">
              <w:rPr>
                <w:rFonts w:ascii="Cambria" w:eastAsia="MS Gothic" w:hAnsi="Cambria" w:cs="Times New Roman"/>
                <w:color w:val="000000"/>
                <w:sz w:val="20"/>
                <w:szCs w:val="20"/>
                <w:lang w:val="fi-FI" w:eastAsia="fr-FR" w:bidi="fr-FR"/>
                <w14:ligatures w14:val="standardContextual"/>
              </w:rPr>
              <w:t>PUNTO 1: LAT: 40°47'10.2209" N  LONG: 14°19'57.2993" E</w:t>
            </w:r>
          </w:p>
          <w:p w14:paraId="73C57CBA" w14:textId="77777777" w:rsidR="009123AC" w:rsidRPr="00F0379B" w:rsidRDefault="009123AC" w:rsidP="009123AC">
            <w:pPr>
              <w:spacing w:after="0" w:line="240" w:lineRule="auto"/>
              <w:rPr>
                <w:rFonts w:ascii="Cambria" w:eastAsia="MS Gothic" w:hAnsi="Cambria" w:cs="Times New Roman"/>
                <w:color w:val="000000"/>
                <w:sz w:val="20"/>
                <w:szCs w:val="20"/>
                <w:lang w:val="fi-FI" w:eastAsia="fr-FR" w:bidi="fr-FR"/>
                <w14:ligatures w14:val="standardContextual"/>
              </w:rPr>
            </w:pPr>
            <w:r w:rsidRPr="00F0379B">
              <w:rPr>
                <w:rFonts w:ascii="Cambria" w:eastAsia="MS Gothic" w:hAnsi="Cambria" w:cs="Times New Roman"/>
                <w:color w:val="000000"/>
                <w:sz w:val="20"/>
                <w:szCs w:val="20"/>
                <w:lang w:val="fi-FI" w:eastAsia="fr-FR" w:bidi="fr-FR"/>
                <w14:ligatures w14:val="standardContextual"/>
              </w:rPr>
              <w:t>PUNTO 2: LAT: 40°47'14.7861" N  LONG: 14°20'03.9480" E</w:t>
            </w:r>
          </w:p>
          <w:p w14:paraId="7A4EDE82" w14:textId="77777777" w:rsidR="009123AC" w:rsidRPr="00F0379B" w:rsidRDefault="009123AC" w:rsidP="009123AC">
            <w:pPr>
              <w:spacing w:after="0" w:line="240" w:lineRule="auto"/>
              <w:rPr>
                <w:rFonts w:ascii="Cambria" w:eastAsia="MS Gothic" w:hAnsi="Cambria" w:cs="Times New Roman"/>
                <w:color w:val="000000"/>
                <w:sz w:val="20"/>
                <w:szCs w:val="20"/>
                <w:lang w:val="fi-FI" w:eastAsia="fr-FR" w:bidi="fr-FR"/>
                <w14:ligatures w14:val="standardContextual"/>
              </w:rPr>
            </w:pPr>
            <w:r w:rsidRPr="00F0379B">
              <w:rPr>
                <w:rFonts w:ascii="Cambria" w:eastAsia="MS Gothic" w:hAnsi="Cambria" w:cs="Times New Roman"/>
                <w:color w:val="000000"/>
                <w:sz w:val="20"/>
                <w:szCs w:val="20"/>
                <w:lang w:val="fi-FI" w:eastAsia="fr-FR" w:bidi="fr-FR"/>
                <w14:ligatures w14:val="standardContextual"/>
              </w:rPr>
              <w:t>PUNTO 3: LAT: 40°47'19.8395" N  LONG: 14°19'57.9417" E</w:t>
            </w:r>
          </w:p>
          <w:p w14:paraId="3EBB13A4" w14:textId="77777777" w:rsidR="009123AC" w:rsidRPr="00F0379B" w:rsidRDefault="009123AC" w:rsidP="009123AC">
            <w:pPr>
              <w:spacing w:after="0" w:line="240" w:lineRule="auto"/>
              <w:rPr>
                <w:rFonts w:ascii="Cambria" w:eastAsia="MS Gothic" w:hAnsi="Cambria" w:cs="Times New Roman"/>
                <w:sz w:val="20"/>
                <w:szCs w:val="20"/>
                <w:lang w:val="fi-FI" w:eastAsia="fr-FR" w:bidi="fr-FR"/>
                <w14:ligatures w14:val="standardContextual"/>
              </w:rPr>
            </w:pPr>
            <w:r w:rsidRPr="00F0379B">
              <w:rPr>
                <w:rFonts w:ascii="Cambria" w:eastAsia="MS Gothic" w:hAnsi="Cambria" w:cs="Times New Roman"/>
                <w:color w:val="000000"/>
                <w:sz w:val="20"/>
                <w:szCs w:val="20"/>
                <w:lang w:val="fi-FI" w:eastAsia="fr-FR" w:bidi="fr-FR"/>
                <w14:ligatures w14:val="standardContextual"/>
              </w:rPr>
              <w:t>PUNTO 4: LAT: 40°47'15.2744" N  LONG: 14°19'51.2930" E</w:t>
            </w:r>
          </w:p>
        </w:tc>
        <w:tc>
          <w:tcPr>
            <w:tcW w:w="2466" w:type="dxa"/>
            <w:vAlign w:val="center"/>
          </w:tcPr>
          <w:p w14:paraId="29ED6281" w14:textId="77777777" w:rsidR="009123AC" w:rsidRPr="00F0379B" w:rsidRDefault="009123AC" w:rsidP="009123AC">
            <w:pPr>
              <w:spacing w:after="0" w:line="240" w:lineRule="auto"/>
              <w:jc w:val="center"/>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0</w:t>
            </w:r>
          </w:p>
        </w:tc>
      </w:tr>
      <w:tr w:rsidR="009123AC" w:rsidRPr="00F0379B" w14:paraId="76A03FCE" w14:textId="77777777" w:rsidTr="00CA749B">
        <w:trPr>
          <w:trHeight w:val="57"/>
        </w:trPr>
        <w:tc>
          <w:tcPr>
            <w:tcW w:w="2020" w:type="dxa"/>
            <w:tcBorders>
              <w:top w:val="single" w:sz="4" w:space="0" w:color="auto"/>
              <w:left w:val="single" w:sz="4" w:space="0" w:color="auto"/>
              <w:bottom w:val="single" w:sz="4" w:space="0" w:color="auto"/>
              <w:right w:val="single" w:sz="4" w:space="0" w:color="auto"/>
            </w:tcBorders>
            <w:vAlign w:val="center"/>
          </w:tcPr>
          <w:p w14:paraId="07099756" w14:textId="77777777" w:rsidR="009123AC" w:rsidRPr="00F0379B" w:rsidRDefault="009123AC" w:rsidP="009123AC">
            <w:pPr>
              <w:spacing w:after="0" w:line="240" w:lineRule="auto"/>
              <w:rPr>
                <w:rFonts w:ascii="Cambria" w:eastAsia="Cambria" w:hAnsi="Cambria" w:cs="Cambria"/>
                <w:color w:val="000000"/>
                <w:sz w:val="20"/>
                <w:szCs w:val="20"/>
                <w:lang w:val="it-IT" w:eastAsia="fr-FR" w:bidi="fr-FR"/>
                <w14:ligatures w14:val="standardContextual"/>
              </w:rPr>
            </w:pPr>
            <w:proofErr w:type="spellStart"/>
            <w:r w:rsidRPr="00F0379B">
              <w:rPr>
                <w:rFonts w:ascii="Cambria" w:eastAsia="Cambria" w:hAnsi="Cambria" w:cs="Cambria"/>
                <w:color w:val="000000"/>
                <w:sz w:val="20"/>
                <w:szCs w:val="20"/>
                <w:lang w:val="it-IT" w:eastAsia="fr-FR" w:bidi="fr-FR"/>
                <w14:ligatures w14:val="standardContextual"/>
              </w:rPr>
              <w:t>Orizon</w:t>
            </w:r>
            <w:proofErr w:type="spellEnd"/>
            <w:r w:rsidRPr="00F0379B">
              <w:rPr>
                <w:rFonts w:ascii="Cambria" w:eastAsia="Cambria" w:hAnsi="Cambria" w:cs="Cambria"/>
                <w:color w:val="000000"/>
                <w:sz w:val="20"/>
                <w:szCs w:val="20"/>
                <w:lang w:val="it-IT" w:eastAsia="fr-FR" w:bidi="fr-FR"/>
                <w14:ligatures w14:val="standardContextual"/>
              </w:rPr>
              <w:t xml:space="preserve"> </w:t>
            </w:r>
            <w:proofErr w:type="spellStart"/>
            <w:r w:rsidRPr="00F0379B">
              <w:rPr>
                <w:rFonts w:ascii="Cambria" w:eastAsia="Cambria" w:hAnsi="Cambria" w:cs="Cambria"/>
                <w:color w:val="000000"/>
                <w:sz w:val="20"/>
                <w:szCs w:val="20"/>
                <w:lang w:val="it-IT" w:eastAsia="fr-FR" w:bidi="fr-FR"/>
                <w14:ligatures w14:val="standardContextual"/>
              </w:rPr>
              <w:t>Maritimas</w:t>
            </w:r>
            <w:proofErr w:type="spellEnd"/>
            <w:r w:rsidRPr="00F0379B">
              <w:rPr>
                <w:rFonts w:ascii="Cambria" w:eastAsia="Cambria" w:hAnsi="Cambria" w:cs="Cambria"/>
                <w:color w:val="000000"/>
                <w:sz w:val="20"/>
                <w:szCs w:val="20"/>
                <w:lang w:val="it-IT" w:eastAsia="fr-FR" w:bidi="fr-FR"/>
                <w14:ligatures w14:val="standardContextual"/>
              </w:rPr>
              <w:t xml:space="preserve"> Italia SARL</w:t>
            </w:r>
          </w:p>
        </w:tc>
        <w:tc>
          <w:tcPr>
            <w:tcW w:w="1614" w:type="dxa"/>
            <w:tcBorders>
              <w:top w:val="single" w:sz="4" w:space="0" w:color="auto"/>
              <w:left w:val="nil"/>
              <w:bottom w:val="single" w:sz="4" w:space="0" w:color="auto"/>
              <w:right w:val="single" w:sz="4" w:space="0" w:color="auto"/>
            </w:tcBorders>
            <w:vAlign w:val="center"/>
          </w:tcPr>
          <w:p w14:paraId="15FF5FD0" w14:textId="77777777" w:rsidR="009123AC" w:rsidRPr="00F0379B" w:rsidRDefault="009123AC" w:rsidP="009123AC">
            <w:pPr>
              <w:spacing w:after="0" w:line="240" w:lineRule="auto"/>
              <w:rPr>
                <w:rFonts w:ascii="Cambria" w:eastAsia="Cambria" w:hAnsi="Cambria" w:cs="Cambria"/>
                <w:color w:val="000000"/>
                <w:sz w:val="20"/>
                <w:szCs w:val="20"/>
                <w:lang w:val="en-IE" w:eastAsia="fr-FR" w:bidi="fr-FR"/>
                <w14:ligatures w14:val="standardContextual"/>
              </w:rPr>
            </w:pPr>
            <w:r w:rsidRPr="00F0379B">
              <w:rPr>
                <w:rFonts w:ascii="Cambria" w:eastAsia="Cambria" w:hAnsi="Cambria" w:cs="Cambria"/>
                <w:color w:val="000000"/>
                <w:sz w:val="20"/>
                <w:szCs w:val="20"/>
                <w:lang w:val="en-IE" w:eastAsia="fr-FR" w:bidi="fr-FR"/>
                <w14:ligatures w14:val="standardContextual"/>
              </w:rPr>
              <w:t>ATEU1ITA00020</w:t>
            </w:r>
          </w:p>
        </w:tc>
        <w:tc>
          <w:tcPr>
            <w:tcW w:w="2960" w:type="dxa"/>
            <w:gridSpan w:val="2"/>
            <w:tcBorders>
              <w:top w:val="single" w:sz="4" w:space="0" w:color="auto"/>
              <w:left w:val="single" w:sz="4" w:space="0" w:color="auto"/>
              <w:bottom w:val="single" w:sz="4" w:space="0" w:color="auto"/>
              <w:right w:val="single" w:sz="4" w:space="0" w:color="auto"/>
            </w:tcBorders>
            <w:vAlign w:val="center"/>
          </w:tcPr>
          <w:p w14:paraId="010B706E" w14:textId="77777777" w:rsidR="009123AC" w:rsidRPr="00F0379B" w:rsidRDefault="009123AC" w:rsidP="009123AC">
            <w:pPr>
              <w:spacing w:after="0" w:line="240" w:lineRule="auto"/>
              <w:rPr>
                <w:rFonts w:ascii="Cambria" w:eastAsia="Cambria" w:hAnsi="Cambria" w:cs="Cambria"/>
                <w:color w:val="000000"/>
                <w:sz w:val="20"/>
                <w:szCs w:val="20"/>
                <w:lang w:val="it-IT" w:eastAsia="fr-FR" w:bidi="fr-FR"/>
                <w14:ligatures w14:val="standardContextual"/>
              </w:rPr>
            </w:pPr>
            <w:r w:rsidRPr="00F0379B">
              <w:rPr>
                <w:rFonts w:ascii="Cambria" w:eastAsia="Cambria" w:hAnsi="Cambria" w:cs="Cambria"/>
                <w:color w:val="000000"/>
                <w:sz w:val="20"/>
                <w:szCs w:val="20"/>
                <w:lang w:val="it-IT" w:eastAsia="fr-FR" w:bidi="fr-FR"/>
                <w14:ligatures w14:val="standardContextual"/>
              </w:rPr>
              <w:t>PUNTO 1: LAT: 37°55’52’’ N – LONG: 15°42’57’’ E</w:t>
            </w:r>
          </w:p>
          <w:p w14:paraId="2EE4D27A" w14:textId="77777777" w:rsidR="009123AC" w:rsidRPr="00F0379B" w:rsidRDefault="009123AC" w:rsidP="009123AC">
            <w:pPr>
              <w:spacing w:after="0" w:line="240" w:lineRule="auto"/>
              <w:rPr>
                <w:rFonts w:ascii="Cambria" w:eastAsia="Cambria" w:hAnsi="Cambria" w:cs="Cambria"/>
                <w:color w:val="000000"/>
                <w:sz w:val="20"/>
                <w:szCs w:val="20"/>
                <w:lang w:val="it-IT" w:eastAsia="fr-FR" w:bidi="fr-FR"/>
                <w14:ligatures w14:val="standardContextual"/>
              </w:rPr>
            </w:pPr>
            <w:r w:rsidRPr="00F0379B">
              <w:rPr>
                <w:rFonts w:ascii="Cambria" w:eastAsia="Cambria" w:hAnsi="Cambria" w:cs="Cambria"/>
                <w:color w:val="000000"/>
                <w:sz w:val="20"/>
                <w:szCs w:val="20"/>
                <w:lang w:val="it-IT" w:eastAsia="fr-FR" w:bidi="fr-FR"/>
                <w14:ligatures w14:val="standardContextual"/>
              </w:rPr>
              <w:t>PUNTO 2: LAT: 37°55’48’’ N – LONG: 15°43’07’’ E</w:t>
            </w:r>
          </w:p>
          <w:p w14:paraId="1B6B53BD" w14:textId="77777777" w:rsidR="009123AC" w:rsidRPr="00F0379B" w:rsidRDefault="009123AC" w:rsidP="009123AC">
            <w:pPr>
              <w:spacing w:after="0" w:line="240" w:lineRule="auto"/>
              <w:rPr>
                <w:rFonts w:ascii="Cambria" w:eastAsia="Cambria" w:hAnsi="Cambria" w:cs="Cambria"/>
                <w:color w:val="000000"/>
                <w:sz w:val="20"/>
                <w:szCs w:val="20"/>
                <w:lang w:val="it-IT" w:eastAsia="fr-FR" w:bidi="fr-FR"/>
                <w14:ligatures w14:val="standardContextual"/>
              </w:rPr>
            </w:pPr>
            <w:r w:rsidRPr="00F0379B">
              <w:rPr>
                <w:rFonts w:ascii="Cambria" w:eastAsia="Cambria" w:hAnsi="Cambria" w:cs="Cambria"/>
                <w:color w:val="000000"/>
                <w:sz w:val="20"/>
                <w:szCs w:val="20"/>
                <w:lang w:val="it-IT" w:eastAsia="fr-FR" w:bidi="fr-FR"/>
                <w14:ligatures w14:val="standardContextual"/>
              </w:rPr>
              <w:t>PUNTO 3: LAT: 37°55’43’’ N – LONG: 15°43’03’’ E</w:t>
            </w:r>
          </w:p>
          <w:p w14:paraId="7F782839" w14:textId="77777777" w:rsidR="009123AC" w:rsidRPr="00F0379B" w:rsidRDefault="009123AC" w:rsidP="009123AC">
            <w:pPr>
              <w:spacing w:after="0" w:line="240" w:lineRule="auto"/>
              <w:rPr>
                <w:rFonts w:ascii="Cambria" w:eastAsia="Cambria" w:hAnsi="Cambria" w:cs="Cambria"/>
                <w:color w:val="000000"/>
                <w:sz w:val="20"/>
                <w:szCs w:val="20"/>
                <w:lang w:val="it-IT" w:eastAsia="fr-FR" w:bidi="fr-FR"/>
                <w14:ligatures w14:val="standardContextual"/>
              </w:rPr>
            </w:pPr>
            <w:r w:rsidRPr="00F0379B">
              <w:rPr>
                <w:rFonts w:ascii="Cambria" w:eastAsia="Cambria" w:hAnsi="Cambria" w:cs="Cambria"/>
                <w:color w:val="000000"/>
                <w:sz w:val="20"/>
                <w:szCs w:val="20"/>
                <w:lang w:val="it-IT" w:eastAsia="fr-FR" w:bidi="fr-FR"/>
                <w14:ligatures w14:val="standardContextual"/>
              </w:rPr>
              <w:lastRenderedPageBreak/>
              <w:t>PUNTO 4: LAT: 37°55’47’’ N – LONG: 15°42’54’’ E</w:t>
            </w:r>
          </w:p>
          <w:p w14:paraId="3FAC21DC" w14:textId="77777777" w:rsidR="009123AC" w:rsidRPr="00F0379B" w:rsidRDefault="009123AC" w:rsidP="009123AC">
            <w:pPr>
              <w:spacing w:after="0" w:line="240" w:lineRule="auto"/>
              <w:rPr>
                <w:rFonts w:ascii="Cambria" w:eastAsia="MS Gothic" w:hAnsi="Cambria" w:cs="Times New Roman"/>
                <w:color w:val="000000"/>
                <w:sz w:val="20"/>
                <w:szCs w:val="20"/>
                <w:lang w:val="it-IT" w:eastAsia="fr-FR" w:bidi="fr-FR"/>
                <w14:ligatures w14:val="standardContextual"/>
              </w:rPr>
            </w:pPr>
          </w:p>
        </w:tc>
        <w:tc>
          <w:tcPr>
            <w:tcW w:w="2466" w:type="dxa"/>
            <w:tcBorders>
              <w:top w:val="nil"/>
              <w:left w:val="single" w:sz="4" w:space="0" w:color="auto"/>
              <w:right w:val="single" w:sz="4" w:space="0" w:color="auto"/>
            </w:tcBorders>
            <w:vAlign w:val="center"/>
          </w:tcPr>
          <w:p w14:paraId="499BBCA1" w14:textId="77777777" w:rsidR="009123AC" w:rsidRPr="00F0379B" w:rsidRDefault="009123AC" w:rsidP="009123AC">
            <w:pPr>
              <w:spacing w:after="0" w:line="240" w:lineRule="auto"/>
              <w:jc w:val="center"/>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lastRenderedPageBreak/>
              <w:t>1.000,00</w:t>
            </w:r>
          </w:p>
        </w:tc>
      </w:tr>
      <w:tr w:rsidR="009123AC" w:rsidRPr="00F0379B" w14:paraId="4278750D" w14:textId="77777777" w:rsidTr="00CA749B">
        <w:trPr>
          <w:trHeight w:val="57"/>
        </w:trPr>
        <w:tc>
          <w:tcPr>
            <w:tcW w:w="2020" w:type="dxa"/>
            <w:tcBorders>
              <w:top w:val="single" w:sz="4" w:space="0" w:color="auto"/>
              <w:left w:val="single" w:sz="4" w:space="0" w:color="auto"/>
              <w:bottom w:val="single" w:sz="4" w:space="0" w:color="auto"/>
              <w:right w:val="single" w:sz="4" w:space="0" w:color="auto"/>
            </w:tcBorders>
            <w:vAlign w:val="center"/>
          </w:tcPr>
          <w:p w14:paraId="7CBCC16F" w14:textId="77777777" w:rsidR="009123AC" w:rsidRPr="00F0379B" w:rsidRDefault="009123AC" w:rsidP="009123AC">
            <w:pPr>
              <w:spacing w:after="0" w:line="240" w:lineRule="auto"/>
              <w:ind w:left="102"/>
              <w:rPr>
                <w:rFonts w:ascii="Cambria" w:eastAsia="MS Gothic" w:hAnsi="Cambria" w:cs="Times New Roman"/>
                <w:spacing w:val="-1"/>
                <w:sz w:val="20"/>
                <w:szCs w:val="20"/>
                <w:lang w:val="it-IT" w:eastAsia="fr-FR" w:bidi="fr-FR"/>
                <w14:ligatures w14:val="standardContextual"/>
              </w:rPr>
            </w:pPr>
            <w:r w:rsidRPr="00F0379B">
              <w:rPr>
                <w:rFonts w:ascii="Cambria" w:eastAsia="MS Gothic" w:hAnsi="Cambria" w:cs="Times New Roman"/>
                <w:color w:val="000000"/>
                <w:sz w:val="20"/>
                <w:szCs w:val="20"/>
                <w:lang w:val="it-IT" w:eastAsia="fr-FR" w:bidi="fr-FR"/>
                <w14:ligatures w14:val="standardContextual"/>
              </w:rPr>
              <w:t>Tonnare Sulcitane S.R.L.</w:t>
            </w:r>
            <w:r w:rsidRPr="00F0379B">
              <w:rPr>
                <w:rFonts w:ascii="Cambria" w:eastAsia="MS Gothic" w:hAnsi="Cambria" w:cs="Times New Roman"/>
                <w:spacing w:val="-1"/>
                <w:sz w:val="20"/>
                <w:szCs w:val="20"/>
                <w:vertAlign w:val="superscript"/>
                <w:lang w:val="it-IT" w:eastAsia="fr-FR" w:bidi="fr-FR"/>
                <w14:ligatures w14:val="standardContextual"/>
              </w:rPr>
              <w:t xml:space="preserve"> </w:t>
            </w:r>
          </w:p>
        </w:tc>
        <w:tc>
          <w:tcPr>
            <w:tcW w:w="1614" w:type="dxa"/>
            <w:tcBorders>
              <w:top w:val="single" w:sz="4" w:space="0" w:color="auto"/>
              <w:left w:val="nil"/>
              <w:bottom w:val="single" w:sz="4" w:space="0" w:color="auto"/>
              <w:right w:val="single" w:sz="4" w:space="0" w:color="auto"/>
            </w:tcBorders>
            <w:vAlign w:val="center"/>
          </w:tcPr>
          <w:p w14:paraId="7055CC69" w14:textId="77777777" w:rsidR="009123AC" w:rsidRPr="00F0379B" w:rsidRDefault="009123AC" w:rsidP="009123AC">
            <w:pPr>
              <w:spacing w:after="0" w:line="240" w:lineRule="auto"/>
              <w:ind w:left="139" w:hanging="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ATEU1ITA00021</w:t>
            </w:r>
          </w:p>
        </w:tc>
        <w:tc>
          <w:tcPr>
            <w:tcW w:w="2960" w:type="dxa"/>
            <w:gridSpan w:val="2"/>
            <w:tcBorders>
              <w:top w:val="single" w:sz="4" w:space="0" w:color="auto"/>
              <w:left w:val="single" w:sz="4" w:space="0" w:color="auto"/>
              <w:bottom w:val="single" w:sz="4" w:space="0" w:color="auto"/>
              <w:right w:val="single" w:sz="4" w:space="0" w:color="auto"/>
            </w:tcBorders>
            <w:vAlign w:val="center"/>
          </w:tcPr>
          <w:p w14:paraId="268FD98C" w14:textId="77777777" w:rsidR="009123AC" w:rsidRPr="00F0379B" w:rsidRDefault="009123AC" w:rsidP="009123AC">
            <w:pPr>
              <w:spacing w:after="0" w:line="240" w:lineRule="auto"/>
              <w:rPr>
                <w:rFonts w:ascii="Cambria" w:eastAsia="MS Gothic" w:hAnsi="Cambria" w:cs="Times New Roman"/>
                <w:color w:val="000000"/>
                <w:sz w:val="20"/>
                <w:szCs w:val="20"/>
                <w:lang w:val="fi-FI" w:eastAsia="fr-FR" w:bidi="fr-FR"/>
                <w14:ligatures w14:val="standardContextual"/>
              </w:rPr>
            </w:pPr>
            <w:r w:rsidRPr="00F0379B">
              <w:rPr>
                <w:rFonts w:ascii="Cambria" w:eastAsia="MS Gothic" w:hAnsi="Cambria" w:cs="Times New Roman"/>
                <w:color w:val="000000"/>
                <w:sz w:val="20"/>
                <w:szCs w:val="20"/>
                <w:lang w:val="fi-FI" w:eastAsia="fr-FR" w:bidi="fr-FR"/>
                <w14:ligatures w14:val="standardContextual"/>
              </w:rPr>
              <w:t>PUNTO 1: LAT: 39°16’45,90’’ N  LONG: 008°20’48,00’’ E</w:t>
            </w:r>
          </w:p>
          <w:p w14:paraId="77999E02" w14:textId="77777777" w:rsidR="009123AC" w:rsidRPr="00F0379B" w:rsidRDefault="009123AC" w:rsidP="009123AC">
            <w:pPr>
              <w:spacing w:after="0" w:line="240" w:lineRule="auto"/>
              <w:rPr>
                <w:rFonts w:ascii="Cambria" w:eastAsia="MS Gothic" w:hAnsi="Cambria" w:cs="Times New Roman"/>
                <w:color w:val="000000"/>
                <w:sz w:val="20"/>
                <w:szCs w:val="20"/>
                <w:lang w:val="fi-FI" w:eastAsia="fr-FR" w:bidi="fr-FR"/>
                <w14:ligatures w14:val="standardContextual"/>
              </w:rPr>
            </w:pPr>
            <w:r w:rsidRPr="00F0379B">
              <w:rPr>
                <w:rFonts w:ascii="Cambria" w:eastAsia="MS Gothic" w:hAnsi="Cambria" w:cs="Times New Roman"/>
                <w:color w:val="000000"/>
                <w:sz w:val="20"/>
                <w:szCs w:val="20"/>
                <w:lang w:val="fi-FI" w:eastAsia="fr-FR" w:bidi="fr-FR"/>
                <w14:ligatures w14:val="standardContextual"/>
              </w:rPr>
              <w:t>PUNTO 2: LAT: 39°16’51,62’’ N  LONG: 008°20’52,35’’ E</w:t>
            </w:r>
          </w:p>
          <w:p w14:paraId="5B4F9DDF" w14:textId="77777777" w:rsidR="009123AC" w:rsidRPr="00F0379B" w:rsidRDefault="009123AC" w:rsidP="009123AC">
            <w:pPr>
              <w:spacing w:after="0" w:line="240" w:lineRule="auto"/>
              <w:rPr>
                <w:rFonts w:ascii="Cambria" w:eastAsia="MS Gothic" w:hAnsi="Cambria" w:cs="Times New Roman"/>
                <w:color w:val="000000"/>
                <w:sz w:val="20"/>
                <w:szCs w:val="20"/>
                <w:lang w:val="fi-FI" w:eastAsia="fr-FR" w:bidi="fr-FR"/>
                <w14:ligatures w14:val="standardContextual"/>
              </w:rPr>
            </w:pPr>
            <w:r w:rsidRPr="00F0379B">
              <w:rPr>
                <w:rFonts w:ascii="Cambria" w:eastAsia="MS Gothic" w:hAnsi="Cambria" w:cs="Times New Roman"/>
                <w:color w:val="000000"/>
                <w:sz w:val="20"/>
                <w:szCs w:val="20"/>
                <w:lang w:val="fi-FI" w:eastAsia="fr-FR" w:bidi="fr-FR"/>
                <w14:ligatures w14:val="standardContextual"/>
              </w:rPr>
              <w:t>PUNTO 3: LAT: 39°16’55,20’’ N  LONG: 008°20’44,40’’ E</w:t>
            </w:r>
          </w:p>
          <w:p w14:paraId="18686AA0" w14:textId="77777777" w:rsidR="009123AC" w:rsidRPr="00F0379B" w:rsidRDefault="009123AC" w:rsidP="009123AC">
            <w:pPr>
              <w:spacing w:after="0" w:line="240" w:lineRule="auto"/>
              <w:rPr>
                <w:rFonts w:ascii="Cambria" w:eastAsia="MS Gothic" w:hAnsi="Cambria" w:cs="Times New Roman"/>
                <w:color w:val="000000"/>
                <w:sz w:val="20"/>
                <w:szCs w:val="20"/>
                <w:lang w:val="fi-FI" w:eastAsia="fr-FR" w:bidi="fr-FR"/>
                <w14:ligatures w14:val="standardContextual"/>
              </w:rPr>
            </w:pPr>
            <w:r w:rsidRPr="00F0379B">
              <w:rPr>
                <w:rFonts w:ascii="Cambria" w:eastAsia="MS Gothic" w:hAnsi="Cambria" w:cs="Times New Roman"/>
                <w:color w:val="000000"/>
                <w:sz w:val="20"/>
                <w:szCs w:val="20"/>
                <w:lang w:val="fi-FI" w:eastAsia="fr-FR" w:bidi="fr-FR"/>
                <w14:ligatures w14:val="standardContextual"/>
              </w:rPr>
              <w:t>PUNTO 4: LAT: 39°16’49,60’’ N  LONG: 008°20’39,90’’ E</w:t>
            </w:r>
          </w:p>
        </w:tc>
        <w:tc>
          <w:tcPr>
            <w:tcW w:w="2466" w:type="dxa"/>
            <w:tcBorders>
              <w:top w:val="nil"/>
              <w:left w:val="single" w:sz="4" w:space="0" w:color="auto"/>
              <w:right w:val="single" w:sz="4" w:space="0" w:color="auto"/>
            </w:tcBorders>
            <w:vAlign w:val="center"/>
          </w:tcPr>
          <w:p w14:paraId="78CF4434" w14:textId="77777777" w:rsidR="009123AC" w:rsidRPr="00F0379B" w:rsidDel="00C666B0" w:rsidRDefault="009123AC" w:rsidP="009123AC">
            <w:pPr>
              <w:spacing w:after="0" w:line="240" w:lineRule="auto"/>
              <w:jc w:val="center"/>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110,00</w:t>
            </w:r>
          </w:p>
        </w:tc>
      </w:tr>
      <w:tr w:rsidR="009123AC" w:rsidRPr="00F0379B" w14:paraId="3B6A4823" w14:textId="77777777" w:rsidTr="00CA749B">
        <w:trPr>
          <w:trHeight w:val="57"/>
        </w:trPr>
        <w:tc>
          <w:tcPr>
            <w:tcW w:w="2020" w:type="dxa"/>
            <w:tcBorders>
              <w:top w:val="single" w:sz="4" w:space="0" w:color="auto"/>
              <w:left w:val="single" w:sz="4" w:space="0" w:color="auto"/>
              <w:bottom w:val="single" w:sz="4" w:space="0" w:color="auto"/>
              <w:right w:val="single" w:sz="4" w:space="0" w:color="auto"/>
            </w:tcBorders>
            <w:vAlign w:val="center"/>
          </w:tcPr>
          <w:p w14:paraId="222F5ECC" w14:textId="77777777" w:rsidR="009123AC" w:rsidRPr="00F0379B" w:rsidRDefault="009123AC" w:rsidP="009123AC">
            <w:pPr>
              <w:spacing w:after="0" w:line="240" w:lineRule="auto"/>
              <w:ind w:left="102"/>
              <w:rPr>
                <w:rFonts w:ascii="Cambria" w:eastAsia="MS Gothic" w:hAnsi="Cambria" w:cs="Times New Roman"/>
                <w:color w:val="000000"/>
                <w:sz w:val="20"/>
                <w:szCs w:val="20"/>
                <w:lang w:val="it-IT" w:eastAsia="fr-FR" w:bidi="fr-FR"/>
                <w14:ligatures w14:val="standardContextual"/>
              </w:rPr>
            </w:pPr>
            <w:r w:rsidRPr="00F0379B">
              <w:rPr>
                <w:rFonts w:ascii="Cambria" w:eastAsia="MS Gothic" w:hAnsi="Cambria" w:cs="Times New Roman"/>
                <w:color w:val="000000"/>
                <w:sz w:val="20"/>
                <w:szCs w:val="20"/>
                <w:lang w:val="it-IT" w:eastAsia="fr-FR" w:bidi="fr-FR"/>
                <w14:ligatures w14:val="standardContextual"/>
              </w:rPr>
              <w:t>Consorzio Operatori Del Tonno Del Mediterraneo</w:t>
            </w:r>
          </w:p>
        </w:tc>
        <w:tc>
          <w:tcPr>
            <w:tcW w:w="1614" w:type="dxa"/>
            <w:tcBorders>
              <w:top w:val="single" w:sz="4" w:space="0" w:color="auto"/>
              <w:left w:val="nil"/>
              <w:bottom w:val="single" w:sz="4" w:space="0" w:color="auto"/>
              <w:right w:val="single" w:sz="4" w:space="0" w:color="auto"/>
            </w:tcBorders>
            <w:vAlign w:val="center"/>
          </w:tcPr>
          <w:p w14:paraId="0E54813E" w14:textId="77777777" w:rsidR="009123AC" w:rsidRPr="00F0379B" w:rsidRDefault="009123AC" w:rsidP="009123AC">
            <w:pPr>
              <w:spacing w:after="0" w:line="240" w:lineRule="auto"/>
              <w:ind w:left="139" w:hanging="2"/>
              <w:rPr>
                <w:rFonts w:ascii="Cambria" w:eastAsia="MS Gothic" w:hAnsi="Cambria" w:cs="Times New Roman"/>
                <w:sz w:val="20"/>
                <w:szCs w:val="20"/>
                <w:lang w:val="en-IE" w:eastAsia="fr-FR" w:bidi="fr-FR"/>
                <w14:ligatures w14:val="standardContextual"/>
              </w:rPr>
            </w:pPr>
            <w:r w:rsidRPr="00F0379B">
              <w:rPr>
                <w:rFonts w:ascii="Cambria" w:eastAsia="MS Gothic" w:hAnsi="Cambria" w:cs="Times New Roman"/>
                <w:sz w:val="20"/>
                <w:szCs w:val="20"/>
                <w:lang w:val="en-IE" w:eastAsia="fr-FR" w:bidi="fr-FR"/>
                <w14:ligatures w14:val="standardContextual"/>
              </w:rPr>
              <w:t>ATEU1ITA00006</w:t>
            </w:r>
          </w:p>
        </w:tc>
        <w:tc>
          <w:tcPr>
            <w:tcW w:w="2960" w:type="dxa"/>
            <w:gridSpan w:val="2"/>
            <w:tcBorders>
              <w:top w:val="single" w:sz="4" w:space="0" w:color="auto"/>
              <w:left w:val="single" w:sz="4" w:space="0" w:color="auto"/>
              <w:bottom w:val="single" w:sz="4" w:space="0" w:color="auto"/>
              <w:right w:val="single" w:sz="4" w:space="0" w:color="auto"/>
            </w:tcBorders>
            <w:vAlign w:val="center"/>
          </w:tcPr>
          <w:p w14:paraId="5AEEE5CA" w14:textId="77777777" w:rsidR="009123AC" w:rsidRPr="00F0379B" w:rsidRDefault="009123AC" w:rsidP="009123AC">
            <w:pPr>
              <w:spacing w:after="0" w:line="240" w:lineRule="auto"/>
              <w:rPr>
                <w:rFonts w:ascii="Cambria" w:eastAsia="MS Gothic" w:hAnsi="Cambria" w:cs="Times New Roman"/>
                <w:color w:val="000000"/>
                <w:sz w:val="20"/>
                <w:szCs w:val="20"/>
                <w:lang w:val="it-IT" w:eastAsia="fr-FR" w:bidi="fr-FR"/>
                <w14:ligatures w14:val="standardContextual"/>
              </w:rPr>
            </w:pPr>
            <w:r w:rsidRPr="00F0379B">
              <w:rPr>
                <w:rFonts w:ascii="Cambria" w:eastAsia="MS Gothic" w:hAnsi="Cambria" w:cs="Times New Roman"/>
                <w:color w:val="000000"/>
                <w:sz w:val="20"/>
                <w:szCs w:val="20"/>
                <w:lang w:val="it-IT" w:eastAsia="fr-FR" w:bidi="fr-FR"/>
                <w14:ligatures w14:val="standardContextual"/>
              </w:rPr>
              <w:t xml:space="preserve">PUNTO 1: LAT: 39°57,903' N  </w:t>
            </w:r>
          </w:p>
          <w:p w14:paraId="19F24E0D" w14:textId="77777777" w:rsidR="009123AC" w:rsidRPr="00F0379B" w:rsidRDefault="009123AC" w:rsidP="009123AC">
            <w:pPr>
              <w:spacing w:after="0" w:line="240" w:lineRule="auto"/>
              <w:rPr>
                <w:rFonts w:ascii="Cambria" w:eastAsia="MS Gothic" w:hAnsi="Cambria" w:cs="Times New Roman"/>
                <w:color w:val="000000"/>
                <w:sz w:val="20"/>
                <w:szCs w:val="20"/>
                <w:lang w:val="it-IT" w:eastAsia="fr-FR" w:bidi="fr-FR"/>
                <w14:ligatures w14:val="standardContextual"/>
              </w:rPr>
            </w:pPr>
            <w:r w:rsidRPr="00F0379B">
              <w:rPr>
                <w:rFonts w:ascii="Cambria" w:eastAsia="MS Gothic" w:hAnsi="Cambria" w:cs="Times New Roman"/>
                <w:color w:val="000000"/>
                <w:sz w:val="20"/>
                <w:szCs w:val="20"/>
                <w:lang w:val="it-IT" w:eastAsia="fr-FR" w:bidi="fr-FR"/>
                <w14:ligatures w14:val="standardContextual"/>
              </w:rPr>
              <w:t>LONG: 15°21,295' E</w:t>
            </w:r>
          </w:p>
          <w:p w14:paraId="7FA91020" w14:textId="77777777" w:rsidR="009123AC" w:rsidRPr="00F0379B" w:rsidRDefault="009123AC" w:rsidP="009123AC">
            <w:pPr>
              <w:spacing w:after="0" w:line="240" w:lineRule="auto"/>
              <w:rPr>
                <w:rFonts w:ascii="Cambria" w:eastAsia="MS Gothic" w:hAnsi="Cambria" w:cs="Times New Roman"/>
                <w:color w:val="000000"/>
                <w:sz w:val="20"/>
                <w:szCs w:val="20"/>
                <w:lang w:val="it-IT" w:eastAsia="fr-FR" w:bidi="fr-FR"/>
                <w14:ligatures w14:val="standardContextual"/>
              </w:rPr>
            </w:pPr>
            <w:r w:rsidRPr="00F0379B">
              <w:rPr>
                <w:rFonts w:ascii="Cambria" w:eastAsia="MS Gothic" w:hAnsi="Cambria" w:cs="Times New Roman"/>
                <w:color w:val="000000"/>
                <w:sz w:val="20"/>
                <w:szCs w:val="20"/>
                <w:lang w:val="it-IT" w:eastAsia="fr-FR" w:bidi="fr-FR"/>
                <w14:ligatures w14:val="standardContextual"/>
              </w:rPr>
              <w:t xml:space="preserve">PUNTO 2: LAT: 39°57,903'N  </w:t>
            </w:r>
          </w:p>
          <w:p w14:paraId="13DC9FCD" w14:textId="77777777" w:rsidR="009123AC" w:rsidRPr="00F0379B" w:rsidRDefault="009123AC" w:rsidP="009123AC">
            <w:pPr>
              <w:spacing w:after="0" w:line="240" w:lineRule="auto"/>
              <w:rPr>
                <w:rFonts w:ascii="Cambria" w:eastAsia="MS Gothic" w:hAnsi="Cambria" w:cs="Times New Roman"/>
                <w:color w:val="000000"/>
                <w:sz w:val="20"/>
                <w:szCs w:val="20"/>
                <w:lang w:val="it-IT" w:eastAsia="fr-FR" w:bidi="fr-FR"/>
                <w14:ligatures w14:val="standardContextual"/>
              </w:rPr>
            </w:pPr>
            <w:r w:rsidRPr="00F0379B">
              <w:rPr>
                <w:rFonts w:ascii="Cambria" w:eastAsia="MS Gothic" w:hAnsi="Cambria" w:cs="Times New Roman"/>
                <w:color w:val="000000"/>
                <w:sz w:val="20"/>
                <w:szCs w:val="20"/>
                <w:lang w:val="it-IT" w:eastAsia="fr-FR" w:bidi="fr-FR"/>
                <w14:ligatures w14:val="standardContextual"/>
              </w:rPr>
              <w:t>LONG: 15°21,045' E</w:t>
            </w:r>
          </w:p>
          <w:p w14:paraId="11EB3ED6" w14:textId="77777777" w:rsidR="009123AC" w:rsidRPr="00F0379B" w:rsidRDefault="009123AC" w:rsidP="009123AC">
            <w:pPr>
              <w:spacing w:after="0" w:line="240" w:lineRule="auto"/>
              <w:rPr>
                <w:rFonts w:ascii="Cambria" w:eastAsia="MS Gothic" w:hAnsi="Cambria" w:cs="Times New Roman"/>
                <w:color w:val="000000"/>
                <w:sz w:val="20"/>
                <w:szCs w:val="20"/>
                <w:lang w:val="it-IT" w:eastAsia="fr-FR" w:bidi="fr-FR"/>
                <w14:ligatures w14:val="standardContextual"/>
              </w:rPr>
            </w:pPr>
            <w:r w:rsidRPr="00F0379B">
              <w:rPr>
                <w:rFonts w:ascii="Cambria" w:eastAsia="MS Gothic" w:hAnsi="Cambria" w:cs="Times New Roman"/>
                <w:color w:val="000000"/>
                <w:sz w:val="20"/>
                <w:szCs w:val="20"/>
                <w:lang w:val="it-IT" w:eastAsia="fr-FR" w:bidi="fr-FR"/>
                <w14:ligatures w14:val="standardContextual"/>
              </w:rPr>
              <w:t xml:space="preserve">PUNTO 3: LAT: 39°58,000' N  </w:t>
            </w:r>
          </w:p>
          <w:p w14:paraId="08D65689" w14:textId="77777777" w:rsidR="009123AC" w:rsidRPr="00F0379B" w:rsidRDefault="009123AC" w:rsidP="009123AC">
            <w:pPr>
              <w:spacing w:after="0" w:line="240" w:lineRule="auto"/>
              <w:rPr>
                <w:rFonts w:ascii="Cambria" w:eastAsia="MS Gothic" w:hAnsi="Cambria" w:cs="Times New Roman"/>
                <w:color w:val="000000"/>
                <w:sz w:val="20"/>
                <w:szCs w:val="20"/>
                <w:lang w:val="it-IT" w:eastAsia="fr-FR" w:bidi="fr-FR"/>
                <w14:ligatures w14:val="standardContextual"/>
              </w:rPr>
            </w:pPr>
            <w:r w:rsidRPr="00F0379B">
              <w:rPr>
                <w:rFonts w:ascii="Cambria" w:eastAsia="MS Gothic" w:hAnsi="Cambria" w:cs="Times New Roman"/>
                <w:color w:val="000000"/>
                <w:sz w:val="20"/>
                <w:szCs w:val="20"/>
                <w:lang w:val="it-IT" w:eastAsia="fr-FR" w:bidi="fr-FR"/>
                <w14:ligatures w14:val="standardContextual"/>
              </w:rPr>
              <w:t>LONG: 15°21,295' E</w:t>
            </w:r>
          </w:p>
          <w:p w14:paraId="21C2817D" w14:textId="77777777" w:rsidR="009123AC" w:rsidRPr="00F0379B" w:rsidRDefault="009123AC" w:rsidP="009123AC">
            <w:pPr>
              <w:spacing w:after="0" w:line="240" w:lineRule="auto"/>
              <w:rPr>
                <w:rFonts w:ascii="Cambria" w:eastAsia="MS Gothic" w:hAnsi="Cambria" w:cs="Times New Roman"/>
                <w:color w:val="000000"/>
                <w:sz w:val="20"/>
                <w:szCs w:val="20"/>
                <w:lang w:val="it-IT" w:eastAsia="fr-FR" w:bidi="fr-FR"/>
                <w14:ligatures w14:val="standardContextual"/>
              </w:rPr>
            </w:pPr>
            <w:r w:rsidRPr="00F0379B">
              <w:rPr>
                <w:rFonts w:ascii="Cambria" w:eastAsia="MS Gothic" w:hAnsi="Cambria" w:cs="Times New Roman"/>
                <w:color w:val="000000"/>
                <w:sz w:val="20"/>
                <w:szCs w:val="20"/>
                <w:lang w:val="it-IT" w:eastAsia="fr-FR" w:bidi="fr-FR"/>
                <w14:ligatures w14:val="standardContextual"/>
              </w:rPr>
              <w:t xml:space="preserve">PUNTO 4: LAT: 39°58,000' N  </w:t>
            </w:r>
          </w:p>
          <w:p w14:paraId="3DEE6955" w14:textId="77777777" w:rsidR="009123AC" w:rsidRPr="00F0379B" w:rsidRDefault="009123AC" w:rsidP="009123AC">
            <w:pPr>
              <w:spacing w:after="0" w:line="240" w:lineRule="auto"/>
              <w:rPr>
                <w:rFonts w:ascii="Cambria" w:eastAsia="MS Gothic" w:hAnsi="Cambria" w:cs="Times New Roman"/>
                <w:color w:val="000000"/>
                <w:sz w:val="20"/>
                <w:szCs w:val="20"/>
                <w:lang w:val="it-IT" w:eastAsia="fr-FR" w:bidi="fr-FR"/>
                <w14:ligatures w14:val="standardContextual"/>
              </w:rPr>
            </w:pPr>
            <w:r w:rsidRPr="00F0379B">
              <w:rPr>
                <w:rFonts w:ascii="Cambria" w:eastAsia="MS Gothic" w:hAnsi="Cambria" w:cs="Times New Roman"/>
                <w:color w:val="000000"/>
                <w:sz w:val="20"/>
                <w:szCs w:val="20"/>
                <w:lang w:val="it-IT" w:eastAsia="fr-FR" w:bidi="fr-FR"/>
                <w14:ligatures w14:val="standardContextual"/>
              </w:rPr>
              <w:t>LONG: 15°21,045' E</w:t>
            </w:r>
          </w:p>
        </w:tc>
        <w:tc>
          <w:tcPr>
            <w:tcW w:w="2466" w:type="dxa"/>
            <w:tcBorders>
              <w:left w:val="single" w:sz="4" w:space="0" w:color="auto"/>
              <w:right w:val="single" w:sz="4" w:space="0" w:color="auto"/>
            </w:tcBorders>
            <w:vAlign w:val="center"/>
          </w:tcPr>
          <w:p w14:paraId="7E4BC24F" w14:textId="77777777" w:rsidR="009123AC" w:rsidRPr="00F0379B" w:rsidRDefault="009123AC" w:rsidP="009123AC">
            <w:pPr>
              <w:spacing w:after="0" w:line="240" w:lineRule="auto"/>
              <w:jc w:val="center"/>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0</w:t>
            </w:r>
          </w:p>
        </w:tc>
      </w:tr>
      <w:tr w:rsidR="009123AC" w:rsidRPr="00F0379B" w14:paraId="69494D45" w14:textId="77777777" w:rsidTr="00CA749B">
        <w:trPr>
          <w:trHeight w:val="57"/>
        </w:trPr>
        <w:tc>
          <w:tcPr>
            <w:tcW w:w="2020" w:type="dxa"/>
            <w:tcBorders>
              <w:top w:val="single" w:sz="4" w:space="0" w:color="auto"/>
              <w:left w:val="single" w:sz="4" w:space="0" w:color="auto"/>
              <w:bottom w:val="single" w:sz="4" w:space="0" w:color="auto"/>
              <w:right w:val="single" w:sz="4" w:space="0" w:color="auto"/>
            </w:tcBorders>
            <w:vAlign w:val="center"/>
          </w:tcPr>
          <w:p w14:paraId="775E2EDE" w14:textId="77777777" w:rsidR="009123AC" w:rsidRPr="00F0379B" w:rsidRDefault="009123AC" w:rsidP="009123AC">
            <w:pPr>
              <w:spacing w:after="0" w:line="240" w:lineRule="auto"/>
              <w:ind w:left="102"/>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DG PESCA 1</w:t>
            </w:r>
          </w:p>
        </w:tc>
        <w:tc>
          <w:tcPr>
            <w:tcW w:w="1614" w:type="dxa"/>
            <w:tcBorders>
              <w:top w:val="single" w:sz="4" w:space="0" w:color="auto"/>
              <w:left w:val="nil"/>
              <w:bottom w:val="single" w:sz="4" w:space="0" w:color="auto"/>
              <w:right w:val="single" w:sz="4" w:space="0" w:color="auto"/>
            </w:tcBorders>
            <w:vAlign w:val="center"/>
          </w:tcPr>
          <w:p w14:paraId="7338F7C7" w14:textId="77777777" w:rsidR="009123AC" w:rsidRPr="00F0379B" w:rsidRDefault="009123AC" w:rsidP="009123AC">
            <w:pPr>
              <w:spacing w:after="0" w:line="240" w:lineRule="auto"/>
              <w:ind w:left="139" w:hanging="2"/>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ATEU1ITA00022</w:t>
            </w:r>
          </w:p>
        </w:tc>
        <w:tc>
          <w:tcPr>
            <w:tcW w:w="2960" w:type="dxa"/>
            <w:gridSpan w:val="2"/>
            <w:tcBorders>
              <w:top w:val="single" w:sz="4" w:space="0" w:color="auto"/>
              <w:left w:val="single" w:sz="4" w:space="0" w:color="auto"/>
              <w:bottom w:val="single" w:sz="4" w:space="0" w:color="auto"/>
              <w:right w:val="single" w:sz="4" w:space="0" w:color="auto"/>
            </w:tcBorders>
            <w:vAlign w:val="center"/>
          </w:tcPr>
          <w:p w14:paraId="6B867451" w14:textId="77777777" w:rsidR="009123AC" w:rsidRPr="00F0379B" w:rsidRDefault="009123AC" w:rsidP="009123AC">
            <w:pPr>
              <w:spacing w:after="0" w:line="240" w:lineRule="auto"/>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ROMA (RM)</w:t>
            </w:r>
          </w:p>
        </w:tc>
        <w:tc>
          <w:tcPr>
            <w:tcW w:w="2466" w:type="dxa"/>
            <w:tcBorders>
              <w:left w:val="single" w:sz="4" w:space="0" w:color="auto"/>
              <w:right w:val="single" w:sz="4" w:space="0" w:color="auto"/>
            </w:tcBorders>
            <w:vAlign w:val="center"/>
          </w:tcPr>
          <w:p w14:paraId="20293E57" w14:textId="77777777" w:rsidR="009123AC" w:rsidRPr="00F0379B" w:rsidRDefault="009123AC" w:rsidP="009123AC">
            <w:pPr>
              <w:spacing w:after="0" w:line="240" w:lineRule="auto"/>
              <w:jc w:val="center"/>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1.043,50</w:t>
            </w:r>
          </w:p>
        </w:tc>
      </w:tr>
      <w:tr w:rsidR="009123AC" w:rsidRPr="00F0379B" w14:paraId="070C06BA" w14:textId="77777777" w:rsidTr="00CA749B">
        <w:trPr>
          <w:trHeight w:val="57"/>
        </w:trPr>
        <w:tc>
          <w:tcPr>
            <w:tcW w:w="2020" w:type="dxa"/>
            <w:tcBorders>
              <w:top w:val="single" w:sz="4" w:space="0" w:color="auto"/>
              <w:left w:val="single" w:sz="4" w:space="0" w:color="auto"/>
              <w:bottom w:val="single" w:sz="4" w:space="0" w:color="auto"/>
              <w:right w:val="single" w:sz="4" w:space="0" w:color="auto"/>
            </w:tcBorders>
            <w:vAlign w:val="center"/>
          </w:tcPr>
          <w:p w14:paraId="3C263CB7" w14:textId="77777777" w:rsidR="009123AC" w:rsidRPr="00F0379B" w:rsidRDefault="009123AC" w:rsidP="009123AC">
            <w:pPr>
              <w:spacing w:after="0" w:line="240" w:lineRule="auto"/>
              <w:ind w:left="102"/>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DG PESCA 2</w:t>
            </w:r>
          </w:p>
        </w:tc>
        <w:tc>
          <w:tcPr>
            <w:tcW w:w="1614" w:type="dxa"/>
            <w:tcBorders>
              <w:top w:val="single" w:sz="4" w:space="0" w:color="auto"/>
              <w:left w:val="nil"/>
              <w:bottom w:val="single" w:sz="4" w:space="0" w:color="auto"/>
              <w:right w:val="single" w:sz="4" w:space="0" w:color="auto"/>
            </w:tcBorders>
            <w:vAlign w:val="center"/>
          </w:tcPr>
          <w:p w14:paraId="21F3FA7F" w14:textId="77777777" w:rsidR="009123AC" w:rsidRPr="00F0379B" w:rsidRDefault="009123AC" w:rsidP="009123AC">
            <w:pPr>
              <w:spacing w:after="0" w:line="240" w:lineRule="auto"/>
              <w:ind w:left="139" w:hanging="2"/>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ATEU1ITA00023</w:t>
            </w:r>
          </w:p>
        </w:tc>
        <w:tc>
          <w:tcPr>
            <w:tcW w:w="2960" w:type="dxa"/>
            <w:gridSpan w:val="2"/>
            <w:tcBorders>
              <w:top w:val="single" w:sz="4" w:space="0" w:color="auto"/>
              <w:left w:val="single" w:sz="4" w:space="0" w:color="auto"/>
              <w:bottom w:val="single" w:sz="4" w:space="0" w:color="auto"/>
              <w:right w:val="single" w:sz="4" w:space="0" w:color="auto"/>
            </w:tcBorders>
            <w:vAlign w:val="center"/>
          </w:tcPr>
          <w:p w14:paraId="27DD8E97" w14:textId="77777777" w:rsidR="009123AC" w:rsidRPr="00F0379B" w:rsidRDefault="009123AC" w:rsidP="009123AC">
            <w:pPr>
              <w:spacing w:after="0" w:line="240" w:lineRule="auto"/>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ROMA (RM)</w:t>
            </w:r>
          </w:p>
        </w:tc>
        <w:tc>
          <w:tcPr>
            <w:tcW w:w="2466" w:type="dxa"/>
            <w:tcBorders>
              <w:left w:val="single" w:sz="4" w:space="0" w:color="auto"/>
              <w:right w:val="single" w:sz="4" w:space="0" w:color="auto"/>
            </w:tcBorders>
            <w:vAlign w:val="center"/>
          </w:tcPr>
          <w:p w14:paraId="79B3F006" w14:textId="77777777" w:rsidR="009123AC" w:rsidRPr="00F0379B" w:rsidRDefault="009123AC" w:rsidP="009123AC">
            <w:pPr>
              <w:spacing w:after="0" w:line="240" w:lineRule="auto"/>
              <w:jc w:val="center"/>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1.043,50</w:t>
            </w:r>
          </w:p>
        </w:tc>
      </w:tr>
      <w:tr w:rsidR="009123AC" w:rsidRPr="00F0379B" w14:paraId="2AEA88CE" w14:textId="77777777" w:rsidTr="00CA749B">
        <w:trPr>
          <w:trHeight w:val="57"/>
        </w:trPr>
        <w:tc>
          <w:tcPr>
            <w:tcW w:w="2020" w:type="dxa"/>
            <w:tcBorders>
              <w:top w:val="single" w:sz="4" w:space="0" w:color="auto"/>
              <w:left w:val="single" w:sz="4" w:space="0" w:color="auto"/>
              <w:bottom w:val="single" w:sz="4" w:space="0" w:color="auto"/>
              <w:right w:val="single" w:sz="4" w:space="0" w:color="auto"/>
            </w:tcBorders>
            <w:vAlign w:val="center"/>
          </w:tcPr>
          <w:p w14:paraId="736ABA73" w14:textId="77777777" w:rsidR="009123AC" w:rsidRPr="00F0379B" w:rsidRDefault="009123AC" w:rsidP="009123AC">
            <w:pPr>
              <w:spacing w:after="0" w:line="240" w:lineRule="auto"/>
              <w:ind w:left="102"/>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DG PESCA 3</w:t>
            </w:r>
          </w:p>
        </w:tc>
        <w:tc>
          <w:tcPr>
            <w:tcW w:w="1614" w:type="dxa"/>
            <w:tcBorders>
              <w:top w:val="single" w:sz="4" w:space="0" w:color="auto"/>
              <w:left w:val="nil"/>
              <w:bottom w:val="single" w:sz="4" w:space="0" w:color="auto"/>
              <w:right w:val="single" w:sz="4" w:space="0" w:color="auto"/>
            </w:tcBorders>
            <w:vAlign w:val="center"/>
          </w:tcPr>
          <w:p w14:paraId="607FC669" w14:textId="77777777" w:rsidR="009123AC" w:rsidRPr="00F0379B" w:rsidRDefault="009123AC" w:rsidP="009123AC">
            <w:pPr>
              <w:spacing w:after="0" w:line="240" w:lineRule="auto"/>
              <w:ind w:left="139" w:hanging="2"/>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ATEU1ITA00024</w:t>
            </w:r>
          </w:p>
        </w:tc>
        <w:tc>
          <w:tcPr>
            <w:tcW w:w="2960" w:type="dxa"/>
            <w:gridSpan w:val="2"/>
            <w:tcBorders>
              <w:top w:val="single" w:sz="4" w:space="0" w:color="auto"/>
              <w:left w:val="single" w:sz="4" w:space="0" w:color="auto"/>
              <w:bottom w:val="single" w:sz="4" w:space="0" w:color="auto"/>
              <w:right w:val="single" w:sz="4" w:space="0" w:color="auto"/>
            </w:tcBorders>
            <w:vAlign w:val="center"/>
          </w:tcPr>
          <w:p w14:paraId="20EB9512" w14:textId="77777777" w:rsidR="009123AC" w:rsidRPr="00F0379B" w:rsidRDefault="009123AC" w:rsidP="009123AC">
            <w:pPr>
              <w:spacing w:after="0" w:line="240" w:lineRule="auto"/>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ROMA (RM)</w:t>
            </w:r>
          </w:p>
        </w:tc>
        <w:tc>
          <w:tcPr>
            <w:tcW w:w="2466" w:type="dxa"/>
            <w:tcBorders>
              <w:left w:val="single" w:sz="4" w:space="0" w:color="auto"/>
              <w:right w:val="single" w:sz="4" w:space="0" w:color="auto"/>
            </w:tcBorders>
            <w:vAlign w:val="center"/>
          </w:tcPr>
          <w:p w14:paraId="08C28EBC" w14:textId="77777777" w:rsidR="009123AC" w:rsidRPr="00F0379B" w:rsidRDefault="009123AC" w:rsidP="009123AC">
            <w:pPr>
              <w:spacing w:after="0" w:line="240" w:lineRule="auto"/>
              <w:jc w:val="center"/>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1.000,0</w:t>
            </w:r>
          </w:p>
        </w:tc>
      </w:tr>
      <w:tr w:rsidR="009123AC" w:rsidRPr="00F0379B" w14:paraId="72653FD7" w14:textId="77777777" w:rsidTr="00CA749B">
        <w:trPr>
          <w:trHeight w:val="57"/>
        </w:trPr>
        <w:tc>
          <w:tcPr>
            <w:tcW w:w="2020" w:type="dxa"/>
            <w:tcBorders>
              <w:top w:val="single" w:sz="4" w:space="0" w:color="auto"/>
              <w:left w:val="single" w:sz="4" w:space="0" w:color="auto"/>
              <w:bottom w:val="single" w:sz="4" w:space="0" w:color="auto"/>
              <w:right w:val="single" w:sz="4" w:space="0" w:color="auto"/>
            </w:tcBorders>
            <w:vAlign w:val="center"/>
          </w:tcPr>
          <w:p w14:paraId="028F1DC2" w14:textId="77777777" w:rsidR="009123AC" w:rsidRPr="00F0379B" w:rsidRDefault="009123AC" w:rsidP="009123AC">
            <w:pPr>
              <w:spacing w:after="0" w:line="240" w:lineRule="auto"/>
              <w:ind w:left="102"/>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DG PESCA 4</w:t>
            </w:r>
          </w:p>
        </w:tc>
        <w:tc>
          <w:tcPr>
            <w:tcW w:w="1614" w:type="dxa"/>
            <w:tcBorders>
              <w:top w:val="single" w:sz="4" w:space="0" w:color="auto"/>
              <w:left w:val="nil"/>
              <w:bottom w:val="single" w:sz="4" w:space="0" w:color="auto"/>
              <w:right w:val="single" w:sz="4" w:space="0" w:color="auto"/>
            </w:tcBorders>
            <w:vAlign w:val="center"/>
          </w:tcPr>
          <w:p w14:paraId="47754390" w14:textId="77777777" w:rsidR="009123AC" w:rsidRPr="00F0379B" w:rsidRDefault="009123AC" w:rsidP="009123AC">
            <w:pPr>
              <w:spacing w:after="0" w:line="240" w:lineRule="auto"/>
              <w:ind w:left="139" w:hanging="2"/>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ATEU1ITA00025</w:t>
            </w:r>
          </w:p>
        </w:tc>
        <w:tc>
          <w:tcPr>
            <w:tcW w:w="2960" w:type="dxa"/>
            <w:gridSpan w:val="2"/>
            <w:tcBorders>
              <w:top w:val="single" w:sz="4" w:space="0" w:color="auto"/>
              <w:left w:val="single" w:sz="4" w:space="0" w:color="auto"/>
              <w:bottom w:val="single" w:sz="4" w:space="0" w:color="auto"/>
              <w:right w:val="single" w:sz="4" w:space="0" w:color="auto"/>
            </w:tcBorders>
            <w:vAlign w:val="center"/>
          </w:tcPr>
          <w:p w14:paraId="78ADCBF8" w14:textId="77777777" w:rsidR="009123AC" w:rsidRPr="00F0379B" w:rsidRDefault="009123AC" w:rsidP="009123AC">
            <w:pPr>
              <w:spacing w:after="0" w:line="240" w:lineRule="auto"/>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ROMA (RM)</w:t>
            </w:r>
          </w:p>
        </w:tc>
        <w:tc>
          <w:tcPr>
            <w:tcW w:w="2466" w:type="dxa"/>
            <w:tcBorders>
              <w:left w:val="single" w:sz="4" w:space="0" w:color="auto"/>
              <w:bottom w:val="single" w:sz="4" w:space="0" w:color="auto"/>
              <w:right w:val="single" w:sz="4" w:space="0" w:color="auto"/>
            </w:tcBorders>
            <w:vAlign w:val="center"/>
          </w:tcPr>
          <w:p w14:paraId="3E76E613" w14:textId="77777777" w:rsidR="009123AC" w:rsidRPr="00F0379B" w:rsidRDefault="009123AC" w:rsidP="009123AC">
            <w:pPr>
              <w:spacing w:after="0" w:line="240" w:lineRule="auto"/>
              <w:jc w:val="center"/>
              <w:rPr>
                <w:rFonts w:ascii="Cambria" w:eastAsia="MS Gothic" w:hAnsi="Cambria" w:cs="Times New Roman"/>
                <w:color w:val="000000"/>
                <w:sz w:val="20"/>
                <w:szCs w:val="20"/>
                <w:lang w:val="en-IE" w:eastAsia="fr-FR" w:bidi="fr-FR"/>
                <w14:ligatures w14:val="standardContextual"/>
              </w:rPr>
            </w:pPr>
            <w:r w:rsidRPr="00F0379B">
              <w:rPr>
                <w:rFonts w:ascii="Cambria" w:eastAsia="MS Gothic" w:hAnsi="Cambria" w:cs="Times New Roman"/>
                <w:color w:val="000000"/>
                <w:sz w:val="20"/>
                <w:szCs w:val="20"/>
                <w:lang w:val="en-IE" w:eastAsia="fr-FR" w:bidi="fr-FR"/>
                <w14:ligatures w14:val="standardContextual"/>
              </w:rPr>
              <w:t>1.000,9</w:t>
            </w:r>
          </w:p>
        </w:tc>
      </w:tr>
    </w:tbl>
    <w:p w14:paraId="314F0C40" w14:textId="77777777" w:rsidR="009123AC" w:rsidRPr="00F0379B" w:rsidRDefault="009123AC" w:rsidP="009123AC">
      <w:pPr>
        <w:spacing w:after="0" w:line="240" w:lineRule="auto"/>
        <w:rPr>
          <w:rFonts w:ascii="Cambria" w:eastAsia="MS Gothic" w:hAnsi="Cambria" w:cs="Times New Roman"/>
          <w:color w:val="000000"/>
          <w:sz w:val="20"/>
          <w:szCs w:val="20"/>
          <w:lang w:eastAsia="fr-FR" w:bidi="fr-FR"/>
          <w14:ligatures w14:val="standardContextual"/>
        </w:rPr>
      </w:pPr>
    </w:p>
    <w:p w14:paraId="4095B184" w14:textId="77777777" w:rsidR="009123AC" w:rsidRPr="00F0379B" w:rsidRDefault="009123AC" w:rsidP="009123AC">
      <w:pPr>
        <w:spacing w:after="0" w:line="240" w:lineRule="auto"/>
        <w:rPr>
          <w:rFonts w:ascii="Cambria" w:eastAsia="MS Gothic" w:hAnsi="Cambria" w:cs="Times New Roman"/>
          <w:b/>
          <w:sz w:val="20"/>
          <w:szCs w:val="20"/>
          <w:lang w:eastAsia="fr-FR" w:bidi="fr-FR"/>
          <w14:ligatures w14:val="standardContextual"/>
        </w:rPr>
      </w:pPr>
    </w:p>
    <w:p w14:paraId="49C7EC9E" w14:textId="77777777" w:rsidR="009123AC" w:rsidRPr="00F0379B" w:rsidRDefault="009123AC" w:rsidP="00CE0EC8">
      <w:pPr>
        <w:widowControl w:val="0"/>
        <w:numPr>
          <w:ilvl w:val="0"/>
          <w:numId w:val="68"/>
        </w:numPr>
        <w:tabs>
          <w:tab w:val="left" w:pos="426"/>
        </w:tabs>
        <w:spacing w:after="0" w:line="240" w:lineRule="auto"/>
        <w:ind w:left="426" w:hanging="426"/>
        <w:contextualSpacing/>
        <w:jc w:val="both"/>
        <w:rPr>
          <w:rFonts w:ascii="Cambria" w:eastAsia="MS Gothic" w:hAnsi="Cambria" w:cs="Times New Roman"/>
          <w:b/>
          <w:bCs/>
          <w:sz w:val="20"/>
          <w:szCs w:val="20"/>
          <w:lang w:eastAsia="fr-FR" w:bidi="fr-FR"/>
          <w14:ligatures w14:val="standardContextual"/>
        </w:rPr>
      </w:pPr>
      <w:r w:rsidRPr="00F0379B">
        <w:rPr>
          <w:rFonts w:ascii="Cambria" w:eastAsia="MS Gothic" w:hAnsi="Cambria" w:cs="Times New Roman"/>
          <w:b/>
          <w:bCs/>
          <w:sz w:val="20"/>
          <w:szCs w:val="20"/>
          <w:lang w:eastAsia="fr-FR" w:bidi="fr-FR"/>
          <w14:ligatures w14:val="standardContextual"/>
        </w:rPr>
        <w:t xml:space="preserve">Plan de acuicultura anual (párr. 10 e de la </w:t>
      </w:r>
      <w:hyperlink r:id="rId116" w:history="1">
        <w:r w:rsidRPr="00F0379B">
          <w:rPr>
            <w:rFonts w:ascii="Cambria" w:eastAsia="MS Gothic" w:hAnsi="Cambria" w:cs="Times New Roman"/>
            <w:b/>
            <w:bCs/>
            <w:color w:val="0563C1"/>
            <w:sz w:val="20"/>
            <w:szCs w:val="20"/>
            <w:lang w:eastAsia="fr-FR" w:bidi="fr-FR"/>
            <w14:ligatures w14:val="standardContextual"/>
          </w:rPr>
          <w:t xml:space="preserve">Rec. 25-04 </w:t>
        </w:r>
      </w:hyperlink>
      <w:r w:rsidRPr="00F0379B">
        <w:rPr>
          <w:rFonts w:ascii="Cambria" w:eastAsia="MS Gothic" w:hAnsi="Cambria" w:cs="Times New Roman"/>
          <w:b/>
          <w:bCs/>
          <w:sz w:val="20"/>
          <w:szCs w:val="20"/>
          <w:lang w:eastAsia="fr-FR" w:bidi="fr-FR"/>
          <w14:ligatures w14:val="standardContextual"/>
        </w:rPr>
        <w:t xml:space="preserve">de conformidad con la </w:t>
      </w:r>
      <w:hyperlink r:id="rId117" w:history="1">
        <w:r w:rsidRPr="00F0379B">
          <w:rPr>
            <w:rFonts w:ascii="Cambria" w:eastAsia="MS Gothic" w:hAnsi="Cambria" w:cs="Times New Roman"/>
            <w:b/>
            <w:bCs/>
            <w:color w:val="0563C1"/>
            <w:sz w:val="20"/>
            <w:szCs w:val="20"/>
            <w:lang w:eastAsia="fr-FR" w:bidi="fr-FR"/>
            <w14:ligatures w14:val="standardContextual"/>
          </w:rPr>
          <w:t>Rec, 24-07</w:t>
        </w:r>
      </w:hyperlink>
      <w:r w:rsidRPr="00F0379B">
        <w:rPr>
          <w:rFonts w:ascii="Cambria" w:eastAsia="MS Gothic" w:hAnsi="Cambria" w:cs="Times New Roman"/>
          <w:b/>
          <w:bCs/>
          <w:sz w:val="20"/>
          <w:szCs w:val="20"/>
          <w:lang w:eastAsia="fr-FR" w:bidi="fr-FR"/>
          <w14:ligatures w14:val="standardContextual"/>
        </w:rPr>
        <w:t>), si es aplicable</w:t>
      </w:r>
    </w:p>
    <w:p w14:paraId="15CD572C" w14:textId="77777777" w:rsidR="009123AC" w:rsidRPr="00F0379B" w:rsidRDefault="009123AC" w:rsidP="009123AC">
      <w:pPr>
        <w:spacing w:after="0" w:line="240" w:lineRule="auto"/>
        <w:ind w:left="360" w:hanging="360"/>
        <w:contextualSpacing/>
        <w:jc w:val="both"/>
        <w:rPr>
          <w:rFonts w:ascii="Cambria" w:eastAsia="MS Gothic" w:hAnsi="Cambria" w:cs="Times New Roman"/>
          <w:b/>
          <w:sz w:val="20"/>
          <w:szCs w:val="20"/>
          <w:lang w:eastAsia="fr-FR" w:bidi="fr-FR"/>
          <w14:ligatures w14:val="standardContextual"/>
        </w:rPr>
      </w:pPr>
    </w:p>
    <w:p w14:paraId="0195EA6F" w14:textId="77777777" w:rsidR="009123AC" w:rsidRPr="00F0379B" w:rsidRDefault="009123AC" w:rsidP="009123AC">
      <w:pPr>
        <w:spacing w:after="0" w:line="240" w:lineRule="auto"/>
        <w:ind w:left="360" w:hanging="360"/>
        <w:contextualSpacing/>
        <w:jc w:val="both"/>
        <w:rPr>
          <w:rFonts w:ascii="Cambria" w:eastAsia="MS Gothic" w:hAnsi="Cambria" w:cs="Times New Roman"/>
          <w:bCs/>
          <w:sz w:val="20"/>
          <w:szCs w:val="20"/>
          <w:lang w:eastAsia="fr-FR" w:bidi="fr-FR"/>
          <w14:ligatures w14:val="standardContextual"/>
        </w:rPr>
      </w:pPr>
      <w:r w:rsidRPr="00F0379B">
        <w:rPr>
          <w:rFonts w:ascii="Cambria" w:eastAsia="MS Gothic" w:hAnsi="Cambria" w:cs="Times New Roman"/>
          <w:bCs/>
          <w:sz w:val="20"/>
          <w:szCs w:val="20"/>
          <w:lang w:eastAsia="fr-FR" w:bidi="fr-FR"/>
          <w14:ligatures w14:val="standardContextual"/>
        </w:rPr>
        <w:t>No aplicable.</w:t>
      </w:r>
    </w:p>
    <w:p w14:paraId="6F4F67AF" w14:textId="77777777" w:rsidR="009123AC" w:rsidRPr="00F0379B" w:rsidRDefault="009123AC" w:rsidP="009123AC">
      <w:pPr>
        <w:spacing w:after="0" w:line="240" w:lineRule="auto"/>
        <w:ind w:left="360" w:hanging="360"/>
        <w:contextualSpacing/>
        <w:jc w:val="both"/>
        <w:rPr>
          <w:rFonts w:ascii="Cambria" w:eastAsia="MS Gothic" w:hAnsi="Cambria" w:cs="Times New Roman"/>
          <w:b/>
          <w:sz w:val="20"/>
          <w:szCs w:val="20"/>
          <w:lang w:eastAsia="fr-FR" w:bidi="fr-FR"/>
          <w14:ligatures w14:val="standardContextual"/>
        </w:rPr>
      </w:pPr>
    </w:p>
    <w:p w14:paraId="544989BA" w14:textId="77777777" w:rsidR="009123AC" w:rsidRPr="00F0379B" w:rsidRDefault="009123AC" w:rsidP="009123AC">
      <w:pPr>
        <w:spacing w:after="0" w:line="240" w:lineRule="auto"/>
        <w:ind w:left="360" w:hanging="360"/>
        <w:contextualSpacing/>
        <w:jc w:val="both"/>
        <w:rPr>
          <w:rFonts w:ascii="Cambria" w:eastAsia="MS Gothic" w:hAnsi="Cambria" w:cs="Times New Roman"/>
          <w:b/>
          <w:sz w:val="20"/>
          <w:szCs w:val="20"/>
          <w:lang w:eastAsia="fr-FR" w:bidi="fr-FR"/>
          <w14:ligatures w14:val="standardContextual"/>
        </w:rPr>
      </w:pPr>
    </w:p>
    <w:p w14:paraId="24359231" w14:textId="77777777" w:rsidR="009123AC" w:rsidRPr="00F0379B" w:rsidRDefault="009123AC" w:rsidP="00CE0EC8">
      <w:pPr>
        <w:widowControl w:val="0"/>
        <w:numPr>
          <w:ilvl w:val="0"/>
          <w:numId w:val="68"/>
        </w:numPr>
        <w:spacing w:after="0" w:line="240" w:lineRule="auto"/>
        <w:ind w:left="426" w:hanging="426"/>
        <w:contextualSpacing/>
        <w:jc w:val="both"/>
        <w:rPr>
          <w:rFonts w:ascii="Cambria" w:eastAsia="MS Gothic" w:hAnsi="Cambria" w:cs="Times New Roman"/>
          <w:b/>
          <w:sz w:val="20"/>
          <w:szCs w:val="20"/>
          <w:lang w:eastAsia="fr-FR" w:bidi="fr-FR"/>
          <w14:ligatures w14:val="standardContextual"/>
        </w:rPr>
      </w:pPr>
      <w:r w:rsidRPr="00F0379B">
        <w:rPr>
          <w:rFonts w:ascii="Cambria" w:eastAsia="MS Gothic" w:hAnsi="Cambria" w:cs="Times New Roman"/>
          <w:b/>
          <w:sz w:val="20"/>
          <w:szCs w:val="20"/>
          <w:lang w:eastAsia="fr-FR" w:bidi="fr-FR"/>
          <w14:ligatures w14:val="standardContextual"/>
        </w:rPr>
        <w:t>Plan de inspección, control y seguimiento</w:t>
      </w:r>
    </w:p>
    <w:p w14:paraId="363631AD" w14:textId="77777777" w:rsidR="009123AC" w:rsidRPr="00F0379B" w:rsidRDefault="009123AC" w:rsidP="009123AC">
      <w:pPr>
        <w:spacing w:after="0" w:line="240" w:lineRule="auto"/>
        <w:jc w:val="both"/>
        <w:rPr>
          <w:rFonts w:ascii="Cambria" w:eastAsia="MS Gothic" w:hAnsi="Cambria" w:cs="Times New Roman"/>
          <w:b/>
          <w:sz w:val="20"/>
          <w:szCs w:val="20"/>
          <w:lang w:eastAsia="fr-FR" w:bidi="fr-FR"/>
          <w14:ligatures w14:val="standardContextual"/>
        </w:rPr>
      </w:pPr>
    </w:p>
    <w:p w14:paraId="581C8573" w14:textId="77777777" w:rsidR="009123AC" w:rsidRPr="00F0379B" w:rsidRDefault="009123AC" w:rsidP="009123AC">
      <w:pPr>
        <w:spacing w:after="0" w:line="240" w:lineRule="auto"/>
        <w:jc w:val="both"/>
        <w:rPr>
          <w:rFonts w:ascii="Cambria" w:eastAsia="MS Gothic" w:hAnsi="Cambria" w:cs="Times New Roman"/>
          <w:b/>
          <w:i/>
          <w:iCs/>
          <w:sz w:val="20"/>
          <w:szCs w:val="20"/>
          <w:lang w:eastAsia="fr-FR" w:bidi="fr-FR"/>
          <w14:ligatures w14:val="standardContextual"/>
        </w:rPr>
      </w:pPr>
      <w:r w:rsidRPr="00F0379B">
        <w:rPr>
          <w:rFonts w:ascii="Cambria" w:eastAsia="MS Gothic" w:hAnsi="Cambria" w:cs="Times New Roman"/>
          <w:b/>
          <w:i/>
          <w:iCs/>
          <w:sz w:val="20"/>
          <w:szCs w:val="20"/>
          <w:lang w:eastAsia="fr-FR" w:bidi="fr-FR"/>
          <w14:ligatures w14:val="standardContextual"/>
        </w:rPr>
        <w:t>5 a) Inspección, control y seguimiento de la CPC (párr. 10c)</w:t>
      </w:r>
    </w:p>
    <w:p w14:paraId="5938712E" w14:textId="77777777" w:rsidR="009123AC" w:rsidRPr="00F0379B" w:rsidRDefault="009123AC" w:rsidP="009123AC">
      <w:pPr>
        <w:spacing w:after="0" w:line="240" w:lineRule="auto"/>
        <w:jc w:val="both"/>
        <w:rPr>
          <w:rFonts w:ascii="Cambria" w:eastAsia="MS Gothic" w:hAnsi="Cambria" w:cs="Times New Roman"/>
          <w:b/>
          <w:sz w:val="20"/>
          <w:szCs w:val="20"/>
          <w:lang w:eastAsia="fr-FR" w:bidi="fr-FR"/>
          <w14:ligatures w14:val="standardContextual"/>
        </w:rPr>
      </w:pPr>
    </w:p>
    <w:p w14:paraId="655ADAD5"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En el marco de la política pesquera comunitaria (PPC), la responsabilidad principal para el control y la ejecución recae en las autoridades de los Estados miembros de la UE.</w:t>
      </w:r>
    </w:p>
    <w:p w14:paraId="698A1783" w14:textId="77777777" w:rsidR="009123AC" w:rsidRPr="00F0379B" w:rsidRDefault="009123AC" w:rsidP="009123AC">
      <w:pPr>
        <w:spacing w:after="0" w:line="240" w:lineRule="auto"/>
        <w:jc w:val="both"/>
        <w:rPr>
          <w:rFonts w:ascii="Cambria" w:eastAsiaTheme="minorEastAsia" w:hAnsi="Cambria" w:cs="Times New Roman"/>
          <w:sz w:val="20"/>
          <w:szCs w:val="20"/>
          <w:lang w:eastAsia="fr-FR" w:bidi="fr-FR"/>
          <w14:ligatures w14:val="standardContextual"/>
        </w:rPr>
      </w:pPr>
    </w:p>
    <w:p w14:paraId="71B4D946"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 xml:space="preserve">La Comisión Europea y la Agencia Europea de Control de la Pesca trabajan en coordinación con los Estados miembros de la UE para garantizar que las disposiciones establecidas por ICCAT se reflejan en la legislación de la UE y de los Estados miembros de la UE y se aplican íntegramente. </w:t>
      </w:r>
      <w:r w:rsidRPr="00F0379B">
        <w:rPr>
          <w:rFonts w:ascii="Cambria" w:eastAsia="MS Gothic" w:hAnsi="Cambria" w:cs="Times New Roman"/>
          <w:color w:val="000000"/>
          <w:sz w:val="20"/>
          <w:szCs w:val="20"/>
          <w:lang w:eastAsia="fr-FR" w:bidi="fr-FR"/>
          <w14:ligatures w14:val="standardContextual"/>
        </w:rPr>
        <w:t>Las herramientas aplicadas se explican a continuación.</w:t>
      </w:r>
      <w:r w:rsidRPr="00F0379B">
        <w:rPr>
          <w:rFonts w:ascii="Cambria" w:eastAsia="MS Gothic" w:hAnsi="Cambria" w:cs="Times New Roman"/>
          <w:sz w:val="20"/>
          <w:szCs w:val="20"/>
          <w:lang w:eastAsia="fr-FR" w:bidi="fr-FR"/>
          <w14:ligatures w14:val="standardContextual"/>
        </w:rPr>
        <w:t xml:space="preserve"> </w:t>
      </w:r>
    </w:p>
    <w:p w14:paraId="420046B8" w14:textId="77777777" w:rsidR="009123AC" w:rsidRPr="00F0379B" w:rsidRDefault="009123AC" w:rsidP="009123AC">
      <w:pPr>
        <w:spacing w:after="0" w:line="240" w:lineRule="auto"/>
        <w:jc w:val="both"/>
        <w:rPr>
          <w:rFonts w:ascii="Cambria" w:eastAsia="MS Gothic" w:hAnsi="Cambria" w:cs="Times New Roman"/>
          <w:i/>
          <w:color w:val="000000"/>
          <w:sz w:val="20"/>
          <w:szCs w:val="20"/>
          <w:lang w:eastAsia="fr-FR" w:bidi="fr-FR"/>
          <w14:ligatures w14:val="standardContextual"/>
        </w:rPr>
      </w:pPr>
    </w:p>
    <w:p w14:paraId="1FA5D717" w14:textId="77777777" w:rsidR="009123AC" w:rsidRPr="00F0379B" w:rsidRDefault="009123AC" w:rsidP="009123AC">
      <w:pPr>
        <w:keepNext/>
        <w:tabs>
          <w:tab w:val="num" w:pos="1920"/>
          <w:tab w:val="num" w:pos="2542"/>
        </w:tabs>
        <w:spacing w:after="0" w:line="240" w:lineRule="auto"/>
        <w:ind w:left="567" w:hanging="567"/>
        <w:contextualSpacing/>
        <w:jc w:val="both"/>
        <w:outlineLvl w:val="2"/>
        <w:rPr>
          <w:rFonts w:ascii="Cambria" w:eastAsia="MS Gothic" w:hAnsi="Cambria" w:cs="Times New Roman"/>
          <w:i/>
          <w:color w:val="000000"/>
          <w:sz w:val="20"/>
          <w:szCs w:val="20"/>
          <w:lang w:eastAsia="fr-FR" w:bidi="fr-FR"/>
          <w14:ligatures w14:val="standardContextual"/>
        </w:rPr>
      </w:pPr>
      <w:r w:rsidRPr="00F0379B">
        <w:rPr>
          <w:rFonts w:ascii="Cambria" w:eastAsia="MS Gothic" w:hAnsi="Cambria" w:cs="Times New Roman"/>
          <w:i/>
          <w:color w:val="000000"/>
          <w:sz w:val="20"/>
          <w:szCs w:val="20"/>
          <w:lang w:eastAsia="fr-FR" w:bidi="fr-FR"/>
          <w14:ligatures w14:val="standardContextual"/>
        </w:rPr>
        <w:t>5.a.1 Evaluación de la implementación de la normativa pesquera vigente por parte de los Estados miembros</w:t>
      </w:r>
    </w:p>
    <w:p w14:paraId="38394374" w14:textId="77777777" w:rsidR="009123AC" w:rsidRPr="00F0379B" w:rsidRDefault="009123AC" w:rsidP="009123AC">
      <w:pPr>
        <w:keepNext/>
        <w:tabs>
          <w:tab w:val="num" w:pos="1920"/>
          <w:tab w:val="num" w:pos="2542"/>
        </w:tabs>
        <w:spacing w:after="0" w:line="240" w:lineRule="auto"/>
        <w:ind w:left="567" w:hanging="567"/>
        <w:contextualSpacing/>
        <w:jc w:val="both"/>
        <w:outlineLvl w:val="2"/>
        <w:rPr>
          <w:rFonts w:ascii="Cambria" w:eastAsia="MS Gothic" w:hAnsi="Cambria" w:cs="Times New Roman"/>
          <w:i/>
          <w:color w:val="000000"/>
          <w:sz w:val="20"/>
          <w:szCs w:val="20"/>
          <w:lang w:eastAsia="fr-FR" w:bidi="fr-FR"/>
          <w14:ligatures w14:val="standardContextual"/>
        </w:rPr>
      </w:pPr>
    </w:p>
    <w:p w14:paraId="07DD9887"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En el marco de la política pesquera comunitaria de la UE, una de las tareas de la Comisión Europea es garantizar que los Estados miembros </w:t>
      </w:r>
      <w:r w:rsidRPr="00F0379B">
        <w:rPr>
          <w:rFonts w:ascii="Cambria" w:eastAsia="MS Gothic" w:hAnsi="Cambria" w:cs="Times New Roman"/>
          <w:sz w:val="20"/>
          <w:szCs w:val="20"/>
          <w:lang w:eastAsia="fr-FR" w:bidi="fr-FR"/>
          <w14:ligatures w14:val="standardContextual"/>
        </w:rPr>
        <w:t xml:space="preserve">de la UE </w:t>
      </w:r>
      <w:r w:rsidRPr="00F0379B">
        <w:rPr>
          <w:rFonts w:ascii="Cambria" w:eastAsiaTheme="minorEastAsia" w:hAnsi="Cambria"/>
          <w:kern w:val="2"/>
          <w:sz w:val="20"/>
          <w:szCs w:val="20"/>
          <w:lang w:eastAsia="ja-JP"/>
          <w14:ligatures w14:val="standardContextual"/>
        </w:rPr>
        <w:t>cumplan las obligaciones legales establecidas en el marco de la UE, incluidas las derivadas de las normas de ICCAT.</w:t>
      </w:r>
    </w:p>
    <w:p w14:paraId="5B312F49"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08EFDEDC"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Comisión Europea lleva a cabo este seguimiento principalmente mediante tres herramientas: verificaciones, inspecciones autónomas y auditorías. Una unidad específica de la Dirección General de Pesca </w:t>
      </w:r>
      <w:proofErr w:type="spellStart"/>
      <w:r w:rsidRPr="00F0379B">
        <w:rPr>
          <w:rFonts w:ascii="Cambria" w:eastAsiaTheme="minorEastAsia" w:hAnsi="Cambria"/>
          <w:kern w:val="2"/>
          <w:sz w:val="20"/>
          <w:szCs w:val="20"/>
          <w:lang w:eastAsia="ja-JP"/>
          <w14:ligatures w14:val="standardContextual"/>
        </w:rPr>
        <w:t>y</w:t>
      </w:r>
      <w:proofErr w:type="spellEnd"/>
      <w:r w:rsidRPr="00F0379B">
        <w:rPr>
          <w:rFonts w:ascii="Cambria" w:eastAsiaTheme="minorEastAsia" w:hAnsi="Cambria"/>
          <w:kern w:val="2"/>
          <w:sz w:val="20"/>
          <w:szCs w:val="20"/>
          <w:lang w:eastAsia="ja-JP"/>
          <w14:ligatures w14:val="standardContextual"/>
        </w:rPr>
        <w:t xml:space="preserve"> Asuntos Marítimos (DG MARE) realiza estos controles periódicamente. </w:t>
      </w:r>
      <w:bookmarkStart w:id="12" w:name="_Int_nUo29bDX"/>
      <w:r w:rsidRPr="00F0379B">
        <w:rPr>
          <w:rFonts w:ascii="Cambria" w:eastAsiaTheme="minorEastAsia" w:hAnsi="Cambria"/>
          <w:kern w:val="2"/>
          <w:sz w:val="20"/>
          <w:szCs w:val="20"/>
          <w:lang w:eastAsia="ja-JP"/>
          <w14:ligatures w14:val="standardContextual"/>
        </w:rPr>
        <w:t xml:space="preserve">Esta </w:t>
      </w:r>
      <w:bookmarkEnd w:id="12"/>
      <w:r w:rsidRPr="00F0379B">
        <w:rPr>
          <w:rFonts w:ascii="Cambria" w:eastAsiaTheme="minorEastAsia" w:hAnsi="Cambria"/>
          <w:kern w:val="2"/>
          <w:sz w:val="20"/>
          <w:szCs w:val="20"/>
          <w:lang w:eastAsia="ja-JP"/>
          <w14:ligatures w14:val="standardContextual"/>
        </w:rPr>
        <w:t xml:space="preserve">supervisión por parte de la Comisión Europea de la actividad de control ejercida por los Estados miembros, prevista en el Título X, Reglamento de Control de la UE, "Evaluación y control por la Comisión", es una capa adicional que contribuye a garantizar un control eficaz. A este respecto, si la Comisión Europea considera que se han producido irregularidades en la implementación de las normas, hace un seguimiento de las deficiencias </w:t>
      </w:r>
      <w:r w:rsidRPr="00F0379B">
        <w:rPr>
          <w:rFonts w:ascii="Cambria" w:eastAsiaTheme="minorEastAsia" w:hAnsi="Cambria"/>
          <w:kern w:val="2"/>
          <w:sz w:val="20"/>
          <w:szCs w:val="20"/>
          <w:lang w:eastAsia="ja-JP"/>
          <w14:ligatures w14:val="standardContextual"/>
        </w:rPr>
        <w:lastRenderedPageBreak/>
        <w:t xml:space="preserve">detectadas utilizando diferentes herramientas, como investigaciones administrativas, proyectos piloto de la UE o planes de acción. Si las autoridades del Estado miembro </w:t>
      </w:r>
      <w:r w:rsidRPr="00F0379B">
        <w:rPr>
          <w:rFonts w:ascii="Cambria" w:eastAsia="MS Gothic" w:hAnsi="Cambria" w:cs="Times New Roman"/>
          <w:sz w:val="20"/>
          <w:szCs w:val="20"/>
          <w:lang w:eastAsia="fr-FR" w:bidi="fr-FR"/>
          <w14:ligatures w14:val="standardContextual"/>
        </w:rPr>
        <w:t xml:space="preserve">de la UE </w:t>
      </w:r>
      <w:r w:rsidRPr="00F0379B">
        <w:rPr>
          <w:rFonts w:ascii="Cambria" w:eastAsiaTheme="minorEastAsia" w:hAnsi="Cambria"/>
          <w:kern w:val="2"/>
          <w:sz w:val="20"/>
          <w:szCs w:val="20"/>
          <w:lang w:eastAsia="ja-JP"/>
          <w14:ligatures w14:val="standardContextual"/>
        </w:rPr>
        <w:t xml:space="preserve">no corrigen las deficiencias, la Comisión Europea puede incoar un procedimiento de infracción contra el Estado miembro </w:t>
      </w:r>
      <w:r w:rsidRPr="00F0379B">
        <w:rPr>
          <w:rFonts w:ascii="Cambria" w:eastAsia="MS Gothic" w:hAnsi="Cambria" w:cs="Times New Roman"/>
          <w:sz w:val="20"/>
          <w:szCs w:val="20"/>
          <w:lang w:eastAsia="fr-FR" w:bidi="fr-FR"/>
          <w14:ligatures w14:val="standardContextual"/>
        </w:rPr>
        <w:t>de la UE.</w:t>
      </w:r>
      <w:r w:rsidRPr="00F0379B">
        <w:rPr>
          <w:rFonts w:ascii="Cambria" w:eastAsiaTheme="minorEastAsia" w:hAnsi="Cambria"/>
          <w:kern w:val="2"/>
          <w:sz w:val="20"/>
          <w:szCs w:val="20"/>
          <w:lang w:eastAsia="ja-JP"/>
          <w14:ligatures w14:val="standardContextual"/>
        </w:rPr>
        <w:t xml:space="preserve"> </w:t>
      </w:r>
    </w:p>
    <w:p w14:paraId="75456181"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01BA8BED" w14:textId="77777777" w:rsidR="009123AC" w:rsidRPr="00F0379B" w:rsidRDefault="009123AC" w:rsidP="009123AC">
      <w:pPr>
        <w:spacing w:after="0" w:line="240" w:lineRule="auto"/>
        <w:jc w:val="both"/>
        <w:rPr>
          <w:rFonts w:ascii="Cambria" w:eastAsiaTheme="minorEastAsia"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 xml:space="preserve">Aunque el plan de inspección está todavía sujeto a cambios en respuesta a las particularidades de la temporada de pesca de </w:t>
      </w:r>
      <w:r w:rsidRPr="00F0379B">
        <w:rPr>
          <w:rFonts w:ascii="Cambria" w:eastAsia="MS Gothic" w:hAnsi="Cambria" w:cs="Times New Roman"/>
          <w:bCs/>
          <w:sz w:val="20"/>
          <w:szCs w:val="20"/>
          <w:lang w:eastAsia="fr-FR" w:bidi="fr-FR"/>
          <w14:ligatures w14:val="standardContextual"/>
        </w:rPr>
        <w:t>2026</w:t>
      </w:r>
      <w:r w:rsidRPr="00F0379B">
        <w:rPr>
          <w:rFonts w:ascii="Cambria" w:eastAsia="MS Gothic" w:hAnsi="Cambria" w:cs="Times New Roman"/>
          <w:sz w:val="20"/>
          <w:szCs w:val="20"/>
          <w:lang w:eastAsia="fr-FR" w:bidi="fr-FR"/>
          <w14:ligatures w14:val="standardContextual"/>
        </w:rPr>
        <w:t xml:space="preserve">, los inspectores de la Comisión Europea estarán muy activos en </w:t>
      </w:r>
      <w:r w:rsidRPr="00F0379B">
        <w:rPr>
          <w:rFonts w:ascii="Cambria" w:eastAsia="MS Gothic" w:hAnsi="Cambria" w:cs="Times New Roman"/>
          <w:bCs/>
          <w:sz w:val="20"/>
          <w:szCs w:val="20"/>
          <w:lang w:eastAsia="fr-FR" w:bidi="fr-FR"/>
          <w14:ligatures w14:val="standardContextual"/>
        </w:rPr>
        <w:t>2026</w:t>
      </w:r>
      <w:r w:rsidRPr="00F0379B">
        <w:rPr>
          <w:rFonts w:ascii="Cambria" w:eastAsia="MS Gothic" w:hAnsi="Cambria" w:cs="Times New Roman"/>
          <w:sz w:val="20"/>
          <w:szCs w:val="20"/>
          <w:lang w:eastAsia="fr-FR" w:bidi="fr-FR"/>
          <w14:ligatures w14:val="standardContextual"/>
        </w:rPr>
        <w:t>.</w:t>
      </w:r>
    </w:p>
    <w:p w14:paraId="6C96B286" w14:textId="77777777" w:rsidR="009123AC" w:rsidRPr="00F0379B" w:rsidRDefault="009123AC" w:rsidP="009123AC">
      <w:pPr>
        <w:keepNext/>
        <w:tabs>
          <w:tab w:val="num" w:pos="1920"/>
          <w:tab w:val="num" w:pos="2542"/>
        </w:tabs>
        <w:spacing w:after="0" w:line="240" w:lineRule="auto"/>
        <w:ind w:left="567" w:hanging="567"/>
        <w:contextualSpacing/>
        <w:jc w:val="both"/>
        <w:outlineLvl w:val="2"/>
        <w:rPr>
          <w:rFonts w:ascii="Cambria" w:eastAsia="MS Gothic" w:hAnsi="Cambria" w:cs="Times New Roman"/>
          <w:i/>
          <w:color w:val="000000"/>
          <w:sz w:val="20"/>
          <w:szCs w:val="20"/>
          <w:lang w:eastAsia="fr-FR" w:bidi="fr-FR"/>
          <w14:ligatures w14:val="standardContextual"/>
        </w:rPr>
      </w:pPr>
    </w:p>
    <w:p w14:paraId="6C4BBE0F" w14:textId="77777777" w:rsidR="009123AC" w:rsidRPr="00F0379B" w:rsidRDefault="009123AC" w:rsidP="009123AC">
      <w:pPr>
        <w:keepNext/>
        <w:tabs>
          <w:tab w:val="num" w:pos="1920"/>
          <w:tab w:val="num" w:pos="2542"/>
        </w:tabs>
        <w:spacing w:after="0" w:line="240" w:lineRule="auto"/>
        <w:ind w:left="567" w:hanging="567"/>
        <w:contextualSpacing/>
        <w:jc w:val="both"/>
        <w:outlineLvl w:val="2"/>
        <w:rPr>
          <w:rFonts w:ascii="Cambria" w:eastAsia="MS Gothic" w:hAnsi="Cambria" w:cs="Times New Roman"/>
          <w:i/>
          <w:color w:val="000000"/>
          <w:sz w:val="20"/>
          <w:szCs w:val="20"/>
          <w:lang w:eastAsia="fr-FR" w:bidi="fr-FR"/>
          <w14:ligatures w14:val="standardContextual"/>
        </w:rPr>
      </w:pPr>
      <w:r w:rsidRPr="00F0379B">
        <w:rPr>
          <w:rFonts w:ascii="Cambria" w:eastAsia="MS Gothic" w:hAnsi="Cambria" w:cs="Times New Roman"/>
          <w:i/>
          <w:color w:val="000000"/>
          <w:sz w:val="20"/>
          <w:szCs w:val="20"/>
          <w:lang w:eastAsia="fr-FR" w:bidi="fr-FR"/>
          <w14:ligatures w14:val="standardContextual"/>
        </w:rPr>
        <w:t>5.a.2 Sistema de seguimiento de buques y equipo operativo</w:t>
      </w:r>
    </w:p>
    <w:p w14:paraId="30C72E46" w14:textId="77777777" w:rsidR="009123AC" w:rsidRPr="00F0379B" w:rsidRDefault="009123AC" w:rsidP="009123AC">
      <w:pPr>
        <w:keepNext/>
        <w:tabs>
          <w:tab w:val="num" w:pos="1920"/>
          <w:tab w:val="num" w:pos="2542"/>
        </w:tabs>
        <w:spacing w:after="0" w:line="240" w:lineRule="auto"/>
        <w:ind w:left="567" w:hanging="567"/>
        <w:contextualSpacing/>
        <w:jc w:val="both"/>
        <w:outlineLvl w:val="2"/>
        <w:rPr>
          <w:rFonts w:ascii="Cambria" w:eastAsia="MS Gothic" w:hAnsi="Cambria" w:cs="Times New Roman"/>
          <w:i/>
          <w:color w:val="000000"/>
          <w:sz w:val="20"/>
          <w:szCs w:val="20"/>
          <w:lang w:eastAsia="fr-FR" w:bidi="fr-FR"/>
          <w14:ligatures w14:val="standardContextual"/>
        </w:rPr>
      </w:pPr>
    </w:p>
    <w:p w14:paraId="644711C3"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Todos los buques serán objeto de seguimiento de forma continua mediante el VMS y cualquier interrupción en la transmisión de datos VMS será objeto de seguimiento inmediato en colaboración con el Estado miembro de la UE afectado.</w:t>
      </w:r>
    </w:p>
    <w:p w14:paraId="158159FB"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1E65BA7E"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Los Estados miembros de la UE controlan continuamente la actividad de sus flotas a través de sus FMC, operativos 24 horas al día, 7 días a la semana.</w:t>
      </w:r>
    </w:p>
    <w:p w14:paraId="3FB0321D"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657F612B" w14:textId="77777777" w:rsidR="009123AC" w:rsidRPr="00F0379B" w:rsidRDefault="009123AC" w:rsidP="009123AC">
      <w:pPr>
        <w:spacing w:after="0" w:line="240" w:lineRule="auto"/>
        <w:jc w:val="both"/>
        <w:rPr>
          <w:rFonts w:ascii="Cambria" w:eastAsiaTheme="minorEastAsia"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 xml:space="preserve">El equipo responsable dentro de la Comisión Europea de comunicar las capturas y del VMS realizará un seguimiento de los envíos de VMS en tiempo real, abordando posibles fallos en el sistema, y procederá a verificaciones cruzadas exhaustivas para evitar cualquier potencial rebasamiento de la cuota.  </w:t>
      </w:r>
    </w:p>
    <w:p w14:paraId="62BF9845" w14:textId="77777777" w:rsidR="009123AC" w:rsidRPr="00F0379B" w:rsidRDefault="009123AC" w:rsidP="009123AC">
      <w:pPr>
        <w:tabs>
          <w:tab w:val="left" w:pos="426"/>
        </w:tabs>
        <w:spacing w:after="0" w:line="240" w:lineRule="auto"/>
        <w:jc w:val="both"/>
        <w:rPr>
          <w:rFonts w:ascii="Cambria" w:eastAsia="MS Gothic" w:hAnsi="Cambria" w:cs="Times New Roman"/>
          <w:b/>
          <w:i/>
          <w:iCs/>
          <w:sz w:val="20"/>
          <w:szCs w:val="20"/>
          <w:lang w:eastAsia="fr-FR" w:bidi="fr-FR"/>
          <w14:ligatures w14:val="standardContextual"/>
        </w:rPr>
      </w:pPr>
      <w:bookmarkStart w:id="13" w:name="_Hlk33449638"/>
    </w:p>
    <w:p w14:paraId="6B416D40" w14:textId="77777777" w:rsidR="009123AC" w:rsidRPr="00F0379B" w:rsidRDefault="009123AC" w:rsidP="009123AC">
      <w:pPr>
        <w:tabs>
          <w:tab w:val="left" w:pos="426"/>
        </w:tabs>
        <w:spacing w:after="0" w:line="240" w:lineRule="auto"/>
        <w:jc w:val="both"/>
        <w:rPr>
          <w:rFonts w:ascii="Cambria" w:eastAsia="MS Gothic" w:hAnsi="Cambria" w:cs="Times New Roman"/>
          <w:b/>
          <w:i/>
          <w:iCs/>
          <w:sz w:val="20"/>
          <w:szCs w:val="20"/>
          <w:lang w:eastAsia="fr-FR" w:bidi="fr-FR"/>
          <w14:ligatures w14:val="standardContextual"/>
        </w:rPr>
      </w:pPr>
      <w:r w:rsidRPr="00F0379B">
        <w:rPr>
          <w:rFonts w:ascii="Cambria" w:eastAsia="MS Gothic" w:hAnsi="Cambria" w:cs="Times New Roman"/>
          <w:b/>
          <w:i/>
          <w:iCs/>
          <w:sz w:val="20"/>
          <w:szCs w:val="20"/>
          <w:lang w:eastAsia="fr-FR" w:bidi="fr-FR"/>
          <w14:ligatures w14:val="standardContextual"/>
        </w:rPr>
        <w:t>5 b)</w:t>
      </w:r>
      <w:r w:rsidRPr="00F0379B">
        <w:rPr>
          <w:rFonts w:ascii="Cambria" w:eastAsia="MS Gothic" w:hAnsi="Cambria" w:cs="Times New Roman"/>
          <w:b/>
          <w:i/>
          <w:iCs/>
          <w:sz w:val="20"/>
          <w:szCs w:val="20"/>
          <w:lang w:eastAsia="fr-FR" w:bidi="fr-FR"/>
          <w14:ligatures w14:val="standardContextual"/>
        </w:rPr>
        <w:tab/>
        <w:t>Programa conjunto de Inspección internacional (párrs. 232-235)</w:t>
      </w:r>
    </w:p>
    <w:p w14:paraId="48091674"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p>
    <w:p w14:paraId="1FAF30B1"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El programa conjunto de inspección internacional de ICCAT, tal y como se establece en los párrafos 232-235 y en el Anexo 7 de la Recomendación 25-04 será implementado en su totalidad por la UE y coordinado por la AECP. La AECP también coordinará cualquier intercambio voluntario de personal de inspección acordado con otras CPC de acuerdo con las disposiciones de la Resolución 19-17.</w:t>
      </w:r>
    </w:p>
    <w:bookmarkEnd w:id="13"/>
    <w:p w14:paraId="1EEBB3E5" w14:textId="77777777" w:rsidR="009123AC" w:rsidRPr="00F0379B" w:rsidRDefault="009123AC" w:rsidP="009123AC">
      <w:pPr>
        <w:spacing w:after="0" w:line="240" w:lineRule="auto"/>
        <w:ind w:left="284" w:hanging="284"/>
        <w:contextualSpacing/>
        <w:jc w:val="both"/>
        <w:rPr>
          <w:rFonts w:ascii="Cambria" w:eastAsia="MS Gothic" w:hAnsi="Cambria" w:cs="Times New Roman"/>
          <w:i/>
          <w:color w:val="000000"/>
          <w:sz w:val="20"/>
          <w:szCs w:val="20"/>
          <w:lang w:eastAsia="fr-FR" w:bidi="fr-FR"/>
          <w14:ligatures w14:val="standardContextual"/>
        </w:rPr>
      </w:pPr>
    </w:p>
    <w:p w14:paraId="53611781" w14:textId="77777777" w:rsidR="009123AC" w:rsidRPr="00F0379B" w:rsidRDefault="009123AC" w:rsidP="009123AC">
      <w:pPr>
        <w:spacing w:after="0" w:line="240" w:lineRule="auto"/>
        <w:ind w:left="284" w:hanging="284"/>
        <w:contextualSpacing/>
        <w:jc w:val="both"/>
        <w:rPr>
          <w:rFonts w:ascii="Cambria" w:eastAsia="MS Gothic" w:hAnsi="Cambria" w:cs="Times New Roman"/>
          <w:i/>
          <w:color w:val="000000"/>
          <w:sz w:val="20"/>
          <w:szCs w:val="20"/>
          <w:lang w:eastAsia="fr-FR" w:bidi="fr-FR"/>
          <w14:ligatures w14:val="standardContextual"/>
        </w:rPr>
      </w:pPr>
      <w:r w:rsidRPr="00F0379B">
        <w:rPr>
          <w:rFonts w:ascii="Cambria" w:eastAsia="MS Gothic" w:hAnsi="Cambria" w:cs="Times New Roman"/>
          <w:i/>
          <w:color w:val="000000"/>
          <w:sz w:val="20"/>
          <w:szCs w:val="20"/>
          <w:lang w:eastAsia="fr-FR" w:bidi="fr-FR"/>
          <w14:ligatures w14:val="standardContextual"/>
        </w:rPr>
        <w:t>5.b.1 Programa específico de control e inspección</w:t>
      </w:r>
    </w:p>
    <w:p w14:paraId="4ECF9C5C"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p>
    <w:p w14:paraId="0DAE4FDD"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Trabajando en el marco del programa conjunto ICCAT de inspección internacional y basándose en las experiencias de años recientes, la UE cuenta actualmente con un programa específico de control e inspección (SCIP)</w:t>
      </w:r>
      <w:r w:rsidRPr="00F0379B">
        <w:rPr>
          <w:rFonts w:ascii="Cambria" w:eastAsiaTheme="minorEastAsia" w:hAnsi="Cambria" w:cs="Times New Roman"/>
          <w:color w:val="000000"/>
          <w:sz w:val="20"/>
          <w:szCs w:val="20"/>
          <w:vertAlign w:val="superscript"/>
          <w14:ligatures w14:val="standardContextual"/>
        </w:rPr>
        <w:footnoteReference w:id="20"/>
      </w:r>
      <w:r w:rsidRPr="00F0379B">
        <w:rPr>
          <w:rFonts w:ascii="Cambria" w:eastAsia="MS Gothic" w:hAnsi="Cambria" w:cs="Times New Roman"/>
          <w:color w:val="000000"/>
          <w:sz w:val="20"/>
          <w:szCs w:val="20"/>
          <w:lang w:eastAsia="fr-FR" w:bidi="fr-FR"/>
          <w14:ligatures w14:val="standardContextual"/>
        </w:rPr>
        <w:t xml:space="preserve">, con el fin de realizar un seguimiento y ejecutar la implementación del plan de ordenación de atún rojo y también del plan de recuperación de pez espada. Este programa es una iniciativa conjunta que agrupa los recursos de la Comisión Europea, de la Agencia Europea de Control de la Pesca (AECP) y de los Estados miembros </w:t>
      </w:r>
      <w:r w:rsidRPr="00F0379B">
        <w:rPr>
          <w:rFonts w:ascii="Cambria" w:eastAsia="MS Gothic" w:hAnsi="Cambria" w:cs="Times New Roman"/>
          <w:sz w:val="20"/>
          <w:szCs w:val="20"/>
          <w:lang w:eastAsia="fr-FR" w:bidi="fr-FR"/>
          <w14:ligatures w14:val="standardContextual"/>
        </w:rPr>
        <w:t>de la UE</w:t>
      </w:r>
      <w:r w:rsidRPr="00F0379B">
        <w:rPr>
          <w:rFonts w:ascii="Cambria" w:eastAsia="MS Gothic" w:hAnsi="Cambria" w:cs="Times New Roman"/>
          <w:color w:val="000000"/>
          <w:sz w:val="20"/>
          <w:szCs w:val="20"/>
          <w:lang w:eastAsia="fr-FR" w:bidi="fr-FR"/>
          <w14:ligatures w14:val="standardContextual"/>
        </w:rPr>
        <w:t xml:space="preserve"> que participan en la pesquería.</w:t>
      </w:r>
    </w:p>
    <w:p w14:paraId="733A8DF9"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p>
    <w:p w14:paraId="28658E9B" w14:textId="77777777" w:rsidR="009123AC" w:rsidRPr="00F0379B" w:rsidRDefault="009123AC" w:rsidP="009123AC">
      <w:pPr>
        <w:tabs>
          <w:tab w:val="left" w:pos="567"/>
        </w:tabs>
        <w:spacing w:after="0" w:line="240" w:lineRule="auto"/>
        <w:ind w:left="284" w:hanging="284"/>
        <w:contextualSpacing/>
        <w:jc w:val="both"/>
        <w:rPr>
          <w:rFonts w:ascii="Cambria" w:eastAsia="MS Gothic" w:hAnsi="Cambria" w:cs="Times New Roman"/>
          <w:i/>
          <w:color w:val="000000"/>
          <w:sz w:val="20"/>
          <w:szCs w:val="20"/>
          <w:lang w:eastAsia="fr-FR" w:bidi="fr-FR"/>
          <w14:ligatures w14:val="standardContextual"/>
        </w:rPr>
      </w:pPr>
      <w:r w:rsidRPr="00F0379B">
        <w:rPr>
          <w:rFonts w:ascii="Cambria" w:eastAsia="MS Gothic" w:hAnsi="Cambria" w:cs="Times New Roman"/>
          <w:i/>
          <w:color w:val="000000"/>
          <w:sz w:val="20"/>
          <w:szCs w:val="20"/>
          <w:lang w:eastAsia="fr-FR" w:bidi="fr-FR"/>
          <w14:ligatures w14:val="standardContextual"/>
        </w:rPr>
        <w:t xml:space="preserve">5.b.2 Plan de despliegue conjunto (JDP) para el Atlántico este y Mediterráneo </w:t>
      </w:r>
    </w:p>
    <w:p w14:paraId="5B1CA19B" w14:textId="77777777" w:rsidR="009123AC" w:rsidRPr="00F0379B" w:rsidRDefault="009123AC" w:rsidP="009123AC">
      <w:pPr>
        <w:spacing w:after="0" w:line="240" w:lineRule="auto"/>
        <w:ind w:left="284" w:hanging="284"/>
        <w:contextualSpacing/>
        <w:jc w:val="both"/>
        <w:rPr>
          <w:rFonts w:ascii="Cambria" w:eastAsia="MS Gothic" w:hAnsi="Cambria" w:cs="Times New Roman"/>
          <w:color w:val="000000"/>
          <w:sz w:val="20"/>
          <w:szCs w:val="20"/>
          <w:lang w:eastAsia="fr-FR" w:bidi="fr-FR"/>
          <w14:ligatures w14:val="standardContextual"/>
        </w:rPr>
      </w:pPr>
    </w:p>
    <w:p w14:paraId="74709438" w14:textId="48C23500"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En colaboración con la Comisión Europea y los Estados miembros </w:t>
      </w:r>
      <w:r w:rsidRPr="00F0379B">
        <w:rPr>
          <w:rFonts w:ascii="Cambria" w:eastAsia="MS Gothic" w:hAnsi="Cambria" w:cs="Times New Roman"/>
          <w:sz w:val="20"/>
          <w:szCs w:val="20"/>
          <w:lang w:eastAsia="fr-FR" w:bidi="fr-FR"/>
          <w14:ligatures w14:val="standardContextual"/>
        </w:rPr>
        <w:t>de la UE</w:t>
      </w:r>
      <w:r w:rsidRPr="00F0379B">
        <w:rPr>
          <w:rFonts w:ascii="Cambria" w:eastAsia="MS Gothic" w:hAnsi="Cambria" w:cs="Times New Roman"/>
          <w:color w:val="000000"/>
          <w:sz w:val="20"/>
          <w:szCs w:val="20"/>
          <w:lang w:eastAsia="fr-FR" w:bidi="fr-FR"/>
          <w14:ligatures w14:val="standardContextual"/>
        </w:rPr>
        <w:t>, la AECP adopta anualmente un plan de despliegue conjunto (JDP) que incluye una estrategia para el control del atún rojo en el Atlántico este y Mediterráneo, así como para el pez espada del Mediterráneo y al atún blanco del Mediterráneo. Este plan de despliegue conjunto (JDP) lleva a la práctica el programa de inspección y control específico y cubre todas las fases de la cadena de comercialización, así como los controles en el mar, en tierra, en las almadrabas y en las granjas.</w:t>
      </w:r>
    </w:p>
    <w:p w14:paraId="65AD04A0" w14:textId="77777777" w:rsidR="007344DF" w:rsidRPr="00F0379B" w:rsidRDefault="007344DF" w:rsidP="009123AC">
      <w:pPr>
        <w:spacing w:after="0" w:line="240" w:lineRule="auto"/>
        <w:jc w:val="both"/>
        <w:rPr>
          <w:rFonts w:ascii="Cambria" w:eastAsia="MS Gothic" w:hAnsi="Cambria" w:cs="Times New Roman"/>
          <w:color w:val="000000"/>
          <w:sz w:val="20"/>
          <w:szCs w:val="20"/>
          <w:lang w:eastAsia="fr-FR" w:bidi="fr-FR"/>
          <w14:ligatures w14:val="standardContextual"/>
        </w:rPr>
      </w:pPr>
    </w:p>
    <w:p w14:paraId="1DF30B2D" w14:textId="77777777" w:rsidR="009123AC" w:rsidRPr="00F0379B" w:rsidRDefault="009123AC" w:rsidP="009123AC">
      <w:pPr>
        <w:spacing w:after="0" w:line="240" w:lineRule="auto"/>
        <w:jc w:val="both"/>
        <w:rPr>
          <w:rFonts w:ascii="Cambria" w:eastAsiaTheme="minorEastAsia" w:hAnsi="Cambria"/>
          <w:color w:val="000000" w:themeColor="text1"/>
          <w:kern w:val="2"/>
          <w:sz w:val="20"/>
          <w:szCs w:val="20"/>
          <w:lang w:eastAsia="ja-JP"/>
          <w14:ligatures w14:val="standardContextual"/>
        </w:rPr>
      </w:pPr>
      <w:r w:rsidRPr="00F0379B">
        <w:rPr>
          <w:rFonts w:ascii="Cambria" w:eastAsiaTheme="minorEastAsia" w:hAnsi="Cambria"/>
          <w:color w:val="000000" w:themeColor="text1"/>
          <w:kern w:val="2"/>
          <w:sz w:val="20"/>
          <w:szCs w:val="20"/>
          <w:lang w:eastAsia="ja-JP"/>
          <w14:ligatures w14:val="standardContextual"/>
        </w:rPr>
        <w:t>La AECP también coordina la implementación del programa conjunto de inspección internacional (JIS) para el atún rojo y el pez espada, previsto en las medidas de conservación y ordenación de ICCAT. Las campañas conjuntas se planifican, ejecutan y evalúan cada año en el marco del JDP del Mediterráneo, en estrecha colaboración con la Comisión Europea, el Estado miembro interesado y la AECP.</w:t>
      </w:r>
    </w:p>
    <w:p w14:paraId="1000874E" w14:textId="77777777" w:rsidR="009123AC" w:rsidRPr="00F0379B" w:rsidRDefault="009123AC" w:rsidP="009123AC">
      <w:pPr>
        <w:spacing w:after="0" w:line="240" w:lineRule="auto"/>
        <w:jc w:val="both"/>
        <w:rPr>
          <w:rFonts w:ascii="Cambria" w:eastAsiaTheme="minorEastAsia" w:hAnsi="Cambria"/>
          <w:color w:val="000000" w:themeColor="text1"/>
          <w:kern w:val="2"/>
          <w:sz w:val="20"/>
          <w:szCs w:val="20"/>
          <w:lang w:eastAsia="ja-JP"/>
          <w14:ligatures w14:val="standardContextual"/>
        </w:rPr>
      </w:pPr>
    </w:p>
    <w:p w14:paraId="7F537986"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En el marco del JDP, la AECP coordinará en </w:t>
      </w:r>
      <w:r w:rsidRPr="00F0379B">
        <w:rPr>
          <w:rFonts w:ascii="Cambria" w:eastAsia="MS Gothic" w:hAnsi="Cambria" w:cs="Times New Roman"/>
          <w:bCs/>
          <w:sz w:val="20"/>
          <w:szCs w:val="20"/>
          <w:lang w:eastAsia="fr-FR" w:bidi="fr-FR"/>
          <w14:ligatures w14:val="standardContextual"/>
        </w:rPr>
        <w:t xml:space="preserve">2026 </w:t>
      </w:r>
      <w:r w:rsidRPr="00F0379B">
        <w:rPr>
          <w:rFonts w:ascii="Cambria" w:eastAsia="MS Gothic" w:hAnsi="Cambria" w:cs="Times New Roman"/>
          <w:color w:val="000000"/>
          <w:sz w:val="20"/>
          <w:szCs w:val="20"/>
          <w:lang w:eastAsia="fr-FR" w:bidi="fr-FR"/>
          <w14:ligatures w14:val="standardContextual"/>
        </w:rPr>
        <w:t xml:space="preserve">las actividades conjuntas de control e inspección en el Atlántico este y en el Mediterráneo, en las que participarán varios buques patrulla y aeronaves. La AECP fleta también tres de sus propios buques patrulla de pesquerías en alta mar, y cuenta con capacidad de vigilancia aérea. Aunque se mantiene la confidencialidad sobre las estrategias operativas y las zonas exactas de las operaciones, las zonas generales cubiertas por el JDP de </w:t>
      </w:r>
      <w:r w:rsidRPr="00F0379B">
        <w:rPr>
          <w:rFonts w:ascii="Cambria" w:eastAsia="MS Gothic" w:hAnsi="Cambria" w:cs="Times New Roman"/>
          <w:bCs/>
          <w:sz w:val="20"/>
          <w:szCs w:val="20"/>
          <w:lang w:eastAsia="fr-FR" w:bidi="fr-FR"/>
          <w14:ligatures w14:val="standardContextual"/>
        </w:rPr>
        <w:t xml:space="preserve">2026 </w:t>
      </w:r>
      <w:r w:rsidRPr="00F0379B">
        <w:rPr>
          <w:rFonts w:ascii="Cambria" w:eastAsia="MS Gothic" w:hAnsi="Cambria" w:cs="Times New Roman"/>
          <w:color w:val="000000"/>
          <w:sz w:val="20"/>
          <w:szCs w:val="20"/>
          <w:lang w:eastAsia="fr-FR" w:bidi="fr-FR"/>
          <w14:ligatures w14:val="standardContextual"/>
        </w:rPr>
        <w:t xml:space="preserve">serán el Atlántico este (Zonas CIEM VII, </w:t>
      </w:r>
      <w:r w:rsidRPr="00F0379B">
        <w:rPr>
          <w:rFonts w:ascii="Cambria" w:eastAsia="MS Gothic" w:hAnsi="Cambria" w:cs="Times New Roman"/>
          <w:color w:val="000000"/>
          <w:sz w:val="20"/>
          <w:szCs w:val="20"/>
          <w:lang w:eastAsia="fr-FR" w:bidi="fr-FR"/>
          <w14:ligatures w14:val="standardContextual"/>
        </w:rPr>
        <w:lastRenderedPageBreak/>
        <w:t xml:space="preserve">VIII, IX y X y COPACE 34.1.1, 34.1.2 y 34.2.0) y el Mediterráneo (occidental, central, oriental). Las operaciones de control se centrarán sobre todo en las actividades de los cerqueros, de los remolcadores, de los palangreros y de las granjas, aunque sin restringirse únicamente a ellas. En </w:t>
      </w:r>
      <w:r w:rsidRPr="00F0379B">
        <w:rPr>
          <w:rFonts w:ascii="Cambria" w:eastAsia="MS Gothic" w:hAnsi="Cambria" w:cs="Times New Roman"/>
          <w:bCs/>
          <w:sz w:val="20"/>
          <w:szCs w:val="20"/>
          <w:lang w:eastAsia="fr-FR" w:bidi="fr-FR"/>
          <w14:ligatures w14:val="standardContextual"/>
        </w:rPr>
        <w:t>2026</w:t>
      </w:r>
      <w:r w:rsidRPr="00F0379B">
        <w:rPr>
          <w:rFonts w:ascii="Cambria" w:eastAsia="MS Gothic" w:hAnsi="Cambria" w:cs="Times New Roman"/>
          <w:color w:val="000000"/>
          <w:sz w:val="20"/>
          <w:szCs w:val="20"/>
          <w:lang w:eastAsia="fr-FR" w:bidi="fr-FR"/>
          <w14:ligatures w14:val="standardContextual"/>
        </w:rPr>
        <w:t>, la UE realizará actividades de control e inspección en el mar durante un mínimo de 551 días, y 35 vuelos generales de vigilancia aérea.</w:t>
      </w:r>
    </w:p>
    <w:p w14:paraId="406A00BE" w14:textId="77777777" w:rsidR="009123AC" w:rsidRPr="00F0379B" w:rsidRDefault="009123AC" w:rsidP="009123AC">
      <w:pPr>
        <w:spacing w:after="0" w:line="240" w:lineRule="auto"/>
        <w:jc w:val="both"/>
        <w:rPr>
          <w:rFonts w:ascii="Cambria" w:eastAsia="Calibri" w:hAnsi="Cambria" w:cs="Times New Roman"/>
          <w:color w:val="000000"/>
          <w:sz w:val="20"/>
          <w:szCs w:val="20"/>
          <w:lang w:eastAsia="fr-FR" w:bidi="fr-FR"/>
          <w14:ligatures w14:val="standardContextual"/>
        </w:rPr>
      </w:pPr>
    </w:p>
    <w:p w14:paraId="3DAB44A0"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Un Grupo directivo JDP, compuesto por representantes de la AECP, de la Comisión Europea y de los Estados miembros </w:t>
      </w:r>
      <w:r w:rsidRPr="00F0379B">
        <w:rPr>
          <w:rFonts w:ascii="Cambria" w:eastAsia="MS Gothic" w:hAnsi="Cambria" w:cs="Times New Roman"/>
          <w:sz w:val="20"/>
          <w:szCs w:val="20"/>
          <w:lang w:eastAsia="fr-FR" w:bidi="fr-FR"/>
          <w14:ligatures w14:val="standardContextual"/>
        </w:rPr>
        <w:t>de la UE</w:t>
      </w:r>
      <w:r w:rsidRPr="00F0379B">
        <w:rPr>
          <w:rFonts w:ascii="Cambria" w:eastAsia="MS Gothic" w:hAnsi="Cambria" w:cs="Times New Roman"/>
          <w:color w:val="000000"/>
          <w:sz w:val="20"/>
          <w:szCs w:val="20"/>
          <w:lang w:eastAsia="fr-FR" w:bidi="fr-FR"/>
          <w14:ligatures w14:val="standardContextual"/>
        </w:rPr>
        <w:t xml:space="preserve">, orienta sobre la estrategia global de las actividades de inspección y supervisa la implementación del JDP. Las prioridades en materia de estrategia y control se basan en una evaluación del riesgo anual llevada a cabo por los Estados miembros </w:t>
      </w:r>
      <w:r w:rsidRPr="00F0379B">
        <w:rPr>
          <w:rFonts w:ascii="Cambria" w:eastAsia="MS Gothic" w:hAnsi="Cambria" w:cs="Times New Roman"/>
          <w:sz w:val="20"/>
          <w:szCs w:val="20"/>
          <w:lang w:eastAsia="fr-FR" w:bidi="fr-FR"/>
          <w14:ligatures w14:val="standardContextual"/>
        </w:rPr>
        <w:t xml:space="preserve">de la UE </w:t>
      </w:r>
      <w:r w:rsidRPr="00F0379B">
        <w:rPr>
          <w:rFonts w:ascii="Cambria" w:eastAsia="MS Gothic" w:hAnsi="Cambria" w:cs="Times New Roman"/>
          <w:color w:val="000000"/>
          <w:sz w:val="20"/>
          <w:szCs w:val="20"/>
          <w:lang w:eastAsia="fr-FR" w:bidi="fr-FR"/>
          <w14:ligatures w14:val="standardContextual"/>
        </w:rPr>
        <w:t>bajo la coordinación de la AECP.</w:t>
      </w:r>
    </w:p>
    <w:p w14:paraId="6E749287" w14:textId="77777777" w:rsidR="009123AC" w:rsidRPr="00F0379B" w:rsidRDefault="009123AC" w:rsidP="009123AC">
      <w:pPr>
        <w:spacing w:after="0" w:line="240" w:lineRule="auto"/>
        <w:jc w:val="both"/>
        <w:rPr>
          <w:rFonts w:ascii="Cambria" w:eastAsia="Calibri" w:hAnsi="Cambria" w:cs="Times New Roman"/>
          <w:color w:val="000000"/>
          <w:sz w:val="20"/>
          <w:szCs w:val="20"/>
          <w:lang w:eastAsia="fr-FR" w:bidi="fr-FR"/>
          <w14:ligatures w14:val="standardContextual"/>
        </w:rPr>
      </w:pPr>
    </w:p>
    <w:p w14:paraId="09262E2C"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Todos los casos de potencial incumplimiento se remitirán al Estado del pabellón del buque/operador afectado y a la Secretaría de ICCAT cuando se requiera con arreglo a los procedimientos previstos en las recomendaciones de ICCAT respectivas. </w:t>
      </w:r>
      <w:r w:rsidRPr="00F0379B">
        <w:rPr>
          <w:rFonts w:ascii="Cambria" w:eastAsia="MS Gothic" w:hAnsi="Cambria" w:cs="Times New Roman"/>
          <w:sz w:val="20"/>
          <w:szCs w:val="20"/>
          <w:lang w:eastAsia="fr-FR" w:bidi="fr-FR"/>
          <w14:ligatures w14:val="standardContextual"/>
        </w:rPr>
        <w:t>Las medidas de seguimiento en caso de que se detecte una posible infracción serán comunicadas por la Comisión Europea a la Secretaría de ICCAT para su publicación, de conformidad con el Apéndice al Anexo 7 de la Recomendación 25-04.</w:t>
      </w:r>
    </w:p>
    <w:p w14:paraId="18C5FB78"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7E4CE7E2"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La AECP está cooperando con la AESM (Agencia europea de seguridad marítima) y con la FRONTEX (Agencia Europea de la Guardia de Fronteras y Costa), cada una dentro de su mandato, para respaldar a las autoridades nacionales que desempeñan la función de guardia costera, proporcionando servicios, información, equipamiento y formación, así como coordinando operaciones polivalentes. Entre las herramientas utilizadas en estas operaciones polivalentes está el servicio IMS (Sistema marítimo integrado), una aplicación que proporciona una imagen marítima integrada basada en fusiones en tiempo real de VMS, Sistema de identificación automática (AIS) y otros datos marítimos relacionados.</w:t>
      </w:r>
    </w:p>
    <w:p w14:paraId="6768B944"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 </w:t>
      </w:r>
    </w:p>
    <w:p w14:paraId="379862C2" w14:textId="77777777" w:rsidR="009123AC" w:rsidRPr="00F0379B" w:rsidRDefault="009123AC" w:rsidP="009123AC">
      <w:pPr>
        <w:spacing w:after="0" w:line="240" w:lineRule="auto"/>
        <w:jc w:val="both"/>
        <w:rPr>
          <w:rFonts w:ascii="Cambria" w:eastAsiaTheme="minorEastAsia" w:hAnsi="Cambria"/>
          <w:color w:val="000000" w:themeColor="text1"/>
          <w:kern w:val="2"/>
          <w:sz w:val="20"/>
          <w:szCs w:val="20"/>
          <w:lang w:eastAsia="ja-JP"/>
          <w14:ligatures w14:val="standardContextual"/>
        </w:rPr>
      </w:pPr>
      <w:r w:rsidRPr="00F0379B">
        <w:rPr>
          <w:rFonts w:ascii="Cambria" w:eastAsiaTheme="minorEastAsia" w:hAnsi="Cambria"/>
          <w:color w:val="000000" w:themeColor="text1"/>
          <w:kern w:val="2"/>
          <w:sz w:val="20"/>
          <w:szCs w:val="20"/>
          <w:lang w:eastAsia="ja-JP"/>
          <w14:ligatures w14:val="standardContextual"/>
        </w:rPr>
        <w:t>Por último, la AECP también promueve una cooperación operativa con otras Partes contratantes de ICCAT, como el intercambio de inspectores y actividades de formación, así como talleres de formación cuando se solicite para garantizar una interpretación común y la plena implementación de las medidas de inspección y control previstas por ICCAT.</w:t>
      </w:r>
    </w:p>
    <w:p w14:paraId="6C118C62" w14:textId="77777777" w:rsidR="009123AC" w:rsidRPr="00F0379B" w:rsidRDefault="009123AC" w:rsidP="009123AC">
      <w:pPr>
        <w:spacing w:after="0" w:line="240" w:lineRule="auto"/>
        <w:jc w:val="both"/>
        <w:rPr>
          <w:rFonts w:ascii="Cambria" w:eastAsia="MS Gothic" w:hAnsi="Cambria" w:cs="Times New Roman"/>
          <w:i/>
          <w:color w:val="000000"/>
          <w:sz w:val="20"/>
          <w:szCs w:val="20"/>
          <w:lang w:eastAsia="fr-FR" w:bidi="fr-FR"/>
          <w14:ligatures w14:val="standardContextual"/>
        </w:rPr>
      </w:pPr>
    </w:p>
    <w:p w14:paraId="7843789E" w14:textId="77777777" w:rsidR="009123AC" w:rsidRPr="00F0379B" w:rsidRDefault="009123AC" w:rsidP="009123AC">
      <w:pPr>
        <w:tabs>
          <w:tab w:val="left" w:pos="567"/>
        </w:tabs>
        <w:spacing w:after="0" w:line="240" w:lineRule="auto"/>
        <w:ind w:left="284" w:hanging="284"/>
        <w:contextualSpacing/>
        <w:jc w:val="both"/>
        <w:rPr>
          <w:rFonts w:ascii="Cambria" w:eastAsia="MS Gothic" w:hAnsi="Cambria" w:cs="Times New Roman"/>
          <w:i/>
          <w:color w:val="000000"/>
          <w:sz w:val="20"/>
          <w:szCs w:val="20"/>
          <w:lang w:eastAsia="fr-FR" w:bidi="fr-FR"/>
          <w14:ligatures w14:val="standardContextual"/>
        </w:rPr>
      </w:pPr>
      <w:r w:rsidRPr="00F0379B">
        <w:rPr>
          <w:rFonts w:ascii="Cambria" w:eastAsia="MS Gothic" w:hAnsi="Cambria" w:cs="Times New Roman"/>
          <w:i/>
          <w:color w:val="000000"/>
          <w:sz w:val="20"/>
          <w:szCs w:val="20"/>
          <w:lang w:eastAsia="fr-FR" w:bidi="fr-FR"/>
          <w14:ligatures w14:val="standardContextual"/>
        </w:rPr>
        <w:t>5.b.3 Planes de inspección anuales de los Estados miembros de la UE</w:t>
      </w:r>
    </w:p>
    <w:p w14:paraId="4F7750B1" w14:textId="77777777" w:rsidR="009123AC" w:rsidRPr="00F0379B" w:rsidRDefault="009123AC" w:rsidP="009123AC">
      <w:pPr>
        <w:tabs>
          <w:tab w:val="left" w:pos="567"/>
        </w:tabs>
        <w:spacing w:after="0" w:line="240" w:lineRule="auto"/>
        <w:ind w:left="284" w:hanging="284"/>
        <w:contextualSpacing/>
        <w:jc w:val="both"/>
        <w:rPr>
          <w:rFonts w:ascii="Cambria" w:eastAsia="MS Gothic" w:hAnsi="Cambria" w:cs="Times New Roman"/>
          <w:i/>
          <w:color w:val="000000"/>
          <w:sz w:val="20"/>
          <w:szCs w:val="20"/>
          <w:lang w:eastAsia="fr-FR" w:bidi="fr-FR"/>
          <w14:ligatures w14:val="standardContextual"/>
        </w:rPr>
      </w:pPr>
    </w:p>
    <w:p w14:paraId="2F5F638E"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 xml:space="preserve">Con arreglo al Artículo 14 del Reglamento (UE) 2023/2053 cada Estado miembro de la UE afectado ha elaborado y presentado un plan de inspección ICCAT para </w:t>
      </w:r>
      <w:r w:rsidRPr="00F0379B">
        <w:rPr>
          <w:rFonts w:ascii="Cambria" w:eastAsia="MS Gothic" w:hAnsi="Cambria" w:cs="Times New Roman"/>
          <w:bCs/>
          <w:sz w:val="20"/>
          <w:szCs w:val="20"/>
          <w:lang w:eastAsia="fr-FR" w:bidi="fr-FR"/>
          <w14:ligatures w14:val="standardContextual"/>
        </w:rPr>
        <w:t xml:space="preserve">2026 </w:t>
      </w:r>
      <w:r w:rsidRPr="00F0379B">
        <w:rPr>
          <w:rFonts w:ascii="Cambria" w:eastAsia="MS Gothic" w:hAnsi="Cambria" w:cs="Times New Roman"/>
          <w:sz w:val="20"/>
          <w:szCs w:val="20"/>
          <w:lang w:eastAsia="fr-FR" w:bidi="fr-FR"/>
          <w14:ligatures w14:val="standardContextual"/>
        </w:rPr>
        <w:t>como parte de su programa de acción de control nacional para el atún rojo. Son programas amplios que contienen los recursos y las estrategias de inspección que los Estados miembros de la UE se comprometen a implementar en el marco de su jurisdicción. Estos programas se requieren con arreglo al programa específico de control e inspección (véase más arriba).</w:t>
      </w:r>
    </w:p>
    <w:p w14:paraId="797AFC79"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7E34AF81"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Estos programas nacionales se ajustan plenamente a las medidas de conservación y ordenación adoptadas en la Recomendación 25-04. Las autoridades de la UE controlarán el 100 % de las operaciones de introducción en jaulas, de los sacrificios en los buques de transformación, de las transferencias dentro de las granjas y entre granjas y las evaluaciones de los traspasos, y se establecerá un nivel de controles aleatorios (con un mínimo del 10 % del número de jaulas en cada granja) basado en la evaluación de riesgos para garantizar la correcta notificación y trazabilidad del atún rojo en las granjas.</w:t>
      </w:r>
    </w:p>
    <w:p w14:paraId="463DEA50"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5052E20B"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16B697D1"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6. Otros</w:t>
      </w:r>
    </w:p>
    <w:p w14:paraId="75EADBE7"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4E0328D9"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6 a) Actividades de investigación</w:t>
      </w:r>
    </w:p>
    <w:p w14:paraId="6A42F774"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p>
    <w:p w14:paraId="261C0930"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Instituto francés de investigación para la explotación del mar (IFREMER) lleva a cabo dos actividades principales de investigación sobre el atún rojo en el Atlántico este y Mediterráneo.</w:t>
      </w:r>
    </w:p>
    <w:p w14:paraId="1C994D6F"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403C4A61"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primera actividad consiste en prospecciones aéreas en el golfo de León. Esta actividad se inició en el año 2000 y proporciona un índice de abundancia clave e independiente de la pesca para los juveniles de atún rojo en el Mediterráneo. Es el único índice de este tipo y, por tanto, es muy valioso para ICCAT a efectos de ordenación. El índice se ha utilizado para la evaluación de 2017 del stock oriental. Los trabajos actuales se centran en la mejora de la observación mediante el desarrollo de un sistema de adquisición y análisis de </w:t>
      </w:r>
      <w:r w:rsidRPr="00F0379B">
        <w:rPr>
          <w:rFonts w:ascii="Cambria" w:eastAsiaTheme="minorEastAsia" w:hAnsi="Cambria"/>
          <w:kern w:val="2"/>
          <w:sz w:val="20"/>
          <w:szCs w:val="20"/>
          <w:lang w:eastAsia="ja-JP"/>
          <w14:ligatures w14:val="standardContextual"/>
        </w:rPr>
        <w:lastRenderedPageBreak/>
        <w:t>imágenes, y en la integración de los impactos de los efectos ambientales en los movimientos verticales y horizontales del atún y en el índice de abundancia. La prospección también podría utilizarse para los mamíferos marinos, Todos los años se presentan documentos al SCRS.</w:t>
      </w:r>
    </w:p>
    <w:p w14:paraId="63FE47C6"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2D145D49"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segunda actividad se centra en la observación de las migraciones del atún rojo en relación con su fisiología. Esto se hace mediante el desarrollo de una nueva marca electrónica, que lleva un sensor destinado a captar el crecimiento de los peces e indirectamente su reproducción (proyecto POPSTAR financiado por IFREMER). El proyecto pretende también marcar el atún rojo capturado por los cerqueros. La pesquería de cerco ha representado más del 50 % de las capturas de atún rojo del este en los últimos 10 años, y sin embargo apenas se ha marcado en este segmento. En junio de 2018 y 2019 se llevó a cabo con éxito una operación de marcado desde un cerquero, mostrando patrones migratorios contrastados con los obtenidos de los peces marcados en el Mediterráneo noroccidental. Estas operaciones a través de diferentes proyectos (POPSTAR, FISHNCHIP y PROMPT) pretenden ser una contribución clave a la investigación aplicada y a ICCAT, ya que ayudarán a documentar y comprender las migraciones y cómo se ven afectadas por el medio ambiente (por ejemplo, para la MSE).</w:t>
      </w:r>
    </w:p>
    <w:p w14:paraId="014B71A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46537C4A" w14:textId="77777777" w:rsidR="009123AC" w:rsidRPr="00F0379B" w:rsidRDefault="009123AC" w:rsidP="009123AC">
      <w:pPr>
        <w:spacing w:after="0"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noProof/>
          <w:kern w:val="2"/>
          <w:sz w:val="20"/>
          <w:szCs w:val="20"/>
          <w:lang w:eastAsia="ja-JP"/>
          <w14:ligatures w14:val="standardContextual"/>
        </w:rPr>
        <w:drawing>
          <wp:inline distT="0" distB="0" distL="0" distR="0" wp14:anchorId="0CFFF2FE" wp14:editId="5219BCA9">
            <wp:extent cx="5753100" cy="1685925"/>
            <wp:effectExtent l="0" t="0" r="0" b="9525"/>
            <wp:docPr id="2" name="Imag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Map&#10;&#10;Description automatically generated"/>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753100" cy="1685925"/>
                    </a:xfrm>
                    <a:prstGeom prst="rect">
                      <a:avLst/>
                    </a:prstGeom>
                    <a:noFill/>
                    <a:ln>
                      <a:noFill/>
                    </a:ln>
                  </pic:spPr>
                </pic:pic>
              </a:graphicData>
            </a:graphic>
          </wp:inline>
        </w:drawing>
      </w:r>
    </w:p>
    <w:p w14:paraId="0BD40951" w14:textId="77777777" w:rsidR="009123AC" w:rsidRPr="00F0379B" w:rsidRDefault="009123AC" w:rsidP="009123AC">
      <w:pPr>
        <w:keepNext/>
        <w:spacing w:after="0" w:line="240" w:lineRule="auto"/>
        <w:jc w:val="both"/>
        <w:rPr>
          <w:rFonts w:ascii="Cambria" w:eastAsia="Times New Roman" w:hAnsi="Cambria" w:cs="Times New Roman"/>
          <w:sz w:val="20"/>
          <w:szCs w:val="20"/>
        </w:rPr>
      </w:pPr>
      <w:r w:rsidRPr="00F0379B">
        <w:rPr>
          <w:rFonts w:ascii="Cambria" w:eastAsia="Times New Roman" w:hAnsi="Cambria" w:cs="Times New Roman"/>
          <w:sz w:val="20"/>
          <w:szCs w:val="20"/>
        </w:rPr>
        <w:t>Otro proyecto (PROMPT) sigue trabajando en las migraciones de atún rojo del este mediante el marcado y el trabajo experimental. El marcado previsto en el proyecto tiene por objeto proseguir los trabajos iniciados por los proyectos POPSTAR y FISHNCHIP descritos anteriormente y comprender los efectos del entorno físico en las migraciones. El trabajo experimental servirá para estimar las necesidades energéticas del atún rojo del este a lo largo de sus migraciones.</w:t>
      </w:r>
    </w:p>
    <w:p w14:paraId="60760C9D" w14:textId="77777777" w:rsidR="009123AC" w:rsidRPr="00F0379B" w:rsidRDefault="009123AC" w:rsidP="009123AC">
      <w:pPr>
        <w:keepNext/>
        <w:spacing w:after="0" w:line="240" w:lineRule="auto"/>
        <w:jc w:val="both"/>
        <w:rPr>
          <w:rFonts w:ascii="Cambria" w:eastAsia="Times New Roman" w:hAnsi="Cambria" w:cs="Times New Roman"/>
          <w:sz w:val="20"/>
          <w:szCs w:val="20"/>
        </w:rPr>
      </w:pPr>
    </w:p>
    <w:p w14:paraId="2BCED8F9" w14:textId="77777777" w:rsidR="009123AC" w:rsidRPr="00F0379B" w:rsidRDefault="009123AC" w:rsidP="009123AC">
      <w:pPr>
        <w:keepNext/>
        <w:snapToGrid w:val="0"/>
        <w:spacing w:after="0" w:line="240" w:lineRule="auto"/>
        <w:jc w:val="both"/>
        <w:rPr>
          <w:rFonts w:ascii="Cambria" w:eastAsia="Times New Roman" w:hAnsi="Cambria" w:cs="Times New Roman"/>
          <w:sz w:val="20"/>
          <w:szCs w:val="20"/>
        </w:rPr>
      </w:pPr>
      <w:r w:rsidRPr="00F0379B">
        <w:rPr>
          <w:rFonts w:ascii="Cambria" w:eastAsia="Times New Roman" w:hAnsi="Cambria" w:cs="Times New Roman"/>
          <w:sz w:val="20"/>
          <w:szCs w:val="20"/>
        </w:rPr>
        <w:t>Se ha establecido una estrecha relación de trabajo entre el IFREMER, los cerqueros franceses, los científicos de una empresa maltesa (</w:t>
      </w:r>
      <w:proofErr w:type="spellStart"/>
      <w:r w:rsidRPr="00F0379B">
        <w:rPr>
          <w:rFonts w:ascii="Cambria" w:eastAsia="Times New Roman" w:hAnsi="Cambria" w:cs="Times New Roman"/>
          <w:sz w:val="20"/>
          <w:szCs w:val="20"/>
        </w:rPr>
        <w:t>AquaBioTech</w:t>
      </w:r>
      <w:proofErr w:type="spellEnd"/>
      <w:r w:rsidRPr="00F0379B">
        <w:rPr>
          <w:rFonts w:ascii="Cambria" w:eastAsia="Times New Roman" w:hAnsi="Cambria" w:cs="Times New Roman"/>
          <w:sz w:val="20"/>
          <w:szCs w:val="20"/>
        </w:rPr>
        <w:t xml:space="preserve"> </w:t>
      </w:r>
      <w:proofErr w:type="spellStart"/>
      <w:r w:rsidRPr="00F0379B">
        <w:rPr>
          <w:rFonts w:ascii="Cambria" w:eastAsia="Times New Roman" w:hAnsi="Cambria" w:cs="Times New Roman"/>
          <w:sz w:val="20"/>
          <w:szCs w:val="20"/>
        </w:rPr>
        <w:t>Ltd</w:t>
      </w:r>
      <w:proofErr w:type="spellEnd"/>
      <w:r w:rsidRPr="00F0379B">
        <w:rPr>
          <w:rFonts w:ascii="Cambria" w:eastAsia="Times New Roman" w:hAnsi="Cambria" w:cs="Times New Roman"/>
          <w:sz w:val="20"/>
          <w:szCs w:val="20"/>
        </w:rPr>
        <w:t>, que también ha estado muy implicada en la investigación del atún rojo) y una granja de cría maltesa. Esto ha creado un marco único y fructífero para desarrollar investigaciones y experimentos sobre el atún rojo.</w:t>
      </w:r>
    </w:p>
    <w:p w14:paraId="39669E8D" w14:textId="77777777" w:rsidR="009123AC" w:rsidRPr="00F0379B" w:rsidRDefault="009123AC" w:rsidP="009123AC">
      <w:pPr>
        <w:keepNext/>
        <w:snapToGrid w:val="0"/>
        <w:spacing w:after="0" w:line="240" w:lineRule="auto"/>
        <w:jc w:val="both"/>
        <w:rPr>
          <w:rFonts w:ascii="Cambria" w:eastAsia="Times New Roman" w:hAnsi="Cambria" w:cs="Times New Roman"/>
          <w:sz w:val="20"/>
          <w:szCs w:val="20"/>
        </w:rPr>
      </w:pPr>
    </w:p>
    <w:p w14:paraId="30DD55C0" w14:textId="77777777" w:rsidR="009123AC" w:rsidRPr="00F0379B" w:rsidRDefault="009123AC" w:rsidP="009123AC">
      <w:pPr>
        <w:snapToGrid w:val="0"/>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Además del enfoque descriptivo basado en el marcado, se ha adoptado un enfoque mecanicista de la migración mediante el estudio de la fisiología de los peces. Los experimentos se llevaron a cabo en Malta y España. En Malta, se equipó a los atunes introducidos en jaulas durante un año con sensores de frecuencia cardíaca y transmisores acústicos, lo que permitió recopilar datos en 2023 sobre el comportamiento del grupo y los cambios en los parámetros fisiológicos en relación con la temperatura del agua. El proyecto MARATHON, presentado en 2024, es una campaña de marcado electrónico del atún rojo del Atlántico derivado de proyectos anteriores. Su objetivo es desplegar marcas electrónicas para documentar la dinámica migratoria a largo plazo del atún rojo del Atlántico.</w:t>
      </w:r>
    </w:p>
    <w:p w14:paraId="362F6803" w14:textId="77777777" w:rsidR="009123AC" w:rsidRPr="00F0379B" w:rsidRDefault="009123AC" w:rsidP="009123AC">
      <w:pPr>
        <w:snapToGrid w:val="0"/>
        <w:spacing w:after="0" w:line="240" w:lineRule="auto"/>
        <w:jc w:val="both"/>
        <w:rPr>
          <w:rFonts w:ascii="Cambria" w:eastAsia="MS Gothic" w:hAnsi="Cambria" w:cs="Times New Roman"/>
          <w:sz w:val="20"/>
          <w:szCs w:val="20"/>
          <w:lang w:eastAsia="fr-FR" w:bidi="fr-FR"/>
          <w14:ligatures w14:val="standardContextual"/>
        </w:rPr>
      </w:pPr>
    </w:p>
    <w:p w14:paraId="53B61CF2" w14:textId="77777777" w:rsidR="009123AC" w:rsidRPr="00F0379B" w:rsidRDefault="009123AC" w:rsidP="009123AC">
      <w:pPr>
        <w:snapToGrid w:val="0"/>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A partir de iniciativas anteriores (SELPAL y REPAST), se han desarrollado varios proyectos en torno a la captura fortuita en la pesquería de palangre dirigida al atún rojo del Atlántico en el golfo de León. El proyecto RAYVIVAL tiene como objetivo estimar la tasa de supervivencia de las rayas, la principal especie capturada accidentalmente por esta pesquería, utilizando marcas de supervivencia. El proyecto POBLEU busca aumentar la cobertura de observadores a bordo de esta pesquería. El proyecto SMARTSNAP tiene como objetivo desarrollar un dispositivo electrónico para detectar y liberar automáticamente las especies capturadas accidentalmente por los palangreros. En 2023, continuando con este impulso, se financió el proyecto SMARTSNAP2 para continuar con este trabajo. Además, en el marco de los proyectos PROTECTMED y LIFE EMM, se llevarán a cabo operaciones de marcado para estimar la supervivencia tras la liberación de las capturas de la pesquería de palangre francesa de atún rojo del Mediterráneo en una amplia gama de especies, entre ellas el tiburón azul y el pez luna.</w:t>
      </w:r>
    </w:p>
    <w:p w14:paraId="0C81524C" w14:textId="77777777" w:rsidR="009123AC" w:rsidRPr="00F0379B" w:rsidRDefault="009123AC" w:rsidP="009123AC">
      <w:pPr>
        <w:snapToGrid w:val="0"/>
        <w:spacing w:after="0" w:line="240" w:lineRule="auto"/>
        <w:jc w:val="both"/>
        <w:rPr>
          <w:rFonts w:ascii="Cambria" w:eastAsia="MS Gothic" w:hAnsi="Cambria" w:cs="Times New Roman"/>
          <w:sz w:val="20"/>
          <w:szCs w:val="20"/>
          <w:lang w:eastAsia="fr-FR" w:bidi="fr-FR"/>
          <w14:ligatures w14:val="standardContextual"/>
        </w:rPr>
      </w:pPr>
    </w:p>
    <w:p w14:paraId="583EF40A" w14:textId="77777777" w:rsidR="009123AC" w:rsidRPr="00F0379B" w:rsidRDefault="009123AC" w:rsidP="009123AC">
      <w:pPr>
        <w:snapToGrid w:val="0"/>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El Instituto Portugués del Mar y la Atmósfera (IPMA) seguirá liderando el marcado acústico en el marco del GBYP en las almadrabas de atún, que comenzó en 2024, con el análisis de las detecciones y el marcado adicional y la instalación de receptores, en función de la disponibilidad presupuestaria. En cuanto al muestreo genético para un reloj epigenético, las almadrabas de atún portuguesas han sido seleccionadas como uno de los principales lugares para el muestreo de adultos en una zona bien mezclada. El IPMA ha confirmado su disponibilidad para participar en el muestreo si el proyecto sigue adelante en 2026.</w:t>
      </w:r>
    </w:p>
    <w:p w14:paraId="022519F3" w14:textId="77777777" w:rsidR="009123AC" w:rsidRPr="00F0379B" w:rsidRDefault="009123AC" w:rsidP="009123AC">
      <w:pPr>
        <w:snapToGrid w:val="0"/>
        <w:spacing w:after="0" w:line="240" w:lineRule="auto"/>
        <w:jc w:val="both"/>
        <w:rPr>
          <w:rFonts w:ascii="Cambria" w:eastAsia="MS Gothic" w:hAnsi="Cambria" w:cs="Times New Roman"/>
          <w:sz w:val="20"/>
          <w:szCs w:val="20"/>
          <w:lang w:eastAsia="fr-FR" w:bidi="fr-FR"/>
          <w14:ligatures w14:val="standardContextual"/>
        </w:rPr>
      </w:pPr>
    </w:p>
    <w:p w14:paraId="64612B7C" w14:textId="77777777" w:rsidR="009123AC" w:rsidRPr="00F0379B" w:rsidRDefault="009123AC" w:rsidP="009123AC">
      <w:pPr>
        <w:snapToGrid w:val="0"/>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Croacia ha asignado 1 t de atún rojo con fines científicos y llevará a cabo actividades de investigación centradas en:</w:t>
      </w:r>
    </w:p>
    <w:p w14:paraId="7ECE1454" w14:textId="77777777" w:rsidR="009123AC" w:rsidRPr="00F0379B" w:rsidRDefault="009123AC" w:rsidP="009123AC">
      <w:pPr>
        <w:snapToGrid w:val="0"/>
        <w:spacing w:after="0" w:line="240" w:lineRule="auto"/>
        <w:jc w:val="both"/>
        <w:rPr>
          <w:rFonts w:ascii="Cambria" w:eastAsia="MS Gothic" w:hAnsi="Cambria" w:cs="Times New Roman"/>
          <w:sz w:val="20"/>
          <w:szCs w:val="20"/>
          <w:lang w:eastAsia="fr-FR" w:bidi="fr-FR"/>
          <w14:ligatures w14:val="standardContextual"/>
        </w:rPr>
      </w:pPr>
    </w:p>
    <w:p w14:paraId="42EEDB05" w14:textId="77777777" w:rsidR="009123AC" w:rsidRPr="00F0379B" w:rsidRDefault="009123AC" w:rsidP="00CE0EC8">
      <w:pPr>
        <w:numPr>
          <w:ilvl w:val="3"/>
          <w:numId w:val="78"/>
        </w:numPr>
        <w:snapToGrid w:val="0"/>
        <w:spacing w:after="0" w:line="240" w:lineRule="auto"/>
        <w:ind w:left="567"/>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 xml:space="preserve">el análisis de la ecología alimentaria y las relaciones tróficas del atún rojo del Atlántico mediante la </w:t>
      </w:r>
      <w:proofErr w:type="spellStart"/>
      <w:r w:rsidRPr="00F0379B">
        <w:rPr>
          <w:rFonts w:ascii="Cambria" w:eastAsia="MS Gothic" w:hAnsi="Cambria" w:cs="Times New Roman"/>
          <w:sz w:val="20"/>
          <w:szCs w:val="20"/>
          <w:lang w:eastAsia="fr-FR" w:bidi="fr-FR"/>
          <w14:ligatures w14:val="standardContextual"/>
        </w:rPr>
        <w:t>metabarcodificación</w:t>
      </w:r>
      <w:proofErr w:type="spellEnd"/>
      <w:r w:rsidRPr="00F0379B">
        <w:rPr>
          <w:rFonts w:ascii="Cambria" w:eastAsia="MS Gothic" w:hAnsi="Cambria" w:cs="Times New Roman"/>
          <w:sz w:val="20"/>
          <w:szCs w:val="20"/>
          <w:lang w:eastAsia="fr-FR" w:bidi="fr-FR"/>
          <w14:ligatures w14:val="standardContextual"/>
        </w:rPr>
        <w:t xml:space="preserve"> del ADN del contenido estomacal;</w:t>
      </w:r>
    </w:p>
    <w:p w14:paraId="60551612" w14:textId="77777777" w:rsidR="009123AC" w:rsidRPr="00F0379B" w:rsidRDefault="009123AC" w:rsidP="00CE0EC8">
      <w:pPr>
        <w:numPr>
          <w:ilvl w:val="3"/>
          <w:numId w:val="78"/>
        </w:numPr>
        <w:snapToGrid w:val="0"/>
        <w:spacing w:after="0" w:line="240" w:lineRule="auto"/>
        <w:ind w:left="567"/>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 xml:space="preserve">la investigación sobre los patrones </w:t>
      </w:r>
      <w:proofErr w:type="gramStart"/>
      <w:r w:rsidRPr="00F0379B">
        <w:rPr>
          <w:rFonts w:ascii="Cambria" w:eastAsia="MS Gothic" w:hAnsi="Cambria" w:cs="Times New Roman"/>
          <w:sz w:val="20"/>
          <w:szCs w:val="20"/>
          <w:lang w:eastAsia="fr-FR" w:bidi="fr-FR"/>
          <w14:ligatures w14:val="standardContextual"/>
        </w:rPr>
        <w:t>espacio-temporales</w:t>
      </w:r>
      <w:proofErr w:type="gramEnd"/>
      <w:r w:rsidRPr="00F0379B">
        <w:rPr>
          <w:rFonts w:ascii="Cambria" w:eastAsia="MS Gothic" w:hAnsi="Cambria" w:cs="Times New Roman"/>
          <w:sz w:val="20"/>
          <w:szCs w:val="20"/>
          <w:lang w:eastAsia="fr-FR" w:bidi="fr-FR"/>
          <w14:ligatures w14:val="standardContextual"/>
        </w:rPr>
        <w:t xml:space="preserve"> de alimentación y reproducción del atún rojo del Atlántico en el mar Adriático;</w:t>
      </w:r>
    </w:p>
    <w:p w14:paraId="3B3CA6C7" w14:textId="77777777" w:rsidR="009123AC" w:rsidRPr="00F0379B" w:rsidRDefault="009123AC" w:rsidP="00CE0EC8">
      <w:pPr>
        <w:numPr>
          <w:ilvl w:val="3"/>
          <w:numId w:val="78"/>
        </w:numPr>
        <w:snapToGrid w:val="0"/>
        <w:spacing w:after="0" w:line="240" w:lineRule="auto"/>
        <w:ind w:left="567"/>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 xml:space="preserve">la comparación morfométrica de atunes juveniles, incluyendo el desarrollo y la aplicación de métodos para la discriminación fiable de </w:t>
      </w:r>
      <w:proofErr w:type="spellStart"/>
      <w:r w:rsidRPr="00F0379B">
        <w:rPr>
          <w:rFonts w:ascii="Cambria" w:eastAsia="MS Gothic" w:hAnsi="Cambria" w:cs="Times New Roman"/>
          <w:i/>
          <w:iCs/>
          <w:sz w:val="20"/>
          <w:szCs w:val="20"/>
          <w:lang w:eastAsia="fr-FR" w:bidi="fr-FR"/>
          <w14:ligatures w14:val="standardContextual"/>
        </w:rPr>
        <w:t>Thunnus</w:t>
      </w:r>
      <w:proofErr w:type="spellEnd"/>
      <w:r w:rsidRPr="00F0379B">
        <w:rPr>
          <w:rFonts w:ascii="Cambria" w:eastAsia="MS Gothic" w:hAnsi="Cambria" w:cs="Times New Roman"/>
          <w:i/>
          <w:iCs/>
          <w:sz w:val="20"/>
          <w:szCs w:val="20"/>
          <w:lang w:eastAsia="fr-FR" w:bidi="fr-FR"/>
          <w14:ligatures w14:val="standardContextual"/>
        </w:rPr>
        <w:t xml:space="preserve"> </w:t>
      </w:r>
      <w:proofErr w:type="spellStart"/>
      <w:r w:rsidRPr="00F0379B">
        <w:rPr>
          <w:rFonts w:ascii="Cambria" w:eastAsia="MS Gothic" w:hAnsi="Cambria" w:cs="Times New Roman"/>
          <w:i/>
          <w:iCs/>
          <w:sz w:val="20"/>
          <w:szCs w:val="20"/>
          <w:lang w:eastAsia="fr-FR" w:bidi="fr-FR"/>
          <w14:ligatures w14:val="standardContextual"/>
        </w:rPr>
        <w:t>thynnus</w:t>
      </w:r>
      <w:proofErr w:type="spellEnd"/>
      <w:r w:rsidRPr="00F0379B">
        <w:rPr>
          <w:rFonts w:ascii="Cambria" w:eastAsia="MS Gothic" w:hAnsi="Cambria" w:cs="Times New Roman"/>
          <w:sz w:val="20"/>
          <w:szCs w:val="20"/>
          <w:lang w:eastAsia="fr-FR" w:bidi="fr-FR"/>
          <w14:ligatures w14:val="standardContextual"/>
        </w:rPr>
        <w:t xml:space="preserve"> juvenil de especies estrechamente relacionadas.</w:t>
      </w:r>
    </w:p>
    <w:p w14:paraId="20D6EBE6" w14:textId="77777777" w:rsidR="009123AC" w:rsidRPr="00F0379B" w:rsidRDefault="009123AC" w:rsidP="009123AC">
      <w:pPr>
        <w:snapToGrid w:val="0"/>
        <w:spacing w:after="0" w:line="240" w:lineRule="auto"/>
        <w:jc w:val="both"/>
        <w:rPr>
          <w:rFonts w:ascii="Cambria" w:eastAsia="MS Gothic" w:hAnsi="Cambria" w:cs="Times New Roman"/>
          <w:color w:val="000000"/>
          <w:sz w:val="20"/>
          <w:szCs w:val="20"/>
          <w:lang w:eastAsia="fr-FR" w:bidi="fr-FR"/>
          <w14:ligatures w14:val="standardContextual"/>
        </w:rPr>
      </w:pPr>
    </w:p>
    <w:p w14:paraId="70249498" w14:textId="77777777" w:rsidR="009123AC" w:rsidRPr="00F0379B" w:rsidRDefault="009123AC" w:rsidP="009123AC">
      <w:pPr>
        <w:snapToGrid w:val="0"/>
        <w:spacing w:after="0" w:line="240" w:lineRule="auto"/>
        <w:rPr>
          <w:rFonts w:ascii="Cambria" w:eastAsia="MS Gothic" w:hAnsi="Cambria" w:cs="Times New Roman"/>
          <w:color w:val="000000"/>
          <w:sz w:val="20"/>
          <w:szCs w:val="20"/>
          <w:lang w:eastAsia="ja-JP" w:bidi="fr-FR"/>
          <w14:ligatures w14:val="standardContextual"/>
        </w:rPr>
      </w:pPr>
    </w:p>
    <w:p w14:paraId="46657458" w14:textId="77777777" w:rsidR="009123AC" w:rsidRPr="00F0379B" w:rsidRDefault="009123AC" w:rsidP="009123AC">
      <w:pPr>
        <w:keepNext/>
        <w:spacing w:after="0" w:line="240" w:lineRule="auto"/>
        <w:jc w:val="both"/>
        <w:rPr>
          <w:rFonts w:ascii="Cambria" w:eastAsia="Times New Roman" w:hAnsi="Cambria" w:cs="Times New Roman"/>
          <w:sz w:val="20"/>
          <w:szCs w:val="20"/>
        </w:rPr>
      </w:pPr>
    </w:p>
    <w:p w14:paraId="3D2D27D0" w14:textId="77777777" w:rsidR="009123AC" w:rsidRPr="00F0379B" w:rsidRDefault="009123AC" w:rsidP="009123AC">
      <w:pPr>
        <w:spacing w:after="0" w:line="240" w:lineRule="auto"/>
        <w:contextualSpacing/>
        <w:rPr>
          <w:rFonts w:ascii="Cambria" w:eastAsia="MS Gothic" w:hAnsi="Cambria" w:cs="Times New Roman"/>
          <w:sz w:val="20"/>
          <w:szCs w:val="20"/>
          <w14:ligatures w14:val="standardContextual"/>
        </w:rPr>
      </w:pPr>
    </w:p>
    <w:p w14:paraId="085D3A39" w14:textId="77777777" w:rsidR="009123AC" w:rsidRPr="00F0379B" w:rsidRDefault="009123AC" w:rsidP="009123AC">
      <w:pPr>
        <w:keepNext/>
        <w:spacing w:after="0" w:line="240" w:lineRule="auto"/>
        <w:jc w:val="both"/>
        <w:rPr>
          <w:rFonts w:ascii="Cambria" w:eastAsia="Times New Roman" w:hAnsi="Cambria" w:cs="Times New Roman"/>
          <w:sz w:val="20"/>
          <w:szCs w:val="20"/>
        </w:rPr>
        <w:sectPr w:rsidR="009123AC" w:rsidRPr="00F0379B" w:rsidSect="009123AC">
          <w:footnotePr>
            <w:numRestart w:val="eachSect"/>
          </w:footnotePr>
          <w:pgSz w:w="11906" w:h="16838" w:code="9"/>
          <w:pgMar w:top="1418" w:right="1418" w:bottom="1418" w:left="1418" w:header="851" w:footer="1134" w:gutter="0"/>
          <w:cols w:space="425"/>
          <w:docGrid w:linePitch="360"/>
        </w:sectPr>
      </w:pPr>
    </w:p>
    <w:p w14:paraId="7B8F4025" w14:textId="77777777" w:rsidR="009123AC" w:rsidRPr="00F0379B" w:rsidRDefault="009123AC" w:rsidP="009123AC">
      <w:pPr>
        <w:keepNext/>
        <w:spacing w:after="0" w:line="240" w:lineRule="auto"/>
        <w:rPr>
          <w:rFonts w:ascii="Cambria" w:eastAsia="MS Gothic" w:hAnsi="Cambria" w:cs="Times New Roman"/>
          <w:b/>
          <w:bCs/>
          <w:sz w:val="20"/>
          <w:szCs w:val="20"/>
          <w14:ligatures w14:val="standardContextual"/>
        </w:rPr>
      </w:pPr>
      <w:r w:rsidRPr="00F0379B">
        <w:rPr>
          <w:rFonts w:ascii="Cambria" w:eastAsia="Aptos" w:hAnsi="Cambria" w:cs="Times New Roman"/>
          <w:b/>
          <w:kern w:val="2"/>
          <w:sz w:val="20"/>
          <w:szCs w:val="20"/>
          <w14:ligatures w14:val="standardContextual"/>
        </w:rPr>
        <w:lastRenderedPageBreak/>
        <w:t>Tabla de capacidad</w:t>
      </w:r>
    </w:p>
    <w:tbl>
      <w:tblPr>
        <w:tblW w:w="14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9"/>
        <w:gridCol w:w="1741"/>
        <w:gridCol w:w="646"/>
        <w:gridCol w:w="710"/>
        <w:gridCol w:w="572"/>
        <w:gridCol w:w="649"/>
        <w:gridCol w:w="675"/>
        <w:gridCol w:w="685"/>
        <w:gridCol w:w="602"/>
        <w:gridCol w:w="222"/>
        <w:gridCol w:w="696"/>
        <w:gridCol w:w="696"/>
        <w:gridCol w:w="696"/>
        <w:gridCol w:w="696"/>
        <w:gridCol w:w="696"/>
        <w:gridCol w:w="696"/>
        <w:gridCol w:w="773"/>
      </w:tblGrid>
      <w:tr w:rsidR="009123AC" w:rsidRPr="00F0379B" w14:paraId="4282C13F" w14:textId="77777777" w:rsidTr="00CA749B">
        <w:trPr>
          <w:trHeight w:val="23"/>
        </w:trPr>
        <w:tc>
          <w:tcPr>
            <w:tcW w:w="3359" w:type="dxa"/>
            <w:noWrap/>
            <w:vAlign w:val="center"/>
            <w:hideMark/>
          </w:tcPr>
          <w:p w14:paraId="419CC86C" w14:textId="77777777" w:rsidR="009123AC" w:rsidRPr="00F0379B" w:rsidRDefault="009123AC" w:rsidP="009123AC">
            <w:pPr>
              <w:keepNext/>
              <w:spacing w:after="0" w:line="240" w:lineRule="auto"/>
              <w:jc w:val="center"/>
              <w:outlineLvl w:val="1"/>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Tipo de buque atunero</w:t>
            </w:r>
          </w:p>
        </w:tc>
        <w:tc>
          <w:tcPr>
            <w:tcW w:w="1741" w:type="dxa"/>
            <w:noWrap/>
            <w:vAlign w:val="center"/>
            <w:hideMark/>
          </w:tcPr>
          <w:p w14:paraId="36C1B02D"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1928" w:type="dxa"/>
            <w:gridSpan w:val="3"/>
          </w:tcPr>
          <w:p w14:paraId="3F907920" w14:textId="77777777" w:rsidR="009123AC" w:rsidRPr="00F0379B" w:rsidRDefault="009123AC" w:rsidP="009123AC">
            <w:pPr>
              <w:spacing w:after="0" w:line="240" w:lineRule="auto"/>
              <w:jc w:val="center"/>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Años de referencia</w:t>
            </w:r>
          </w:p>
        </w:tc>
        <w:tc>
          <w:tcPr>
            <w:tcW w:w="2611" w:type="dxa"/>
            <w:gridSpan w:val="4"/>
            <w:vAlign w:val="center"/>
          </w:tcPr>
          <w:p w14:paraId="2483A51B" w14:textId="77777777" w:rsidR="009123AC" w:rsidRPr="00F0379B" w:rsidRDefault="009123AC" w:rsidP="009123AC">
            <w:pPr>
              <w:spacing w:after="0" w:line="240" w:lineRule="auto"/>
              <w:jc w:val="center"/>
              <w:rPr>
                <w:rFonts w:ascii="Cambria" w:eastAsia="Times New Roman" w:hAnsi="Cambria" w:cs="Times New Roman"/>
                <w:sz w:val="16"/>
                <w:szCs w:val="16"/>
                <w:lang w:eastAsia="fr-FR" w:bidi="fr-FR"/>
              </w:rPr>
            </w:pPr>
            <w:r w:rsidRPr="00F0379B">
              <w:rPr>
                <w:rFonts w:ascii="Cambria" w:eastAsia="MS Gothic" w:hAnsi="Cambria" w:cs="Times New Roman"/>
                <w:i/>
                <w:sz w:val="16"/>
                <w:szCs w:val="16"/>
                <w:lang w:eastAsia="fr-FR" w:bidi="fr-FR"/>
              </w:rPr>
              <w:t>N.º de buques</w:t>
            </w:r>
          </w:p>
        </w:tc>
        <w:tc>
          <w:tcPr>
            <w:tcW w:w="0" w:type="auto"/>
            <w:shd w:val="clear" w:color="auto" w:fill="D9D9D9"/>
            <w:vAlign w:val="center"/>
            <w:hideMark/>
          </w:tcPr>
          <w:p w14:paraId="6961C689" w14:textId="77777777" w:rsidR="009123AC" w:rsidRPr="00F0379B" w:rsidRDefault="009123AC" w:rsidP="009123AC">
            <w:pPr>
              <w:spacing w:after="0" w:line="240" w:lineRule="auto"/>
              <w:jc w:val="center"/>
              <w:rPr>
                <w:rFonts w:ascii="Cambria" w:eastAsia="Times New Roman" w:hAnsi="Cambria" w:cs="Times New Roman"/>
                <w:sz w:val="16"/>
                <w:szCs w:val="16"/>
                <w:lang w:val="en-US" w:eastAsia="ja-JP"/>
              </w:rPr>
            </w:pPr>
          </w:p>
        </w:tc>
        <w:tc>
          <w:tcPr>
            <w:tcW w:w="0" w:type="auto"/>
            <w:gridSpan w:val="3"/>
          </w:tcPr>
          <w:p w14:paraId="670A6BC8" w14:textId="77777777" w:rsidR="009123AC" w:rsidRPr="00F0379B" w:rsidRDefault="009123AC" w:rsidP="009123AC">
            <w:pPr>
              <w:spacing w:after="0" w:line="240" w:lineRule="auto"/>
              <w:jc w:val="center"/>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Años de referencia</w:t>
            </w:r>
          </w:p>
        </w:tc>
        <w:tc>
          <w:tcPr>
            <w:tcW w:w="0" w:type="auto"/>
            <w:gridSpan w:val="4"/>
          </w:tcPr>
          <w:p w14:paraId="15D5B4B8" w14:textId="77777777" w:rsidR="009123AC" w:rsidRPr="00F0379B" w:rsidRDefault="009123AC" w:rsidP="009123AC">
            <w:pPr>
              <w:spacing w:after="0" w:line="240" w:lineRule="auto"/>
              <w:jc w:val="center"/>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Capacidad de pesca</w:t>
            </w:r>
          </w:p>
        </w:tc>
      </w:tr>
      <w:tr w:rsidR="009123AC" w:rsidRPr="00F0379B" w14:paraId="32215C73" w14:textId="77777777" w:rsidTr="00CA749B">
        <w:trPr>
          <w:trHeight w:val="23"/>
        </w:trPr>
        <w:tc>
          <w:tcPr>
            <w:tcW w:w="3359" w:type="dxa"/>
            <w:tcBorders>
              <w:bottom w:val="single" w:sz="12" w:space="0" w:color="000000"/>
            </w:tcBorders>
            <w:noWrap/>
            <w:vAlign w:val="center"/>
            <w:hideMark/>
          </w:tcPr>
          <w:p w14:paraId="2D3C75E3"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Tipo</w:t>
            </w:r>
          </w:p>
        </w:tc>
        <w:tc>
          <w:tcPr>
            <w:tcW w:w="1741" w:type="dxa"/>
            <w:tcBorders>
              <w:bottom w:val="single" w:sz="12" w:space="0" w:color="000000"/>
            </w:tcBorders>
            <w:vAlign w:val="center"/>
            <w:hideMark/>
          </w:tcPr>
          <w:p w14:paraId="038363CE"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Mejores tasas de captura definidas por el SCRS en 2009 (t)</w:t>
            </w:r>
          </w:p>
        </w:tc>
        <w:tc>
          <w:tcPr>
            <w:tcW w:w="646" w:type="dxa"/>
            <w:tcBorders>
              <w:bottom w:val="single" w:sz="12" w:space="0" w:color="000000"/>
            </w:tcBorders>
            <w:vAlign w:val="center"/>
          </w:tcPr>
          <w:p w14:paraId="62987D3F"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2006</w:t>
            </w:r>
          </w:p>
        </w:tc>
        <w:tc>
          <w:tcPr>
            <w:tcW w:w="710" w:type="dxa"/>
            <w:tcBorders>
              <w:bottom w:val="single" w:sz="12" w:space="0" w:color="000000"/>
            </w:tcBorders>
            <w:noWrap/>
            <w:vAlign w:val="center"/>
            <w:hideMark/>
          </w:tcPr>
          <w:p w14:paraId="0F09C88F"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2008</w:t>
            </w:r>
          </w:p>
        </w:tc>
        <w:tc>
          <w:tcPr>
            <w:tcW w:w="572" w:type="dxa"/>
            <w:tcBorders>
              <w:bottom w:val="single" w:sz="12" w:space="0" w:color="000000"/>
            </w:tcBorders>
            <w:vAlign w:val="center"/>
            <w:hideMark/>
          </w:tcPr>
          <w:p w14:paraId="055FD44B"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2018</w:t>
            </w:r>
          </w:p>
        </w:tc>
        <w:tc>
          <w:tcPr>
            <w:tcW w:w="649" w:type="dxa"/>
            <w:tcBorders>
              <w:bottom w:val="single" w:sz="12" w:space="0" w:color="000000"/>
            </w:tcBorders>
            <w:vAlign w:val="center"/>
            <w:hideMark/>
          </w:tcPr>
          <w:p w14:paraId="485FF984"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2023</w:t>
            </w:r>
          </w:p>
        </w:tc>
        <w:tc>
          <w:tcPr>
            <w:tcW w:w="675" w:type="dxa"/>
            <w:tcBorders>
              <w:bottom w:val="single" w:sz="12" w:space="0" w:color="000000"/>
            </w:tcBorders>
            <w:vAlign w:val="center"/>
            <w:hideMark/>
          </w:tcPr>
          <w:p w14:paraId="24F4269B"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2024</w:t>
            </w:r>
          </w:p>
        </w:tc>
        <w:tc>
          <w:tcPr>
            <w:tcW w:w="685" w:type="dxa"/>
            <w:tcBorders>
              <w:bottom w:val="single" w:sz="12" w:space="0" w:color="000000"/>
            </w:tcBorders>
            <w:vAlign w:val="center"/>
          </w:tcPr>
          <w:p w14:paraId="4579C021"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2025</w:t>
            </w:r>
          </w:p>
        </w:tc>
        <w:tc>
          <w:tcPr>
            <w:tcW w:w="0" w:type="auto"/>
            <w:tcBorders>
              <w:bottom w:val="single" w:sz="12" w:space="0" w:color="000000"/>
            </w:tcBorders>
            <w:vAlign w:val="center"/>
          </w:tcPr>
          <w:p w14:paraId="6ACC9830"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2026</w:t>
            </w:r>
          </w:p>
        </w:tc>
        <w:tc>
          <w:tcPr>
            <w:tcW w:w="0" w:type="auto"/>
            <w:tcBorders>
              <w:bottom w:val="single" w:sz="12" w:space="0" w:color="000000"/>
            </w:tcBorders>
            <w:shd w:val="clear" w:color="000000" w:fill="D9D9D9"/>
            <w:vAlign w:val="center"/>
            <w:hideMark/>
          </w:tcPr>
          <w:p w14:paraId="45F76059"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0" w:type="auto"/>
            <w:tcBorders>
              <w:bottom w:val="single" w:sz="12" w:space="0" w:color="000000"/>
            </w:tcBorders>
            <w:vAlign w:val="center"/>
          </w:tcPr>
          <w:p w14:paraId="3E381A5D"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2006</w:t>
            </w:r>
          </w:p>
        </w:tc>
        <w:tc>
          <w:tcPr>
            <w:tcW w:w="0" w:type="auto"/>
            <w:tcBorders>
              <w:bottom w:val="single" w:sz="12" w:space="0" w:color="000000"/>
            </w:tcBorders>
            <w:vAlign w:val="center"/>
            <w:hideMark/>
          </w:tcPr>
          <w:p w14:paraId="09582812"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2008</w:t>
            </w:r>
          </w:p>
        </w:tc>
        <w:tc>
          <w:tcPr>
            <w:tcW w:w="0" w:type="auto"/>
            <w:tcBorders>
              <w:bottom w:val="single" w:sz="12" w:space="0" w:color="000000"/>
            </w:tcBorders>
            <w:vAlign w:val="center"/>
            <w:hideMark/>
          </w:tcPr>
          <w:p w14:paraId="1605FC8E"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2018</w:t>
            </w:r>
          </w:p>
        </w:tc>
        <w:tc>
          <w:tcPr>
            <w:tcW w:w="0" w:type="auto"/>
            <w:tcBorders>
              <w:bottom w:val="single" w:sz="12" w:space="0" w:color="000000"/>
            </w:tcBorders>
            <w:vAlign w:val="center"/>
            <w:hideMark/>
          </w:tcPr>
          <w:p w14:paraId="7EB68808"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2023</w:t>
            </w:r>
          </w:p>
        </w:tc>
        <w:tc>
          <w:tcPr>
            <w:tcW w:w="0" w:type="auto"/>
            <w:tcBorders>
              <w:bottom w:val="single" w:sz="12" w:space="0" w:color="000000"/>
            </w:tcBorders>
            <w:vAlign w:val="center"/>
            <w:hideMark/>
          </w:tcPr>
          <w:p w14:paraId="3B8DA0CE"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2024</w:t>
            </w:r>
          </w:p>
        </w:tc>
        <w:tc>
          <w:tcPr>
            <w:tcW w:w="0" w:type="auto"/>
            <w:tcBorders>
              <w:bottom w:val="single" w:sz="12" w:space="0" w:color="000000"/>
            </w:tcBorders>
            <w:vAlign w:val="center"/>
            <w:hideMark/>
          </w:tcPr>
          <w:p w14:paraId="435EC917"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2025</w:t>
            </w:r>
          </w:p>
        </w:tc>
        <w:tc>
          <w:tcPr>
            <w:tcW w:w="0" w:type="auto"/>
            <w:tcBorders>
              <w:bottom w:val="single" w:sz="12" w:space="0" w:color="000000"/>
            </w:tcBorders>
            <w:vAlign w:val="center"/>
          </w:tcPr>
          <w:p w14:paraId="2655516C"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2026</w:t>
            </w:r>
          </w:p>
        </w:tc>
      </w:tr>
      <w:tr w:rsidR="009123AC" w:rsidRPr="00F0379B" w14:paraId="64104646" w14:textId="77777777" w:rsidTr="00CA749B">
        <w:trPr>
          <w:trHeight w:val="247"/>
        </w:trPr>
        <w:tc>
          <w:tcPr>
            <w:tcW w:w="3359" w:type="dxa"/>
            <w:tcBorders>
              <w:top w:val="single" w:sz="12" w:space="0" w:color="000000"/>
              <w:left w:val="single" w:sz="12" w:space="0" w:color="000000"/>
            </w:tcBorders>
            <w:noWrap/>
            <w:vAlign w:val="center"/>
            <w:hideMark/>
          </w:tcPr>
          <w:p w14:paraId="44E474CE"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Cerqueros de más de 40 m</w:t>
            </w:r>
          </w:p>
        </w:tc>
        <w:tc>
          <w:tcPr>
            <w:tcW w:w="1741" w:type="dxa"/>
            <w:tcBorders>
              <w:top w:val="single" w:sz="12" w:space="0" w:color="000000"/>
            </w:tcBorders>
            <w:noWrap/>
            <w:vAlign w:val="center"/>
            <w:hideMark/>
          </w:tcPr>
          <w:p w14:paraId="0B61D230"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70,66</w:t>
            </w:r>
          </w:p>
        </w:tc>
        <w:tc>
          <w:tcPr>
            <w:tcW w:w="646" w:type="dxa"/>
            <w:tcBorders>
              <w:top w:val="single" w:sz="12" w:space="0" w:color="000000"/>
            </w:tcBorders>
            <w:vAlign w:val="center"/>
          </w:tcPr>
          <w:p w14:paraId="42C93CA0"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HAnsi"/>
                <w:kern w:val="2"/>
                <w:sz w:val="15"/>
                <w:szCs w:val="15"/>
                <w:lang w:val="en-US" w:eastAsia="ja-JP"/>
              </w:rPr>
              <w:t>33</w:t>
            </w:r>
          </w:p>
        </w:tc>
        <w:tc>
          <w:tcPr>
            <w:tcW w:w="710" w:type="dxa"/>
            <w:tcBorders>
              <w:top w:val="single" w:sz="12" w:space="0" w:color="000000"/>
            </w:tcBorders>
            <w:noWrap/>
            <w:vAlign w:val="center"/>
            <w:hideMark/>
          </w:tcPr>
          <w:p w14:paraId="3D27A103"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38</w:t>
            </w:r>
          </w:p>
        </w:tc>
        <w:tc>
          <w:tcPr>
            <w:tcW w:w="572" w:type="dxa"/>
            <w:tcBorders>
              <w:top w:val="single" w:sz="12" w:space="0" w:color="000000"/>
            </w:tcBorders>
            <w:vAlign w:val="center"/>
            <w:hideMark/>
          </w:tcPr>
          <w:p w14:paraId="3458D698"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37</w:t>
            </w:r>
          </w:p>
        </w:tc>
        <w:tc>
          <w:tcPr>
            <w:tcW w:w="649" w:type="dxa"/>
            <w:tcBorders>
              <w:top w:val="single" w:sz="12" w:space="0" w:color="000000"/>
            </w:tcBorders>
            <w:vAlign w:val="center"/>
            <w:hideMark/>
          </w:tcPr>
          <w:p w14:paraId="4F2D4B47"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31</w:t>
            </w:r>
          </w:p>
        </w:tc>
        <w:tc>
          <w:tcPr>
            <w:tcW w:w="675" w:type="dxa"/>
            <w:tcBorders>
              <w:top w:val="single" w:sz="12" w:space="0" w:color="000000"/>
            </w:tcBorders>
            <w:vAlign w:val="center"/>
            <w:hideMark/>
          </w:tcPr>
          <w:p w14:paraId="17ADB644"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30</w:t>
            </w:r>
          </w:p>
        </w:tc>
        <w:tc>
          <w:tcPr>
            <w:tcW w:w="685" w:type="dxa"/>
            <w:tcBorders>
              <w:top w:val="single" w:sz="12" w:space="0" w:color="000000"/>
            </w:tcBorders>
            <w:vAlign w:val="center"/>
          </w:tcPr>
          <w:p w14:paraId="7E360F83"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31</w:t>
            </w:r>
          </w:p>
        </w:tc>
        <w:tc>
          <w:tcPr>
            <w:tcW w:w="0" w:type="auto"/>
            <w:tcBorders>
              <w:top w:val="single" w:sz="12" w:space="0" w:color="000000"/>
            </w:tcBorders>
            <w:vAlign w:val="center"/>
          </w:tcPr>
          <w:p w14:paraId="7AFE195C"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31</w:t>
            </w:r>
          </w:p>
        </w:tc>
        <w:tc>
          <w:tcPr>
            <w:tcW w:w="0" w:type="auto"/>
            <w:tcBorders>
              <w:top w:val="single" w:sz="12" w:space="0" w:color="000000"/>
            </w:tcBorders>
            <w:shd w:val="clear" w:color="000000" w:fill="D9D9D9"/>
            <w:vAlign w:val="center"/>
            <w:hideMark/>
          </w:tcPr>
          <w:p w14:paraId="011FD989"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0" w:type="auto"/>
            <w:tcBorders>
              <w:top w:val="single" w:sz="12" w:space="0" w:color="000000"/>
            </w:tcBorders>
            <w:vAlign w:val="center"/>
          </w:tcPr>
          <w:p w14:paraId="3DE8FAAB"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HAnsi"/>
                <w:kern w:val="2"/>
                <w:sz w:val="15"/>
                <w:szCs w:val="15"/>
                <w:lang w:val="en-US" w:eastAsia="ja-JP"/>
              </w:rPr>
              <w:t>2332</w:t>
            </w:r>
          </w:p>
        </w:tc>
        <w:tc>
          <w:tcPr>
            <w:tcW w:w="0" w:type="auto"/>
            <w:tcBorders>
              <w:top w:val="single" w:sz="12" w:space="0" w:color="000000"/>
            </w:tcBorders>
            <w:vAlign w:val="center"/>
            <w:hideMark/>
          </w:tcPr>
          <w:p w14:paraId="2DE537CF"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2685</w:t>
            </w:r>
          </w:p>
        </w:tc>
        <w:tc>
          <w:tcPr>
            <w:tcW w:w="0" w:type="auto"/>
            <w:tcBorders>
              <w:top w:val="single" w:sz="12" w:space="0" w:color="000000"/>
            </w:tcBorders>
            <w:vAlign w:val="center"/>
            <w:hideMark/>
          </w:tcPr>
          <w:p w14:paraId="4D9ABC4B"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2616</w:t>
            </w:r>
          </w:p>
        </w:tc>
        <w:tc>
          <w:tcPr>
            <w:tcW w:w="0" w:type="auto"/>
            <w:tcBorders>
              <w:top w:val="single" w:sz="12" w:space="0" w:color="000000"/>
            </w:tcBorders>
            <w:vAlign w:val="center"/>
            <w:hideMark/>
          </w:tcPr>
          <w:p w14:paraId="443656A6"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2192</w:t>
            </w:r>
          </w:p>
        </w:tc>
        <w:tc>
          <w:tcPr>
            <w:tcW w:w="0" w:type="auto"/>
            <w:tcBorders>
              <w:top w:val="single" w:sz="12" w:space="0" w:color="000000"/>
            </w:tcBorders>
            <w:vAlign w:val="center"/>
            <w:hideMark/>
          </w:tcPr>
          <w:p w14:paraId="73A6EA21"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2192</w:t>
            </w:r>
          </w:p>
        </w:tc>
        <w:tc>
          <w:tcPr>
            <w:tcW w:w="0" w:type="auto"/>
            <w:tcBorders>
              <w:top w:val="single" w:sz="12" w:space="0" w:color="000000"/>
            </w:tcBorders>
            <w:vAlign w:val="center"/>
            <w:hideMark/>
          </w:tcPr>
          <w:p w14:paraId="6570ED4C"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2191</w:t>
            </w:r>
          </w:p>
        </w:tc>
        <w:tc>
          <w:tcPr>
            <w:tcW w:w="0" w:type="auto"/>
            <w:tcBorders>
              <w:top w:val="single" w:sz="12" w:space="0" w:color="000000"/>
              <w:right w:val="single" w:sz="12" w:space="0" w:color="000000"/>
            </w:tcBorders>
            <w:vAlign w:val="center"/>
          </w:tcPr>
          <w:p w14:paraId="384C5972"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theme="majorBidi"/>
                <w:kern w:val="2"/>
                <w:sz w:val="15"/>
                <w:szCs w:val="15"/>
                <w:lang w:val="en-US" w:eastAsia="ja-JP"/>
              </w:rPr>
              <w:t>2190</w:t>
            </w:r>
          </w:p>
        </w:tc>
      </w:tr>
      <w:tr w:rsidR="009123AC" w:rsidRPr="00F0379B" w14:paraId="0BA34314" w14:textId="77777777" w:rsidTr="00CA749B">
        <w:trPr>
          <w:trHeight w:val="23"/>
        </w:trPr>
        <w:tc>
          <w:tcPr>
            <w:tcW w:w="3359" w:type="dxa"/>
            <w:tcBorders>
              <w:left w:val="single" w:sz="12" w:space="0" w:color="000000"/>
            </w:tcBorders>
            <w:noWrap/>
            <w:vAlign w:val="center"/>
            <w:hideMark/>
          </w:tcPr>
          <w:p w14:paraId="5F64DFCB"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Cerqueros entre 24 y 40 m</w:t>
            </w:r>
          </w:p>
        </w:tc>
        <w:tc>
          <w:tcPr>
            <w:tcW w:w="1741" w:type="dxa"/>
            <w:noWrap/>
            <w:vAlign w:val="center"/>
            <w:hideMark/>
          </w:tcPr>
          <w:p w14:paraId="3BEA4BF5"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49,78</w:t>
            </w:r>
          </w:p>
        </w:tc>
        <w:tc>
          <w:tcPr>
            <w:tcW w:w="646" w:type="dxa"/>
            <w:vAlign w:val="center"/>
          </w:tcPr>
          <w:p w14:paraId="2670CE59"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HAnsi"/>
                <w:kern w:val="2"/>
                <w:sz w:val="15"/>
                <w:szCs w:val="15"/>
                <w:lang w:val="en-US" w:eastAsia="ja-JP"/>
              </w:rPr>
              <w:t>73</w:t>
            </w:r>
          </w:p>
        </w:tc>
        <w:tc>
          <w:tcPr>
            <w:tcW w:w="710" w:type="dxa"/>
            <w:noWrap/>
            <w:vAlign w:val="center"/>
            <w:hideMark/>
          </w:tcPr>
          <w:p w14:paraId="50A8E5BA"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91</w:t>
            </w:r>
          </w:p>
        </w:tc>
        <w:tc>
          <w:tcPr>
            <w:tcW w:w="572" w:type="dxa"/>
            <w:vAlign w:val="center"/>
            <w:hideMark/>
          </w:tcPr>
          <w:p w14:paraId="7A81EFA7"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17</w:t>
            </w:r>
          </w:p>
        </w:tc>
        <w:tc>
          <w:tcPr>
            <w:tcW w:w="649" w:type="dxa"/>
            <w:vAlign w:val="center"/>
            <w:hideMark/>
          </w:tcPr>
          <w:p w14:paraId="65D3C6C3"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35</w:t>
            </w:r>
          </w:p>
        </w:tc>
        <w:tc>
          <w:tcPr>
            <w:tcW w:w="675" w:type="dxa"/>
            <w:vAlign w:val="center"/>
            <w:hideMark/>
          </w:tcPr>
          <w:p w14:paraId="087D12AA"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35</w:t>
            </w:r>
          </w:p>
        </w:tc>
        <w:tc>
          <w:tcPr>
            <w:tcW w:w="685" w:type="dxa"/>
            <w:vAlign w:val="center"/>
          </w:tcPr>
          <w:p w14:paraId="4141C5D8"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35</w:t>
            </w:r>
          </w:p>
        </w:tc>
        <w:tc>
          <w:tcPr>
            <w:tcW w:w="0" w:type="auto"/>
            <w:vAlign w:val="center"/>
          </w:tcPr>
          <w:p w14:paraId="134FD141"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35</w:t>
            </w:r>
          </w:p>
        </w:tc>
        <w:tc>
          <w:tcPr>
            <w:tcW w:w="0" w:type="auto"/>
            <w:shd w:val="clear" w:color="000000" w:fill="D9D9D9"/>
            <w:vAlign w:val="center"/>
            <w:hideMark/>
          </w:tcPr>
          <w:p w14:paraId="781B5FA9"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0" w:type="auto"/>
            <w:vAlign w:val="center"/>
          </w:tcPr>
          <w:p w14:paraId="4D31C750"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HAnsi"/>
                <w:kern w:val="2"/>
                <w:sz w:val="15"/>
                <w:szCs w:val="15"/>
                <w:lang w:val="en-US" w:eastAsia="ja-JP"/>
              </w:rPr>
              <w:t>3634</w:t>
            </w:r>
          </w:p>
        </w:tc>
        <w:tc>
          <w:tcPr>
            <w:tcW w:w="0" w:type="auto"/>
            <w:vAlign w:val="center"/>
            <w:hideMark/>
          </w:tcPr>
          <w:p w14:paraId="09B817B7"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4530</w:t>
            </w:r>
          </w:p>
        </w:tc>
        <w:tc>
          <w:tcPr>
            <w:tcW w:w="0" w:type="auto"/>
            <w:vAlign w:val="center"/>
            <w:hideMark/>
          </w:tcPr>
          <w:p w14:paraId="76727E2D"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846</w:t>
            </w:r>
          </w:p>
        </w:tc>
        <w:tc>
          <w:tcPr>
            <w:tcW w:w="0" w:type="auto"/>
            <w:vAlign w:val="center"/>
            <w:hideMark/>
          </w:tcPr>
          <w:p w14:paraId="215F751E"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1742</w:t>
            </w:r>
          </w:p>
        </w:tc>
        <w:tc>
          <w:tcPr>
            <w:tcW w:w="0" w:type="auto"/>
            <w:vAlign w:val="center"/>
            <w:hideMark/>
          </w:tcPr>
          <w:p w14:paraId="661CC19C"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1742</w:t>
            </w:r>
          </w:p>
        </w:tc>
        <w:tc>
          <w:tcPr>
            <w:tcW w:w="0" w:type="auto"/>
            <w:vAlign w:val="center"/>
            <w:hideMark/>
          </w:tcPr>
          <w:p w14:paraId="783C62F9"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1743</w:t>
            </w:r>
          </w:p>
        </w:tc>
        <w:tc>
          <w:tcPr>
            <w:tcW w:w="0" w:type="auto"/>
            <w:tcBorders>
              <w:right w:val="single" w:sz="12" w:space="0" w:color="000000"/>
            </w:tcBorders>
            <w:vAlign w:val="center"/>
          </w:tcPr>
          <w:p w14:paraId="3FADDA7A"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theme="majorBidi"/>
                <w:kern w:val="2"/>
                <w:sz w:val="15"/>
                <w:szCs w:val="15"/>
                <w:lang w:val="en-US" w:eastAsia="ja-JP"/>
              </w:rPr>
              <w:t>1743</w:t>
            </w:r>
          </w:p>
        </w:tc>
      </w:tr>
      <w:tr w:rsidR="009123AC" w:rsidRPr="00F0379B" w14:paraId="30AACD31" w14:textId="77777777" w:rsidTr="00CA749B">
        <w:trPr>
          <w:trHeight w:val="23"/>
        </w:trPr>
        <w:tc>
          <w:tcPr>
            <w:tcW w:w="3359" w:type="dxa"/>
            <w:tcBorders>
              <w:left w:val="single" w:sz="12" w:space="0" w:color="000000"/>
            </w:tcBorders>
            <w:noWrap/>
            <w:vAlign w:val="center"/>
            <w:hideMark/>
          </w:tcPr>
          <w:p w14:paraId="1151180E"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Cerqueros de menos de 24 m</w:t>
            </w:r>
          </w:p>
        </w:tc>
        <w:tc>
          <w:tcPr>
            <w:tcW w:w="1741" w:type="dxa"/>
            <w:noWrap/>
            <w:vAlign w:val="center"/>
            <w:hideMark/>
          </w:tcPr>
          <w:p w14:paraId="6F1496FE"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33,68</w:t>
            </w:r>
          </w:p>
        </w:tc>
        <w:tc>
          <w:tcPr>
            <w:tcW w:w="646" w:type="dxa"/>
            <w:vAlign w:val="center"/>
          </w:tcPr>
          <w:p w14:paraId="03F17A2D"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HAnsi"/>
                <w:kern w:val="2"/>
                <w:sz w:val="15"/>
                <w:szCs w:val="15"/>
                <w:lang w:val="en-US" w:eastAsia="ja-JP"/>
              </w:rPr>
              <w:t>39</w:t>
            </w:r>
          </w:p>
        </w:tc>
        <w:tc>
          <w:tcPr>
            <w:tcW w:w="710" w:type="dxa"/>
            <w:noWrap/>
            <w:vAlign w:val="center"/>
            <w:hideMark/>
          </w:tcPr>
          <w:p w14:paraId="61E8B30A"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112</w:t>
            </w:r>
          </w:p>
        </w:tc>
        <w:tc>
          <w:tcPr>
            <w:tcW w:w="572" w:type="dxa"/>
            <w:vAlign w:val="center"/>
            <w:hideMark/>
          </w:tcPr>
          <w:p w14:paraId="3729644B"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4</w:t>
            </w:r>
          </w:p>
        </w:tc>
        <w:tc>
          <w:tcPr>
            <w:tcW w:w="649" w:type="dxa"/>
            <w:vAlign w:val="center"/>
            <w:hideMark/>
          </w:tcPr>
          <w:p w14:paraId="49F96D08"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4</w:t>
            </w:r>
          </w:p>
        </w:tc>
        <w:tc>
          <w:tcPr>
            <w:tcW w:w="675" w:type="dxa"/>
            <w:vAlign w:val="center"/>
            <w:hideMark/>
          </w:tcPr>
          <w:p w14:paraId="00D8B94E"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5</w:t>
            </w:r>
          </w:p>
        </w:tc>
        <w:tc>
          <w:tcPr>
            <w:tcW w:w="685" w:type="dxa"/>
            <w:vAlign w:val="center"/>
          </w:tcPr>
          <w:p w14:paraId="1549A04F"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5</w:t>
            </w:r>
          </w:p>
        </w:tc>
        <w:tc>
          <w:tcPr>
            <w:tcW w:w="0" w:type="auto"/>
            <w:vAlign w:val="center"/>
          </w:tcPr>
          <w:p w14:paraId="4497A84E"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5</w:t>
            </w:r>
          </w:p>
        </w:tc>
        <w:tc>
          <w:tcPr>
            <w:tcW w:w="0" w:type="auto"/>
            <w:shd w:val="clear" w:color="000000" w:fill="D9D9D9"/>
            <w:vAlign w:val="center"/>
            <w:hideMark/>
          </w:tcPr>
          <w:p w14:paraId="092080C2"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0" w:type="auto"/>
            <w:vAlign w:val="center"/>
          </w:tcPr>
          <w:p w14:paraId="3EF84820"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HAnsi"/>
                <w:kern w:val="2"/>
                <w:sz w:val="15"/>
                <w:szCs w:val="15"/>
                <w:lang w:val="en-US" w:eastAsia="ja-JP"/>
              </w:rPr>
              <w:t>1314</w:t>
            </w:r>
          </w:p>
        </w:tc>
        <w:tc>
          <w:tcPr>
            <w:tcW w:w="0" w:type="auto"/>
            <w:vAlign w:val="center"/>
            <w:hideMark/>
          </w:tcPr>
          <w:p w14:paraId="55F3CF90"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3772</w:t>
            </w:r>
          </w:p>
        </w:tc>
        <w:tc>
          <w:tcPr>
            <w:tcW w:w="0" w:type="auto"/>
            <w:vAlign w:val="center"/>
            <w:hideMark/>
          </w:tcPr>
          <w:p w14:paraId="056E9C49"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135</w:t>
            </w:r>
          </w:p>
        </w:tc>
        <w:tc>
          <w:tcPr>
            <w:tcW w:w="0" w:type="auto"/>
            <w:vAlign w:val="center"/>
            <w:hideMark/>
          </w:tcPr>
          <w:p w14:paraId="7F6E4F3E"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135</w:t>
            </w:r>
          </w:p>
        </w:tc>
        <w:tc>
          <w:tcPr>
            <w:tcW w:w="0" w:type="auto"/>
            <w:vAlign w:val="center"/>
            <w:hideMark/>
          </w:tcPr>
          <w:p w14:paraId="45E2FC9A"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135</w:t>
            </w:r>
          </w:p>
        </w:tc>
        <w:tc>
          <w:tcPr>
            <w:tcW w:w="0" w:type="auto"/>
            <w:vAlign w:val="center"/>
            <w:hideMark/>
          </w:tcPr>
          <w:p w14:paraId="30017C2F"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231</w:t>
            </w:r>
          </w:p>
        </w:tc>
        <w:tc>
          <w:tcPr>
            <w:tcW w:w="0" w:type="auto"/>
            <w:tcBorders>
              <w:right w:val="single" w:sz="12" w:space="0" w:color="000000"/>
            </w:tcBorders>
            <w:vAlign w:val="center"/>
          </w:tcPr>
          <w:p w14:paraId="4405E18E"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theme="majorBidi"/>
                <w:kern w:val="2"/>
                <w:sz w:val="16"/>
                <w:szCs w:val="16"/>
                <w:lang w:val="en-US" w:eastAsia="ja-JP"/>
              </w:rPr>
              <w:t>168</w:t>
            </w:r>
          </w:p>
        </w:tc>
      </w:tr>
      <w:tr w:rsidR="009123AC" w:rsidRPr="00F0379B" w14:paraId="129264D5" w14:textId="77777777" w:rsidTr="00CA749B">
        <w:trPr>
          <w:trHeight w:val="23"/>
        </w:trPr>
        <w:tc>
          <w:tcPr>
            <w:tcW w:w="3359" w:type="dxa"/>
            <w:tcBorders>
              <w:left w:val="single" w:sz="12" w:space="0" w:color="000000"/>
            </w:tcBorders>
            <w:noWrap/>
            <w:vAlign w:val="center"/>
            <w:hideMark/>
          </w:tcPr>
          <w:p w14:paraId="238EAB0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Total flota de cerco</w:t>
            </w:r>
          </w:p>
        </w:tc>
        <w:tc>
          <w:tcPr>
            <w:tcW w:w="1741" w:type="dxa"/>
            <w:noWrap/>
            <w:vAlign w:val="center"/>
            <w:hideMark/>
          </w:tcPr>
          <w:p w14:paraId="3343869B" w14:textId="77777777" w:rsidR="009123AC" w:rsidRPr="00F0379B" w:rsidRDefault="009123AC" w:rsidP="009123AC">
            <w:pPr>
              <w:spacing w:after="0" w:line="240" w:lineRule="auto"/>
              <w:rPr>
                <w:rFonts w:ascii="Cambria" w:eastAsia="Times New Roman" w:hAnsi="Cambria" w:cs="Times New Roman"/>
                <w:sz w:val="16"/>
                <w:szCs w:val="16"/>
                <w:lang w:eastAsia="fr-FR" w:bidi="fr-FR"/>
              </w:rPr>
            </w:pPr>
            <w:r w:rsidRPr="00F0379B">
              <w:rPr>
                <w:rFonts w:ascii="Cambria" w:eastAsia="MS Gothic" w:hAnsi="Cambria" w:cs="Times New Roman"/>
                <w:sz w:val="16"/>
                <w:szCs w:val="16"/>
                <w:lang w:eastAsia="fr-FR" w:bidi="fr-FR"/>
              </w:rPr>
              <w:t> </w:t>
            </w:r>
          </w:p>
        </w:tc>
        <w:tc>
          <w:tcPr>
            <w:tcW w:w="646" w:type="dxa"/>
            <w:vAlign w:val="center"/>
          </w:tcPr>
          <w:p w14:paraId="408FAD18"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HAnsi"/>
                <w:b/>
                <w:bCs/>
                <w:kern w:val="2"/>
                <w:sz w:val="15"/>
                <w:szCs w:val="15"/>
                <w:lang w:val="en-US" w:eastAsia="ja-JP"/>
              </w:rPr>
              <w:t>145</w:t>
            </w:r>
          </w:p>
        </w:tc>
        <w:tc>
          <w:tcPr>
            <w:tcW w:w="710" w:type="dxa"/>
            <w:noWrap/>
            <w:vAlign w:val="center"/>
            <w:hideMark/>
          </w:tcPr>
          <w:p w14:paraId="62F041D1"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241</w:t>
            </w:r>
          </w:p>
        </w:tc>
        <w:tc>
          <w:tcPr>
            <w:tcW w:w="572" w:type="dxa"/>
            <w:vAlign w:val="center"/>
            <w:hideMark/>
          </w:tcPr>
          <w:p w14:paraId="3619CF6F"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58</w:t>
            </w:r>
          </w:p>
        </w:tc>
        <w:tc>
          <w:tcPr>
            <w:tcW w:w="649" w:type="dxa"/>
            <w:vAlign w:val="center"/>
            <w:hideMark/>
          </w:tcPr>
          <w:p w14:paraId="1737AD5E"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70</w:t>
            </w:r>
          </w:p>
        </w:tc>
        <w:tc>
          <w:tcPr>
            <w:tcW w:w="675" w:type="dxa"/>
            <w:vAlign w:val="center"/>
            <w:hideMark/>
          </w:tcPr>
          <w:p w14:paraId="4E02B308"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Arial"/>
                <w:b/>
                <w:bCs/>
                <w:kern w:val="2"/>
                <w:sz w:val="15"/>
                <w:szCs w:val="15"/>
                <w:lang w:val="en-US" w:eastAsia="ja-JP"/>
              </w:rPr>
              <w:t>70</w:t>
            </w:r>
          </w:p>
        </w:tc>
        <w:tc>
          <w:tcPr>
            <w:tcW w:w="685" w:type="dxa"/>
            <w:vAlign w:val="center"/>
          </w:tcPr>
          <w:p w14:paraId="589B2979"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r w:rsidRPr="00F0379B">
              <w:rPr>
                <w:rFonts w:ascii="Cambria" w:eastAsia="Times New Roman" w:hAnsi="Cambria" w:cs="Arial"/>
                <w:b/>
                <w:bCs/>
                <w:kern w:val="2"/>
                <w:sz w:val="15"/>
                <w:szCs w:val="15"/>
                <w:lang w:val="en-US" w:eastAsia="ja-JP"/>
              </w:rPr>
              <w:t>71</w:t>
            </w:r>
          </w:p>
        </w:tc>
        <w:tc>
          <w:tcPr>
            <w:tcW w:w="0" w:type="auto"/>
            <w:vAlign w:val="center"/>
          </w:tcPr>
          <w:p w14:paraId="5392F28E"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b/>
                <w:bCs/>
                <w:kern w:val="2"/>
                <w:sz w:val="15"/>
                <w:szCs w:val="15"/>
                <w:lang w:val="en-US" w:eastAsia="ja-JP"/>
              </w:rPr>
              <w:t>71</w:t>
            </w:r>
          </w:p>
        </w:tc>
        <w:tc>
          <w:tcPr>
            <w:tcW w:w="0" w:type="auto"/>
            <w:shd w:val="clear" w:color="000000" w:fill="D9D9D9"/>
            <w:vAlign w:val="center"/>
            <w:hideMark/>
          </w:tcPr>
          <w:p w14:paraId="47700521"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p>
        </w:tc>
        <w:tc>
          <w:tcPr>
            <w:tcW w:w="0" w:type="auto"/>
            <w:vAlign w:val="center"/>
          </w:tcPr>
          <w:p w14:paraId="2F81B122"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HAnsi"/>
                <w:b/>
                <w:bCs/>
                <w:kern w:val="2"/>
                <w:sz w:val="15"/>
                <w:szCs w:val="15"/>
                <w:lang w:val="en-US" w:eastAsia="ja-JP"/>
              </w:rPr>
              <w:t>7279</w:t>
            </w:r>
          </w:p>
        </w:tc>
        <w:tc>
          <w:tcPr>
            <w:tcW w:w="0" w:type="auto"/>
            <w:vAlign w:val="center"/>
            <w:hideMark/>
          </w:tcPr>
          <w:p w14:paraId="1D753FA5"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10.987</w:t>
            </w:r>
          </w:p>
        </w:tc>
        <w:tc>
          <w:tcPr>
            <w:tcW w:w="0" w:type="auto"/>
            <w:vAlign w:val="center"/>
            <w:hideMark/>
          </w:tcPr>
          <w:p w14:paraId="36174BB3"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Arial"/>
                <w:b/>
                <w:kern w:val="2"/>
                <w:sz w:val="15"/>
                <w:szCs w:val="15"/>
                <w:lang w:val="en-US" w:eastAsia="ja-JP"/>
              </w:rPr>
              <w:t>3597</w:t>
            </w:r>
          </w:p>
        </w:tc>
        <w:tc>
          <w:tcPr>
            <w:tcW w:w="0" w:type="auto"/>
            <w:vAlign w:val="center"/>
            <w:hideMark/>
          </w:tcPr>
          <w:p w14:paraId="36BFD2B1"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4069</w:t>
            </w:r>
          </w:p>
        </w:tc>
        <w:tc>
          <w:tcPr>
            <w:tcW w:w="0" w:type="auto"/>
            <w:vAlign w:val="center"/>
            <w:hideMark/>
          </w:tcPr>
          <w:p w14:paraId="7802A0C5"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4069</w:t>
            </w:r>
          </w:p>
        </w:tc>
        <w:tc>
          <w:tcPr>
            <w:tcW w:w="0" w:type="auto"/>
            <w:vAlign w:val="center"/>
            <w:hideMark/>
          </w:tcPr>
          <w:p w14:paraId="17DEA8EB"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4164</w:t>
            </w:r>
          </w:p>
        </w:tc>
        <w:tc>
          <w:tcPr>
            <w:tcW w:w="0" w:type="auto"/>
            <w:tcBorders>
              <w:right w:val="single" w:sz="12" w:space="0" w:color="000000"/>
            </w:tcBorders>
            <w:vAlign w:val="center"/>
          </w:tcPr>
          <w:p w14:paraId="540302E1"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r w:rsidRPr="00F0379B">
              <w:rPr>
                <w:rFonts w:ascii="Cambria" w:eastAsia="Times New Roman" w:hAnsi="Cambria" w:cstheme="majorBidi"/>
                <w:b/>
                <w:bCs/>
                <w:kern w:val="2"/>
                <w:sz w:val="16"/>
                <w:szCs w:val="16"/>
                <w:lang w:val="en-US" w:eastAsia="ja-JP"/>
              </w:rPr>
              <w:t>4101</w:t>
            </w:r>
          </w:p>
        </w:tc>
      </w:tr>
      <w:tr w:rsidR="009123AC" w:rsidRPr="00F0379B" w14:paraId="10756DCD" w14:textId="77777777" w:rsidTr="00CA749B">
        <w:trPr>
          <w:trHeight w:val="23"/>
        </w:trPr>
        <w:tc>
          <w:tcPr>
            <w:tcW w:w="3359" w:type="dxa"/>
            <w:tcBorders>
              <w:left w:val="single" w:sz="12" w:space="0" w:color="000000"/>
            </w:tcBorders>
            <w:noWrap/>
            <w:vAlign w:val="center"/>
            <w:hideMark/>
          </w:tcPr>
          <w:p w14:paraId="1532F2DC"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Palangreros de más de 40 m</w:t>
            </w:r>
          </w:p>
        </w:tc>
        <w:tc>
          <w:tcPr>
            <w:tcW w:w="1741" w:type="dxa"/>
            <w:noWrap/>
            <w:vAlign w:val="center"/>
            <w:hideMark/>
          </w:tcPr>
          <w:p w14:paraId="5E9B8D3B"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25</w:t>
            </w:r>
          </w:p>
        </w:tc>
        <w:tc>
          <w:tcPr>
            <w:tcW w:w="646" w:type="dxa"/>
            <w:vAlign w:val="center"/>
          </w:tcPr>
          <w:p w14:paraId="1085E9D4"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HAnsi"/>
                <w:kern w:val="2"/>
                <w:sz w:val="15"/>
                <w:szCs w:val="15"/>
                <w:lang w:val="en-US" w:eastAsia="ja-JP"/>
              </w:rPr>
              <w:t>0</w:t>
            </w:r>
          </w:p>
        </w:tc>
        <w:tc>
          <w:tcPr>
            <w:tcW w:w="710" w:type="dxa"/>
            <w:noWrap/>
            <w:vAlign w:val="center"/>
            <w:hideMark/>
          </w:tcPr>
          <w:p w14:paraId="7C6811E0"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572" w:type="dxa"/>
            <w:vAlign w:val="center"/>
            <w:hideMark/>
          </w:tcPr>
          <w:p w14:paraId="3F82B07E"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0</w:t>
            </w:r>
          </w:p>
        </w:tc>
        <w:tc>
          <w:tcPr>
            <w:tcW w:w="649" w:type="dxa"/>
            <w:vAlign w:val="center"/>
            <w:hideMark/>
          </w:tcPr>
          <w:p w14:paraId="13B99DD4"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0</w:t>
            </w:r>
          </w:p>
        </w:tc>
        <w:tc>
          <w:tcPr>
            <w:tcW w:w="675" w:type="dxa"/>
            <w:vAlign w:val="center"/>
            <w:hideMark/>
          </w:tcPr>
          <w:p w14:paraId="52E88F81"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0</w:t>
            </w:r>
          </w:p>
        </w:tc>
        <w:tc>
          <w:tcPr>
            <w:tcW w:w="685" w:type="dxa"/>
            <w:vAlign w:val="center"/>
          </w:tcPr>
          <w:p w14:paraId="3ED61843"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0</w:t>
            </w:r>
          </w:p>
        </w:tc>
        <w:tc>
          <w:tcPr>
            <w:tcW w:w="0" w:type="auto"/>
            <w:vAlign w:val="center"/>
          </w:tcPr>
          <w:p w14:paraId="366D985C"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0</w:t>
            </w:r>
          </w:p>
        </w:tc>
        <w:tc>
          <w:tcPr>
            <w:tcW w:w="0" w:type="auto"/>
            <w:shd w:val="clear" w:color="000000" w:fill="D9D9D9"/>
            <w:vAlign w:val="center"/>
            <w:hideMark/>
          </w:tcPr>
          <w:p w14:paraId="257AC8FB"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0" w:type="auto"/>
            <w:vAlign w:val="center"/>
          </w:tcPr>
          <w:p w14:paraId="727D0A90"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HAnsi"/>
                <w:kern w:val="2"/>
                <w:sz w:val="15"/>
                <w:szCs w:val="15"/>
                <w:lang w:val="en-US" w:eastAsia="ja-JP"/>
              </w:rPr>
              <w:t>0.0</w:t>
            </w:r>
          </w:p>
        </w:tc>
        <w:tc>
          <w:tcPr>
            <w:tcW w:w="0" w:type="auto"/>
            <w:vAlign w:val="center"/>
            <w:hideMark/>
          </w:tcPr>
          <w:p w14:paraId="420B3E28"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0</w:t>
            </w:r>
          </w:p>
        </w:tc>
        <w:tc>
          <w:tcPr>
            <w:tcW w:w="0" w:type="auto"/>
            <w:vAlign w:val="center"/>
            <w:hideMark/>
          </w:tcPr>
          <w:p w14:paraId="445C6A82"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0</w:t>
            </w:r>
          </w:p>
        </w:tc>
        <w:tc>
          <w:tcPr>
            <w:tcW w:w="0" w:type="auto"/>
            <w:vAlign w:val="center"/>
            <w:hideMark/>
          </w:tcPr>
          <w:p w14:paraId="286EDF3C"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0</w:t>
            </w:r>
          </w:p>
        </w:tc>
        <w:tc>
          <w:tcPr>
            <w:tcW w:w="0" w:type="auto"/>
            <w:vAlign w:val="center"/>
            <w:hideMark/>
          </w:tcPr>
          <w:p w14:paraId="4076CAC0"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0</w:t>
            </w:r>
          </w:p>
        </w:tc>
        <w:tc>
          <w:tcPr>
            <w:tcW w:w="0" w:type="auto"/>
            <w:vAlign w:val="center"/>
            <w:hideMark/>
          </w:tcPr>
          <w:p w14:paraId="284D0C4E"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0</w:t>
            </w:r>
          </w:p>
        </w:tc>
        <w:tc>
          <w:tcPr>
            <w:tcW w:w="0" w:type="auto"/>
            <w:tcBorders>
              <w:right w:val="single" w:sz="12" w:space="0" w:color="000000"/>
            </w:tcBorders>
            <w:vAlign w:val="center"/>
          </w:tcPr>
          <w:p w14:paraId="2EDDDD09"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theme="majorBidi"/>
                <w:kern w:val="2"/>
                <w:sz w:val="15"/>
                <w:szCs w:val="15"/>
                <w:lang w:val="en-US" w:eastAsia="ja-JP"/>
              </w:rPr>
              <w:t>0</w:t>
            </w:r>
          </w:p>
        </w:tc>
      </w:tr>
      <w:tr w:rsidR="009123AC" w:rsidRPr="00F0379B" w14:paraId="4803FAF0" w14:textId="77777777" w:rsidTr="00CA749B">
        <w:trPr>
          <w:trHeight w:val="23"/>
        </w:trPr>
        <w:tc>
          <w:tcPr>
            <w:tcW w:w="3359" w:type="dxa"/>
            <w:tcBorders>
              <w:left w:val="single" w:sz="12" w:space="0" w:color="000000"/>
            </w:tcBorders>
            <w:noWrap/>
            <w:vAlign w:val="center"/>
            <w:hideMark/>
          </w:tcPr>
          <w:p w14:paraId="0402088D"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Palangreros entre 24 y 40 m</w:t>
            </w:r>
          </w:p>
        </w:tc>
        <w:tc>
          <w:tcPr>
            <w:tcW w:w="1741" w:type="dxa"/>
            <w:noWrap/>
            <w:vAlign w:val="center"/>
            <w:hideMark/>
          </w:tcPr>
          <w:p w14:paraId="5D0EA9BD"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5,68</w:t>
            </w:r>
          </w:p>
        </w:tc>
        <w:tc>
          <w:tcPr>
            <w:tcW w:w="646" w:type="dxa"/>
            <w:vAlign w:val="center"/>
          </w:tcPr>
          <w:p w14:paraId="1692B16C"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HAnsi"/>
                <w:kern w:val="2"/>
                <w:sz w:val="15"/>
                <w:szCs w:val="15"/>
                <w:lang w:val="en-US" w:eastAsia="ja-JP"/>
              </w:rPr>
              <w:t>13</w:t>
            </w:r>
          </w:p>
        </w:tc>
        <w:tc>
          <w:tcPr>
            <w:tcW w:w="710" w:type="dxa"/>
            <w:noWrap/>
            <w:vAlign w:val="center"/>
            <w:hideMark/>
          </w:tcPr>
          <w:p w14:paraId="14AD3615"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7</w:t>
            </w:r>
          </w:p>
        </w:tc>
        <w:tc>
          <w:tcPr>
            <w:tcW w:w="572" w:type="dxa"/>
            <w:vAlign w:val="center"/>
            <w:hideMark/>
          </w:tcPr>
          <w:p w14:paraId="54007FCC"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12</w:t>
            </w:r>
          </w:p>
        </w:tc>
        <w:tc>
          <w:tcPr>
            <w:tcW w:w="649" w:type="dxa"/>
            <w:vAlign w:val="center"/>
            <w:hideMark/>
          </w:tcPr>
          <w:p w14:paraId="3233897B"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4</w:t>
            </w:r>
          </w:p>
        </w:tc>
        <w:tc>
          <w:tcPr>
            <w:tcW w:w="675" w:type="dxa"/>
            <w:vAlign w:val="center"/>
            <w:hideMark/>
          </w:tcPr>
          <w:p w14:paraId="7E2DFB63"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24</w:t>
            </w:r>
          </w:p>
        </w:tc>
        <w:tc>
          <w:tcPr>
            <w:tcW w:w="685" w:type="dxa"/>
            <w:vAlign w:val="center"/>
          </w:tcPr>
          <w:p w14:paraId="4511FEA6"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5</w:t>
            </w:r>
          </w:p>
        </w:tc>
        <w:tc>
          <w:tcPr>
            <w:tcW w:w="0" w:type="auto"/>
            <w:vAlign w:val="center"/>
          </w:tcPr>
          <w:p w14:paraId="5E62FF8B"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4</w:t>
            </w:r>
          </w:p>
        </w:tc>
        <w:tc>
          <w:tcPr>
            <w:tcW w:w="0" w:type="auto"/>
            <w:shd w:val="clear" w:color="000000" w:fill="D9D9D9"/>
            <w:vAlign w:val="center"/>
            <w:hideMark/>
          </w:tcPr>
          <w:p w14:paraId="16F25E27"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0" w:type="auto"/>
            <w:vAlign w:val="center"/>
          </w:tcPr>
          <w:p w14:paraId="6B12ABCC"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HAnsi"/>
                <w:kern w:val="2"/>
                <w:sz w:val="15"/>
                <w:szCs w:val="15"/>
                <w:lang w:val="en-US" w:eastAsia="ja-JP"/>
              </w:rPr>
              <w:t>17.0</w:t>
            </w:r>
          </w:p>
        </w:tc>
        <w:tc>
          <w:tcPr>
            <w:tcW w:w="0" w:type="auto"/>
            <w:vAlign w:val="center"/>
            <w:hideMark/>
          </w:tcPr>
          <w:p w14:paraId="4655A2B3"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40</w:t>
            </w:r>
          </w:p>
        </w:tc>
        <w:tc>
          <w:tcPr>
            <w:tcW w:w="0" w:type="auto"/>
            <w:vAlign w:val="center"/>
            <w:hideMark/>
          </w:tcPr>
          <w:p w14:paraId="5E4F94F4"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68</w:t>
            </w:r>
          </w:p>
        </w:tc>
        <w:tc>
          <w:tcPr>
            <w:tcW w:w="0" w:type="auto"/>
            <w:vAlign w:val="center"/>
            <w:hideMark/>
          </w:tcPr>
          <w:p w14:paraId="2E122C02"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23</w:t>
            </w:r>
          </w:p>
        </w:tc>
        <w:tc>
          <w:tcPr>
            <w:tcW w:w="0" w:type="auto"/>
            <w:vAlign w:val="center"/>
            <w:hideMark/>
          </w:tcPr>
          <w:p w14:paraId="0A2F1AA0"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23</w:t>
            </w:r>
          </w:p>
        </w:tc>
        <w:tc>
          <w:tcPr>
            <w:tcW w:w="0" w:type="auto"/>
            <w:vAlign w:val="center"/>
            <w:hideMark/>
          </w:tcPr>
          <w:p w14:paraId="4C1D340E"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28</w:t>
            </w:r>
          </w:p>
        </w:tc>
        <w:tc>
          <w:tcPr>
            <w:tcW w:w="0" w:type="auto"/>
            <w:tcBorders>
              <w:right w:val="single" w:sz="12" w:space="0" w:color="000000"/>
            </w:tcBorders>
            <w:vAlign w:val="center"/>
          </w:tcPr>
          <w:p w14:paraId="1762E550"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theme="majorBidi"/>
                <w:kern w:val="2"/>
                <w:sz w:val="16"/>
                <w:szCs w:val="16"/>
                <w:lang w:val="en-US" w:eastAsia="ja-JP"/>
              </w:rPr>
              <w:t>23</w:t>
            </w:r>
          </w:p>
        </w:tc>
      </w:tr>
      <w:tr w:rsidR="009123AC" w:rsidRPr="00F0379B" w14:paraId="7946B4F2" w14:textId="77777777" w:rsidTr="00CA749B">
        <w:trPr>
          <w:trHeight w:val="23"/>
        </w:trPr>
        <w:tc>
          <w:tcPr>
            <w:tcW w:w="3359" w:type="dxa"/>
            <w:tcBorders>
              <w:left w:val="single" w:sz="12" w:space="0" w:color="000000"/>
            </w:tcBorders>
            <w:noWrap/>
            <w:vAlign w:val="center"/>
            <w:hideMark/>
          </w:tcPr>
          <w:p w14:paraId="5BBEB0F6"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Palangreros de menos de 24 m</w:t>
            </w:r>
          </w:p>
        </w:tc>
        <w:tc>
          <w:tcPr>
            <w:tcW w:w="1741" w:type="dxa"/>
            <w:noWrap/>
            <w:vAlign w:val="center"/>
            <w:hideMark/>
          </w:tcPr>
          <w:p w14:paraId="3D97BD29"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w:t>
            </w:r>
          </w:p>
        </w:tc>
        <w:tc>
          <w:tcPr>
            <w:tcW w:w="646" w:type="dxa"/>
            <w:vAlign w:val="center"/>
          </w:tcPr>
          <w:p w14:paraId="0140A80A"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HAnsi"/>
                <w:kern w:val="2"/>
                <w:sz w:val="15"/>
                <w:szCs w:val="15"/>
                <w:lang w:val="en-US" w:eastAsia="ja-JP"/>
              </w:rPr>
              <w:t>232</w:t>
            </w:r>
          </w:p>
        </w:tc>
        <w:tc>
          <w:tcPr>
            <w:tcW w:w="710" w:type="dxa"/>
            <w:noWrap/>
            <w:vAlign w:val="center"/>
            <w:hideMark/>
          </w:tcPr>
          <w:p w14:paraId="287B2874"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329</w:t>
            </w:r>
          </w:p>
        </w:tc>
        <w:tc>
          <w:tcPr>
            <w:tcW w:w="572" w:type="dxa"/>
            <w:vAlign w:val="center"/>
            <w:hideMark/>
          </w:tcPr>
          <w:p w14:paraId="17CBB30D"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127</w:t>
            </w:r>
          </w:p>
        </w:tc>
        <w:tc>
          <w:tcPr>
            <w:tcW w:w="649" w:type="dxa"/>
            <w:vAlign w:val="center"/>
            <w:hideMark/>
          </w:tcPr>
          <w:p w14:paraId="7CA0AE95"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183</w:t>
            </w:r>
          </w:p>
        </w:tc>
        <w:tc>
          <w:tcPr>
            <w:tcW w:w="675" w:type="dxa"/>
            <w:vAlign w:val="center"/>
            <w:hideMark/>
          </w:tcPr>
          <w:p w14:paraId="3B567CCF"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97</w:t>
            </w:r>
          </w:p>
        </w:tc>
        <w:tc>
          <w:tcPr>
            <w:tcW w:w="685" w:type="dxa"/>
            <w:vAlign w:val="center"/>
          </w:tcPr>
          <w:p w14:paraId="7FFED801"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174</w:t>
            </w:r>
          </w:p>
        </w:tc>
        <w:tc>
          <w:tcPr>
            <w:tcW w:w="0" w:type="auto"/>
            <w:vAlign w:val="center"/>
          </w:tcPr>
          <w:p w14:paraId="6EB19127"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178</w:t>
            </w:r>
          </w:p>
        </w:tc>
        <w:tc>
          <w:tcPr>
            <w:tcW w:w="0" w:type="auto"/>
            <w:shd w:val="clear" w:color="000000" w:fill="D9D9D9"/>
            <w:vAlign w:val="center"/>
            <w:hideMark/>
          </w:tcPr>
          <w:p w14:paraId="2D1A6980"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0" w:type="auto"/>
            <w:vAlign w:val="center"/>
          </w:tcPr>
          <w:p w14:paraId="694E0F5E"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HAnsi"/>
                <w:kern w:val="2"/>
                <w:sz w:val="15"/>
                <w:szCs w:val="15"/>
                <w:lang w:val="en-US" w:eastAsia="ja-JP"/>
              </w:rPr>
              <w:t>983</w:t>
            </w:r>
          </w:p>
        </w:tc>
        <w:tc>
          <w:tcPr>
            <w:tcW w:w="0" w:type="auto"/>
            <w:vAlign w:val="center"/>
            <w:hideMark/>
          </w:tcPr>
          <w:p w14:paraId="72B06801"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1645</w:t>
            </w:r>
          </w:p>
        </w:tc>
        <w:tc>
          <w:tcPr>
            <w:tcW w:w="0" w:type="auto"/>
            <w:vAlign w:val="center"/>
            <w:hideMark/>
          </w:tcPr>
          <w:p w14:paraId="7492ECEA"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635</w:t>
            </w:r>
          </w:p>
        </w:tc>
        <w:tc>
          <w:tcPr>
            <w:tcW w:w="0" w:type="auto"/>
            <w:vAlign w:val="center"/>
            <w:hideMark/>
          </w:tcPr>
          <w:p w14:paraId="4397C545"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778</w:t>
            </w:r>
          </w:p>
        </w:tc>
        <w:tc>
          <w:tcPr>
            <w:tcW w:w="0" w:type="auto"/>
            <w:vAlign w:val="center"/>
            <w:hideMark/>
          </w:tcPr>
          <w:p w14:paraId="3077B013"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885</w:t>
            </w:r>
          </w:p>
        </w:tc>
        <w:tc>
          <w:tcPr>
            <w:tcW w:w="0" w:type="auto"/>
            <w:vAlign w:val="center"/>
            <w:hideMark/>
          </w:tcPr>
          <w:p w14:paraId="7AAA91BB"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786</w:t>
            </w:r>
          </w:p>
        </w:tc>
        <w:tc>
          <w:tcPr>
            <w:tcW w:w="0" w:type="auto"/>
            <w:tcBorders>
              <w:right w:val="single" w:sz="12" w:space="0" w:color="000000"/>
            </w:tcBorders>
            <w:vAlign w:val="center"/>
          </w:tcPr>
          <w:p w14:paraId="7CA5A20D"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theme="majorBidi"/>
                <w:kern w:val="2"/>
                <w:sz w:val="16"/>
                <w:szCs w:val="16"/>
                <w:lang w:val="en-US" w:eastAsia="ja-JP"/>
              </w:rPr>
              <w:t>890</w:t>
            </w:r>
          </w:p>
        </w:tc>
      </w:tr>
      <w:tr w:rsidR="009123AC" w:rsidRPr="00F0379B" w14:paraId="0BE3AB10" w14:textId="77777777" w:rsidTr="00CA749B">
        <w:trPr>
          <w:trHeight w:val="23"/>
        </w:trPr>
        <w:tc>
          <w:tcPr>
            <w:tcW w:w="3359" w:type="dxa"/>
            <w:tcBorders>
              <w:left w:val="single" w:sz="12" w:space="0" w:color="000000"/>
            </w:tcBorders>
            <w:noWrap/>
            <w:vAlign w:val="center"/>
            <w:hideMark/>
          </w:tcPr>
          <w:p w14:paraId="28989B3B"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Total flota de palangre</w:t>
            </w:r>
          </w:p>
        </w:tc>
        <w:tc>
          <w:tcPr>
            <w:tcW w:w="1741" w:type="dxa"/>
            <w:noWrap/>
            <w:vAlign w:val="center"/>
            <w:hideMark/>
          </w:tcPr>
          <w:p w14:paraId="0187EEE5" w14:textId="77777777" w:rsidR="009123AC" w:rsidRPr="00F0379B" w:rsidRDefault="009123AC" w:rsidP="009123AC">
            <w:pPr>
              <w:spacing w:after="0" w:line="240" w:lineRule="auto"/>
              <w:rPr>
                <w:rFonts w:ascii="Cambria" w:eastAsia="Times New Roman" w:hAnsi="Cambria" w:cs="Times New Roman"/>
                <w:sz w:val="16"/>
                <w:szCs w:val="16"/>
                <w:lang w:eastAsia="fr-FR" w:bidi="fr-FR"/>
              </w:rPr>
            </w:pPr>
            <w:r w:rsidRPr="00F0379B">
              <w:rPr>
                <w:rFonts w:ascii="Cambria" w:eastAsia="MS Gothic" w:hAnsi="Cambria" w:cs="Times New Roman"/>
                <w:sz w:val="16"/>
                <w:szCs w:val="16"/>
                <w:lang w:eastAsia="fr-FR" w:bidi="fr-FR"/>
              </w:rPr>
              <w:t> </w:t>
            </w:r>
          </w:p>
        </w:tc>
        <w:tc>
          <w:tcPr>
            <w:tcW w:w="646" w:type="dxa"/>
            <w:vAlign w:val="center"/>
          </w:tcPr>
          <w:p w14:paraId="56E46D1B"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HAnsi"/>
                <w:b/>
                <w:bCs/>
                <w:kern w:val="2"/>
                <w:sz w:val="15"/>
                <w:szCs w:val="15"/>
                <w:lang w:val="en-US" w:eastAsia="ja-JP"/>
              </w:rPr>
              <w:t>245</w:t>
            </w:r>
          </w:p>
        </w:tc>
        <w:tc>
          <w:tcPr>
            <w:tcW w:w="710" w:type="dxa"/>
            <w:noWrap/>
            <w:vAlign w:val="center"/>
            <w:hideMark/>
          </w:tcPr>
          <w:p w14:paraId="143A7B35"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336</w:t>
            </w:r>
          </w:p>
        </w:tc>
        <w:tc>
          <w:tcPr>
            <w:tcW w:w="572" w:type="dxa"/>
            <w:vAlign w:val="center"/>
            <w:hideMark/>
          </w:tcPr>
          <w:p w14:paraId="22954964"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139</w:t>
            </w:r>
          </w:p>
        </w:tc>
        <w:tc>
          <w:tcPr>
            <w:tcW w:w="649" w:type="dxa"/>
            <w:vAlign w:val="center"/>
            <w:hideMark/>
          </w:tcPr>
          <w:p w14:paraId="542D5074"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187</w:t>
            </w:r>
          </w:p>
        </w:tc>
        <w:tc>
          <w:tcPr>
            <w:tcW w:w="675" w:type="dxa"/>
            <w:vAlign w:val="center"/>
            <w:hideMark/>
          </w:tcPr>
          <w:p w14:paraId="697444C9"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Arial"/>
                <w:b/>
                <w:bCs/>
                <w:kern w:val="2"/>
                <w:sz w:val="15"/>
                <w:szCs w:val="15"/>
                <w:lang w:val="en-US" w:eastAsia="ja-JP"/>
              </w:rPr>
              <w:t>121</w:t>
            </w:r>
          </w:p>
        </w:tc>
        <w:tc>
          <w:tcPr>
            <w:tcW w:w="685" w:type="dxa"/>
            <w:vAlign w:val="center"/>
          </w:tcPr>
          <w:p w14:paraId="2C7FBA46"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r w:rsidRPr="00F0379B">
              <w:rPr>
                <w:rFonts w:ascii="Cambria" w:eastAsia="Times New Roman" w:hAnsi="Cambria" w:cs="Arial"/>
                <w:b/>
                <w:bCs/>
                <w:kern w:val="2"/>
                <w:sz w:val="15"/>
                <w:szCs w:val="15"/>
                <w:lang w:val="en-US" w:eastAsia="ja-JP"/>
              </w:rPr>
              <w:t>179</w:t>
            </w:r>
          </w:p>
        </w:tc>
        <w:tc>
          <w:tcPr>
            <w:tcW w:w="0" w:type="auto"/>
            <w:vAlign w:val="center"/>
          </w:tcPr>
          <w:p w14:paraId="3B19CE72"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b/>
                <w:bCs/>
                <w:kern w:val="2"/>
                <w:sz w:val="15"/>
                <w:szCs w:val="15"/>
                <w:lang w:val="en-US" w:eastAsia="ja-JP"/>
              </w:rPr>
              <w:t>182</w:t>
            </w:r>
          </w:p>
        </w:tc>
        <w:tc>
          <w:tcPr>
            <w:tcW w:w="0" w:type="auto"/>
            <w:shd w:val="clear" w:color="000000" w:fill="D9D9D9"/>
            <w:vAlign w:val="center"/>
            <w:hideMark/>
          </w:tcPr>
          <w:p w14:paraId="6811BC09"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p>
        </w:tc>
        <w:tc>
          <w:tcPr>
            <w:tcW w:w="0" w:type="auto"/>
            <w:vAlign w:val="center"/>
          </w:tcPr>
          <w:p w14:paraId="0B679032"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HAnsi"/>
                <w:b/>
                <w:bCs/>
                <w:kern w:val="2"/>
                <w:sz w:val="15"/>
                <w:szCs w:val="15"/>
                <w:lang w:val="en-US" w:eastAsia="ja-JP"/>
              </w:rPr>
              <w:t>1000</w:t>
            </w:r>
          </w:p>
        </w:tc>
        <w:tc>
          <w:tcPr>
            <w:tcW w:w="0" w:type="auto"/>
            <w:vAlign w:val="center"/>
            <w:hideMark/>
          </w:tcPr>
          <w:p w14:paraId="1F13895C"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1685</w:t>
            </w:r>
          </w:p>
        </w:tc>
        <w:tc>
          <w:tcPr>
            <w:tcW w:w="0" w:type="auto"/>
            <w:vAlign w:val="center"/>
            <w:hideMark/>
          </w:tcPr>
          <w:p w14:paraId="4B8954EE"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703</w:t>
            </w:r>
          </w:p>
        </w:tc>
        <w:tc>
          <w:tcPr>
            <w:tcW w:w="0" w:type="auto"/>
            <w:vAlign w:val="center"/>
            <w:hideMark/>
          </w:tcPr>
          <w:p w14:paraId="6E8C0560"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800</w:t>
            </w:r>
          </w:p>
        </w:tc>
        <w:tc>
          <w:tcPr>
            <w:tcW w:w="0" w:type="auto"/>
            <w:vAlign w:val="center"/>
            <w:hideMark/>
          </w:tcPr>
          <w:p w14:paraId="0CB728B1"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908</w:t>
            </w:r>
          </w:p>
        </w:tc>
        <w:tc>
          <w:tcPr>
            <w:tcW w:w="0" w:type="auto"/>
            <w:vAlign w:val="center"/>
            <w:hideMark/>
          </w:tcPr>
          <w:p w14:paraId="69A0C8AB"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814</w:t>
            </w:r>
          </w:p>
        </w:tc>
        <w:tc>
          <w:tcPr>
            <w:tcW w:w="0" w:type="auto"/>
            <w:tcBorders>
              <w:right w:val="single" w:sz="12" w:space="0" w:color="000000"/>
            </w:tcBorders>
            <w:vAlign w:val="center"/>
          </w:tcPr>
          <w:p w14:paraId="583F3511"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r w:rsidRPr="00F0379B">
              <w:rPr>
                <w:rFonts w:ascii="Cambria" w:eastAsia="Times New Roman" w:hAnsi="Cambria" w:cstheme="majorBidi"/>
                <w:b/>
                <w:bCs/>
                <w:kern w:val="2"/>
                <w:sz w:val="16"/>
                <w:szCs w:val="16"/>
                <w:lang w:val="en-US" w:eastAsia="ja-JP"/>
              </w:rPr>
              <w:t>913</w:t>
            </w:r>
          </w:p>
        </w:tc>
      </w:tr>
      <w:tr w:rsidR="009123AC" w:rsidRPr="00F0379B" w14:paraId="00048341" w14:textId="77777777" w:rsidTr="00CA749B">
        <w:trPr>
          <w:trHeight w:val="221"/>
        </w:trPr>
        <w:tc>
          <w:tcPr>
            <w:tcW w:w="3359" w:type="dxa"/>
            <w:tcBorders>
              <w:left w:val="single" w:sz="12" w:space="0" w:color="000000"/>
            </w:tcBorders>
            <w:noWrap/>
            <w:vAlign w:val="center"/>
            <w:hideMark/>
          </w:tcPr>
          <w:p w14:paraId="38264F24"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Cebo vivo</w:t>
            </w:r>
          </w:p>
        </w:tc>
        <w:tc>
          <w:tcPr>
            <w:tcW w:w="1741" w:type="dxa"/>
            <w:noWrap/>
            <w:vAlign w:val="center"/>
            <w:hideMark/>
          </w:tcPr>
          <w:p w14:paraId="30B6F91D"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19,75</w:t>
            </w:r>
          </w:p>
        </w:tc>
        <w:tc>
          <w:tcPr>
            <w:tcW w:w="646" w:type="dxa"/>
            <w:vAlign w:val="center"/>
          </w:tcPr>
          <w:p w14:paraId="767F89A0"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HAnsi"/>
                <w:kern w:val="2"/>
                <w:sz w:val="15"/>
                <w:szCs w:val="15"/>
                <w:lang w:val="en-US" w:eastAsia="ja-JP"/>
              </w:rPr>
              <w:t>61</w:t>
            </w:r>
          </w:p>
        </w:tc>
        <w:tc>
          <w:tcPr>
            <w:tcW w:w="710" w:type="dxa"/>
            <w:noWrap/>
            <w:vAlign w:val="center"/>
            <w:hideMark/>
          </w:tcPr>
          <w:p w14:paraId="15CFB2E4"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68</w:t>
            </w:r>
          </w:p>
        </w:tc>
        <w:tc>
          <w:tcPr>
            <w:tcW w:w="572" w:type="dxa"/>
            <w:vAlign w:val="center"/>
            <w:hideMark/>
          </w:tcPr>
          <w:p w14:paraId="5C0EA0BB"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88</w:t>
            </w:r>
          </w:p>
        </w:tc>
        <w:tc>
          <w:tcPr>
            <w:tcW w:w="649" w:type="dxa"/>
            <w:vAlign w:val="center"/>
            <w:hideMark/>
          </w:tcPr>
          <w:p w14:paraId="3838FFD9"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Arial"/>
                <w:kern w:val="2"/>
                <w:sz w:val="15"/>
                <w:szCs w:val="15"/>
                <w:lang w:val="en-US" w:eastAsia="ja-JP"/>
              </w:rPr>
              <w:t>74</w:t>
            </w:r>
          </w:p>
        </w:tc>
        <w:tc>
          <w:tcPr>
            <w:tcW w:w="675" w:type="dxa"/>
            <w:vAlign w:val="center"/>
            <w:hideMark/>
          </w:tcPr>
          <w:p w14:paraId="7DBC0078"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Arial"/>
                <w:kern w:val="2"/>
                <w:sz w:val="15"/>
                <w:szCs w:val="15"/>
                <w:lang w:val="en-US" w:eastAsia="ja-JP"/>
              </w:rPr>
              <w:t>58</w:t>
            </w:r>
          </w:p>
        </w:tc>
        <w:tc>
          <w:tcPr>
            <w:tcW w:w="685" w:type="dxa"/>
            <w:vAlign w:val="center"/>
          </w:tcPr>
          <w:p w14:paraId="306AF73A"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r w:rsidRPr="00F0379B">
              <w:rPr>
                <w:rFonts w:ascii="Cambria" w:eastAsia="Times New Roman" w:hAnsi="Cambria" w:cs="Arial"/>
                <w:kern w:val="2"/>
                <w:sz w:val="15"/>
                <w:szCs w:val="15"/>
                <w:lang w:val="en-US" w:eastAsia="ja-JP"/>
              </w:rPr>
              <w:t>74</w:t>
            </w:r>
          </w:p>
        </w:tc>
        <w:tc>
          <w:tcPr>
            <w:tcW w:w="0" w:type="auto"/>
            <w:vAlign w:val="center"/>
          </w:tcPr>
          <w:p w14:paraId="129B3AD3"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72</w:t>
            </w:r>
          </w:p>
        </w:tc>
        <w:tc>
          <w:tcPr>
            <w:tcW w:w="0" w:type="auto"/>
            <w:shd w:val="clear" w:color="000000" w:fill="D9D9D9"/>
            <w:vAlign w:val="center"/>
            <w:hideMark/>
          </w:tcPr>
          <w:p w14:paraId="682C6074"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p>
        </w:tc>
        <w:tc>
          <w:tcPr>
            <w:tcW w:w="0" w:type="auto"/>
            <w:vAlign w:val="center"/>
          </w:tcPr>
          <w:p w14:paraId="097D3E00"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HAnsi"/>
                <w:kern w:val="2"/>
                <w:sz w:val="15"/>
                <w:szCs w:val="15"/>
                <w:lang w:val="en-US" w:eastAsia="ja-JP"/>
              </w:rPr>
              <w:t>1209</w:t>
            </w:r>
          </w:p>
        </w:tc>
        <w:tc>
          <w:tcPr>
            <w:tcW w:w="0" w:type="auto"/>
            <w:vAlign w:val="center"/>
            <w:hideMark/>
          </w:tcPr>
          <w:p w14:paraId="24C04325"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1343</w:t>
            </w:r>
          </w:p>
        </w:tc>
        <w:tc>
          <w:tcPr>
            <w:tcW w:w="0" w:type="auto"/>
            <w:vAlign w:val="center"/>
            <w:hideMark/>
          </w:tcPr>
          <w:p w14:paraId="7EDC9E4E"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Arial"/>
                <w:kern w:val="2"/>
                <w:sz w:val="15"/>
                <w:szCs w:val="15"/>
                <w:lang w:val="en-US" w:eastAsia="ja-JP"/>
              </w:rPr>
              <w:t>1742</w:t>
            </w:r>
          </w:p>
        </w:tc>
        <w:tc>
          <w:tcPr>
            <w:tcW w:w="0" w:type="auto"/>
            <w:vAlign w:val="center"/>
            <w:hideMark/>
          </w:tcPr>
          <w:p w14:paraId="70B21B8E"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1462</w:t>
            </w:r>
          </w:p>
        </w:tc>
        <w:tc>
          <w:tcPr>
            <w:tcW w:w="0" w:type="auto"/>
            <w:vAlign w:val="center"/>
            <w:hideMark/>
          </w:tcPr>
          <w:p w14:paraId="7BD81549"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1465</w:t>
            </w:r>
          </w:p>
        </w:tc>
        <w:tc>
          <w:tcPr>
            <w:tcW w:w="0" w:type="auto"/>
            <w:vAlign w:val="center"/>
            <w:hideMark/>
          </w:tcPr>
          <w:p w14:paraId="2BB597B8"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1462</w:t>
            </w:r>
          </w:p>
        </w:tc>
        <w:tc>
          <w:tcPr>
            <w:tcW w:w="0" w:type="auto"/>
            <w:tcBorders>
              <w:right w:val="single" w:sz="12" w:space="0" w:color="000000"/>
            </w:tcBorders>
            <w:vAlign w:val="center"/>
          </w:tcPr>
          <w:p w14:paraId="708A2D9B"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r w:rsidRPr="00F0379B">
              <w:rPr>
                <w:rFonts w:ascii="Cambria" w:eastAsia="Times New Roman" w:hAnsi="Cambria" w:cstheme="majorBidi"/>
                <w:kern w:val="2"/>
                <w:sz w:val="15"/>
                <w:szCs w:val="15"/>
                <w:lang w:val="en-US" w:eastAsia="ja-JP"/>
              </w:rPr>
              <w:t>1422</w:t>
            </w:r>
          </w:p>
        </w:tc>
      </w:tr>
      <w:tr w:rsidR="009123AC" w:rsidRPr="00F0379B" w14:paraId="748107A4" w14:textId="77777777" w:rsidTr="00CA749B">
        <w:trPr>
          <w:trHeight w:val="23"/>
        </w:trPr>
        <w:tc>
          <w:tcPr>
            <w:tcW w:w="3359" w:type="dxa"/>
            <w:tcBorders>
              <w:left w:val="single" w:sz="12" w:space="0" w:color="000000"/>
            </w:tcBorders>
            <w:noWrap/>
            <w:vAlign w:val="center"/>
            <w:hideMark/>
          </w:tcPr>
          <w:p w14:paraId="482C167A"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Liña de mano</w:t>
            </w:r>
          </w:p>
        </w:tc>
        <w:tc>
          <w:tcPr>
            <w:tcW w:w="1741" w:type="dxa"/>
            <w:noWrap/>
            <w:vAlign w:val="center"/>
            <w:hideMark/>
          </w:tcPr>
          <w:p w14:paraId="5E671332"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w:t>
            </w:r>
          </w:p>
        </w:tc>
        <w:tc>
          <w:tcPr>
            <w:tcW w:w="646" w:type="dxa"/>
            <w:vAlign w:val="center"/>
          </w:tcPr>
          <w:p w14:paraId="33585ACD"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HAnsi"/>
                <w:kern w:val="2"/>
                <w:sz w:val="15"/>
                <w:szCs w:val="15"/>
                <w:lang w:val="en-US" w:eastAsia="ja-JP"/>
              </w:rPr>
              <w:t>19</w:t>
            </w:r>
          </w:p>
        </w:tc>
        <w:tc>
          <w:tcPr>
            <w:tcW w:w="710" w:type="dxa"/>
            <w:noWrap/>
            <w:vAlign w:val="center"/>
            <w:hideMark/>
          </w:tcPr>
          <w:p w14:paraId="5FA04B0E"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101</w:t>
            </w:r>
          </w:p>
        </w:tc>
        <w:tc>
          <w:tcPr>
            <w:tcW w:w="572" w:type="dxa"/>
            <w:vAlign w:val="center"/>
            <w:hideMark/>
          </w:tcPr>
          <w:p w14:paraId="236C3719"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46</w:t>
            </w:r>
          </w:p>
        </w:tc>
        <w:tc>
          <w:tcPr>
            <w:tcW w:w="649" w:type="dxa"/>
            <w:vAlign w:val="center"/>
            <w:hideMark/>
          </w:tcPr>
          <w:p w14:paraId="098A79DA"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61</w:t>
            </w:r>
          </w:p>
        </w:tc>
        <w:tc>
          <w:tcPr>
            <w:tcW w:w="675" w:type="dxa"/>
            <w:vAlign w:val="center"/>
            <w:hideMark/>
          </w:tcPr>
          <w:p w14:paraId="2071436A"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72</w:t>
            </w:r>
          </w:p>
        </w:tc>
        <w:tc>
          <w:tcPr>
            <w:tcW w:w="685" w:type="dxa"/>
            <w:vAlign w:val="center"/>
          </w:tcPr>
          <w:p w14:paraId="3433FB39"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60</w:t>
            </w:r>
          </w:p>
        </w:tc>
        <w:tc>
          <w:tcPr>
            <w:tcW w:w="0" w:type="auto"/>
            <w:vAlign w:val="center"/>
          </w:tcPr>
          <w:p w14:paraId="493978A6"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88</w:t>
            </w:r>
          </w:p>
        </w:tc>
        <w:tc>
          <w:tcPr>
            <w:tcW w:w="0" w:type="auto"/>
            <w:shd w:val="clear" w:color="000000" w:fill="D9D9D9"/>
            <w:vAlign w:val="center"/>
            <w:hideMark/>
          </w:tcPr>
          <w:p w14:paraId="3CD641F6"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0" w:type="auto"/>
            <w:vAlign w:val="center"/>
          </w:tcPr>
          <w:p w14:paraId="02AD430D"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HAnsi"/>
                <w:kern w:val="2"/>
                <w:sz w:val="15"/>
                <w:szCs w:val="15"/>
                <w:lang w:val="en-US" w:eastAsia="ja-JP"/>
              </w:rPr>
              <w:t>60</w:t>
            </w:r>
          </w:p>
        </w:tc>
        <w:tc>
          <w:tcPr>
            <w:tcW w:w="0" w:type="auto"/>
            <w:vAlign w:val="center"/>
            <w:hideMark/>
          </w:tcPr>
          <w:p w14:paraId="4BF2048A"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505</w:t>
            </w:r>
          </w:p>
        </w:tc>
        <w:tc>
          <w:tcPr>
            <w:tcW w:w="0" w:type="auto"/>
            <w:vAlign w:val="center"/>
            <w:hideMark/>
          </w:tcPr>
          <w:p w14:paraId="1EA51288"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230</w:t>
            </w:r>
          </w:p>
        </w:tc>
        <w:tc>
          <w:tcPr>
            <w:tcW w:w="0" w:type="auto"/>
            <w:vAlign w:val="center"/>
            <w:hideMark/>
          </w:tcPr>
          <w:p w14:paraId="3DC4A135"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300</w:t>
            </w:r>
          </w:p>
        </w:tc>
        <w:tc>
          <w:tcPr>
            <w:tcW w:w="0" w:type="auto"/>
            <w:vAlign w:val="center"/>
            <w:hideMark/>
          </w:tcPr>
          <w:p w14:paraId="3B6931C4"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360</w:t>
            </w:r>
          </w:p>
        </w:tc>
        <w:tc>
          <w:tcPr>
            <w:tcW w:w="0" w:type="auto"/>
            <w:vAlign w:val="center"/>
            <w:hideMark/>
          </w:tcPr>
          <w:p w14:paraId="4DA6F8EE"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300</w:t>
            </w:r>
          </w:p>
        </w:tc>
        <w:tc>
          <w:tcPr>
            <w:tcW w:w="0" w:type="auto"/>
            <w:tcBorders>
              <w:right w:val="single" w:sz="12" w:space="0" w:color="000000"/>
            </w:tcBorders>
            <w:vAlign w:val="center"/>
          </w:tcPr>
          <w:p w14:paraId="19A89C4D"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theme="majorBidi"/>
                <w:kern w:val="2"/>
                <w:sz w:val="15"/>
                <w:szCs w:val="15"/>
                <w:lang w:val="en-US" w:eastAsia="ja-JP"/>
              </w:rPr>
              <w:t>440</w:t>
            </w:r>
          </w:p>
        </w:tc>
      </w:tr>
      <w:tr w:rsidR="009123AC" w:rsidRPr="00F0379B" w14:paraId="2D425C96" w14:textId="77777777" w:rsidTr="00CA749B">
        <w:trPr>
          <w:trHeight w:val="23"/>
        </w:trPr>
        <w:tc>
          <w:tcPr>
            <w:tcW w:w="3359" w:type="dxa"/>
            <w:tcBorders>
              <w:left w:val="single" w:sz="12" w:space="0" w:color="000000"/>
            </w:tcBorders>
            <w:noWrap/>
            <w:vAlign w:val="center"/>
            <w:hideMark/>
          </w:tcPr>
          <w:p w14:paraId="150F1E55"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Arrastreros</w:t>
            </w:r>
          </w:p>
        </w:tc>
        <w:tc>
          <w:tcPr>
            <w:tcW w:w="1741" w:type="dxa"/>
            <w:noWrap/>
            <w:vAlign w:val="center"/>
            <w:hideMark/>
          </w:tcPr>
          <w:p w14:paraId="000B712F"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10</w:t>
            </w:r>
          </w:p>
        </w:tc>
        <w:tc>
          <w:tcPr>
            <w:tcW w:w="646" w:type="dxa"/>
            <w:vAlign w:val="center"/>
          </w:tcPr>
          <w:p w14:paraId="5201C46E"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HAnsi"/>
                <w:kern w:val="2"/>
                <w:sz w:val="15"/>
                <w:szCs w:val="15"/>
                <w:lang w:val="en-US" w:eastAsia="ja-JP"/>
              </w:rPr>
              <w:t>108</w:t>
            </w:r>
          </w:p>
        </w:tc>
        <w:tc>
          <w:tcPr>
            <w:tcW w:w="710" w:type="dxa"/>
            <w:noWrap/>
            <w:vAlign w:val="center"/>
            <w:hideMark/>
          </w:tcPr>
          <w:p w14:paraId="28D99E2F"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160</w:t>
            </w:r>
          </w:p>
        </w:tc>
        <w:tc>
          <w:tcPr>
            <w:tcW w:w="572" w:type="dxa"/>
            <w:vAlign w:val="center"/>
            <w:hideMark/>
          </w:tcPr>
          <w:p w14:paraId="3F96399B"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57</w:t>
            </w:r>
          </w:p>
        </w:tc>
        <w:tc>
          <w:tcPr>
            <w:tcW w:w="649" w:type="dxa"/>
            <w:vAlign w:val="center"/>
            <w:hideMark/>
          </w:tcPr>
          <w:p w14:paraId="012CC28F"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57</w:t>
            </w:r>
          </w:p>
        </w:tc>
        <w:tc>
          <w:tcPr>
            <w:tcW w:w="675" w:type="dxa"/>
            <w:vAlign w:val="center"/>
            <w:hideMark/>
          </w:tcPr>
          <w:p w14:paraId="2D3093DC"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56</w:t>
            </w:r>
          </w:p>
        </w:tc>
        <w:tc>
          <w:tcPr>
            <w:tcW w:w="685" w:type="dxa"/>
            <w:vAlign w:val="center"/>
          </w:tcPr>
          <w:p w14:paraId="3BA52355"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56</w:t>
            </w:r>
          </w:p>
        </w:tc>
        <w:tc>
          <w:tcPr>
            <w:tcW w:w="0" w:type="auto"/>
            <w:vAlign w:val="center"/>
          </w:tcPr>
          <w:p w14:paraId="49495300"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57</w:t>
            </w:r>
          </w:p>
        </w:tc>
        <w:tc>
          <w:tcPr>
            <w:tcW w:w="0" w:type="auto"/>
            <w:shd w:val="clear" w:color="000000" w:fill="D9D9D9"/>
            <w:vAlign w:val="center"/>
            <w:hideMark/>
          </w:tcPr>
          <w:p w14:paraId="1D02045D"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0" w:type="auto"/>
            <w:vAlign w:val="center"/>
          </w:tcPr>
          <w:p w14:paraId="716E23B2"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HAnsi"/>
                <w:kern w:val="2"/>
                <w:sz w:val="15"/>
                <w:szCs w:val="15"/>
                <w:lang w:val="en-US" w:eastAsia="ja-JP"/>
              </w:rPr>
              <w:t>1,080</w:t>
            </w:r>
          </w:p>
        </w:tc>
        <w:tc>
          <w:tcPr>
            <w:tcW w:w="0" w:type="auto"/>
            <w:vAlign w:val="center"/>
            <w:hideMark/>
          </w:tcPr>
          <w:p w14:paraId="295C618C"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1600</w:t>
            </w:r>
          </w:p>
        </w:tc>
        <w:tc>
          <w:tcPr>
            <w:tcW w:w="0" w:type="auto"/>
            <w:vAlign w:val="center"/>
            <w:hideMark/>
          </w:tcPr>
          <w:p w14:paraId="5816F154"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570</w:t>
            </w:r>
          </w:p>
        </w:tc>
        <w:tc>
          <w:tcPr>
            <w:tcW w:w="0" w:type="auto"/>
            <w:vAlign w:val="center"/>
            <w:hideMark/>
          </w:tcPr>
          <w:p w14:paraId="03350992"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570</w:t>
            </w:r>
          </w:p>
        </w:tc>
        <w:tc>
          <w:tcPr>
            <w:tcW w:w="0" w:type="auto"/>
            <w:vAlign w:val="center"/>
            <w:hideMark/>
          </w:tcPr>
          <w:p w14:paraId="24BCE8A7"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560</w:t>
            </w:r>
          </w:p>
        </w:tc>
        <w:tc>
          <w:tcPr>
            <w:tcW w:w="0" w:type="auto"/>
            <w:vAlign w:val="center"/>
            <w:hideMark/>
          </w:tcPr>
          <w:p w14:paraId="7E361480"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560</w:t>
            </w:r>
          </w:p>
        </w:tc>
        <w:tc>
          <w:tcPr>
            <w:tcW w:w="0" w:type="auto"/>
            <w:tcBorders>
              <w:right w:val="single" w:sz="12" w:space="0" w:color="000000"/>
            </w:tcBorders>
            <w:vAlign w:val="center"/>
          </w:tcPr>
          <w:p w14:paraId="7BBD6E6E"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theme="majorBidi"/>
                <w:kern w:val="2"/>
                <w:sz w:val="15"/>
                <w:szCs w:val="15"/>
                <w:lang w:val="en-US" w:eastAsia="ja-JP"/>
              </w:rPr>
              <w:t>570</w:t>
            </w:r>
          </w:p>
        </w:tc>
      </w:tr>
      <w:tr w:rsidR="009123AC" w:rsidRPr="00F0379B" w14:paraId="57955B3F" w14:textId="77777777" w:rsidTr="00CA749B">
        <w:trPr>
          <w:trHeight w:val="23"/>
        </w:trPr>
        <w:tc>
          <w:tcPr>
            <w:tcW w:w="3359" w:type="dxa"/>
            <w:tcBorders>
              <w:left w:val="single" w:sz="12" w:space="0" w:color="000000"/>
            </w:tcBorders>
            <w:noWrap/>
            <w:vAlign w:val="center"/>
            <w:hideMark/>
          </w:tcPr>
          <w:p w14:paraId="65E6AC40"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Almadrabas</w:t>
            </w:r>
          </w:p>
        </w:tc>
        <w:tc>
          <w:tcPr>
            <w:tcW w:w="1741" w:type="dxa"/>
            <w:noWrap/>
            <w:vAlign w:val="center"/>
            <w:hideMark/>
          </w:tcPr>
          <w:p w14:paraId="5D6AF135"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130</w:t>
            </w:r>
          </w:p>
        </w:tc>
        <w:tc>
          <w:tcPr>
            <w:tcW w:w="646" w:type="dxa"/>
            <w:vAlign w:val="center"/>
          </w:tcPr>
          <w:p w14:paraId="6AB475E9"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HAnsi"/>
                <w:kern w:val="2"/>
                <w:sz w:val="15"/>
                <w:szCs w:val="15"/>
                <w:lang w:val="en-US" w:eastAsia="ja-JP"/>
              </w:rPr>
              <w:t>14</w:t>
            </w:r>
          </w:p>
        </w:tc>
        <w:tc>
          <w:tcPr>
            <w:tcW w:w="710" w:type="dxa"/>
            <w:noWrap/>
            <w:vAlign w:val="center"/>
            <w:hideMark/>
          </w:tcPr>
          <w:p w14:paraId="281C6EEC"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15</w:t>
            </w:r>
          </w:p>
        </w:tc>
        <w:tc>
          <w:tcPr>
            <w:tcW w:w="572" w:type="dxa"/>
            <w:vAlign w:val="center"/>
            <w:hideMark/>
          </w:tcPr>
          <w:p w14:paraId="65D81033"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12</w:t>
            </w:r>
          </w:p>
        </w:tc>
        <w:tc>
          <w:tcPr>
            <w:tcW w:w="649" w:type="dxa"/>
            <w:vAlign w:val="center"/>
            <w:hideMark/>
          </w:tcPr>
          <w:p w14:paraId="2CF264C5"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Arial"/>
                <w:kern w:val="2"/>
                <w:sz w:val="15"/>
                <w:szCs w:val="15"/>
                <w:lang w:val="en-US" w:eastAsia="ja-JP"/>
              </w:rPr>
              <w:t>13</w:t>
            </w:r>
          </w:p>
        </w:tc>
        <w:tc>
          <w:tcPr>
            <w:tcW w:w="675" w:type="dxa"/>
            <w:vAlign w:val="center"/>
            <w:hideMark/>
          </w:tcPr>
          <w:p w14:paraId="6A10B726"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Arial"/>
                <w:kern w:val="2"/>
                <w:sz w:val="15"/>
                <w:szCs w:val="15"/>
                <w:lang w:val="en-US" w:eastAsia="ja-JP"/>
              </w:rPr>
              <w:t>9</w:t>
            </w:r>
          </w:p>
        </w:tc>
        <w:tc>
          <w:tcPr>
            <w:tcW w:w="685" w:type="dxa"/>
            <w:vAlign w:val="center"/>
          </w:tcPr>
          <w:p w14:paraId="1E4F27FD"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r w:rsidRPr="00F0379B">
              <w:rPr>
                <w:rFonts w:ascii="Cambria" w:eastAsia="Times New Roman" w:hAnsi="Cambria" w:cs="Arial"/>
                <w:kern w:val="2"/>
                <w:sz w:val="15"/>
                <w:szCs w:val="15"/>
                <w:lang w:val="en-US" w:eastAsia="ja-JP"/>
              </w:rPr>
              <w:t>10</w:t>
            </w:r>
          </w:p>
        </w:tc>
        <w:tc>
          <w:tcPr>
            <w:tcW w:w="0" w:type="auto"/>
            <w:vAlign w:val="center"/>
          </w:tcPr>
          <w:p w14:paraId="5DBDE010"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10</w:t>
            </w:r>
          </w:p>
        </w:tc>
        <w:tc>
          <w:tcPr>
            <w:tcW w:w="0" w:type="auto"/>
            <w:shd w:val="clear" w:color="000000" w:fill="D9D9D9"/>
            <w:vAlign w:val="center"/>
            <w:hideMark/>
          </w:tcPr>
          <w:p w14:paraId="5849A6C5"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p>
        </w:tc>
        <w:tc>
          <w:tcPr>
            <w:tcW w:w="0" w:type="auto"/>
            <w:vAlign w:val="center"/>
          </w:tcPr>
          <w:p w14:paraId="1C8FAF0E"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HAnsi"/>
                <w:kern w:val="2"/>
                <w:sz w:val="15"/>
                <w:szCs w:val="15"/>
                <w:lang w:val="en-US" w:eastAsia="ja-JP"/>
              </w:rPr>
              <w:t>1,820</w:t>
            </w:r>
          </w:p>
        </w:tc>
        <w:tc>
          <w:tcPr>
            <w:tcW w:w="0" w:type="auto"/>
            <w:vAlign w:val="center"/>
            <w:hideMark/>
          </w:tcPr>
          <w:p w14:paraId="4F3B7D9B"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1950</w:t>
            </w:r>
          </w:p>
        </w:tc>
        <w:tc>
          <w:tcPr>
            <w:tcW w:w="0" w:type="auto"/>
            <w:vAlign w:val="center"/>
            <w:hideMark/>
          </w:tcPr>
          <w:p w14:paraId="384E9520"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1560</w:t>
            </w:r>
          </w:p>
        </w:tc>
        <w:tc>
          <w:tcPr>
            <w:tcW w:w="0" w:type="auto"/>
            <w:vAlign w:val="center"/>
            <w:hideMark/>
          </w:tcPr>
          <w:p w14:paraId="39BBC318"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1690</w:t>
            </w:r>
          </w:p>
        </w:tc>
        <w:tc>
          <w:tcPr>
            <w:tcW w:w="0" w:type="auto"/>
            <w:vAlign w:val="center"/>
            <w:hideMark/>
          </w:tcPr>
          <w:p w14:paraId="73383AB8"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1690</w:t>
            </w:r>
          </w:p>
        </w:tc>
        <w:tc>
          <w:tcPr>
            <w:tcW w:w="0" w:type="auto"/>
            <w:vAlign w:val="center"/>
            <w:hideMark/>
          </w:tcPr>
          <w:p w14:paraId="4F319E3A"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1300</w:t>
            </w:r>
          </w:p>
        </w:tc>
        <w:tc>
          <w:tcPr>
            <w:tcW w:w="0" w:type="auto"/>
            <w:tcBorders>
              <w:right w:val="single" w:sz="12" w:space="0" w:color="000000"/>
            </w:tcBorders>
            <w:vAlign w:val="center"/>
          </w:tcPr>
          <w:p w14:paraId="3D8FFACD"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r w:rsidRPr="00F0379B">
              <w:rPr>
                <w:rFonts w:ascii="Cambria" w:eastAsia="Times New Roman" w:hAnsi="Cambria" w:cstheme="majorBidi"/>
                <w:kern w:val="2"/>
                <w:sz w:val="16"/>
                <w:szCs w:val="16"/>
                <w:lang w:val="en-US" w:eastAsia="ja-JP"/>
              </w:rPr>
              <w:t>1300</w:t>
            </w:r>
          </w:p>
        </w:tc>
      </w:tr>
      <w:tr w:rsidR="009123AC" w:rsidRPr="00F0379B" w14:paraId="4FD88F28" w14:textId="77777777" w:rsidTr="00CA749B">
        <w:trPr>
          <w:trHeight w:val="23"/>
        </w:trPr>
        <w:tc>
          <w:tcPr>
            <w:tcW w:w="3359" w:type="dxa"/>
            <w:tcBorders>
              <w:left w:val="single" w:sz="12" w:space="0" w:color="000000"/>
            </w:tcBorders>
            <w:vAlign w:val="center"/>
            <w:hideMark/>
          </w:tcPr>
          <w:p w14:paraId="17DA5263"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Pequeños barcos costeros</w:t>
            </w:r>
          </w:p>
        </w:tc>
        <w:tc>
          <w:tcPr>
            <w:tcW w:w="1741" w:type="dxa"/>
            <w:noWrap/>
            <w:vAlign w:val="center"/>
            <w:hideMark/>
          </w:tcPr>
          <w:p w14:paraId="2D9752EB"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N/A</w:t>
            </w:r>
          </w:p>
        </w:tc>
        <w:tc>
          <w:tcPr>
            <w:tcW w:w="646" w:type="dxa"/>
            <w:vAlign w:val="center"/>
          </w:tcPr>
          <w:p w14:paraId="2154C8A1"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HAnsi"/>
                <w:kern w:val="2"/>
                <w:sz w:val="15"/>
                <w:szCs w:val="15"/>
                <w:lang w:val="en-US" w:eastAsia="ja-JP"/>
              </w:rPr>
              <w:t>0</w:t>
            </w:r>
          </w:p>
        </w:tc>
        <w:tc>
          <w:tcPr>
            <w:tcW w:w="710" w:type="dxa"/>
            <w:noWrap/>
            <w:vAlign w:val="center"/>
            <w:hideMark/>
          </w:tcPr>
          <w:p w14:paraId="4CA1985D"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p>
        </w:tc>
        <w:tc>
          <w:tcPr>
            <w:tcW w:w="572" w:type="dxa"/>
            <w:vAlign w:val="center"/>
            <w:hideMark/>
          </w:tcPr>
          <w:p w14:paraId="6E5EF363"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p>
        </w:tc>
        <w:tc>
          <w:tcPr>
            <w:tcW w:w="649" w:type="dxa"/>
            <w:vAlign w:val="center"/>
            <w:hideMark/>
          </w:tcPr>
          <w:p w14:paraId="4BAC015E"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Arial"/>
                <w:kern w:val="2"/>
                <w:sz w:val="15"/>
                <w:szCs w:val="15"/>
                <w:lang w:val="en-US" w:eastAsia="ja-JP"/>
              </w:rPr>
              <w:t>1340</w:t>
            </w:r>
          </w:p>
        </w:tc>
        <w:tc>
          <w:tcPr>
            <w:tcW w:w="675" w:type="dxa"/>
            <w:vAlign w:val="center"/>
            <w:hideMark/>
          </w:tcPr>
          <w:p w14:paraId="20BD5C46"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Arial"/>
                <w:kern w:val="2"/>
                <w:sz w:val="15"/>
                <w:szCs w:val="15"/>
                <w:lang w:val="en-US" w:eastAsia="ja-JP"/>
              </w:rPr>
              <w:t>173</w:t>
            </w:r>
          </w:p>
        </w:tc>
        <w:tc>
          <w:tcPr>
            <w:tcW w:w="685" w:type="dxa"/>
            <w:vAlign w:val="center"/>
          </w:tcPr>
          <w:p w14:paraId="1B89BD34"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r w:rsidRPr="00F0379B">
              <w:rPr>
                <w:rFonts w:ascii="Cambria" w:eastAsia="Times New Roman" w:hAnsi="Cambria" w:cs="Arial"/>
                <w:kern w:val="2"/>
                <w:sz w:val="15"/>
                <w:szCs w:val="15"/>
                <w:lang w:val="en-US" w:eastAsia="ja-JP"/>
              </w:rPr>
              <w:t>830</w:t>
            </w:r>
          </w:p>
        </w:tc>
        <w:tc>
          <w:tcPr>
            <w:tcW w:w="0" w:type="auto"/>
            <w:vAlign w:val="center"/>
          </w:tcPr>
          <w:p w14:paraId="0E2C2A38"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1192</w:t>
            </w:r>
          </w:p>
        </w:tc>
        <w:tc>
          <w:tcPr>
            <w:tcW w:w="0" w:type="auto"/>
            <w:shd w:val="clear" w:color="000000" w:fill="D9D9D9"/>
            <w:vAlign w:val="center"/>
            <w:hideMark/>
          </w:tcPr>
          <w:p w14:paraId="4F5C4DE8"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p>
        </w:tc>
        <w:tc>
          <w:tcPr>
            <w:tcW w:w="0" w:type="auto"/>
            <w:vAlign w:val="center"/>
          </w:tcPr>
          <w:p w14:paraId="23259387"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vAlign w:val="center"/>
            <w:hideMark/>
          </w:tcPr>
          <w:p w14:paraId="73995823"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p>
        </w:tc>
        <w:tc>
          <w:tcPr>
            <w:tcW w:w="0" w:type="auto"/>
            <w:vAlign w:val="center"/>
            <w:hideMark/>
          </w:tcPr>
          <w:p w14:paraId="5CD73C76"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p>
        </w:tc>
        <w:tc>
          <w:tcPr>
            <w:tcW w:w="0" w:type="auto"/>
            <w:vAlign w:val="center"/>
            <w:hideMark/>
          </w:tcPr>
          <w:p w14:paraId="48375D8C"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5221</w:t>
            </w:r>
          </w:p>
        </w:tc>
        <w:tc>
          <w:tcPr>
            <w:tcW w:w="0" w:type="auto"/>
            <w:vAlign w:val="center"/>
            <w:hideMark/>
          </w:tcPr>
          <w:p w14:paraId="0F0CA62B"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4131</w:t>
            </w:r>
          </w:p>
        </w:tc>
        <w:tc>
          <w:tcPr>
            <w:tcW w:w="0" w:type="auto"/>
            <w:vAlign w:val="center"/>
            <w:hideMark/>
          </w:tcPr>
          <w:p w14:paraId="734F7F15"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3663</w:t>
            </w:r>
          </w:p>
        </w:tc>
        <w:tc>
          <w:tcPr>
            <w:tcW w:w="0" w:type="auto"/>
            <w:tcBorders>
              <w:right w:val="single" w:sz="12" w:space="0" w:color="000000"/>
            </w:tcBorders>
            <w:vAlign w:val="center"/>
          </w:tcPr>
          <w:p w14:paraId="4BCB4310"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r w:rsidRPr="00F0379B">
              <w:rPr>
                <w:rFonts w:ascii="Cambria" w:eastAsia="Times New Roman" w:hAnsi="Cambria" w:cstheme="majorBidi"/>
                <w:kern w:val="2"/>
                <w:sz w:val="16"/>
                <w:szCs w:val="16"/>
                <w:lang w:val="en-US" w:eastAsia="ja-JP"/>
              </w:rPr>
              <w:t>4056</w:t>
            </w:r>
          </w:p>
        </w:tc>
      </w:tr>
      <w:tr w:rsidR="009123AC" w:rsidRPr="00F0379B" w14:paraId="1D306809" w14:textId="77777777" w:rsidTr="00CA749B">
        <w:trPr>
          <w:trHeight w:val="23"/>
        </w:trPr>
        <w:tc>
          <w:tcPr>
            <w:tcW w:w="3359" w:type="dxa"/>
            <w:tcBorders>
              <w:left w:val="single" w:sz="12" w:space="0" w:color="000000"/>
            </w:tcBorders>
            <w:vAlign w:val="center"/>
            <w:hideMark/>
          </w:tcPr>
          <w:p w14:paraId="41F8E346"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Otros (especificar)</w:t>
            </w:r>
          </w:p>
        </w:tc>
        <w:tc>
          <w:tcPr>
            <w:tcW w:w="1741" w:type="dxa"/>
            <w:noWrap/>
            <w:vAlign w:val="center"/>
            <w:hideMark/>
          </w:tcPr>
          <w:p w14:paraId="0433C3EF"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w:t>
            </w:r>
          </w:p>
        </w:tc>
        <w:tc>
          <w:tcPr>
            <w:tcW w:w="646" w:type="dxa"/>
            <w:vAlign w:val="center"/>
          </w:tcPr>
          <w:p w14:paraId="50F05096"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HAnsi"/>
                <w:kern w:val="2"/>
                <w:sz w:val="15"/>
                <w:szCs w:val="15"/>
                <w:lang w:val="en-US" w:eastAsia="ja-JP"/>
              </w:rPr>
              <w:t>87</w:t>
            </w:r>
          </w:p>
        </w:tc>
        <w:tc>
          <w:tcPr>
            <w:tcW w:w="710" w:type="dxa"/>
            <w:noWrap/>
            <w:vAlign w:val="center"/>
            <w:hideMark/>
          </w:tcPr>
          <w:p w14:paraId="2E505D24"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253</w:t>
            </w:r>
          </w:p>
        </w:tc>
        <w:tc>
          <w:tcPr>
            <w:tcW w:w="572" w:type="dxa"/>
            <w:vAlign w:val="center"/>
            <w:hideMark/>
          </w:tcPr>
          <w:p w14:paraId="5C11EEF7"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715</w:t>
            </w:r>
          </w:p>
        </w:tc>
        <w:tc>
          <w:tcPr>
            <w:tcW w:w="649" w:type="dxa"/>
            <w:vAlign w:val="center"/>
            <w:hideMark/>
          </w:tcPr>
          <w:p w14:paraId="37095F1C"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361</w:t>
            </w:r>
          </w:p>
        </w:tc>
        <w:tc>
          <w:tcPr>
            <w:tcW w:w="675" w:type="dxa"/>
            <w:vAlign w:val="center"/>
            <w:hideMark/>
          </w:tcPr>
          <w:p w14:paraId="7D9285CB"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Arial"/>
                <w:kern w:val="2"/>
                <w:sz w:val="15"/>
                <w:szCs w:val="15"/>
                <w:lang w:val="en-US" w:eastAsia="ja-JP"/>
              </w:rPr>
              <w:t>1.259</w:t>
            </w:r>
          </w:p>
        </w:tc>
        <w:tc>
          <w:tcPr>
            <w:tcW w:w="685" w:type="dxa"/>
            <w:vAlign w:val="center"/>
          </w:tcPr>
          <w:p w14:paraId="7923A7AA"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r w:rsidRPr="00F0379B">
              <w:rPr>
                <w:rFonts w:ascii="Cambria" w:eastAsia="Times New Roman" w:hAnsi="Cambria" w:cs="Arial"/>
                <w:kern w:val="2"/>
                <w:sz w:val="15"/>
                <w:szCs w:val="15"/>
                <w:lang w:val="en-US" w:eastAsia="ja-JP"/>
              </w:rPr>
              <w:t>631</w:t>
            </w:r>
          </w:p>
        </w:tc>
        <w:tc>
          <w:tcPr>
            <w:tcW w:w="0" w:type="auto"/>
            <w:vAlign w:val="center"/>
          </w:tcPr>
          <w:p w14:paraId="67E42CC0"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kern w:val="2"/>
                <w:sz w:val="15"/>
                <w:szCs w:val="15"/>
                <w:lang w:val="en-US" w:eastAsia="ja-JP"/>
              </w:rPr>
              <w:t>222</w:t>
            </w:r>
          </w:p>
        </w:tc>
        <w:tc>
          <w:tcPr>
            <w:tcW w:w="0" w:type="auto"/>
            <w:shd w:val="clear" w:color="000000" w:fill="D9D9D9"/>
            <w:vAlign w:val="center"/>
            <w:hideMark/>
          </w:tcPr>
          <w:p w14:paraId="3795B5AA"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p>
        </w:tc>
        <w:tc>
          <w:tcPr>
            <w:tcW w:w="0" w:type="auto"/>
            <w:vAlign w:val="center"/>
          </w:tcPr>
          <w:p w14:paraId="05671487"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HAnsi"/>
                <w:kern w:val="2"/>
                <w:sz w:val="15"/>
                <w:szCs w:val="15"/>
                <w:lang w:val="en-US" w:eastAsia="ja-JP"/>
              </w:rPr>
              <w:t>435</w:t>
            </w:r>
          </w:p>
        </w:tc>
        <w:tc>
          <w:tcPr>
            <w:tcW w:w="0" w:type="auto"/>
            <w:vAlign w:val="center"/>
            <w:hideMark/>
          </w:tcPr>
          <w:p w14:paraId="5E8B2362"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1265</w:t>
            </w:r>
          </w:p>
        </w:tc>
        <w:tc>
          <w:tcPr>
            <w:tcW w:w="0" w:type="auto"/>
            <w:vAlign w:val="center"/>
            <w:hideMark/>
          </w:tcPr>
          <w:p w14:paraId="1AD9441D"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3575</w:t>
            </w:r>
          </w:p>
        </w:tc>
        <w:tc>
          <w:tcPr>
            <w:tcW w:w="0" w:type="auto"/>
            <w:vAlign w:val="center"/>
            <w:hideMark/>
          </w:tcPr>
          <w:p w14:paraId="1C16DA63"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570</w:t>
            </w:r>
          </w:p>
        </w:tc>
        <w:tc>
          <w:tcPr>
            <w:tcW w:w="0" w:type="auto"/>
            <w:vAlign w:val="center"/>
            <w:hideMark/>
          </w:tcPr>
          <w:p w14:paraId="33C4D73D"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2530</w:t>
            </w:r>
          </w:p>
        </w:tc>
        <w:tc>
          <w:tcPr>
            <w:tcW w:w="0" w:type="auto"/>
            <w:vAlign w:val="center"/>
            <w:hideMark/>
          </w:tcPr>
          <w:p w14:paraId="21821FBF"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kern w:val="2"/>
                <w:sz w:val="15"/>
                <w:szCs w:val="15"/>
                <w:lang w:val="en-US" w:eastAsia="ja-JP"/>
              </w:rPr>
              <w:t>1450</w:t>
            </w:r>
          </w:p>
        </w:tc>
        <w:tc>
          <w:tcPr>
            <w:tcW w:w="0" w:type="auto"/>
            <w:tcBorders>
              <w:right w:val="single" w:sz="12" w:space="0" w:color="000000"/>
            </w:tcBorders>
            <w:vAlign w:val="center"/>
          </w:tcPr>
          <w:p w14:paraId="18089B09"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r w:rsidRPr="00F0379B">
              <w:rPr>
                <w:rFonts w:ascii="Cambria" w:eastAsia="Times New Roman" w:hAnsi="Cambria" w:cstheme="majorBidi"/>
                <w:kern w:val="2"/>
                <w:sz w:val="16"/>
                <w:szCs w:val="16"/>
                <w:lang w:val="en-US" w:eastAsia="ja-JP"/>
              </w:rPr>
              <w:t>1110</w:t>
            </w:r>
          </w:p>
        </w:tc>
      </w:tr>
      <w:tr w:rsidR="009123AC" w:rsidRPr="00F0379B" w14:paraId="1818D5AD" w14:textId="77777777" w:rsidTr="00CA749B">
        <w:trPr>
          <w:trHeight w:val="23"/>
        </w:trPr>
        <w:tc>
          <w:tcPr>
            <w:tcW w:w="3359" w:type="dxa"/>
            <w:tcBorders>
              <w:left w:val="single" w:sz="12" w:space="0" w:color="000000"/>
              <w:bottom w:val="single" w:sz="12" w:space="0" w:color="000000"/>
            </w:tcBorders>
            <w:noWrap/>
            <w:vAlign w:val="center"/>
            <w:hideMark/>
          </w:tcPr>
          <w:p w14:paraId="6513EAD9"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Capacidad pesquera/flota total</w:t>
            </w:r>
          </w:p>
        </w:tc>
        <w:tc>
          <w:tcPr>
            <w:tcW w:w="1741" w:type="dxa"/>
            <w:tcBorders>
              <w:bottom w:val="single" w:sz="12" w:space="0" w:color="000000"/>
            </w:tcBorders>
            <w:noWrap/>
            <w:vAlign w:val="center"/>
            <w:hideMark/>
          </w:tcPr>
          <w:p w14:paraId="48256EE8" w14:textId="77777777" w:rsidR="009123AC" w:rsidRPr="00F0379B" w:rsidRDefault="009123AC" w:rsidP="009123AC">
            <w:pPr>
              <w:spacing w:after="0" w:line="240" w:lineRule="auto"/>
              <w:jc w:val="right"/>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 </w:t>
            </w:r>
          </w:p>
        </w:tc>
        <w:tc>
          <w:tcPr>
            <w:tcW w:w="646" w:type="dxa"/>
            <w:tcBorders>
              <w:bottom w:val="single" w:sz="12" w:space="0" w:color="000000"/>
            </w:tcBorders>
            <w:vAlign w:val="center"/>
          </w:tcPr>
          <w:p w14:paraId="5F1C9F95"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HAnsi"/>
                <w:b/>
                <w:bCs/>
                <w:kern w:val="2"/>
                <w:sz w:val="15"/>
                <w:szCs w:val="15"/>
                <w:lang w:val="en-US" w:eastAsia="ja-JP"/>
              </w:rPr>
              <w:t>289</w:t>
            </w:r>
          </w:p>
        </w:tc>
        <w:tc>
          <w:tcPr>
            <w:tcW w:w="710" w:type="dxa"/>
            <w:tcBorders>
              <w:bottom w:val="single" w:sz="12" w:space="0" w:color="000000"/>
            </w:tcBorders>
            <w:noWrap/>
            <w:vAlign w:val="center"/>
            <w:hideMark/>
          </w:tcPr>
          <w:p w14:paraId="68230725"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1174</w:t>
            </w:r>
          </w:p>
        </w:tc>
        <w:tc>
          <w:tcPr>
            <w:tcW w:w="572" w:type="dxa"/>
            <w:tcBorders>
              <w:bottom w:val="single" w:sz="12" w:space="0" w:color="000000"/>
            </w:tcBorders>
            <w:vAlign w:val="center"/>
            <w:hideMark/>
          </w:tcPr>
          <w:p w14:paraId="22D6057D"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Arial"/>
                <w:b/>
                <w:kern w:val="2"/>
                <w:sz w:val="15"/>
                <w:szCs w:val="15"/>
                <w:lang w:val="en-US" w:eastAsia="ja-JP"/>
              </w:rPr>
              <w:t>1115</w:t>
            </w:r>
          </w:p>
        </w:tc>
        <w:tc>
          <w:tcPr>
            <w:tcW w:w="649" w:type="dxa"/>
            <w:tcBorders>
              <w:bottom w:val="single" w:sz="12" w:space="0" w:color="000000"/>
            </w:tcBorders>
            <w:vAlign w:val="center"/>
            <w:hideMark/>
          </w:tcPr>
          <w:p w14:paraId="079D473C"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2163</w:t>
            </w:r>
          </w:p>
        </w:tc>
        <w:tc>
          <w:tcPr>
            <w:tcW w:w="675" w:type="dxa"/>
            <w:tcBorders>
              <w:bottom w:val="single" w:sz="12" w:space="0" w:color="000000"/>
            </w:tcBorders>
            <w:vAlign w:val="center"/>
            <w:hideMark/>
          </w:tcPr>
          <w:p w14:paraId="37C26C77"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Arial"/>
                <w:b/>
                <w:bCs/>
                <w:kern w:val="2"/>
                <w:sz w:val="15"/>
                <w:szCs w:val="15"/>
                <w:lang w:val="en-US" w:eastAsia="ja-JP"/>
              </w:rPr>
              <w:t>1818</w:t>
            </w:r>
          </w:p>
        </w:tc>
        <w:tc>
          <w:tcPr>
            <w:tcW w:w="685" w:type="dxa"/>
            <w:tcBorders>
              <w:bottom w:val="single" w:sz="12" w:space="0" w:color="000000"/>
            </w:tcBorders>
            <w:vAlign w:val="center"/>
          </w:tcPr>
          <w:p w14:paraId="38C7D664"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r w:rsidRPr="00F0379B">
              <w:rPr>
                <w:rFonts w:ascii="Cambria" w:eastAsia="Times New Roman" w:hAnsi="Cambria" w:cs="Arial"/>
                <w:b/>
                <w:bCs/>
                <w:kern w:val="2"/>
                <w:sz w:val="15"/>
                <w:szCs w:val="15"/>
                <w:lang w:val="en-US" w:eastAsia="ja-JP"/>
              </w:rPr>
              <w:t>1911</w:t>
            </w:r>
          </w:p>
        </w:tc>
        <w:tc>
          <w:tcPr>
            <w:tcW w:w="0" w:type="auto"/>
            <w:tcBorders>
              <w:bottom w:val="single" w:sz="12" w:space="0" w:color="000000"/>
            </w:tcBorders>
            <w:vAlign w:val="center"/>
          </w:tcPr>
          <w:p w14:paraId="657886E7"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Arial"/>
                <w:b/>
                <w:bCs/>
                <w:kern w:val="2"/>
                <w:sz w:val="15"/>
                <w:szCs w:val="15"/>
                <w:lang w:val="en-US" w:eastAsia="ja-JP"/>
              </w:rPr>
              <w:t>1894</w:t>
            </w:r>
          </w:p>
        </w:tc>
        <w:tc>
          <w:tcPr>
            <w:tcW w:w="0" w:type="auto"/>
            <w:tcBorders>
              <w:bottom w:val="single" w:sz="12" w:space="0" w:color="000000"/>
            </w:tcBorders>
            <w:shd w:val="clear" w:color="000000" w:fill="D9D9D9"/>
            <w:vAlign w:val="center"/>
            <w:hideMark/>
          </w:tcPr>
          <w:p w14:paraId="5BDC3E2F"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p>
        </w:tc>
        <w:tc>
          <w:tcPr>
            <w:tcW w:w="0" w:type="auto"/>
            <w:tcBorders>
              <w:bottom w:val="single" w:sz="12" w:space="0" w:color="000000"/>
            </w:tcBorders>
            <w:vAlign w:val="center"/>
          </w:tcPr>
          <w:p w14:paraId="2B4A6AFD"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Arial"/>
                <w:b/>
                <w:kern w:val="2"/>
                <w:sz w:val="15"/>
                <w:szCs w:val="15"/>
                <w:lang w:val="en-US" w:eastAsia="ja-JP"/>
              </w:rPr>
              <w:t>4604</w:t>
            </w:r>
          </w:p>
        </w:tc>
        <w:tc>
          <w:tcPr>
            <w:tcW w:w="0" w:type="auto"/>
            <w:tcBorders>
              <w:bottom w:val="single" w:sz="12" w:space="0" w:color="000000"/>
            </w:tcBorders>
            <w:vAlign w:val="center"/>
            <w:hideMark/>
          </w:tcPr>
          <w:p w14:paraId="60F7448C"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19.335</w:t>
            </w:r>
          </w:p>
        </w:tc>
        <w:tc>
          <w:tcPr>
            <w:tcW w:w="0" w:type="auto"/>
            <w:tcBorders>
              <w:bottom w:val="single" w:sz="12" w:space="0" w:color="000000"/>
            </w:tcBorders>
            <w:vAlign w:val="center"/>
            <w:hideMark/>
          </w:tcPr>
          <w:p w14:paraId="090DAA7F"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Arial"/>
                <w:b/>
                <w:bCs/>
                <w:kern w:val="2"/>
                <w:sz w:val="15"/>
                <w:szCs w:val="15"/>
                <w:lang w:val="en-US" w:eastAsia="ja-JP"/>
              </w:rPr>
              <w:t>11.977</w:t>
            </w:r>
          </w:p>
        </w:tc>
        <w:tc>
          <w:tcPr>
            <w:tcW w:w="0" w:type="auto"/>
            <w:tcBorders>
              <w:bottom w:val="single" w:sz="12" w:space="0" w:color="000000"/>
            </w:tcBorders>
            <w:noWrap/>
            <w:vAlign w:val="center"/>
            <w:hideMark/>
          </w:tcPr>
          <w:p w14:paraId="6C52725F"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14.681</w:t>
            </w:r>
          </w:p>
        </w:tc>
        <w:tc>
          <w:tcPr>
            <w:tcW w:w="0" w:type="auto"/>
            <w:tcBorders>
              <w:bottom w:val="single" w:sz="12" w:space="0" w:color="000000"/>
            </w:tcBorders>
            <w:noWrap/>
            <w:vAlign w:val="center"/>
            <w:hideMark/>
          </w:tcPr>
          <w:p w14:paraId="31FA951B"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HAnsi"/>
                <w:b/>
                <w:bCs/>
                <w:kern w:val="2"/>
                <w:sz w:val="15"/>
                <w:szCs w:val="15"/>
                <w:lang w:val="en-US" w:eastAsia="ja-JP"/>
              </w:rPr>
              <w:t>15.163</w:t>
            </w:r>
          </w:p>
        </w:tc>
        <w:tc>
          <w:tcPr>
            <w:tcW w:w="0" w:type="auto"/>
            <w:tcBorders>
              <w:bottom w:val="single" w:sz="12" w:space="0" w:color="000000"/>
            </w:tcBorders>
            <w:noWrap/>
            <w:vAlign w:val="center"/>
            <w:hideMark/>
          </w:tcPr>
          <w:p w14:paraId="75370A8A" w14:textId="77777777" w:rsidR="009123AC" w:rsidRPr="00F0379B" w:rsidRDefault="009123AC" w:rsidP="009123AC">
            <w:pPr>
              <w:spacing w:after="0" w:line="240" w:lineRule="auto"/>
              <w:jc w:val="center"/>
              <w:rPr>
                <w:rFonts w:ascii="Cambria" w:eastAsia="Times New Roman" w:hAnsi="Cambria" w:cs="Calibri"/>
                <w:b/>
                <w:bCs/>
                <w:sz w:val="15"/>
                <w:szCs w:val="15"/>
                <w:lang w:eastAsia="fr-FR" w:bidi="fr-FR"/>
              </w:rPr>
            </w:pPr>
            <w:r w:rsidRPr="00F0379B">
              <w:rPr>
                <w:rFonts w:ascii="Cambria" w:eastAsia="Times New Roman" w:hAnsi="Cambria" w:cstheme="majorBidi"/>
                <w:b/>
                <w:bCs/>
                <w:kern w:val="2"/>
                <w:sz w:val="15"/>
                <w:szCs w:val="15"/>
                <w:lang w:val="en-US" w:eastAsia="ja-JP"/>
              </w:rPr>
              <w:t>13.712</w:t>
            </w:r>
          </w:p>
        </w:tc>
        <w:tc>
          <w:tcPr>
            <w:tcW w:w="0" w:type="auto"/>
            <w:tcBorders>
              <w:bottom w:val="single" w:sz="12" w:space="0" w:color="000000"/>
              <w:right w:val="single" w:sz="12" w:space="0" w:color="000000"/>
            </w:tcBorders>
            <w:vAlign w:val="center"/>
          </w:tcPr>
          <w:p w14:paraId="5B9C5940"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r w:rsidRPr="00F0379B">
              <w:rPr>
                <w:rFonts w:ascii="Cambria" w:eastAsia="Times New Roman" w:hAnsi="Cambria" w:cstheme="majorBidi"/>
                <w:b/>
                <w:bCs/>
                <w:kern w:val="2"/>
                <w:sz w:val="16"/>
                <w:szCs w:val="16"/>
                <w:lang w:val="en-US" w:eastAsia="ja-JP"/>
              </w:rPr>
              <w:t>13.912</w:t>
            </w:r>
          </w:p>
        </w:tc>
      </w:tr>
      <w:tr w:rsidR="009123AC" w:rsidRPr="00F0379B" w14:paraId="209B8EB3" w14:textId="77777777" w:rsidTr="00CA749B">
        <w:trPr>
          <w:trHeight w:val="23"/>
        </w:trPr>
        <w:tc>
          <w:tcPr>
            <w:tcW w:w="3359" w:type="dxa"/>
            <w:tcBorders>
              <w:top w:val="single" w:sz="12" w:space="0" w:color="000000"/>
              <w:left w:val="single" w:sz="12" w:space="0" w:color="000000"/>
            </w:tcBorders>
            <w:shd w:val="clear" w:color="auto" w:fill="D9D9D9"/>
            <w:noWrap/>
            <w:vAlign w:val="center"/>
            <w:hideMark/>
          </w:tcPr>
          <w:p w14:paraId="0BCA1722"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inicial</w:t>
            </w:r>
          </w:p>
        </w:tc>
        <w:tc>
          <w:tcPr>
            <w:tcW w:w="1741" w:type="dxa"/>
            <w:tcBorders>
              <w:top w:val="single" w:sz="12" w:space="0" w:color="000000"/>
            </w:tcBorders>
            <w:shd w:val="clear" w:color="auto" w:fill="D9D9D9"/>
            <w:noWrap/>
            <w:vAlign w:val="center"/>
            <w:hideMark/>
          </w:tcPr>
          <w:p w14:paraId="62E61930" w14:textId="77777777" w:rsidR="009123AC" w:rsidRPr="00F0379B" w:rsidRDefault="009123AC" w:rsidP="009123AC">
            <w:pPr>
              <w:spacing w:after="0" w:line="240" w:lineRule="auto"/>
              <w:jc w:val="right"/>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 </w:t>
            </w:r>
          </w:p>
        </w:tc>
        <w:tc>
          <w:tcPr>
            <w:tcW w:w="646" w:type="dxa"/>
            <w:tcBorders>
              <w:top w:val="single" w:sz="12" w:space="0" w:color="000000"/>
            </w:tcBorders>
            <w:shd w:val="clear" w:color="auto" w:fill="D9D9D9"/>
            <w:vAlign w:val="center"/>
          </w:tcPr>
          <w:p w14:paraId="30613C3A"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710" w:type="dxa"/>
            <w:tcBorders>
              <w:top w:val="single" w:sz="12" w:space="0" w:color="000000"/>
            </w:tcBorders>
            <w:shd w:val="clear" w:color="auto" w:fill="D9D9D9"/>
            <w:noWrap/>
            <w:vAlign w:val="center"/>
            <w:hideMark/>
          </w:tcPr>
          <w:p w14:paraId="1D50453B"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572" w:type="dxa"/>
            <w:tcBorders>
              <w:top w:val="single" w:sz="12" w:space="0" w:color="000000"/>
            </w:tcBorders>
            <w:shd w:val="clear" w:color="auto" w:fill="D9D9D9"/>
            <w:vAlign w:val="center"/>
            <w:hideMark/>
          </w:tcPr>
          <w:p w14:paraId="2B7C98D7"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649" w:type="dxa"/>
            <w:tcBorders>
              <w:top w:val="single" w:sz="12" w:space="0" w:color="000000"/>
            </w:tcBorders>
            <w:shd w:val="clear" w:color="auto" w:fill="D9D9D9"/>
            <w:vAlign w:val="center"/>
            <w:hideMark/>
          </w:tcPr>
          <w:p w14:paraId="6600309E"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675" w:type="dxa"/>
            <w:tcBorders>
              <w:top w:val="single" w:sz="12" w:space="0" w:color="000000"/>
            </w:tcBorders>
            <w:shd w:val="clear" w:color="auto" w:fill="D9D9D9"/>
            <w:vAlign w:val="center"/>
            <w:hideMark/>
          </w:tcPr>
          <w:p w14:paraId="3056064D"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685" w:type="dxa"/>
            <w:tcBorders>
              <w:top w:val="single" w:sz="12" w:space="0" w:color="000000"/>
            </w:tcBorders>
            <w:shd w:val="clear" w:color="auto" w:fill="D9D9D9"/>
            <w:vAlign w:val="center"/>
          </w:tcPr>
          <w:p w14:paraId="6F3C76D6"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p>
        </w:tc>
        <w:tc>
          <w:tcPr>
            <w:tcW w:w="0" w:type="auto"/>
            <w:tcBorders>
              <w:top w:val="single" w:sz="12" w:space="0" w:color="000000"/>
            </w:tcBorders>
            <w:shd w:val="clear" w:color="auto" w:fill="D9D9D9"/>
            <w:vAlign w:val="center"/>
          </w:tcPr>
          <w:p w14:paraId="7DA7D8CA"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p>
        </w:tc>
        <w:tc>
          <w:tcPr>
            <w:tcW w:w="0" w:type="auto"/>
            <w:tcBorders>
              <w:top w:val="single" w:sz="12" w:space="0" w:color="000000"/>
            </w:tcBorders>
            <w:shd w:val="clear" w:color="auto" w:fill="D9D9D9"/>
            <w:vAlign w:val="center"/>
            <w:hideMark/>
          </w:tcPr>
          <w:p w14:paraId="2B34B0B3"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0" w:type="auto"/>
            <w:tcBorders>
              <w:top w:val="single" w:sz="12" w:space="0" w:color="000000"/>
            </w:tcBorders>
            <w:shd w:val="clear" w:color="auto" w:fill="D9D9D9"/>
            <w:vAlign w:val="center"/>
          </w:tcPr>
          <w:p w14:paraId="1F6B8B7C"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Arial"/>
                <w:b/>
                <w:kern w:val="2"/>
                <w:sz w:val="15"/>
                <w:szCs w:val="15"/>
                <w:lang w:val="en-US" w:eastAsia="ja-JP"/>
              </w:rPr>
              <w:t>12.883</w:t>
            </w:r>
          </w:p>
        </w:tc>
        <w:tc>
          <w:tcPr>
            <w:tcW w:w="0" w:type="auto"/>
            <w:tcBorders>
              <w:top w:val="single" w:sz="12" w:space="0" w:color="000000"/>
            </w:tcBorders>
            <w:shd w:val="clear" w:color="auto" w:fill="D9D9D9"/>
            <w:vAlign w:val="center"/>
            <w:hideMark/>
          </w:tcPr>
          <w:p w14:paraId="7BD2E052"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b/>
                <w:bCs/>
                <w:kern w:val="2"/>
                <w:sz w:val="15"/>
                <w:szCs w:val="15"/>
                <w:lang w:val="en-US" w:eastAsia="ja-JP"/>
              </w:rPr>
              <w:t>17.044</w:t>
            </w:r>
          </w:p>
        </w:tc>
        <w:tc>
          <w:tcPr>
            <w:tcW w:w="0" w:type="auto"/>
            <w:tcBorders>
              <w:top w:val="single" w:sz="12" w:space="0" w:color="000000"/>
            </w:tcBorders>
            <w:shd w:val="clear" w:color="auto" w:fill="D9D9D9"/>
            <w:vAlign w:val="center"/>
            <w:hideMark/>
          </w:tcPr>
          <w:p w14:paraId="63F4A68B"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b/>
                <w:bCs/>
                <w:kern w:val="2"/>
                <w:sz w:val="15"/>
                <w:szCs w:val="15"/>
                <w:lang w:val="en-US" w:eastAsia="ja-JP"/>
              </w:rPr>
              <w:t>15.850</w:t>
            </w:r>
          </w:p>
        </w:tc>
        <w:tc>
          <w:tcPr>
            <w:tcW w:w="0" w:type="auto"/>
            <w:tcBorders>
              <w:top w:val="single" w:sz="12" w:space="0" w:color="000000"/>
            </w:tcBorders>
            <w:shd w:val="clear" w:color="auto" w:fill="D9D9D9"/>
            <w:vAlign w:val="center"/>
            <w:hideMark/>
          </w:tcPr>
          <w:p w14:paraId="3BA60CF8"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b/>
                <w:bCs/>
                <w:kern w:val="2"/>
                <w:sz w:val="15"/>
                <w:szCs w:val="15"/>
                <w:lang w:val="en-US" w:eastAsia="ja-JP"/>
              </w:rPr>
              <w:t>21.503</w:t>
            </w:r>
          </w:p>
        </w:tc>
        <w:tc>
          <w:tcPr>
            <w:tcW w:w="0" w:type="auto"/>
            <w:tcBorders>
              <w:top w:val="single" w:sz="12" w:space="0" w:color="000000"/>
            </w:tcBorders>
            <w:shd w:val="clear" w:color="auto" w:fill="D9D9D9"/>
            <w:vAlign w:val="center"/>
            <w:hideMark/>
          </w:tcPr>
          <w:p w14:paraId="6C4C6434"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b/>
                <w:bCs/>
                <w:kern w:val="2"/>
                <w:sz w:val="15"/>
                <w:szCs w:val="15"/>
                <w:lang w:val="en-US" w:eastAsia="ja-JP"/>
              </w:rPr>
              <w:t>21.503</w:t>
            </w:r>
          </w:p>
        </w:tc>
        <w:tc>
          <w:tcPr>
            <w:tcW w:w="0" w:type="auto"/>
            <w:tcBorders>
              <w:top w:val="single" w:sz="12" w:space="0" w:color="000000"/>
            </w:tcBorders>
            <w:shd w:val="clear" w:color="auto" w:fill="D9D9D9"/>
            <w:vAlign w:val="center"/>
            <w:hideMark/>
          </w:tcPr>
          <w:p w14:paraId="49ACFE20"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Bidi"/>
                <w:b/>
                <w:bCs/>
                <w:kern w:val="2"/>
                <w:sz w:val="15"/>
                <w:szCs w:val="15"/>
                <w:lang w:val="en-US" w:eastAsia="ja-JP"/>
              </w:rPr>
              <w:t>21.503</w:t>
            </w:r>
          </w:p>
        </w:tc>
        <w:tc>
          <w:tcPr>
            <w:tcW w:w="0" w:type="auto"/>
            <w:tcBorders>
              <w:top w:val="single" w:sz="12" w:space="0" w:color="000000"/>
              <w:right w:val="single" w:sz="12" w:space="0" w:color="000000"/>
            </w:tcBorders>
            <w:shd w:val="clear" w:color="auto" w:fill="D9D9D9"/>
            <w:vAlign w:val="center"/>
          </w:tcPr>
          <w:p w14:paraId="0C9DE65F"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theme="majorBidi"/>
                <w:b/>
                <w:bCs/>
                <w:kern w:val="2"/>
                <w:sz w:val="15"/>
                <w:szCs w:val="15"/>
                <w:lang w:val="en-US" w:eastAsia="ja-JP"/>
              </w:rPr>
              <w:t>25.164</w:t>
            </w:r>
          </w:p>
        </w:tc>
      </w:tr>
      <w:tr w:rsidR="009123AC" w:rsidRPr="00F0379B" w14:paraId="6CDC513D" w14:textId="77777777" w:rsidTr="00CA749B">
        <w:trPr>
          <w:trHeight w:val="23"/>
        </w:trPr>
        <w:tc>
          <w:tcPr>
            <w:tcW w:w="3359" w:type="dxa"/>
            <w:tcBorders>
              <w:top w:val="single" w:sz="12" w:space="0" w:color="000000"/>
              <w:left w:val="single" w:sz="12" w:space="0" w:color="000000"/>
            </w:tcBorders>
            <w:noWrap/>
            <w:vAlign w:val="center"/>
            <w:hideMark/>
          </w:tcPr>
          <w:p w14:paraId="0ABE27BF"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Porcentaje asignado a captura fortuita</w:t>
            </w:r>
          </w:p>
        </w:tc>
        <w:tc>
          <w:tcPr>
            <w:tcW w:w="1741" w:type="dxa"/>
            <w:tcBorders>
              <w:top w:val="single" w:sz="12" w:space="0" w:color="000000"/>
            </w:tcBorders>
            <w:noWrap/>
            <w:vAlign w:val="center"/>
            <w:hideMark/>
          </w:tcPr>
          <w:p w14:paraId="3C077F23" w14:textId="77777777" w:rsidR="009123AC" w:rsidRPr="00F0379B" w:rsidRDefault="009123AC" w:rsidP="009123AC">
            <w:pPr>
              <w:spacing w:after="0" w:line="240" w:lineRule="auto"/>
              <w:jc w:val="right"/>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 </w:t>
            </w:r>
          </w:p>
        </w:tc>
        <w:tc>
          <w:tcPr>
            <w:tcW w:w="646" w:type="dxa"/>
            <w:tcBorders>
              <w:top w:val="single" w:sz="12" w:space="0" w:color="000000"/>
            </w:tcBorders>
            <w:vAlign w:val="center"/>
          </w:tcPr>
          <w:p w14:paraId="06A536C3"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710" w:type="dxa"/>
            <w:tcBorders>
              <w:top w:val="single" w:sz="12" w:space="0" w:color="000000"/>
            </w:tcBorders>
            <w:noWrap/>
            <w:vAlign w:val="center"/>
            <w:hideMark/>
          </w:tcPr>
          <w:p w14:paraId="0B32908A"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572" w:type="dxa"/>
            <w:tcBorders>
              <w:top w:val="single" w:sz="12" w:space="0" w:color="000000"/>
            </w:tcBorders>
            <w:vAlign w:val="center"/>
            <w:hideMark/>
          </w:tcPr>
          <w:p w14:paraId="2DDFAC5D"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649" w:type="dxa"/>
            <w:tcBorders>
              <w:top w:val="single" w:sz="12" w:space="0" w:color="000000"/>
            </w:tcBorders>
            <w:vAlign w:val="center"/>
            <w:hideMark/>
          </w:tcPr>
          <w:p w14:paraId="78E44865"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675" w:type="dxa"/>
            <w:tcBorders>
              <w:top w:val="single" w:sz="12" w:space="0" w:color="000000"/>
            </w:tcBorders>
            <w:vAlign w:val="center"/>
            <w:hideMark/>
          </w:tcPr>
          <w:p w14:paraId="68BA3802"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685" w:type="dxa"/>
            <w:tcBorders>
              <w:top w:val="single" w:sz="12" w:space="0" w:color="000000"/>
            </w:tcBorders>
            <w:vAlign w:val="center"/>
          </w:tcPr>
          <w:p w14:paraId="4B03A587"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0" w:type="auto"/>
            <w:tcBorders>
              <w:top w:val="single" w:sz="12" w:space="0" w:color="000000"/>
            </w:tcBorders>
            <w:vAlign w:val="center"/>
          </w:tcPr>
          <w:p w14:paraId="65F20F19"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0" w:type="auto"/>
            <w:tcBorders>
              <w:top w:val="single" w:sz="12" w:space="0" w:color="000000"/>
            </w:tcBorders>
            <w:shd w:val="clear" w:color="000000" w:fill="D9D9D9"/>
            <w:vAlign w:val="center"/>
            <w:hideMark/>
          </w:tcPr>
          <w:p w14:paraId="123A10DF"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0" w:type="auto"/>
            <w:tcBorders>
              <w:top w:val="single" w:sz="12" w:space="0" w:color="000000"/>
            </w:tcBorders>
            <w:vAlign w:val="center"/>
          </w:tcPr>
          <w:p w14:paraId="58A5E5DF"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0" w:type="auto"/>
            <w:tcBorders>
              <w:top w:val="single" w:sz="12" w:space="0" w:color="000000"/>
            </w:tcBorders>
            <w:vAlign w:val="center"/>
            <w:hideMark/>
          </w:tcPr>
          <w:p w14:paraId="6F7071F4"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0" w:type="auto"/>
            <w:tcBorders>
              <w:top w:val="single" w:sz="12" w:space="0" w:color="000000"/>
            </w:tcBorders>
            <w:vAlign w:val="center"/>
            <w:hideMark/>
          </w:tcPr>
          <w:p w14:paraId="47D08498"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0" w:type="auto"/>
            <w:tcBorders>
              <w:top w:val="single" w:sz="12" w:space="0" w:color="000000"/>
            </w:tcBorders>
            <w:vAlign w:val="center"/>
            <w:hideMark/>
          </w:tcPr>
          <w:p w14:paraId="257B84E0"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2,89</w:t>
            </w:r>
            <w:r w:rsidRPr="00F0379B">
              <w:rPr>
                <w:rFonts w:ascii="Cambria" w:eastAsia="Times New Roman" w:hAnsi="Cambria" w:cs="Arial"/>
                <w:kern w:val="2"/>
                <w:sz w:val="15"/>
                <w:szCs w:val="15"/>
                <w:lang w:val="en-US" w:eastAsia="ja-JP"/>
              </w:rPr>
              <w:t>%</w:t>
            </w:r>
          </w:p>
        </w:tc>
        <w:tc>
          <w:tcPr>
            <w:tcW w:w="0" w:type="auto"/>
            <w:tcBorders>
              <w:top w:val="single" w:sz="12" w:space="0" w:color="000000"/>
            </w:tcBorders>
            <w:vAlign w:val="center"/>
            <w:hideMark/>
          </w:tcPr>
          <w:p w14:paraId="0EA54E0F"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4,6</w:t>
            </w:r>
            <w:r w:rsidRPr="00F0379B">
              <w:rPr>
                <w:rFonts w:ascii="Cambria" w:eastAsia="Times New Roman" w:hAnsi="Cambria" w:cs="Arial"/>
                <w:kern w:val="2"/>
                <w:sz w:val="15"/>
                <w:szCs w:val="15"/>
                <w:lang w:val="en-US" w:eastAsia="ja-JP"/>
              </w:rPr>
              <w:t>%</w:t>
            </w:r>
          </w:p>
        </w:tc>
        <w:tc>
          <w:tcPr>
            <w:tcW w:w="0" w:type="auto"/>
            <w:tcBorders>
              <w:top w:val="single" w:sz="12" w:space="0" w:color="000000"/>
            </w:tcBorders>
            <w:vAlign w:val="center"/>
            <w:hideMark/>
          </w:tcPr>
          <w:p w14:paraId="76B05044"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2%</w:t>
            </w:r>
          </w:p>
        </w:tc>
        <w:tc>
          <w:tcPr>
            <w:tcW w:w="0" w:type="auto"/>
            <w:tcBorders>
              <w:top w:val="single" w:sz="12" w:space="0" w:color="000000"/>
              <w:right w:val="single" w:sz="12" w:space="0" w:color="000000"/>
            </w:tcBorders>
            <w:vAlign w:val="center"/>
          </w:tcPr>
          <w:p w14:paraId="65043118"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Bidi"/>
                <w:kern w:val="2"/>
                <w:sz w:val="15"/>
                <w:szCs w:val="15"/>
                <w:lang w:val="en-US" w:eastAsia="ja-JP"/>
              </w:rPr>
              <w:t>1,92%</w:t>
            </w:r>
          </w:p>
        </w:tc>
      </w:tr>
      <w:tr w:rsidR="009123AC" w:rsidRPr="00F0379B" w14:paraId="3C71E504" w14:textId="77777777" w:rsidTr="00CA749B">
        <w:trPr>
          <w:trHeight w:val="23"/>
        </w:trPr>
        <w:tc>
          <w:tcPr>
            <w:tcW w:w="3359" w:type="dxa"/>
            <w:tcBorders>
              <w:left w:val="single" w:sz="12" w:space="0" w:color="000000"/>
            </w:tcBorders>
            <w:noWrap/>
            <w:vAlign w:val="center"/>
          </w:tcPr>
          <w:p w14:paraId="5B258419"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Asignación a la captura fortuita</w:t>
            </w:r>
          </w:p>
        </w:tc>
        <w:tc>
          <w:tcPr>
            <w:tcW w:w="1741" w:type="dxa"/>
            <w:noWrap/>
            <w:vAlign w:val="center"/>
          </w:tcPr>
          <w:p w14:paraId="4949A57F" w14:textId="77777777" w:rsidR="009123AC" w:rsidRPr="00F0379B" w:rsidRDefault="009123AC" w:rsidP="009123AC">
            <w:pPr>
              <w:spacing w:after="0" w:line="240" w:lineRule="auto"/>
              <w:jc w:val="right"/>
              <w:rPr>
                <w:rFonts w:ascii="Cambria" w:eastAsia="Times New Roman" w:hAnsi="Cambria" w:cs="Calibri"/>
                <w:sz w:val="16"/>
                <w:szCs w:val="16"/>
                <w:lang w:eastAsia="ja-JP"/>
              </w:rPr>
            </w:pPr>
          </w:p>
        </w:tc>
        <w:tc>
          <w:tcPr>
            <w:tcW w:w="646" w:type="dxa"/>
            <w:vAlign w:val="center"/>
          </w:tcPr>
          <w:p w14:paraId="295EE0FD"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710" w:type="dxa"/>
            <w:noWrap/>
            <w:vAlign w:val="center"/>
          </w:tcPr>
          <w:p w14:paraId="37EA1A4F"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572" w:type="dxa"/>
            <w:vAlign w:val="center"/>
          </w:tcPr>
          <w:p w14:paraId="2B001EB8"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649" w:type="dxa"/>
            <w:vAlign w:val="center"/>
          </w:tcPr>
          <w:p w14:paraId="3EA74067"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675" w:type="dxa"/>
            <w:vAlign w:val="center"/>
          </w:tcPr>
          <w:p w14:paraId="315E74CE"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685" w:type="dxa"/>
            <w:vAlign w:val="center"/>
          </w:tcPr>
          <w:p w14:paraId="0FB3BDF5"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0" w:type="auto"/>
            <w:vAlign w:val="center"/>
          </w:tcPr>
          <w:p w14:paraId="7D8B1F8A"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0" w:type="auto"/>
            <w:shd w:val="clear" w:color="000000" w:fill="D9D9D9"/>
            <w:vAlign w:val="center"/>
          </w:tcPr>
          <w:p w14:paraId="5D45F288"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0" w:type="auto"/>
            <w:vAlign w:val="center"/>
          </w:tcPr>
          <w:p w14:paraId="5F763FEB"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0" w:type="auto"/>
            <w:vAlign w:val="center"/>
          </w:tcPr>
          <w:p w14:paraId="567F0584"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0" w:type="auto"/>
            <w:vAlign w:val="center"/>
          </w:tcPr>
          <w:p w14:paraId="62038F6A"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0" w:type="auto"/>
            <w:vAlign w:val="center"/>
          </w:tcPr>
          <w:p w14:paraId="3DA1B604"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0" w:type="auto"/>
            <w:vAlign w:val="center"/>
          </w:tcPr>
          <w:p w14:paraId="7FD08F7E"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0" w:type="auto"/>
            <w:vAlign w:val="center"/>
          </w:tcPr>
          <w:p w14:paraId="7F1DBF05"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0" w:type="auto"/>
            <w:tcBorders>
              <w:right w:val="single" w:sz="12" w:space="0" w:color="000000"/>
            </w:tcBorders>
            <w:vAlign w:val="center"/>
          </w:tcPr>
          <w:p w14:paraId="33361289"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r w:rsidRPr="00F0379B">
              <w:rPr>
                <w:rFonts w:ascii="Cambria" w:eastAsia="Times New Roman" w:hAnsi="Cambria" w:cstheme="majorBidi"/>
                <w:kern w:val="2"/>
                <w:sz w:val="15"/>
                <w:szCs w:val="15"/>
                <w:lang w:val="en-US" w:eastAsia="ja-JP"/>
              </w:rPr>
              <w:t>483</w:t>
            </w:r>
          </w:p>
        </w:tc>
      </w:tr>
      <w:tr w:rsidR="009123AC" w:rsidRPr="00F0379B" w14:paraId="22CEB598" w14:textId="77777777" w:rsidTr="00CA749B">
        <w:trPr>
          <w:trHeight w:val="23"/>
        </w:trPr>
        <w:tc>
          <w:tcPr>
            <w:tcW w:w="3359" w:type="dxa"/>
            <w:tcBorders>
              <w:left w:val="single" w:sz="12" w:space="0" w:color="000000"/>
            </w:tcBorders>
            <w:shd w:val="clear" w:color="auto" w:fill="D0CECE" w:themeFill="background2" w:themeFillShade="E6"/>
            <w:vAlign w:val="center"/>
          </w:tcPr>
          <w:p w14:paraId="786B9CB9" w14:textId="77777777" w:rsidR="009123AC" w:rsidRPr="00F0379B" w:rsidRDefault="009123AC" w:rsidP="009123AC">
            <w:pPr>
              <w:spacing w:after="0" w:line="240" w:lineRule="auto"/>
              <w:rPr>
                <w:rFonts w:ascii="Cambria" w:eastAsia="MS Gothic" w:hAnsi="Cambria" w:cs="Times New Roman"/>
                <w:b/>
                <w:sz w:val="16"/>
                <w:szCs w:val="16"/>
                <w:lang w:eastAsia="fr-FR" w:bidi="fr-FR"/>
              </w:rPr>
            </w:pPr>
            <w:r w:rsidRPr="00F0379B">
              <w:rPr>
                <w:rFonts w:ascii="Cambria" w:eastAsia="MS Gothic" w:hAnsi="Cambria" w:cs="Times New Roman"/>
                <w:b/>
                <w:sz w:val="16"/>
                <w:szCs w:val="16"/>
                <w:lang w:eastAsia="fr-FR" w:bidi="fr-FR"/>
              </w:rPr>
              <w:t xml:space="preserve">Cuota ajustada (si procede) </w:t>
            </w:r>
          </w:p>
        </w:tc>
        <w:tc>
          <w:tcPr>
            <w:tcW w:w="1741" w:type="dxa"/>
            <w:shd w:val="clear" w:color="auto" w:fill="D0CECE" w:themeFill="background2" w:themeFillShade="E6"/>
            <w:noWrap/>
            <w:vAlign w:val="center"/>
          </w:tcPr>
          <w:p w14:paraId="53684FFB" w14:textId="77777777" w:rsidR="009123AC" w:rsidRPr="00F0379B" w:rsidRDefault="009123AC" w:rsidP="009123AC">
            <w:pPr>
              <w:spacing w:after="0" w:line="240" w:lineRule="auto"/>
              <w:jc w:val="right"/>
              <w:rPr>
                <w:rFonts w:ascii="Cambria" w:eastAsia="Times New Roman" w:hAnsi="Cambria" w:cs="Calibri"/>
                <w:b/>
                <w:bCs/>
                <w:sz w:val="16"/>
                <w:szCs w:val="16"/>
                <w:lang w:eastAsia="ja-JP"/>
              </w:rPr>
            </w:pPr>
          </w:p>
        </w:tc>
        <w:tc>
          <w:tcPr>
            <w:tcW w:w="646" w:type="dxa"/>
            <w:shd w:val="clear" w:color="auto" w:fill="D0CECE" w:themeFill="background2" w:themeFillShade="E6"/>
            <w:vAlign w:val="center"/>
          </w:tcPr>
          <w:p w14:paraId="63D123E0"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710" w:type="dxa"/>
            <w:shd w:val="clear" w:color="auto" w:fill="D0CECE" w:themeFill="background2" w:themeFillShade="E6"/>
            <w:noWrap/>
            <w:vAlign w:val="center"/>
          </w:tcPr>
          <w:p w14:paraId="695A4474"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572" w:type="dxa"/>
            <w:shd w:val="clear" w:color="auto" w:fill="D0CECE" w:themeFill="background2" w:themeFillShade="E6"/>
            <w:vAlign w:val="center"/>
          </w:tcPr>
          <w:p w14:paraId="47010E8D"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649" w:type="dxa"/>
            <w:shd w:val="clear" w:color="auto" w:fill="D0CECE" w:themeFill="background2" w:themeFillShade="E6"/>
            <w:vAlign w:val="center"/>
          </w:tcPr>
          <w:p w14:paraId="0E980D18"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675" w:type="dxa"/>
            <w:shd w:val="clear" w:color="auto" w:fill="D0CECE" w:themeFill="background2" w:themeFillShade="E6"/>
            <w:vAlign w:val="center"/>
          </w:tcPr>
          <w:p w14:paraId="7A3B0B56"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685" w:type="dxa"/>
            <w:shd w:val="clear" w:color="auto" w:fill="D0CECE" w:themeFill="background2" w:themeFillShade="E6"/>
            <w:vAlign w:val="center"/>
          </w:tcPr>
          <w:p w14:paraId="462ED63B"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shd w:val="clear" w:color="auto" w:fill="D0CECE" w:themeFill="background2" w:themeFillShade="E6"/>
            <w:vAlign w:val="center"/>
          </w:tcPr>
          <w:p w14:paraId="0DDD762B"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0" w:type="auto"/>
            <w:shd w:val="clear" w:color="auto" w:fill="D0CECE" w:themeFill="background2" w:themeFillShade="E6"/>
            <w:vAlign w:val="center"/>
          </w:tcPr>
          <w:p w14:paraId="040B1635"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shd w:val="clear" w:color="auto" w:fill="D0CECE" w:themeFill="background2" w:themeFillShade="E6"/>
            <w:vAlign w:val="center"/>
          </w:tcPr>
          <w:p w14:paraId="385FA6C7"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shd w:val="clear" w:color="auto" w:fill="D0CECE" w:themeFill="background2" w:themeFillShade="E6"/>
            <w:vAlign w:val="center"/>
          </w:tcPr>
          <w:p w14:paraId="488DEA9F" w14:textId="77777777" w:rsidR="009123AC" w:rsidRPr="00F0379B" w:rsidRDefault="009123AC" w:rsidP="009123AC">
            <w:pPr>
              <w:spacing w:after="0" w:line="240" w:lineRule="auto"/>
              <w:jc w:val="center"/>
              <w:rPr>
                <w:rFonts w:ascii="Cambria" w:eastAsia="Times New Roman" w:hAnsi="Cambria" w:cstheme="majorHAnsi"/>
                <w:kern w:val="2"/>
                <w:sz w:val="15"/>
                <w:szCs w:val="15"/>
                <w:lang w:val="en-US" w:eastAsia="ja-JP"/>
              </w:rPr>
            </w:pPr>
            <w:r w:rsidRPr="00F0379B">
              <w:rPr>
                <w:rFonts w:ascii="Cambria" w:eastAsia="Times New Roman" w:hAnsi="Cambria" w:cstheme="majorHAnsi"/>
                <w:kern w:val="2"/>
                <w:sz w:val="15"/>
                <w:szCs w:val="15"/>
                <w:lang w:val="en-US" w:eastAsia="ja-JP"/>
              </w:rPr>
              <w:t>16.211</w:t>
            </w:r>
          </w:p>
        </w:tc>
        <w:tc>
          <w:tcPr>
            <w:tcW w:w="0" w:type="auto"/>
            <w:shd w:val="clear" w:color="auto" w:fill="D0CECE" w:themeFill="background2" w:themeFillShade="E6"/>
            <w:vAlign w:val="center"/>
          </w:tcPr>
          <w:p w14:paraId="076EB6CC" w14:textId="77777777" w:rsidR="009123AC" w:rsidRPr="00F0379B" w:rsidRDefault="009123AC" w:rsidP="009123AC">
            <w:pPr>
              <w:spacing w:after="0" w:line="240" w:lineRule="auto"/>
              <w:jc w:val="center"/>
              <w:rPr>
                <w:rFonts w:ascii="Cambria" w:eastAsia="Times New Roman" w:hAnsi="Cambria" w:cs="Arial"/>
                <w:kern w:val="2"/>
                <w:sz w:val="15"/>
                <w:szCs w:val="15"/>
                <w:lang w:val="en-US" w:eastAsia="ja-JP"/>
              </w:rPr>
            </w:pPr>
            <w:r w:rsidRPr="00F0379B">
              <w:rPr>
                <w:rFonts w:ascii="Cambria" w:eastAsia="Times New Roman" w:hAnsi="Cambria" w:cs="Arial"/>
                <w:kern w:val="2"/>
                <w:sz w:val="15"/>
                <w:szCs w:val="15"/>
                <w:lang w:val="en-US" w:eastAsia="ja-JP"/>
              </w:rPr>
              <w:t>15.850</w:t>
            </w:r>
          </w:p>
        </w:tc>
        <w:tc>
          <w:tcPr>
            <w:tcW w:w="0" w:type="auto"/>
            <w:shd w:val="clear" w:color="auto" w:fill="D0CECE" w:themeFill="background2" w:themeFillShade="E6"/>
            <w:noWrap/>
            <w:vAlign w:val="center"/>
          </w:tcPr>
          <w:p w14:paraId="3D676C34" w14:textId="77777777" w:rsidR="009123AC" w:rsidRPr="00F0379B" w:rsidRDefault="009123AC" w:rsidP="009123AC">
            <w:pPr>
              <w:spacing w:after="0" w:line="240" w:lineRule="auto"/>
              <w:jc w:val="center"/>
              <w:rPr>
                <w:rFonts w:ascii="Cambria" w:eastAsia="Times New Roman" w:hAnsi="Cambria" w:cstheme="majorHAnsi"/>
                <w:kern w:val="2"/>
                <w:sz w:val="15"/>
                <w:szCs w:val="15"/>
                <w:lang w:val="en-US" w:eastAsia="ja-JP"/>
              </w:rPr>
            </w:pPr>
            <w:r w:rsidRPr="00F0379B">
              <w:rPr>
                <w:rFonts w:ascii="Cambria" w:eastAsia="Times New Roman" w:hAnsi="Cambria" w:cstheme="majorHAnsi"/>
                <w:kern w:val="2"/>
                <w:sz w:val="15"/>
                <w:szCs w:val="15"/>
                <w:lang w:val="en-US" w:eastAsia="ja-JP"/>
              </w:rPr>
              <w:t>20.882</w:t>
            </w:r>
          </w:p>
        </w:tc>
        <w:tc>
          <w:tcPr>
            <w:tcW w:w="0" w:type="auto"/>
            <w:shd w:val="clear" w:color="auto" w:fill="D0CECE" w:themeFill="background2" w:themeFillShade="E6"/>
            <w:noWrap/>
            <w:vAlign w:val="center"/>
          </w:tcPr>
          <w:p w14:paraId="43AED44B" w14:textId="77777777" w:rsidR="009123AC" w:rsidRPr="00F0379B" w:rsidRDefault="009123AC" w:rsidP="009123AC">
            <w:pPr>
              <w:spacing w:after="0" w:line="240" w:lineRule="auto"/>
              <w:jc w:val="center"/>
              <w:rPr>
                <w:rFonts w:ascii="Cambria" w:eastAsia="Times New Roman" w:hAnsi="Cambria" w:cstheme="majorHAnsi"/>
                <w:kern w:val="2"/>
                <w:sz w:val="15"/>
                <w:szCs w:val="15"/>
                <w:lang w:val="en-US" w:eastAsia="ja-JP"/>
              </w:rPr>
            </w:pPr>
            <w:r w:rsidRPr="00F0379B">
              <w:rPr>
                <w:rFonts w:ascii="Cambria" w:eastAsia="Times New Roman" w:hAnsi="Cambria" w:cstheme="majorHAnsi"/>
                <w:kern w:val="2"/>
                <w:sz w:val="15"/>
                <w:szCs w:val="15"/>
                <w:lang w:val="en-US" w:eastAsia="ja-JP"/>
              </w:rPr>
              <w:t>21.414</w:t>
            </w:r>
          </w:p>
        </w:tc>
        <w:tc>
          <w:tcPr>
            <w:tcW w:w="0" w:type="auto"/>
            <w:shd w:val="clear" w:color="auto" w:fill="D0CECE" w:themeFill="background2" w:themeFillShade="E6"/>
            <w:noWrap/>
            <w:vAlign w:val="center"/>
          </w:tcPr>
          <w:p w14:paraId="25130D13" w14:textId="77777777" w:rsidR="009123AC" w:rsidRPr="00F0379B" w:rsidRDefault="009123AC" w:rsidP="009123AC">
            <w:pPr>
              <w:spacing w:after="0" w:line="240" w:lineRule="auto"/>
              <w:jc w:val="center"/>
              <w:rPr>
                <w:rFonts w:ascii="Cambria" w:eastAsia="Times New Roman" w:hAnsi="Cambria" w:cstheme="majorHAnsi"/>
                <w:kern w:val="2"/>
                <w:sz w:val="15"/>
                <w:szCs w:val="15"/>
                <w:lang w:val="en-US" w:eastAsia="ja-JP"/>
              </w:rPr>
            </w:pPr>
            <w:r w:rsidRPr="00F0379B">
              <w:rPr>
                <w:rFonts w:ascii="Cambria" w:eastAsia="Times New Roman" w:hAnsi="Cambria" w:cstheme="majorHAnsi"/>
                <w:kern w:val="2"/>
                <w:sz w:val="15"/>
                <w:szCs w:val="15"/>
                <w:lang w:val="en-US" w:eastAsia="ja-JP"/>
              </w:rPr>
              <w:t>20.917</w:t>
            </w:r>
          </w:p>
        </w:tc>
        <w:tc>
          <w:tcPr>
            <w:tcW w:w="0" w:type="auto"/>
            <w:tcBorders>
              <w:right w:val="single" w:sz="12" w:space="0" w:color="000000"/>
            </w:tcBorders>
            <w:shd w:val="clear" w:color="auto" w:fill="D0CECE" w:themeFill="background2" w:themeFillShade="E6"/>
            <w:vAlign w:val="center"/>
          </w:tcPr>
          <w:p w14:paraId="66E964D9" w14:textId="77777777" w:rsidR="009123AC" w:rsidRPr="00F0379B" w:rsidRDefault="009123AC" w:rsidP="009123AC">
            <w:pPr>
              <w:spacing w:after="0" w:line="240" w:lineRule="auto"/>
              <w:jc w:val="center"/>
              <w:rPr>
                <w:rFonts w:ascii="Cambria" w:eastAsia="Times New Roman" w:hAnsi="Cambria" w:cstheme="majorBidi"/>
                <w:kern w:val="2"/>
                <w:sz w:val="15"/>
                <w:szCs w:val="15"/>
                <w:lang w:val="en-US" w:eastAsia="ja-JP"/>
              </w:rPr>
            </w:pPr>
            <w:r w:rsidRPr="00F0379B">
              <w:rPr>
                <w:rFonts w:ascii="Cambria" w:eastAsia="Times New Roman" w:hAnsi="Cambria" w:cstheme="majorBidi"/>
                <w:kern w:val="2"/>
                <w:sz w:val="15"/>
                <w:szCs w:val="15"/>
                <w:lang w:val="en-US" w:eastAsia="ja-JP"/>
              </w:rPr>
              <w:t>26.240</w:t>
            </w:r>
            <w:r w:rsidRPr="00F0379B">
              <w:rPr>
                <w:rFonts w:ascii="Cambria" w:eastAsia="Times New Roman" w:hAnsi="Cambria" w:cstheme="majorBidi"/>
                <w:kern w:val="2"/>
                <w:sz w:val="15"/>
                <w:szCs w:val="15"/>
                <w:vertAlign w:val="superscript"/>
                <w:lang w:val="en-US" w:eastAsia="ja-JP"/>
              </w:rPr>
              <w:footnoteReference w:id="21"/>
            </w:r>
          </w:p>
        </w:tc>
      </w:tr>
      <w:tr w:rsidR="009123AC" w:rsidRPr="00F0379B" w14:paraId="404F4BB5" w14:textId="77777777" w:rsidTr="00CA749B">
        <w:trPr>
          <w:trHeight w:val="23"/>
        </w:trPr>
        <w:tc>
          <w:tcPr>
            <w:tcW w:w="3359" w:type="dxa"/>
            <w:tcBorders>
              <w:left w:val="single" w:sz="12" w:space="0" w:color="000000"/>
            </w:tcBorders>
            <w:vAlign w:val="center"/>
          </w:tcPr>
          <w:p w14:paraId="6F195D1C"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para investigación científica (si procede)</w:t>
            </w:r>
          </w:p>
        </w:tc>
        <w:tc>
          <w:tcPr>
            <w:tcW w:w="1741" w:type="dxa"/>
            <w:noWrap/>
            <w:vAlign w:val="center"/>
          </w:tcPr>
          <w:p w14:paraId="3B15F3A8" w14:textId="77777777" w:rsidR="009123AC" w:rsidRPr="00F0379B" w:rsidRDefault="009123AC" w:rsidP="009123AC">
            <w:pPr>
              <w:spacing w:after="0" w:line="240" w:lineRule="auto"/>
              <w:jc w:val="right"/>
              <w:rPr>
                <w:rFonts w:ascii="Cambria" w:eastAsia="Times New Roman" w:hAnsi="Cambria" w:cs="Calibri"/>
                <w:b/>
                <w:bCs/>
                <w:sz w:val="16"/>
                <w:szCs w:val="16"/>
                <w:lang w:eastAsia="ja-JP"/>
              </w:rPr>
            </w:pPr>
          </w:p>
        </w:tc>
        <w:tc>
          <w:tcPr>
            <w:tcW w:w="646" w:type="dxa"/>
            <w:vAlign w:val="center"/>
          </w:tcPr>
          <w:p w14:paraId="543150DE"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710" w:type="dxa"/>
            <w:noWrap/>
            <w:vAlign w:val="center"/>
          </w:tcPr>
          <w:p w14:paraId="02F83084"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572" w:type="dxa"/>
            <w:vAlign w:val="center"/>
          </w:tcPr>
          <w:p w14:paraId="0669DF98"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649" w:type="dxa"/>
            <w:vAlign w:val="center"/>
          </w:tcPr>
          <w:p w14:paraId="26B38112"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675" w:type="dxa"/>
            <w:vAlign w:val="center"/>
          </w:tcPr>
          <w:p w14:paraId="4F6B5882"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685" w:type="dxa"/>
            <w:vAlign w:val="center"/>
          </w:tcPr>
          <w:p w14:paraId="642F6108"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vAlign w:val="center"/>
          </w:tcPr>
          <w:p w14:paraId="08AA6459"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0" w:type="auto"/>
            <w:shd w:val="clear" w:color="000000" w:fill="D9D9D9"/>
            <w:vAlign w:val="center"/>
          </w:tcPr>
          <w:p w14:paraId="0BD86827"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vAlign w:val="center"/>
          </w:tcPr>
          <w:p w14:paraId="08204E07"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vAlign w:val="center"/>
          </w:tcPr>
          <w:p w14:paraId="5A5E1C50"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vAlign w:val="center"/>
          </w:tcPr>
          <w:p w14:paraId="6771049F"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noWrap/>
            <w:vAlign w:val="center"/>
          </w:tcPr>
          <w:p w14:paraId="75CB469D"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noWrap/>
            <w:vAlign w:val="center"/>
          </w:tcPr>
          <w:p w14:paraId="1260E2BC"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noWrap/>
            <w:vAlign w:val="center"/>
          </w:tcPr>
          <w:p w14:paraId="29E6F6C7"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tcBorders>
              <w:right w:val="single" w:sz="12" w:space="0" w:color="000000"/>
            </w:tcBorders>
            <w:vAlign w:val="center"/>
          </w:tcPr>
          <w:p w14:paraId="1C95F7C7"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Bidi"/>
                <w:kern w:val="2"/>
                <w:sz w:val="15"/>
                <w:szCs w:val="15"/>
                <w:lang w:val="en-US" w:eastAsia="ja-JP"/>
              </w:rPr>
              <w:t>1</w:t>
            </w:r>
          </w:p>
        </w:tc>
      </w:tr>
      <w:tr w:rsidR="009123AC" w:rsidRPr="00F0379B" w14:paraId="6A2B5D8B" w14:textId="77777777" w:rsidTr="00CA749B">
        <w:trPr>
          <w:trHeight w:val="23"/>
        </w:trPr>
        <w:tc>
          <w:tcPr>
            <w:tcW w:w="3359" w:type="dxa"/>
            <w:tcBorders>
              <w:left w:val="single" w:sz="12" w:space="0" w:color="000000"/>
            </w:tcBorders>
            <w:vAlign w:val="center"/>
          </w:tcPr>
          <w:p w14:paraId="3D18445B"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Tolerancia para pesca deportiva/de recreo (si procede)</w:t>
            </w:r>
          </w:p>
        </w:tc>
        <w:tc>
          <w:tcPr>
            <w:tcW w:w="1741" w:type="dxa"/>
            <w:noWrap/>
            <w:vAlign w:val="center"/>
          </w:tcPr>
          <w:p w14:paraId="67033C96" w14:textId="77777777" w:rsidR="009123AC" w:rsidRPr="00F0379B" w:rsidRDefault="009123AC" w:rsidP="009123AC">
            <w:pPr>
              <w:spacing w:after="0" w:line="240" w:lineRule="auto"/>
              <w:jc w:val="right"/>
              <w:rPr>
                <w:rFonts w:ascii="Cambria" w:eastAsia="Times New Roman" w:hAnsi="Cambria" w:cs="Calibri"/>
                <w:b/>
                <w:bCs/>
                <w:sz w:val="16"/>
                <w:szCs w:val="16"/>
                <w:lang w:eastAsia="ja-JP"/>
              </w:rPr>
            </w:pPr>
          </w:p>
        </w:tc>
        <w:tc>
          <w:tcPr>
            <w:tcW w:w="646" w:type="dxa"/>
            <w:vAlign w:val="center"/>
          </w:tcPr>
          <w:p w14:paraId="0238250E"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710" w:type="dxa"/>
            <w:noWrap/>
            <w:vAlign w:val="center"/>
          </w:tcPr>
          <w:p w14:paraId="3EF24667"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572" w:type="dxa"/>
            <w:vAlign w:val="center"/>
          </w:tcPr>
          <w:p w14:paraId="6F83BFB9"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649" w:type="dxa"/>
            <w:vAlign w:val="center"/>
          </w:tcPr>
          <w:p w14:paraId="2C5F190A"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675" w:type="dxa"/>
            <w:vAlign w:val="center"/>
          </w:tcPr>
          <w:p w14:paraId="57505FC9"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685" w:type="dxa"/>
            <w:vAlign w:val="center"/>
          </w:tcPr>
          <w:p w14:paraId="417782FA"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vAlign w:val="center"/>
          </w:tcPr>
          <w:p w14:paraId="20E88C4F"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0" w:type="auto"/>
            <w:shd w:val="clear" w:color="000000" w:fill="D9D9D9"/>
            <w:vAlign w:val="center"/>
          </w:tcPr>
          <w:p w14:paraId="145B8439"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vAlign w:val="center"/>
          </w:tcPr>
          <w:p w14:paraId="15EC4A2A"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vAlign w:val="center"/>
          </w:tcPr>
          <w:p w14:paraId="24E5DD5D"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vAlign w:val="center"/>
          </w:tcPr>
          <w:p w14:paraId="216A03CA"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noWrap/>
            <w:vAlign w:val="center"/>
          </w:tcPr>
          <w:p w14:paraId="7B202F66"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HAnsi"/>
                <w:kern w:val="2"/>
                <w:sz w:val="15"/>
                <w:szCs w:val="15"/>
                <w:lang w:val="en-US" w:eastAsia="ja-JP"/>
              </w:rPr>
              <w:t>150</w:t>
            </w:r>
          </w:p>
        </w:tc>
        <w:tc>
          <w:tcPr>
            <w:tcW w:w="0" w:type="auto"/>
            <w:noWrap/>
            <w:vAlign w:val="center"/>
          </w:tcPr>
          <w:p w14:paraId="1CC76626"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HAnsi"/>
                <w:kern w:val="2"/>
                <w:sz w:val="15"/>
                <w:szCs w:val="15"/>
                <w:lang w:val="en-US" w:eastAsia="ja-JP"/>
              </w:rPr>
              <w:t>123</w:t>
            </w:r>
          </w:p>
        </w:tc>
        <w:tc>
          <w:tcPr>
            <w:tcW w:w="0" w:type="auto"/>
            <w:noWrap/>
            <w:vAlign w:val="center"/>
          </w:tcPr>
          <w:p w14:paraId="28A690A7"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HAnsi"/>
                <w:kern w:val="2"/>
                <w:sz w:val="15"/>
                <w:szCs w:val="15"/>
                <w:lang w:val="en-US" w:eastAsia="ja-JP"/>
              </w:rPr>
              <w:t>116</w:t>
            </w:r>
          </w:p>
        </w:tc>
        <w:tc>
          <w:tcPr>
            <w:tcW w:w="0" w:type="auto"/>
            <w:tcBorders>
              <w:right w:val="single" w:sz="12" w:space="0" w:color="000000"/>
            </w:tcBorders>
            <w:vAlign w:val="center"/>
          </w:tcPr>
          <w:p w14:paraId="19083023"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r w:rsidRPr="00F0379B">
              <w:rPr>
                <w:rFonts w:ascii="Cambria" w:eastAsia="Times New Roman" w:hAnsi="Cambria" w:cstheme="majorBidi"/>
                <w:kern w:val="2"/>
                <w:sz w:val="15"/>
                <w:szCs w:val="15"/>
                <w:lang w:val="en-US" w:eastAsia="ja-JP"/>
              </w:rPr>
              <w:t>134</w:t>
            </w:r>
          </w:p>
        </w:tc>
      </w:tr>
      <w:tr w:rsidR="009123AC" w:rsidRPr="00F0379B" w14:paraId="41148BA7" w14:textId="77777777" w:rsidTr="00CA749B">
        <w:trPr>
          <w:trHeight w:val="23"/>
        </w:trPr>
        <w:tc>
          <w:tcPr>
            <w:tcW w:w="3359" w:type="dxa"/>
            <w:tcBorders>
              <w:left w:val="single" w:sz="12" w:space="0" w:color="000000"/>
              <w:bottom w:val="single" w:sz="12" w:space="0" w:color="000000"/>
            </w:tcBorders>
            <w:vAlign w:val="center"/>
          </w:tcPr>
          <w:p w14:paraId="1CB08B7E"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disponible</w:t>
            </w:r>
          </w:p>
        </w:tc>
        <w:tc>
          <w:tcPr>
            <w:tcW w:w="1741" w:type="dxa"/>
            <w:tcBorders>
              <w:bottom w:val="single" w:sz="12" w:space="0" w:color="000000"/>
            </w:tcBorders>
            <w:noWrap/>
            <w:vAlign w:val="center"/>
          </w:tcPr>
          <w:p w14:paraId="3BE42D20" w14:textId="77777777" w:rsidR="009123AC" w:rsidRPr="00F0379B" w:rsidRDefault="009123AC" w:rsidP="009123AC">
            <w:pPr>
              <w:spacing w:after="0" w:line="240" w:lineRule="auto"/>
              <w:jc w:val="right"/>
              <w:rPr>
                <w:rFonts w:ascii="Cambria" w:eastAsia="Times New Roman" w:hAnsi="Cambria" w:cs="Calibri"/>
                <w:b/>
                <w:bCs/>
                <w:sz w:val="16"/>
                <w:szCs w:val="16"/>
                <w:lang w:eastAsia="ja-JP"/>
              </w:rPr>
            </w:pPr>
          </w:p>
        </w:tc>
        <w:tc>
          <w:tcPr>
            <w:tcW w:w="646" w:type="dxa"/>
            <w:tcBorders>
              <w:bottom w:val="single" w:sz="12" w:space="0" w:color="000000"/>
            </w:tcBorders>
            <w:vAlign w:val="center"/>
          </w:tcPr>
          <w:p w14:paraId="3BA401FC"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710" w:type="dxa"/>
            <w:tcBorders>
              <w:bottom w:val="single" w:sz="12" w:space="0" w:color="000000"/>
            </w:tcBorders>
            <w:noWrap/>
            <w:vAlign w:val="center"/>
          </w:tcPr>
          <w:p w14:paraId="1DED06D4"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572" w:type="dxa"/>
            <w:tcBorders>
              <w:bottom w:val="single" w:sz="12" w:space="0" w:color="000000"/>
            </w:tcBorders>
            <w:vAlign w:val="center"/>
          </w:tcPr>
          <w:p w14:paraId="292BA42C"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649" w:type="dxa"/>
            <w:tcBorders>
              <w:bottom w:val="single" w:sz="12" w:space="0" w:color="000000"/>
            </w:tcBorders>
            <w:vAlign w:val="center"/>
          </w:tcPr>
          <w:p w14:paraId="0A45E575"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p>
        </w:tc>
        <w:tc>
          <w:tcPr>
            <w:tcW w:w="675" w:type="dxa"/>
            <w:tcBorders>
              <w:bottom w:val="single" w:sz="12" w:space="0" w:color="000000"/>
            </w:tcBorders>
            <w:vAlign w:val="center"/>
          </w:tcPr>
          <w:p w14:paraId="36807932"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p>
        </w:tc>
        <w:tc>
          <w:tcPr>
            <w:tcW w:w="685" w:type="dxa"/>
            <w:tcBorders>
              <w:bottom w:val="single" w:sz="12" w:space="0" w:color="000000"/>
            </w:tcBorders>
            <w:vAlign w:val="center"/>
          </w:tcPr>
          <w:p w14:paraId="79B635C6"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p>
        </w:tc>
        <w:tc>
          <w:tcPr>
            <w:tcW w:w="0" w:type="auto"/>
            <w:tcBorders>
              <w:bottom w:val="single" w:sz="12" w:space="0" w:color="000000"/>
            </w:tcBorders>
            <w:vAlign w:val="center"/>
          </w:tcPr>
          <w:p w14:paraId="5E39D920"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p>
        </w:tc>
        <w:tc>
          <w:tcPr>
            <w:tcW w:w="0" w:type="auto"/>
            <w:tcBorders>
              <w:bottom w:val="single" w:sz="12" w:space="0" w:color="000000"/>
            </w:tcBorders>
            <w:shd w:val="clear" w:color="000000" w:fill="D9D9D9"/>
            <w:vAlign w:val="center"/>
          </w:tcPr>
          <w:p w14:paraId="6C4B858D"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p>
        </w:tc>
        <w:tc>
          <w:tcPr>
            <w:tcW w:w="0" w:type="auto"/>
            <w:tcBorders>
              <w:bottom w:val="single" w:sz="12" w:space="0" w:color="000000"/>
            </w:tcBorders>
            <w:vAlign w:val="center"/>
          </w:tcPr>
          <w:p w14:paraId="284F65C4"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tcBorders>
              <w:bottom w:val="single" w:sz="12" w:space="0" w:color="000000"/>
            </w:tcBorders>
            <w:vAlign w:val="center"/>
          </w:tcPr>
          <w:p w14:paraId="08FFC747" w14:textId="77777777" w:rsidR="009123AC" w:rsidRPr="00F0379B" w:rsidRDefault="009123AC" w:rsidP="009123AC">
            <w:pPr>
              <w:spacing w:after="0" w:line="240" w:lineRule="auto"/>
              <w:jc w:val="center"/>
              <w:rPr>
                <w:rFonts w:ascii="Cambria" w:eastAsia="Times New Roman" w:hAnsi="Cambria" w:cs="Calibri"/>
                <w:b/>
                <w:bCs/>
                <w:sz w:val="15"/>
                <w:szCs w:val="15"/>
                <w:lang w:eastAsia="ja-JP"/>
              </w:rPr>
            </w:pPr>
          </w:p>
        </w:tc>
        <w:tc>
          <w:tcPr>
            <w:tcW w:w="0" w:type="auto"/>
            <w:tcBorders>
              <w:bottom w:val="single" w:sz="12" w:space="0" w:color="000000"/>
            </w:tcBorders>
            <w:vAlign w:val="center"/>
          </w:tcPr>
          <w:p w14:paraId="578CB5AD"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p>
        </w:tc>
        <w:tc>
          <w:tcPr>
            <w:tcW w:w="0" w:type="auto"/>
            <w:tcBorders>
              <w:bottom w:val="single" w:sz="12" w:space="0" w:color="000000"/>
            </w:tcBorders>
            <w:noWrap/>
            <w:vAlign w:val="center"/>
          </w:tcPr>
          <w:p w14:paraId="4C22813E"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p>
        </w:tc>
        <w:tc>
          <w:tcPr>
            <w:tcW w:w="0" w:type="auto"/>
            <w:tcBorders>
              <w:bottom w:val="single" w:sz="12" w:space="0" w:color="000000"/>
            </w:tcBorders>
            <w:noWrap/>
            <w:vAlign w:val="center"/>
          </w:tcPr>
          <w:p w14:paraId="62C507BB"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p>
        </w:tc>
        <w:tc>
          <w:tcPr>
            <w:tcW w:w="0" w:type="auto"/>
            <w:tcBorders>
              <w:bottom w:val="single" w:sz="12" w:space="0" w:color="000000"/>
            </w:tcBorders>
            <w:noWrap/>
            <w:vAlign w:val="center"/>
          </w:tcPr>
          <w:p w14:paraId="3BC67377"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p>
        </w:tc>
        <w:tc>
          <w:tcPr>
            <w:tcW w:w="0" w:type="auto"/>
            <w:tcBorders>
              <w:bottom w:val="single" w:sz="12" w:space="0" w:color="000000"/>
              <w:right w:val="single" w:sz="12" w:space="0" w:color="000000"/>
            </w:tcBorders>
            <w:vAlign w:val="center"/>
          </w:tcPr>
          <w:p w14:paraId="47487099" w14:textId="77777777" w:rsidR="009123AC" w:rsidRPr="00F0379B" w:rsidRDefault="009123AC" w:rsidP="009123AC">
            <w:pPr>
              <w:spacing w:after="0" w:line="240" w:lineRule="auto"/>
              <w:jc w:val="center"/>
              <w:rPr>
                <w:rFonts w:ascii="Cambria" w:eastAsia="Times New Roman" w:hAnsi="Cambria" w:cs="Calibri"/>
                <w:b/>
                <w:bCs/>
                <w:sz w:val="15"/>
                <w:szCs w:val="15"/>
                <w:lang w:val="en-US" w:eastAsia="ja-JP"/>
              </w:rPr>
            </w:pPr>
            <w:r w:rsidRPr="00F0379B">
              <w:rPr>
                <w:rFonts w:ascii="Cambria" w:eastAsia="Times New Roman" w:hAnsi="Cambria" w:cstheme="majorBidi"/>
                <w:kern w:val="2"/>
                <w:sz w:val="15"/>
                <w:szCs w:val="15"/>
                <w:lang w:val="en-US" w:eastAsia="ja-JP"/>
              </w:rPr>
              <w:t>25.610</w:t>
            </w:r>
          </w:p>
        </w:tc>
      </w:tr>
      <w:tr w:rsidR="009123AC" w:rsidRPr="00F0379B" w14:paraId="4F151A79" w14:textId="77777777" w:rsidTr="00CA749B">
        <w:trPr>
          <w:trHeight w:val="23"/>
        </w:trPr>
        <w:tc>
          <w:tcPr>
            <w:tcW w:w="3359" w:type="dxa"/>
            <w:tcBorders>
              <w:top w:val="single" w:sz="12" w:space="0" w:color="000000"/>
              <w:left w:val="single" w:sz="12" w:space="0" w:color="000000"/>
              <w:bottom w:val="single" w:sz="12" w:space="0" w:color="000000"/>
            </w:tcBorders>
            <w:shd w:val="clear" w:color="auto" w:fill="D9D9D9"/>
            <w:noWrap/>
            <w:vAlign w:val="center"/>
            <w:hideMark/>
          </w:tcPr>
          <w:p w14:paraId="4C3E58FD"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roofErr w:type="spellStart"/>
            <w:r w:rsidRPr="00F0379B">
              <w:rPr>
                <w:rFonts w:ascii="Cambria" w:eastAsia="MS Gothic" w:hAnsi="Cambria" w:cs="Times New Roman"/>
                <w:b/>
                <w:sz w:val="16"/>
                <w:szCs w:val="16"/>
                <w:lang w:eastAsia="fr-FR" w:bidi="fr-FR"/>
              </w:rPr>
              <w:t>Subcapacidad</w:t>
            </w:r>
            <w:proofErr w:type="spellEnd"/>
            <w:r w:rsidRPr="00F0379B">
              <w:rPr>
                <w:rFonts w:ascii="Cambria" w:eastAsia="MS Gothic" w:hAnsi="Cambria" w:cs="Times New Roman"/>
                <w:b/>
                <w:sz w:val="16"/>
                <w:szCs w:val="16"/>
                <w:lang w:eastAsia="fr-FR" w:bidi="fr-FR"/>
              </w:rPr>
              <w:t>/exceso de capacidad</w:t>
            </w:r>
          </w:p>
        </w:tc>
        <w:tc>
          <w:tcPr>
            <w:tcW w:w="1741" w:type="dxa"/>
            <w:tcBorders>
              <w:top w:val="single" w:sz="12" w:space="0" w:color="000000"/>
              <w:bottom w:val="single" w:sz="12" w:space="0" w:color="000000"/>
            </w:tcBorders>
            <w:shd w:val="clear" w:color="auto" w:fill="D9D9D9"/>
            <w:noWrap/>
            <w:vAlign w:val="center"/>
            <w:hideMark/>
          </w:tcPr>
          <w:p w14:paraId="0EE8BB27" w14:textId="77777777" w:rsidR="009123AC" w:rsidRPr="00F0379B" w:rsidRDefault="009123AC" w:rsidP="009123AC">
            <w:pPr>
              <w:spacing w:after="0" w:line="240" w:lineRule="auto"/>
              <w:jc w:val="right"/>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 </w:t>
            </w:r>
          </w:p>
        </w:tc>
        <w:tc>
          <w:tcPr>
            <w:tcW w:w="646" w:type="dxa"/>
            <w:tcBorders>
              <w:top w:val="single" w:sz="12" w:space="0" w:color="000000"/>
              <w:bottom w:val="single" w:sz="12" w:space="0" w:color="000000"/>
            </w:tcBorders>
            <w:shd w:val="clear" w:color="auto" w:fill="D9D9D9"/>
            <w:vAlign w:val="center"/>
          </w:tcPr>
          <w:p w14:paraId="11608776"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710" w:type="dxa"/>
            <w:tcBorders>
              <w:top w:val="single" w:sz="12" w:space="0" w:color="000000"/>
              <w:bottom w:val="single" w:sz="12" w:space="0" w:color="000000"/>
            </w:tcBorders>
            <w:shd w:val="clear" w:color="auto" w:fill="D9D9D9"/>
            <w:noWrap/>
            <w:vAlign w:val="center"/>
            <w:hideMark/>
          </w:tcPr>
          <w:p w14:paraId="3F396780"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572" w:type="dxa"/>
            <w:tcBorders>
              <w:top w:val="single" w:sz="12" w:space="0" w:color="000000"/>
              <w:bottom w:val="single" w:sz="12" w:space="0" w:color="000000"/>
            </w:tcBorders>
            <w:shd w:val="clear" w:color="auto" w:fill="D9D9D9"/>
            <w:vAlign w:val="center"/>
            <w:hideMark/>
          </w:tcPr>
          <w:p w14:paraId="184464BB"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649" w:type="dxa"/>
            <w:tcBorders>
              <w:top w:val="single" w:sz="12" w:space="0" w:color="000000"/>
              <w:bottom w:val="single" w:sz="12" w:space="0" w:color="000000"/>
            </w:tcBorders>
            <w:shd w:val="clear" w:color="auto" w:fill="D9D9D9"/>
            <w:vAlign w:val="center"/>
            <w:hideMark/>
          </w:tcPr>
          <w:p w14:paraId="12D91B80"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675" w:type="dxa"/>
            <w:tcBorders>
              <w:top w:val="single" w:sz="12" w:space="0" w:color="000000"/>
              <w:bottom w:val="single" w:sz="12" w:space="0" w:color="000000"/>
            </w:tcBorders>
            <w:shd w:val="clear" w:color="auto" w:fill="D9D9D9"/>
            <w:vAlign w:val="center"/>
            <w:hideMark/>
          </w:tcPr>
          <w:p w14:paraId="2E00AE81"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685" w:type="dxa"/>
            <w:tcBorders>
              <w:top w:val="single" w:sz="12" w:space="0" w:color="000000"/>
              <w:bottom w:val="single" w:sz="12" w:space="0" w:color="000000"/>
            </w:tcBorders>
            <w:shd w:val="clear" w:color="auto" w:fill="D9D9D9"/>
            <w:vAlign w:val="center"/>
          </w:tcPr>
          <w:p w14:paraId="6B335CC2"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p>
        </w:tc>
        <w:tc>
          <w:tcPr>
            <w:tcW w:w="0" w:type="auto"/>
            <w:tcBorders>
              <w:top w:val="single" w:sz="12" w:space="0" w:color="000000"/>
              <w:bottom w:val="single" w:sz="12" w:space="0" w:color="000000"/>
            </w:tcBorders>
            <w:shd w:val="clear" w:color="auto" w:fill="D9D9D9"/>
            <w:vAlign w:val="center"/>
          </w:tcPr>
          <w:p w14:paraId="2C7A6CC6"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p>
        </w:tc>
        <w:tc>
          <w:tcPr>
            <w:tcW w:w="0" w:type="auto"/>
            <w:tcBorders>
              <w:top w:val="single" w:sz="12" w:space="0" w:color="000000"/>
              <w:bottom w:val="single" w:sz="12" w:space="0" w:color="000000"/>
            </w:tcBorders>
            <w:shd w:val="clear" w:color="auto" w:fill="D9D9D9"/>
            <w:vAlign w:val="center"/>
            <w:hideMark/>
          </w:tcPr>
          <w:p w14:paraId="6FABA9CA"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p>
        </w:tc>
        <w:tc>
          <w:tcPr>
            <w:tcW w:w="0" w:type="auto"/>
            <w:tcBorders>
              <w:top w:val="single" w:sz="12" w:space="0" w:color="000000"/>
              <w:bottom w:val="single" w:sz="12" w:space="0" w:color="000000"/>
            </w:tcBorders>
            <w:shd w:val="clear" w:color="auto" w:fill="D9D9D9"/>
            <w:vAlign w:val="center"/>
          </w:tcPr>
          <w:p w14:paraId="279D9DA0" w14:textId="77777777" w:rsidR="009123AC" w:rsidRPr="00F0379B" w:rsidRDefault="009123AC" w:rsidP="009123AC">
            <w:pPr>
              <w:spacing w:after="0" w:line="240" w:lineRule="auto"/>
              <w:jc w:val="center"/>
              <w:rPr>
                <w:rFonts w:ascii="Cambria" w:eastAsia="Times New Roman" w:hAnsi="Cambria" w:cs="Calibri"/>
                <w:sz w:val="15"/>
                <w:szCs w:val="15"/>
                <w:lang w:eastAsia="ja-JP"/>
              </w:rPr>
            </w:pPr>
          </w:p>
        </w:tc>
        <w:tc>
          <w:tcPr>
            <w:tcW w:w="0" w:type="auto"/>
            <w:tcBorders>
              <w:top w:val="single" w:sz="12" w:space="0" w:color="000000"/>
              <w:bottom w:val="single" w:sz="12" w:space="0" w:color="000000"/>
            </w:tcBorders>
            <w:shd w:val="clear" w:color="auto" w:fill="D9D9D9"/>
            <w:vAlign w:val="center"/>
          </w:tcPr>
          <w:p w14:paraId="64B4C4AF"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3124</w:t>
            </w:r>
          </w:p>
        </w:tc>
        <w:tc>
          <w:tcPr>
            <w:tcW w:w="0" w:type="auto"/>
            <w:tcBorders>
              <w:top w:val="single" w:sz="12" w:space="0" w:color="000000"/>
              <w:bottom w:val="single" w:sz="12" w:space="0" w:color="000000"/>
            </w:tcBorders>
            <w:shd w:val="clear" w:color="auto" w:fill="D9D9D9"/>
            <w:vAlign w:val="center"/>
          </w:tcPr>
          <w:p w14:paraId="05EA6B4F"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-3873</w:t>
            </w:r>
          </w:p>
        </w:tc>
        <w:tc>
          <w:tcPr>
            <w:tcW w:w="0" w:type="auto"/>
            <w:tcBorders>
              <w:top w:val="single" w:sz="12" w:space="0" w:color="000000"/>
              <w:bottom w:val="single" w:sz="12" w:space="0" w:color="000000"/>
            </w:tcBorders>
            <w:shd w:val="clear" w:color="auto" w:fill="D9D9D9"/>
            <w:vAlign w:val="center"/>
          </w:tcPr>
          <w:p w14:paraId="0D23613C"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w:t>
            </w:r>
            <w:r w:rsidRPr="00F0379B">
              <w:rPr>
                <w:rFonts w:ascii="Cambria" w:eastAsia="Times New Roman" w:hAnsi="Cambria" w:cstheme="majorHAnsi"/>
                <w:kern w:val="2"/>
                <w:sz w:val="15"/>
                <w:szCs w:val="15"/>
                <w:lang w:val="en-US" w:eastAsia="ja-JP"/>
              </w:rPr>
              <w:t>6201</w:t>
            </w:r>
          </w:p>
        </w:tc>
        <w:tc>
          <w:tcPr>
            <w:tcW w:w="0" w:type="auto"/>
            <w:tcBorders>
              <w:top w:val="single" w:sz="12" w:space="0" w:color="000000"/>
              <w:bottom w:val="single" w:sz="12" w:space="0" w:color="000000"/>
            </w:tcBorders>
            <w:shd w:val="clear" w:color="auto" w:fill="D9D9D9"/>
            <w:vAlign w:val="center"/>
          </w:tcPr>
          <w:p w14:paraId="215602BB"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Arial"/>
                <w:kern w:val="2"/>
                <w:sz w:val="15"/>
                <w:szCs w:val="15"/>
                <w:lang w:val="en-US" w:eastAsia="ja-JP"/>
              </w:rPr>
              <w:t>-</w:t>
            </w:r>
            <w:r w:rsidRPr="00F0379B">
              <w:rPr>
                <w:rFonts w:ascii="Cambria" w:eastAsia="Times New Roman" w:hAnsi="Cambria" w:cstheme="majorHAnsi"/>
                <w:kern w:val="2"/>
                <w:sz w:val="15"/>
                <w:szCs w:val="15"/>
                <w:lang w:val="en-US" w:eastAsia="ja-JP"/>
              </w:rPr>
              <w:t>5161</w:t>
            </w:r>
          </w:p>
        </w:tc>
        <w:tc>
          <w:tcPr>
            <w:tcW w:w="0" w:type="auto"/>
            <w:tcBorders>
              <w:top w:val="single" w:sz="12" w:space="0" w:color="000000"/>
              <w:bottom w:val="single" w:sz="12" w:space="0" w:color="000000"/>
            </w:tcBorders>
            <w:shd w:val="clear" w:color="auto" w:fill="D9D9D9"/>
            <w:vAlign w:val="center"/>
          </w:tcPr>
          <w:p w14:paraId="7BB381CB" w14:textId="77777777" w:rsidR="009123AC" w:rsidRPr="00F0379B" w:rsidRDefault="009123AC" w:rsidP="009123AC">
            <w:pPr>
              <w:spacing w:after="0" w:line="240" w:lineRule="auto"/>
              <w:jc w:val="center"/>
              <w:rPr>
                <w:rFonts w:ascii="Cambria" w:eastAsia="Times New Roman" w:hAnsi="Cambria" w:cs="Calibri"/>
                <w:sz w:val="15"/>
                <w:szCs w:val="15"/>
                <w:lang w:eastAsia="fr-FR" w:bidi="fr-FR"/>
              </w:rPr>
            </w:pPr>
            <w:r w:rsidRPr="00F0379B">
              <w:rPr>
                <w:rFonts w:ascii="Cambria" w:eastAsia="Times New Roman" w:hAnsi="Cambria" w:cstheme="majorHAnsi"/>
                <w:kern w:val="2"/>
                <w:sz w:val="15"/>
                <w:szCs w:val="15"/>
                <w:lang w:val="en-US" w:eastAsia="ja-JP"/>
              </w:rPr>
              <w:t>-7205</w:t>
            </w:r>
          </w:p>
        </w:tc>
        <w:tc>
          <w:tcPr>
            <w:tcW w:w="0" w:type="auto"/>
            <w:tcBorders>
              <w:top w:val="single" w:sz="12" w:space="0" w:color="000000"/>
              <w:bottom w:val="single" w:sz="12" w:space="0" w:color="000000"/>
              <w:right w:val="single" w:sz="12" w:space="0" w:color="000000"/>
            </w:tcBorders>
            <w:shd w:val="clear" w:color="auto" w:fill="D9D9D9"/>
            <w:vAlign w:val="center"/>
          </w:tcPr>
          <w:p w14:paraId="30873BFD" w14:textId="77777777" w:rsidR="009123AC" w:rsidRPr="00F0379B" w:rsidRDefault="009123AC" w:rsidP="009123AC">
            <w:pPr>
              <w:spacing w:after="0" w:line="240" w:lineRule="auto"/>
              <w:jc w:val="center"/>
              <w:rPr>
                <w:rFonts w:ascii="Cambria" w:eastAsia="Times New Roman" w:hAnsi="Cambria" w:cs="Calibri"/>
                <w:sz w:val="15"/>
                <w:szCs w:val="15"/>
                <w:lang w:val="en-US" w:eastAsia="ja-JP"/>
              </w:rPr>
            </w:pPr>
            <w:r w:rsidRPr="00F0379B">
              <w:rPr>
                <w:rFonts w:ascii="Cambria" w:eastAsia="Times New Roman" w:hAnsi="Cambria" w:cstheme="majorBidi"/>
                <w:kern w:val="2"/>
                <w:sz w:val="15"/>
                <w:szCs w:val="15"/>
                <w:lang w:val="en-US" w:eastAsia="ja-JP"/>
              </w:rPr>
              <w:t>-11.698</w:t>
            </w:r>
          </w:p>
        </w:tc>
      </w:tr>
    </w:tbl>
    <w:p w14:paraId="77A56B52" w14:textId="77777777" w:rsidR="009123AC" w:rsidRPr="00F0379B" w:rsidRDefault="009123AC" w:rsidP="009123AC">
      <w:pPr>
        <w:spacing w:after="0" w:line="240" w:lineRule="auto"/>
        <w:rPr>
          <w:rFonts w:ascii="Cambria" w:eastAsia="Aptos" w:hAnsi="Cambria" w:cs="Times New Roman"/>
          <w:color w:val="000000"/>
          <w:kern w:val="2"/>
          <w:sz w:val="20"/>
          <w:szCs w:val="20"/>
          <w14:ligatures w14:val="standardContextual"/>
        </w:rPr>
      </w:pPr>
    </w:p>
    <w:p w14:paraId="2013210D" w14:textId="77777777" w:rsidR="009123AC" w:rsidRPr="00F0379B" w:rsidRDefault="009123AC" w:rsidP="009123AC">
      <w:pPr>
        <w:spacing w:after="0" w:line="240" w:lineRule="auto"/>
        <w:rPr>
          <w:rFonts w:ascii="Cambria" w:eastAsia="MS Gothic" w:hAnsi="Cambria" w:cs="Times New Roman"/>
          <w:b/>
          <w:bCs/>
          <w:color w:val="000000"/>
          <w:sz w:val="20"/>
          <w:szCs w:val="20"/>
          <w:lang w:eastAsia="fr-FR" w:bidi="fr-FR"/>
          <w14:ligatures w14:val="standardContextual"/>
        </w:rPr>
        <w:sectPr w:rsidR="009123AC" w:rsidRPr="00F0379B" w:rsidSect="009123AC">
          <w:headerReference w:type="even" r:id="rId119"/>
          <w:footerReference w:type="even" r:id="rId120"/>
          <w:footerReference w:type="default" r:id="rId121"/>
          <w:headerReference w:type="first" r:id="rId122"/>
          <w:footerReference w:type="first" r:id="rId123"/>
          <w:pgSz w:w="16838" w:h="11906" w:orient="landscape" w:code="9"/>
          <w:pgMar w:top="1412" w:right="1009" w:bottom="1412" w:left="1009" w:header="850" w:footer="1134" w:gutter="0"/>
          <w:cols w:space="425"/>
          <w:docGrid w:linePitch="360"/>
        </w:sectPr>
      </w:pPr>
      <w:r w:rsidRPr="00F0379B">
        <w:rPr>
          <w:rFonts w:ascii="Cambria" w:eastAsia="MS Gothic" w:hAnsi="Cambria" w:cs="Times New Roman"/>
          <w:b/>
          <w:bCs/>
          <w:color w:val="000000"/>
          <w:sz w:val="20"/>
          <w:szCs w:val="20"/>
          <w:lang w:eastAsia="fr-FR" w:bidi="fr-FR"/>
          <w14:ligatures w14:val="standardContextual"/>
        </w:rPr>
        <w:br w:type="page"/>
      </w:r>
    </w:p>
    <w:p w14:paraId="18E7B7BB" w14:textId="77777777" w:rsidR="009123AC" w:rsidRPr="00F0379B" w:rsidRDefault="009123AC" w:rsidP="009123AC">
      <w:pPr>
        <w:spacing w:after="0" w:line="240" w:lineRule="auto"/>
        <w:ind w:left="840"/>
        <w:jc w:val="right"/>
        <w:rPr>
          <w:rFonts w:ascii="Cambria" w:eastAsia="MS Gothic" w:hAnsi="Cambria" w:cs="Times New Roman"/>
          <w:b/>
          <w:bCs/>
          <w:color w:val="000000"/>
          <w:sz w:val="20"/>
          <w:szCs w:val="20"/>
          <w:lang w:val="en-GB" w:eastAsia="fr-FR" w:bidi="fr-FR"/>
          <w14:ligatures w14:val="standardContextual"/>
        </w:rPr>
      </w:pPr>
      <w:r w:rsidRPr="00F0379B">
        <w:rPr>
          <w:rFonts w:ascii="Cambria" w:eastAsia="MS Gothic" w:hAnsi="Cambria" w:cs="Times New Roman"/>
          <w:b/>
          <w:bCs/>
          <w:color w:val="000000"/>
          <w:sz w:val="20"/>
          <w:szCs w:val="20"/>
          <w:lang w:val="en-GB" w:eastAsia="fr-FR" w:bidi="fr-FR"/>
          <w14:ligatures w14:val="standardContextual"/>
        </w:rPr>
        <w:lastRenderedPageBreak/>
        <w:t xml:space="preserve">Anexo 1 </w:t>
      </w:r>
    </w:p>
    <w:p w14:paraId="0C8049C4" w14:textId="77777777" w:rsidR="009123AC" w:rsidRPr="00F0379B" w:rsidRDefault="009123AC" w:rsidP="009123AC">
      <w:pPr>
        <w:spacing w:after="0" w:line="240" w:lineRule="auto"/>
        <w:ind w:left="840"/>
        <w:rPr>
          <w:rFonts w:ascii="Cambria" w:eastAsia="MS Gothic" w:hAnsi="Cambria" w:cs="Times New Roman"/>
          <w:color w:val="000000"/>
          <w:sz w:val="20"/>
          <w:szCs w:val="20"/>
          <w:lang w:val="en-GB" w:eastAsia="fr-FR" w:bidi="fr-FR"/>
          <w14:ligatures w14:val="standardContextual"/>
        </w:rPr>
      </w:pPr>
    </w:p>
    <w:p w14:paraId="309AACF6" w14:textId="77777777" w:rsidR="009123AC" w:rsidRPr="00F0379B" w:rsidRDefault="009123AC" w:rsidP="009123AC">
      <w:pPr>
        <w:spacing w:after="0" w:line="240" w:lineRule="auto"/>
        <w:jc w:val="center"/>
        <w:rPr>
          <w:rFonts w:ascii="Cambria" w:eastAsia="MS Gothic" w:hAnsi="Cambria" w:cs="Times New Roman"/>
          <w:noProof/>
          <w:color w:val="000000"/>
          <w:sz w:val="20"/>
          <w:szCs w:val="20"/>
          <w:lang w:val="en-GB" w:eastAsia="en-GB"/>
          <w14:ligatures w14:val="standardContextual"/>
        </w:rPr>
      </w:pPr>
      <w:r w:rsidRPr="00F0379B">
        <w:rPr>
          <w:rFonts w:ascii="Cambria" w:eastAsia="MS Gothic" w:hAnsi="Cambria" w:cs="Times New Roman"/>
          <w:b/>
          <w:bCs/>
          <w:color w:val="000000"/>
          <w:sz w:val="20"/>
          <w:szCs w:val="20"/>
          <w:lang w:val="en-GB" w:eastAsia="fr-FR" w:bidi="fr-FR"/>
          <w14:ligatures w14:val="standardContextual"/>
        </w:rPr>
        <w:t xml:space="preserve">Lista de </w:t>
      </w:r>
      <w:proofErr w:type="spellStart"/>
      <w:r w:rsidRPr="00F0379B">
        <w:rPr>
          <w:rFonts w:ascii="Cambria" w:eastAsia="MS Gothic" w:hAnsi="Cambria" w:cs="Times New Roman"/>
          <w:b/>
          <w:bCs/>
          <w:color w:val="000000"/>
          <w:sz w:val="20"/>
          <w:szCs w:val="20"/>
          <w:lang w:val="en-GB" w:eastAsia="fr-FR" w:bidi="fr-FR"/>
          <w14:ligatures w14:val="standardContextual"/>
        </w:rPr>
        <w:t>puertos</w:t>
      </w:r>
      <w:proofErr w:type="spellEnd"/>
      <w:r w:rsidRPr="00F0379B">
        <w:rPr>
          <w:rFonts w:ascii="Cambria" w:eastAsia="MS Gothic" w:hAnsi="Cambria" w:cs="Times New Roman"/>
          <w:b/>
          <w:bCs/>
          <w:color w:val="000000"/>
          <w:sz w:val="20"/>
          <w:szCs w:val="20"/>
          <w:lang w:val="en-GB" w:eastAsia="fr-FR" w:bidi="fr-FR"/>
          <w14:ligatures w14:val="standardContextual"/>
        </w:rPr>
        <w:t xml:space="preserve"> </w:t>
      </w:r>
      <w:proofErr w:type="spellStart"/>
      <w:r w:rsidRPr="00F0379B">
        <w:rPr>
          <w:rFonts w:ascii="Cambria" w:eastAsia="MS Gothic" w:hAnsi="Cambria" w:cs="Times New Roman"/>
          <w:b/>
          <w:bCs/>
          <w:color w:val="000000"/>
          <w:sz w:val="20"/>
          <w:szCs w:val="20"/>
          <w:lang w:val="en-GB" w:eastAsia="fr-FR" w:bidi="fr-FR"/>
          <w14:ligatures w14:val="standardContextual"/>
        </w:rPr>
        <w:t>designados</w:t>
      </w:r>
      <w:proofErr w:type="spellEnd"/>
    </w:p>
    <w:p w14:paraId="38EA1B28" w14:textId="77777777" w:rsidR="009123AC" w:rsidRPr="00F0379B" w:rsidRDefault="009123AC" w:rsidP="009123AC">
      <w:pPr>
        <w:tabs>
          <w:tab w:val="center" w:pos="4513"/>
          <w:tab w:val="left" w:pos="5988"/>
          <w:tab w:val="right" w:pos="9026"/>
        </w:tabs>
        <w:spacing w:after="0" w:line="240" w:lineRule="auto"/>
        <w:rPr>
          <w:rFonts w:ascii="Cambria" w:eastAsiaTheme="minorEastAsia" w:hAnsi="Cambria"/>
          <w:kern w:val="2"/>
          <w:sz w:val="20"/>
          <w:szCs w:val="20"/>
          <w:lang w:val="en-GB" w:eastAsia="ja-JP"/>
          <w14:ligatures w14:val="standardContextual"/>
        </w:rPr>
      </w:pPr>
      <w:r w:rsidRPr="00F0379B">
        <w:rPr>
          <w:rFonts w:ascii="Cambria" w:eastAsiaTheme="minorEastAsia" w:hAnsi="Cambria"/>
          <w:kern w:val="2"/>
          <w:sz w:val="20"/>
          <w:szCs w:val="20"/>
          <w:lang w:val="en-GB" w:eastAsia="ja-JP"/>
          <w14:ligatures w14:val="standardContextual"/>
        </w:rPr>
        <w:tab/>
      </w:r>
    </w:p>
    <w:tbl>
      <w:tblPr>
        <w:tblW w:w="0" w:type="auto"/>
        <w:jc w:val="center"/>
        <w:tblLook w:val="04A0" w:firstRow="1" w:lastRow="0" w:firstColumn="1" w:lastColumn="0" w:noHBand="0" w:noVBand="1"/>
      </w:tblPr>
      <w:tblGrid>
        <w:gridCol w:w="4455"/>
        <w:gridCol w:w="1321"/>
      </w:tblGrid>
      <w:tr w:rsidR="009123AC" w:rsidRPr="00F0379B" w14:paraId="78C0128B" w14:textId="77777777" w:rsidTr="00CA749B">
        <w:trPr>
          <w:trHeight w:val="300"/>
          <w:tblHeader/>
          <w:jc w:val="center"/>
        </w:trPr>
        <w:tc>
          <w:tcPr>
            <w:tcW w:w="0" w:type="auto"/>
            <w:tcBorders>
              <w:top w:val="single" w:sz="4" w:space="0" w:color="auto"/>
              <w:left w:val="single" w:sz="4" w:space="0" w:color="auto"/>
              <w:bottom w:val="nil"/>
              <w:right w:val="nil"/>
            </w:tcBorders>
            <w:shd w:val="clear" w:color="000000" w:fill="E8E8E8"/>
            <w:noWrap/>
            <w:vAlign w:val="bottom"/>
            <w:hideMark/>
          </w:tcPr>
          <w:p w14:paraId="08209371" w14:textId="77777777" w:rsidR="009123AC" w:rsidRPr="00F0379B" w:rsidRDefault="009123AC" w:rsidP="009123AC">
            <w:pPr>
              <w:spacing w:after="0" w:line="240" w:lineRule="auto"/>
              <w:rPr>
                <w:rFonts w:ascii="Cambria" w:eastAsia="MS Gothic" w:hAnsi="Cambria" w:cs="Times New Roman"/>
                <w:b/>
                <w:i/>
                <w:color w:val="000000"/>
                <w:sz w:val="20"/>
                <w:szCs w:val="20"/>
                <w:lang w:val="en-GB" w:eastAsia="fr-FR" w:bidi="fr-FR"/>
                <w14:ligatures w14:val="standardContextual"/>
              </w:rPr>
            </w:pPr>
            <w:r w:rsidRPr="00F0379B">
              <w:rPr>
                <w:rFonts w:ascii="Cambria" w:eastAsia="MS Gothic" w:hAnsi="Cambria" w:cs="Times New Roman"/>
                <w:b/>
                <w:i/>
                <w:color w:val="000000"/>
                <w:sz w:val="20"/>
                <w:szCs w:val="20"/>
                <w:lang w:val="en-GB" w:eastAsia="fr-FR" w:bidi="fr-FR"/>
                <w14:ligatures w14:val="standardContextual"/>
              </w:rPr>
              <w:t>Port Name</w:t>
            </w:r>
          </w:p>
        </w:tc>
        <w:tc>
          <w:tcPr>
            <w:tcW w:w="0" w:type="auto"/>
            <w:tcBorders>
              <w:top w:val="single" w:sz="4" w:space="0" w:color="auto"/>
              <w:left w:val="nil"/>
              <w:bottom w:val="nil"/>
              <w:right w:val="single" w:sz="4" w:space="0" w:color="auto"/>
            </w:tcBorders>
            <w:shd w:val="clear" w:color="000000" w:fill="E8E8E8"/>
            <w:noWrap/>
            <w:vAlign w:val="bottom"/>
            <w:hideMark/>
          </w:tcPr>
          <w:p w14:paraId="64C51B95" w14:textId="77777777" w:rsidR="009123AC" w:rsidRPr="00F0379B" w:rsidRDefault="009123AC" w:rsidP="009123AC">
            <w:pPr>
              <w:spacing w:after="0" w:line="240" w:lineRule="auto"/>
              <w:rPr>
                <w:rFonts w:ascii="Cambria" w:eastAsia="MS Gothic" w:hAnsi="Cambria" w:cs="Times New Roman"/>
                <w:b/>
                <w:i/>
                <w:color w:val="000000"/>
                <w:sz w:val="20"/>
                <w:szCs w:val="20"/>
                <w:lang w:val="en-GB" w:eastAsia="fr-FR" w:bidi="fr-FR"/>
                <w14:ligatures w14:val="standardContextual"/>
              </w:rPr>
            </w:pPr>
            <w:r w:rsidRPr="00F0379B">
              <w:rPr>
                <w:rFonts w:ascii="Cambria" w:eastAsia="MS Gothic" w:hAnsi="Cambria" w:cs="Times New Roman"/>
                <w:b/>
                <w:i/>
                <w:color w:val="000000"/>
                <w:sz w:val="20"/>
                <w:szCs w:val="20"/>
                <w:lang w:val="en-GB" w:eastAsia="fr-FR" w:bidi="fr-FR"/>
                <w14:ligatures w14:val="standardContextual"/>
              </w:rPr>
              <w:t>MS</w:t>
            </w:r>
          </w:p>
        </w:tc>
      </w:tr>
      <w:tr w:rsidR="009123AC" w:rsidRPr="00F0379B" w14:paraId="05D6E6A9" w14:textId="77777777" w:rsidTr="00CA749B">
        <w:trPr>
          <w:trHeight w:val="300"/>
          <w:jc w:val="center"/>
        </w:trPr>
        <w:tc>
          <w:tcPr>
            <w:tcW w:w="0" w:type="auto"/>
            <w:tcBorders>
              <w:top w:val="nil"/>
              <w:left w:val="single" w:sz="4" w:space="0" w:color="auto"/>
              <w:bottom w:val="nil"/>
              <w:right w:val="nil"/>
            </w:tcBorders>
            <w:noWrap/>
            <w:vAlign w:val="bottom"/>
            <w:hideMark/>
          </w:tcPr>
          <w:p w14:paraId="7B94628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BANJOLE – RIBARSKA LUKA</w:t>
            </w:r>
          </w:p>
        </w:tc>
        <w:tc>
          <w:tcPr>
            <w:tcW w:w="0" w:type="auto"/>
            <w:tcBorders>
              <w:top w:val="nil"/>
              <w:left w:val="nil"/>
              <w:bottom w:val="nil"/>
              <w:right w:val="single" w:sz="4" w:space="0" w:color="auto"/>
            </w:tcBorders>
            <w:noWrap/>
            <w:vAlign w:val="bottom"/>
            <w:hideMark/>
          </w:tcPr>
          <w:p w14:paraId="0694644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08DA67E4" w14:textId="77777777" w:rsidTr="00CA749B">
        <w:trPr>
          <w:trHeight w:val="300"/>
          <w:jc w:val="center"/>
        </w:trPr>
        <w:tc>
          <w:tcPr>
            <w:tcW w:w="0" w:type="auto"/>
            <w:tcBorders>
              <w:top w:val="nil"/>
              <w:left w:val="single" w:sz="4" w:space="0" w:color="auto"/>
              <w:bottom w:val="nil"/>
              <w:right w:val="nil"/>
            </w:tcBorders>
            <w:noWrap/>
            <w:vAlign w:val="bottom"/>
            <w:hideMark/>
          </w:tcPr>
          <w:p w14:paraId="205B9B1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BIOGRAD – GLAVNI MUL</w:t>
            </w:r>
          </w:p>
        </w:tc>
        <w:tc>
          <w:tcPr>
            <w:tcW w:w="0" w:type="auto"/>
            <w:tcBorders>
              <w:top w:val="nil"/>
              <w:left w:val="nil"/>
              <w:bottom w:val="nil"/>
              <w:right w:val="single" w:sz="4" w:space="0" w:color="auto"/>
            </w:tcBorders>
            <w:noWrap/>
            <w:vAlign w:val="bottom"/>
            <w:hideMark/>
          </w:tcPr>
          <w:p w14:paraId="755995F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5B323CB0" w14:textId="77777777" w:rsidTr="00CA749B">
        <w:trPr>
          <w:trHeight w:val="300"/>
          <w:jc w:val="center"/>
        </w:trPr>
        <w:tc>
          <w:tcPr>
            <w:tcW w:w="0" w:type="auto"/>
            <w:tcBorders>
              <w:top w:val="nil"/>
              <w:left w:val="single" w:sz="4" w:space="0" w:color="auto"/>
              <w:bottom w:val="nil"/>
              <w:right w:val="nil"/>
            </w:tcBorders>
            <w:noWrap/>
            <w:vAlign w:val="bottom"/>
            <w:hideMark/>
          </w:tcPr>
          <w:p w14:paraId="3DD05CC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BOL</w:t>
            </w:r>
          </w:p>
        </w:tc>
        <w:tc>
          <w:tcPr>
            <w:tcW w:w="0" w:type="auto"/>
            <w:tcBorders>
              <w:top w:val="nil"/>
              <w:left w:val="nil"/>
              <w:bottom w:val="nil"/>
              <w:right w:val="single" w:sz="4" w:space="0" w:color="auto"/>
            </w:tcBorders>
            <w:noWrap/>
            <w:vAlign w:val="bottom"/>
            <w:hideMark/>
          </w:tcPr>
          <w:p w14:paraId="7D84656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242B77C8" w14:textId="77777777" w:rsidTr="00CA749B">
        <w:trPr>
          <w:trHeight w:val="300"/>
          <w:jc w:val="center"/>
        </w:trPr>
        <w:tc>
          <w:tcPr>
            <w:tcW w:w="0" w:type="auto"/>
            <w:tcBorders>
              <w:top w:val="nil"/>
              <w:left w:val="single" w:sz="4" w:space="0" w:color="auto"/>
              <w:bottom w:val="nil"/>
              <w:right w:val="nil"/>
            </w:tcBorders>
            <w:noWrap/>
            <w:vAlign w:val="bottom"/>
            <w:hideMark/>
          </w:tcPr>
          <w:p w14:paraId="314F0EE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BRAC-UVALA MASLINOVA</w:t>
            </w:r>
          </w:p>
        </w:tc>
        <w:tc>
          <w:tcPr>
            <w:tcW w:w="0" w:type="auto"/>
            <w:tcBorders>
              <w:top w:val="nil"/>
              <w:left w:val="nil"/>
              <w:bottom w:val="nil"/>
              <w:right w:val="single" w:sz="4" w:space="0" w:color="auto"/>
            </w:tcBorders>
            <w:noWrap/>
            <w:vAlign w:val="bottom"/>
            <w:hideMark/>
          </w:tcPr>
          <w:p w14:paraId="40FC253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00C054D3" w14:textId="77777777" w:rsidTr="00CA749B">
        <w:trPr>
          <w:trHeight w:val="300"/>
          <w:jc w:val="center"/>
        </w:trPr>
        <w:tc>
          <w:tcPr>
            <w:tcW w:w="0" w:type="auto"/>
            <w:tcBorders>
              <w:top w:val="nil"/>
              <w:left w:val="single" w:sz="4" w:space="0" w:color="auto"/>
              <w:bottom w:val="nil"/>
              <w:right w:val="nil"/>
            </w:tcBorders>
            <w:noWrap/>
            <w:vAlign w:val="bottom"/>
            <w:hideMark/>
          </w:tcPr>
          <w:p w14:paraId="329F093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BRIŽINE – RIBARSKA LUKA</w:t>
            </w:r>
          </w:p>
        </w:tc>
        <w:tc>
          <w:tcPr>
            <w:tcW w:w="0" w:type="auto"/>
            <w:tcBorders>
              <w:top w:val="nil"/>
              <w:left w:val="nil"/>
              <w:bottom w:val="nil"/>
              <w:right w:val="single" w:sz="4" w:space="0" w:color="auto"/>
            </w:tcBorders>
            <w:noWrap/>
            <w:vAlign w:val="bottom"/>
            <w:hideMark/>
          </w:tcPr>
          <w:p w14:paraId="1A31BA2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5511DD73" w14:textId="77777777" w:rsidTr="00CA749B">
        <w:trPr>
          <w:trHeight w:val="300"/>
          <w:jc w:val="center"/>
        </w:trPr>
        <w:tc>
          <w:tcPr>
            <w:tcW w:w="0" w:type="auto"/>
            <w:tcBorders>
              <w:top w:val="nil"/>
              <w:left w:val="single" w:sz="4" w:space="0" w:color="auto"/>
              <w:bottom w:val="nil"/>
              <w:right w:val="nil"/>
            </w:tcBorders>
            <w:noWrap/>
            <w:vAlign w:val="bottom"/>
            <w:hideMark/>
          </w:tcPr>
          <w:p w14:paraId="6D82DB8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BRNA</w:t>
            </w:r>
          </w:p>
        </w:tc>
        <w:tc>
          <w:tcPr>
            <w:tcW w:w="0" w:type="auto"/>
            <w:tcBorders>
              <w:top w:val="nil"/>
              <w:left w:val="nil"/>
              <w:bottom w:val="nil"/>
              <w:right w:val="single" w:sz="4" w:space="0" w:color="auto"/>
            </w:tcBorders>
            <w:noWrap/>
            <w:vAlign w:val="bottom"/>
            <w:hideMark/>
          </w:tcPr>
          <w:p w14:paraId="502C785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18D57E0C" w14:textId="77777777" w:rsidTr="00CA749B">
        <w:trPr>
          <w:trHeight w:val="300"/>
          <w:jc w:val="center"/>
        </w:trPr>
        <w:tc>
          <w:tcPr>
            <w:tcW w:w="0" w:type="auto"/>
            <w:tcBorders>
              <w:top w:val="nil"/>
              <w:left w:val="single" w:sz="4" w:space="0" w:color="auto"/>
              <w:bottom w:val="nil"/>
              <w:right w:val="nil"/>
            </w:tcBorders>
            <w:noWrap/>
            <w:vAlign w:val="bottom"/>
            <w:hideMark/>
          </w:tcPr>
          <w:p w14:paraId="29696CE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BUNARINA</w:t>
            </w:r>
          </w:p>
        </w:tc>
        <w:tc>
          <w:tcPr>
            <w:tcW w:w="0" w:type="auto"/>
            <w:tcBorders>
              <w:top w:val="nil"/>
              <w:left w:val="nil"/>
              <w:bottom w:val="nil"/>
              <w:right w:val="single" w:sz="4" w:space="0" w:color="auto"/>
            </w:tcBorders>
            <w:noWrap/>
            <w:vAlign w:val="bottom"/>
            <w:hideMark/>
          </w:tcPr>
          <w:p w14:paraId="4C84AC5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07148069" w14:textId="77777777" w:rsidTr="00CA749B">
        <w:trPr>
          <w:trHeight w:val="300"/>
          <w:jc w:val="center"/>
        </w:trPr>
        <w:tc>
          <w:tcPr>
            <w:tcW w:w="0" w:type="auto"/>
            <w:tcBorders>
              <w:top w:val="nil"/>
              <w:left w:val="single" w:sz="4" w:space="0" w:color="auto"/>
              <w:bottom w:val="nil"/>
              <w:right w:val="nil"/>
            </w:tcBorders>
            <w:noWrap/>
            <w:vAlign w:val="bottom"/>
            <w:hideMark/>
          </w:tcPr>
          <w:p w14:paraId="51515B6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CAVTAT</w:t>
            </w:r>
          </w:p>
        </w:tc>
        <w:tc>
          <w:tcPr>
            <w:tcW w:w="0" w:type="auto"/>
            <w:tcBorders>
              <w:top w:val="nil"/>
              <w:left w:val="nil"/>
              <w:bottom w:val="nil"/>
              <w:right w:val="single" w:sz="4" w:space="0" w:color="auto"/>
            </w:tcBorders>
            <w:noWrap/>
            <w:vAlign w:val="bottom"/>
            <w:hideMark/>
          </w:tcPr>
          <w:p w14:paraId="392CCF2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1562092E" w14:textId="77777777" w:rsidTr="00CA749B">
        <w:trPr>
          <w:trHeight w:val="300"/>
          <w:jc w:val="center"/>
        </w:trPr>
        <w:tc>
          <w:tcPr>
            <w:tcW w:w="0" w:type="auto"/>
            <w:tcBorders>
              <w:top w:val="nil"/>
              <w:left w:val="single" w:sz="4" w:space="0" w:color="auto"/>
              <w:bottom w:val="nil"/>
              <w:right w:val="nil"/>
            </w:tcBorders>
            <w:noWrap/>
            <w:vAlign w:val="bottom"/>
            <w:hideMark/>
          </w:tcPr>
          <w:p w14:paraId="388F032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CRES</w:t>
            </w:r>
          </w:p>
        </w:tc>
        <w:tc>
          <w:tcPr>
            <w:tcW w:w="0" w:type="auto"/>
            <w:tcBorders>
              <w:top w:val="nil"/>
              <w:left w:val="nil"/>
              <w:bottom w:val="nil"/>
              <w:right w:val="single" w:sz="4" w:space="0" w:color="auto"/>
            </w:tcBorders>
            <w:noWrap/>
            <w:vAlign w:val="bottom"/>
            <w:hideMark/>
          </w:tcPr>
          <w:p w14:paraId="6179B6A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3EFCC5C9" w14:textId="77777777" w:rsidTr="00CA749B">
        <w:trPr>
          <w:trHeight w:val="300"/>
          <w:jc w:val="center"/>
        </w:trPr>
        <w:tc>
          <w:tcPr>
            <w:tcW w:w="0" w:type="auto"/>
            <w:tcBorders>
              <w:top w:val="nil"/>
              <w:left w:val="single" w:sz="4" w:space="0" w:color="auto"/>
              <w:bottom w:val="nil"/>
              <w:right w:val="nil"/>
            </w:tcBorders>
            <w:noWrap/>
            <w:vAlign w:val="bottom"/>
            <w:hideMark/>
          </w:tcPr>
          <w:p w14:paraId="6D06E6A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CRIKVENICA-PAZDEHOVA</w:t>
            </w:r>
          </w:p>
        </w:tc>
        <w:tc>
          <w:tcPr>
            <w:tcW w:w="0" w:type="auto"/>
            <w:tcBorders>
              <w:top w:val="nil"/>
              <w:left w:val="nil"/>
              <w:bottom w:val="nil"/>
              <w:right w:val="single" w:sz="4" w:space="0" w:color="auto"/>
            </w:tcBorders>
            <w:noWrap/>
            <w:vAlign w:val="bottom"/>
            <w:hideMark/>
          </w:tcPr>
          <w:p w14:paraId="3CCA7BD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001AE8A9" w14:textId="77777777" w:rsidTr="00CA749B">
        <w:trPr>
          <w:trHeight w:val="300"/>
          <w:jc w:val="center"/>
        </w:trPr>
        <w:tc>
          <w:tcPr>
            <w:tcW w:w="0" w:type="auto"/>
            <w:tcBorders>
              <w:top w:val="nil"/>
              <w:left w:val="single" w:sz="4" w:space="0" w:color="auto"/>
              <w:bottom w:val="nil"/>
              <w:right w:val="nil"/>
            </w:tcBorders>
            <w:noWrap/>
            <w:vAlign w:val="bottom"/>
            <w:hideMark/>
          </w:tcPr>
          <w:p w14:paraId="023C871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DUBROVNIK – GRUŽ</w:t>
            </w:r>
          </w:p>
        </w:tc>
        <w:tc>
          <w:tcPr>
            <w:tcW w:w="0" w:type="auto"/>
            <w:tcBorders>
              <w:top w:val="nil"/>
              <w:left w:val="nil"/>
              <w:bottom w:val="nil"/>
              <w:right w:val="single" w:sz="4" w:space="0" w:color="auto"/>
            </w:tcBorders>
            <w:noWrap/>
            <w:vAlign w:val="bottom"/>
            <w:hideMark/>
          </w:tcPr>
          <w:p w14:paraId="6717336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3BD684F5" w14:textId="77777777" w:rsidTr="00CA749B">
        <w:trPr>
          <w:trHeight w:val="300"/>
          <w:jc w:val="center"/>
        </w:trPr>
        <w:tc>
          <w:tcPr>
            <w:tcW w:w="0" w:type="auto"/>
            <w:tcBorders>
              <w:top w:val="nil"/>
              <w:left w:val="single" w:sz="4" w:space="0" w:color="auto"/>
              <w:bottom w:val="nil"/>
              <w:right w:val="nil"/>
            </w:tcBorders>
            <w:noWrap/>
            <w:vAlign w:val="bottom"/>
            <w:hideMark/>
          </w:tcPr>
          <w:p w14:paraId="235C4C6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FAŽANA</w:t>
            </w:r>
          </w:p>
        </w:tc>
        <w:tc>
          <w:tcPr>
            <w:tcW w:w="0" w:type="auto"/>
            <w:tcBorders>
              <w:top w:val="nil"/>
              <w:left w:val="nil"/>
              <w:bottom w:val="nil"/>
              <w:right w:val="single" w:sz="4" w:space="0" w:color="auto"/>
            </w:tcBorders>
            <w:noWrap/>
            <w:vAlign w:val="bottom"/>
            <w:hideMark/>
          </w:tcPr>
          <w:p w14:paraId="26EBB6F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25C4479" w14:textId="77777777" w:rsidTr="00CA749B">
        <w:trPr>
          <w:trHeight w:val="300"/>
          <w:jc w:val="center"/>
        </w:trPr>
        <w:tc>
          <w:tcPr>
            <w:tcW w:w="0" w:type="auto"/>
            <w:tcBorders>
              <w:top w:val="nil"/>
              <w:left w:val="single" w:sz="4" w:space="0" w:color="auto"/>
              <w:bottom w:val="nil"/>
              <w:right w:val="nil"/>
            </w:tcBorders>
            <w:noWrap/>
            <w:vAlign w:val="bottom"/>
            <w:hideMark/>
          </w:tcPr>
          <w:p w14:paraId="2FB78E6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FORTICA</w:t>
            </w:r>
          </w:p>
        </w:tc>
        <w:tc>
          <w:tcPr>
            <w:tcW w:w="0" w:type="auto"/>
            <w:tcBorders>
              <w:top w:val="nil"/>
              <w:left w:val="nil"/>
              <w:bottom w:val="nil"/>
              <w:right w:val="single" w:sz="4" w:space="0" w:color="auto"/>
            </w:tcBorders>
            <w:noWrap/>
            <w:vAlign w:val="bottom"/>
            <w:hideMark/>
          </w:tcPr>
          <w:p w14:paraId="2FE0139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25C20500" w14:textId="77777777" w:rsidTr="00CA749B">
        <w:trPr>
          <w:trHeight w:val="300"/>
          <w:jc w:val="center"/>
        </w:trPr>
        <w:tc>
          <w:tcPr>
            <w:tcW w:w="0" w:type="auto"/>
            <w:tcBorders>
              <w:top w:val="nil"/>
              <w:left w:val="single" w:sz="4" w:space="0" w:color="auto"/>
              <w:bottom w:val="nil"/>
              <w:right w:val="nil"/>
            </w:tcBorders>
            <w:noWrap/>
            <w:vAlign w:val="bottom"/>
            <w:hideMark/>
          </w:tcPr>
          <w:p w14:paraId="68BBADC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FUNTANA</w:t>
            </w:r>
          </w:p>
        </w:tc>
        <w:tc>
          <w:tcPr>
            <w:tcW w:w="0" w:type="auto"/>
            <w:tcBorders>
              <w:top w:val="nil"/>
              <w:left w:val="nil"/>
              <w:bottom w:val="nil"/>
              <w:right w:val="single" w:sz="4" w:space="0" w:color="auto"/>
            </w:tcBorders>
            <w:noWrap/>
            <w:vAlign w:val="bottom"/>
            <w:hideMark/>
          </w:tcPr>
          <w:p w14:paraId="03065A4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5188EEB0" w14:textId="77777777" w:rsidTr="00CA749B">
        <w:trPr>
          <w:trHeight w:val="300"/>
          <w:jc w:val="center"/>
        </w:trPr>
        <w:tc>
          <w:tcPr>
            <w:tcW w:w="0" w:type="auto"/>
            <w:tcBorders>
              <w:top w:val="nil"/>
              <w:left w:val="single" w:sz="4" w:space="0" w:color="auto"/>
              <w:bottom w:val="nil"/>
              <w:right w:val="nil"/>
            </w:tcBorders>
            <w:noWrap/>
            <w:vAlign w:val="bottom"/>
            <w:hideMark/>
          </w:tcPr>
          <w:p w14:paraId="1F46951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GAT CAÐAVICA</w:t>
            </w:r>
          </w:p>
        </w:tc>
        <w:tc>
          <w:tcPr>
            <w:tcW w:w="0" w:type="auto"/>
            <w:tcBorders>
              <w:top w:val="nil"/>
              <w:left w:val="nil"/>
              <w:bottom w:val="nil"/>
              <w:right w:val="single" w:sz="4" w:space="0" w:color="auto"/>
            </w:tcBorders>
            <w:noWrap/>
            <w:vAlign w:val="bottom"/>
            <w:hideMark/>
          </w:tcPr>
          <w:p w14:paraId="71D3484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37F7513E" w14:textId="77777777" w:rsidTr="00CA749B">
        <w:trPr>
          <w:trHeight w:val="300"/>
          <w:jc w:val="center"/>
        </w:trPr>
        <w:tc>
          <w:tcPr>
            <w:tcW w:w="0" w:type="auto"/>
            <w:tcBorders>
              <w:top w:val="nil"/>
              <w:left w:val="single" w:sz="4" w:space="0" w:color="auto"/>
              <w:bottom w:val="nil"/>
              <w:right w:val="nil"/>
            </w:tcBorders>
            <w:noWrap/>
            <w:vAlign w:val="bottom"/>
            <w:hideMark/>
          </w:tcPr>
          <w:p w14:paraId="0D39AB9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HVAR</w:t>
            </w:r>
          </w:p>
        </w:tc>
        <w:tc>
          <w:tcPr>
            <w:tcW w:w="0" w:type="auto"/>
            <w:tcBorders>
              <w:top w:val="nil"/>
              <w:left w:val="nil"/>
              <w:bottom w:val="nil"/>
              <w:right w:val="single" w:sz="4" w:space="0" w:color="auto"/>
            </w:tcBorders>
            <w:noWrap/>
            <w:vAlign w:val="bottom"/>
            <w:hideMark/>
          </w:tcPr>
          <w:p w14:paraId="78783E3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11039B5E" w14:textId="77777777" w:rsidTr="00CA749B">
        <w:trPr>
          <w:trHeight w:val="300"/>
          <w:jc w:val="center"/>
        </w:trPr>
        <w:tc>
          <w:tcPr>
            <w:tcW w:w="0" w:type="auto"/>
            <w:tcBorders>
              <w:top w:val="nil"/>
              <w:left w:val="single" w:sz="4" w:space="0" w:color="auto"/>
              <w:bottom w:val="nil"/>
              <w:right w:val="nil"/>
            </w:tcBorders>
            <w:noWrap/>
            <w:vAlign w:val="bottom"/>
            <w:hideMark/>
          </w:tcPr>
          <w:p w14:paraId="25F4973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HVAR – VIRA</w:t>
            </w:r>
          </w:p>
        </w:tc>
        <w:tc>
          <w:tcPr>
            <w:tcW w:w="0" w:type="auto"/>
            <w:tcBorders>
              <w:top w:val="nil"/>
              <w:left w:val="nil"/>
              <w:bottom w:val="nil"/>
              <w:right w:val="single" w:sz="4" w:space="0" w:color="auto"/>
            </w:tcBorders>
            <w:noWrap/>
            <w:vAlign w:val="bottom"/>
            <w:hideMark/>
          </w:tcPr>
          <w:p w14:paraId="3359A45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14E536CF" w14:textId="77777777" w:rsidTr="00CA749B">
        <w:trPr>
          <w:trHeight w:val="300"/>
          <w:jc w:val="center"/>
        </w:trPr>
        <w:tc>
          <w:tcPr>
            <w:tcW w:w="0" w:type="auto"/>
            <w:tcBorders>
              <w:top w:val="nil"/>
              <w:left w:val="single" w:sz="4" w:space="0" w:color="auto"/>
              <w:bottom w:val="nil"/>
              <w:right w:val="nil"/>
            </w:tcBorders>
            <w:noWrap/>
            <w:vAlign w:val="bottom"/>
            <w:hideMark/>
          </w:tcPr>
          <w:p w14:paraId="526C2A3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ILOVIK</w:t>
            </w:r>
          </w:p>
        </w:tc>
        <w:tc>
          <w:tcPr>
            <w:tcW w:w="0" w:type="auto"/>
            <w:tcBorders>
              <w:top w:val="nil"/>
              <w:left w:val="nil"/>
              <w:bottom w:val="nil"/>
              <w:right w:val="single" w:sz="4" w:space="0" w:color="auto"/>
            </w:tcBorders>
            <w:noWrap/>
            <w:vAlign w:val="bottom"/>
            <w:hideMark/>
          </w:tcPr>
          <w:p w14:paraId="1A9D056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6023AC24" w14:textId="77777777" w:rsidTr="00CA749B">
        <w:trPr>
          <w:trHeight w:val="300"/>
          <w:jc w:val="center"/>
        </w:trPr>
        <w:tc>
          <w:tcPr>
            <w:tcW w:w="0" w:type="auto"/>
            <w:tcBorders>
              <w:top w:val="nil"/>
              <w:left w:val="single" w:sz="4" w:space="0" w:color="auto"/>
              <w:bottom w:val="nil"/>
              <w:right w:val="nil"/>
            </w:tcBorders>
            <w:noWrap/>
            <w:vAlign w:val="bottom"/>
            <w:hideMark/>
          </w:tcPr>
          <w:p w14:paraId="3874566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JABLANAC</w:t>
            </w:r>
          </w:p>
        </w:tc>
        <w:tc>
          <w:tcPr>
            <w:tcW w:w="0" w:type="auto"/>
            <w:tcBorders>
              <w:top w:val="nil"/>
              <w:left w:val="nil"/>
              <w:bottom w:val="nil"/>
              <w:right w:val="single" w:sz="4" w:space="0" w:color="auto"/>
            </w:tcBorders>
            <w:noWrap/>
            <w:vAlign w:val="bottom"/>
            <w:hideMark/>
          </w:tcPr>
          <w:p w14:paraId="62227D0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5B4338A" w14:textId="77777777" w:rsidTr="00CA749B">
        <w:trPr>
          <w:trHeight w:val="300"/>
          <w:jc w:val="center"/>
        </w:trPr>
        <w:tc>
          <w:tcPr>
            <w:tcW w:w="0" w:type="auto"/>
            <w:tcBorders>
              <w:top w:val="nil"/>
              <w:left w:val="single" w:sz="4" w:space="0" w:color="auto"/>
              <w:bottom w:val="nil"/>
              <w:right w:val="nil"/>
            </w:tcBorders>
            <w:noWrap/>
            <w:vAlign w:val="bottom"/>
            <w:hideMark/>
          </w:tcPr>
          <w:p w14:paraId="538FD42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JELSA</w:t>
            </w:r>
          </w:p>
        </w:tc>
        <w:tc>
          <w:tcPr>
            <w:tcW w:w="0" w:type="auto"/>
            <w:tcBorders>
              <w:top w:val="nil"/>
              <w:left w:val="nil"/>
              <w:bottom w:val="nil"/>
              <w:right w:val="single" w:sz="4" w:space="0" w:color="auto"/>
            </w:tcBorders>
            <w:noWrap/>
            <w:vAlign w:val="bottom"/>
            <w:hideMark/>
          </w:tcPr>
          <w:p w14:paraId="4FCB4F7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C08A809" w14:textId="77777777" w:rsidTr="00CA749B">
        <w:trPr>
          <w:trHeight w:val="300"/>
          <w:jc w:val="center"/>
        </w:trPr>
        <w:tc>
          <w:tcPr>
            <w:tcW w:w="0" w:type="auto"/>
            <w:tcBorders>
              <w:top w:val="nil"/>
              <w:left w:val="single" w:sz="4" w:space="0" w:color="auto"/>
              <w:bottom w:val="nil"/>
              <w:right w:val="nil"/>
            </w:tcBorders>
            <w:noWrap/>
            <w:vAlign w:val="bottom"/>
            <w:hideMark/>
          </w:tcPr>
          <w:p w14:paraId="2D2A0E8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JEZERA</w:t>
            </w:r>
          </w:p>
        </w:tc>
        <w:tc>
          <w:tcPr>
            <w:tcW w:w="0" w:type="auto"/>
            <w:tcBorders>
              <w:top w:val="nil"/>
              <w:left w:val="nil"/>
              <w:bottom w:val="nil"/>
              <w:right w:val="single" w:sz="4" w:space="0" w:color="auto"/>
            </w:tcBorders>
            <w:noWrap/>
            <w:vAlign w:val="bottom"/>
            <w:hideMark/>
          </w:tcPr>
          <w:p w14:paraId="417BF8E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4231C17" w14:textId="77777777" w:rsidTr="00CA749B">
        <w:trPr>
          <w:trHeight w:val="300"/>
          <w:jc w:val="center"/>
        </w:trPr>
        <w:tc>
          <w:tcPr>
            <w:tcW w:w="0" w:type="auto"/>
            <w:tcBorders>
              <w:top w:val="nil"/>
              <w:left w:val="single" w:sz="4" w:space="0" w:color="auto"/>
              <w:bottom w:val="nil"/>
              <w:right w:val="nil"/>
            </w:tcBorders>
            <w:noWrap/>
            <w:vAlign w:val="bottom"/>
            <w:hideMark/>
          </w:tcPr>
          <w:p w14:paraId="03232D4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KALI – BATALAŽA</w:t>
            </w:r>
          </w:p>
        </w:tc>
        <w:tc>
          <w:tcPr>
            <w:tcW w:w="0" w:type="auto"/>
            <w:tcBorders>
              <w:top w:val="nil"/>
              <w:left w:val="nil"/>
              <w:bottom w:val="nil"/>
              <w:right w:val="single" w:sz="4" w:space="0" w:color="auto"/>
            </w:tcBorders>
            <w:noWrap/>
            <w:vAlign w:val="bottom"/>
            <w:hideMark/>
          </w:tcPr>
          <w:p w14:paraId="778BAAC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83B4A8F" w14:textId="77777777" w:rsidTr="00CA749B">
        <w:trPr>
          <w:trHeight w:val="300"/>
          <w:jc w:val="center"/>
        </w:trPr>
        <w:tc>
          <w:tcPr>
            <w:tcW w:w="0" w:type="auto"/>
            <w:tcBorders>
              <w:top w:val="nil"/>
              <w:left w:val="single" w:sz="4" w:space="0" w:color="auto"/>
              <w:bottom w:val="nil"/>
              <w:right w:val="nil"/>
            </w:tcBorders>
            <w:noWrap/>
            <w:vAlign w:val="bottom"/>
            <w:hideMark/>
          </w:tcPr>
          <w:p w14:paraId="11F964B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KALI – VELA LAMJANA</w:t>
            </w:r>
          </w:p>
        </w:tc>
        <w:tc>
          <w:tcPr>
            <w:tcW w:w="0" w:type="auto"/>
            <w:tcBorders>
              <w:top w:val="nil"/>
              <w:left w:val="nil"/>
              <w:bottom w:val="nil"/>
              <w:right w:val="single" w:sz="4" w:space="0" w:color="auto"/>
            </w:tcBorders>
            <w:noWrap/>
            <w:vAlign w:val="bottom"/>
            <w:hideMark/>
          </w:tcPr>
          <w:p w14:paraId="2799897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11B4FF9F" w14:textId="77777777" w:rsidTr="00CA749B">
        <w:trPr>
          <w:trHeight w:val="300"/>
          <w:jc w:val="center"/>
        </w:trPr>
        <w:tc>
          <w:tcPr>
            <w:tcW w:w="0" w:type="auto"/>
            <w:tcBorders>
              <w:top w:val="nil"/>
              <w:left w:val="single" w:sz="4" w:space="0" w:color="auto"/>
              <w:bottom w:val="nil"/>
              <w:right w:val="nil"/>
            </w:tcBorders>
            <w:noWrap/>
            <w:vAlign w:val="bottom"/>
            <w:hideMark/>
          </w:tcPr>
          <w:p w14:paraId="25A82FD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KARIGADOR</w:t>
            </w:r>
          </w:p>
        </w:tc>
        <w:tc>
          <w:tcPr>
            <w:tcW w:w="0" w:type="auto"/>
            <w:tcBorders>
              <w:top w:val="nil"/>
              <w:left w:val="nil"/>
              <w:bottom w:val="nil"/>
              <w:right w:val="single" w:sz="4" w:space="0" w:color="auto"/>
            </w:tcBorders>
            <w:noWrap/>
            <w:vAlign w:val="bottom"/>
            <w:hideMark/>
          </w:tcPr>
          <w:p w14:paraId="4040D19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5262286F" w14:textId="77777777" w:rsidTr="00CA749B">
        <w:trPr>
          <w:trHeight w:val="300"/>
          <w:jc w:val="center"/>
        </w:trPr>
        <w:tc>
          <w:tcPr>
            <w:tcW w:w="0" w:type="auto"/>
            <w:tcBorders>
              <w:top w:val="nil"/>
              <w:left w:val="single" w:sz="4" w:space="0" w:color="auto"/>
              <w:bottom w:val="nil"/>
              <w:right w:val="nil"/>
            </w:tcBorders>
            <w:noWrap/>
            <w:vAlign w:val="bottom"/>
            <w:hideMark/>
          </w:tcPr>
          <w:p w14:paraId="67BF3CF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KAŠTEL GOMILICA</w:t>
            </w:r>
          </w:p>
        </w:tc>
        <w:tc>
          <w:tcPr>
            <w:tcW w:w="0" w:type="auto"/>
            <w:tcBorders>
              <w:top w:val="nil"/>
              <w:left w:val="nil"/>
              <w:bottom w:val="nil"/>
              <w:right w:val="single" w:sz="4" w:space="0" w:color="auto"/>
            </w:tcBorders>
            <w:noWrap/>
            <w:vAlign w:val="bottom"/>
            <w:hideMark/>
          </w:tcPr>
          <w:p w14:paraId="2E92D78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32AE3217" w14:textId="77777777" w:rsidTr="00CA749B">
        <w:trPr>
          <w:trHeight w:val="300"/>
          <w:jc w:val="center"/>
        </w:trPr>
        <w:tc>
          <w:tcPr>
            <w:tcW w:w="0" w:type="auto"/>
            <w:tcBorders>
              <w:top w:val="nil"/>
              <w:left w:val="single" w:sz="4" w:space="0" w:color="auto"/>
              <w:bottom w:val="nil"/>
              <w:right w:val="nil"/>
            </w:tcBorders>
            <w:noWrap/>
            <w:vAlign w:val="bottom"/>
            <w:hideMark/>
          </w:tcPr>
          <w:p w14:paraId="1AB6097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KAŠTEL KAMBELOVAC</w:t>
            </w:r>
          </w:p>
        </w:tc>
        <w:tc>
          <w:tcPr>
            <w:tcW w:w="0" w:type="auto"/>
            <w:tcBorders>
              <w:top w:val="nil"/>
              <w:left w:val="nil"/>
              <w:bottom w:val="nil"/>
              <w:right w:val="single" w:sz="4" w:space="0" w:color="auto"/>
            </w:tcBorders>
            <w:noWrap/>
            <w:vAlign w:val="bottom"/>
            <w:hideMark/>
          </w:tcPr>
          <w:p w14:paraId="5496A7B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55D5363E" w14:textId="77777777" w:rsidTr="00CA749B">
        <w:trPr>
          <w:trHeight w:val="300"/>
          <w:jc w:val="center"/>
        </w:trPr>
        <w:tc>
          <w:tcPr>
            <w:tcW w:w="0" w:type="auto"/>
            <w:tcBorders>
              <w:top w:val="nil"/>
              <w:left w:val="single" w:sz="4" w:space="0" w:color="auto"/>
              <w:bottom w:val="nil"/>
              <w:right w:val="nil"/>
            </w:tcBorders>
            <w:noWrap/>
            <w:vAlign w:val="bottom"/>
            <w:hideMark/>
          </w:tcPr>
          <w:p w14:paraId="5FC45ED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KAŠTEL STARI</w:t>
            </w:r>
          </w:p>
        </w:tc>
        <w:tc>
          <w:tcPr>
            <w:tcW w:w="0" w:type="auto"/>
            <w:tcBorders>
              <w:top w:val="nil"/>
              <w:left w:val="nil"/>
              <w:bottom w:val="nil"/>
              <w:right w:val="single" w:sz="4" w:space="0" w:color="auto"/>
            </w:tcBorders>
            <w:noWrap/>
            <w:vAlign w:val="bottom"/>
            <w:hideMark/>
          </w:tcPr>
          <w:p w14:paraId="0B76563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18648E90" w14:textId="77777777" w:rsidTr="00CA749B">
        <w:trPr>
          <w:trHeight w:val="300"/>
          <w:jc w:val="center"/>
        </w:trPr>
        <w:tc>
          <w:tcPr>
            <w:tcW w:w="0" w:type="auto"/>
            <w:tcBorders>
              <w:top w:val="nil"/>
              <w:left w:val="single" w:sz="4" w:space="0" w:color="auto"/>
              <w:bottom w:val="nil"/>
              <w:right w:val="nil"/>
            </w:tcBorders>
            <w:noWrap/>
            <w:vAlign w:val="bottom"/>
            <w:hideMark/>
          </w:tcPr>
          <w:p w14:paraId="6F8EDB5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KAŠTEL SUCURAC</w:t>
            </w:r>
          </w:p>
        </w:tc>
        <w:tc>
          <w:tcPr>
            <w:tcW w:w="0" w:type="auto"/>
            <w:tcBorders>
              <w:top w:val="nil"/>
              <w:left w:val="nil"/>
              <w:bottom w:val="nil"/>
              <w:right w:val="single" w:sz="4" w:space="0" w:color="auto"/>
            </w:tcBorders>
            <w:noWrap/>
            <w:vAlign w:val="bottom"/>
            <w:hideMark/>
          </w:tcPr>
          <w:p w14:paraId="5680706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63C98926" w14:textId="77777777" w:rsidTr="00CA749B">
        <w:trPr>
          <w:trHeight w:val="300"/>
          <w:jc w:val="center"/>
        </w:trPr>
        <w:tc>
          <w:tcPr>
            <w:tcW w:w="0" w:type="auto"/>
            <w:tcBorders>
              <w:top w:val="nil"/>
              <w:left w:val="single" w:sz="4" w:space="0" w:color="auto"/>
              <w:bottom w:val="nil"/>
              <w:right w:val="nil"/>
            </w:tcBorders>
            <w:noWrap/>
            <w:vAlign w:val="bottom"/>
            <w:hideMark/>
          </w:tcPr>
          <w:p w14:paraId="64BDE2C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KLENOVICA</w:t>
            </w:r>
          </w:p>
        </w:tc>
        <w:tc>
          <w:tcPr>
            <w:tcW w:w="0" w:type="auto"/>
            <w:tcBorders>
              <w:top w:val="nil"/>
              <w:left w:val="nil"/>
              <w:bottom w:val="nil"/>
              <w:right w:val="single" w:sz="4" w:space="0" w:color="auto"/>
            </w:tcBorders>
            <w:noWrap/>
            <w:vAlign w:val="bottom"/>
            <w:hideMark/>
          </w:tcPr>
          <w:p w14:paraId="63B2F76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0C1223BF" w14:textId="77777777" w:rsidTr="00CA749B">
        <w:trPr>
          <w:trHeight w:val="300"/>
          <w:jc w:val="center"/>
        </w:trPr>
        <w:tc>
          <w:tcPr>
            <w:tcW w:w="0" w:type="auto"/>
            <w:tcBorders>
              <w:top w:val="nil"/>
              <w:left w:val="single" w:sz="4" w:space="0" w:color="auto"/>
              <w:bottom w:val="nil"/>
              <w:right w:val="nil"/>
            </w:tcBorders>
            <w:noWrap/>
            <w:vAlign w:val="bottom"/>
            <w:hideMark/>
          </w:tcPr>
          <w:p w14:paraId="459F5E2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KOMIŽA</w:t>
            </w:r>
          </w:p>
        </w:tc>
        <w:tc>
          <w:tcPr>
            <w:tcW w:w="0" w:type="auto"/>
            <w:tcBorders>
              <w:top w:val="nil"/>
              <w:left w:val="nil"/>
              <w:bottom w:val="nil"/>
              <w:right w:val="single" w:sz="4" w:space="0" w:color="auto"/>
            </w:tcBorders>
            <w:noWrap/>
            <w:vAlign w:val="bottom"/>
            <w:hideMark/>
          </w:tcPr>
          <w:p w14:paraId="0DEB045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6E1FD4EA" w14:textId="77777777" w:rsidTr="00CA749B">
        <w:trPr>
          <w:trHeight w:val="300"/>
          <w:jc w:val="center"/>
        </w:trPr>
        <w:tc>
          <w:tcPr>
            <w:tcW w:w="0" w:type="auto"/>
            <w:tcBorders>
              <w:top w:val="nil"/>
              <w:left w:val="single" w:sz="4" w:space="0" w:color="auto"/>
              <w:bottom w:val="nil"/>
              <w:right w:val="nil"/>
            </w:tcBorders>
            <w:noWrap/>
            <w:vAlign w:val="bottom"/>
            <w:hideMark/>
          </w:tcPr>
          <w:p w14:paraId="2EF21B5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KRALJEVICA</w:t>
            </w:r>
          </w:p>
        </w:tc>
        <w:tc>
          <w:tcPr>
            <w:tcW w:w="0" w:type="auto"/>
            <w:tcBorders>
              <w:top w:val="nil"/>
              <w:left w:val="nil"/>
              <w:bottom w:val="nil"/>
              <w:right w:val="single" w:sz="4" w:space="0" w:color="auto"/>
            </w:tcBorders>
            <w:noWrap/>
            <w:vAlign w:val="bottom"/>
            <w:hideMark/>
          </w:tcPr>
          <w:p w14:paraId="190EF6D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8F927AC" w14:textId="77777777" w:rsidTr="00CA749B">
        <w:trPr>
          <w:trHeight w:val="300"/>
          <w:jc w:val="center"/>
        </w:trPr>
        <w:tc>
          <w:tcPr>
            <w:tcW w:w="0" w:type="auto"/>
            <w:tcBorders>
              <w:top w:val="nil"/>
              <w:left w:val="single" w:sz="4" w:space="0" w:color="auto"/>
              <w:bottom w:val="nil"/>
              <w:right w:val="nil"/>
            </w:tcBorders>
            <w:noWrap/>
            <w:vAlign w:val="bottom"/>
            <w:hideMark/>
          </w:tcPr>
          <w:p w14:paraId="5638142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KRILA JESENICE</w:t>
            </w:r>
          </w:p>
        </w:tc>
        <w:tc>
          <w:tcPr>
            <w:tcW w:w="0" w:type="auto"/>
            <w:tcBorders>
              <w:top w:val="nil"/>
              <w:left w:val="nil"/>
              <w:bottom w:val="nil"/>
              <w:right w:val="single" w:sz="4" w:space="0" w:color="auto"/>
            </w:tcBorders>
            <w:noWrap/>
            <w:vAlign w:val="bottom"/>
            <w:hideMark/>
          </w:tcPr>
          <w:p w14:paraId="406A4C2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10986EAE" w14:textId="77777777" w:rsidTr="00CA749B">
        <w:trPr>
          <w:trHeight w:val="300"/>
          <w:jc w:val="center"/>
        </w:trPr>
        <w:tc>
          <w:tcPr>
            <w:tcW w:w="0" w:type="auto"/>
            <w:tcBorders>
              <w:top w:val="nil"/>
              <w:left w:val="single" w:sz="4" w:space="0" w:color="auto"/>
              <w:bottom w:val="nil"/>
              <w:right w:val="nil"/>
            </w:tcBorders>
            <w:noWrap/>
            <w:vAlign w:val="bottom"/>
            <w:hideMark/>
          </w:tcPr>
          <w:p w14:paraId="1973DCB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KRK</w:t>
            </w:r>
          </w:p>
        </w:tc>
        <w:tc>
          <w:tcPr>
            <w:tcW w:w="0" w:type="auto"/>
            <w:tcBorders>
              <w:top w:val="nil"/>
              <w:left w:val="nil"/>
              <w:bottom w:val="nil"/>
              <w:right w:val="single" w:sz="4" w:space="0" w:color="auto"/>
            </w:tcBorders>
            <w:noWrap/>
            <w:vAlign w:val="bottom"/>
            <w:hideMark/>
          </w:tcPr>
          <w:p w14:paraId="0CE6E2D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58F6C723" w14:textId="77777777" w:rsidTr="00CA749B">
        <w:trPr>
          <w:trHeight w:val="300"/>
          <w:jc w:val="center"/>
        </w:trPr>
        <w:tc>
          <w:tcPr>
            <w:tcW w:w="0" w:type="auto"/>
            <w:tcBorders>
              <w:top w:val="nil"/>
              <w:left w:val="single" w:sz="4" w:space="0" w:color="auto"/>
              <w:bottom w:val="nil"/>
              <w:right w:val="nil"/>
            </w:tcBorders>
            <w:noWrap/>
            <w:vAlign w:val="bottom"/>
            <w:hideMark/>
          </w:tcPr>
          <w:p w14:paraId="42DABB4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KRNICA</w:t>
            </w:r>
          </w:p>
        </w:tc>
        <w:tc>
          <w:tcPr>
            <w:tcW w:w="0" w:type="auto"/>
            <w:tcBorders>
              <w:top w:val="nil"/>
              <w:left w:val="nil"/>
              <w:bottom w:val="nil"/>
              <w:right w:val="single" w:sz="4" w:space="0" w:color="auto"/>
            </w:tcBorders>
            <w:noWrap/>
            <w:vAlign w:val="bottom"/>
            <w:hideMark/>
          </w:tcPr>
          <w:p w14:paraId="5C4EE01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7476ECB8" w14:textId="77777777" w:rsidTr="00CA749B">
        <w:trPr>
          <w:trHeight w:val="300"/>
          <w:jc w:val="center"/>
        </w:trPr>
        <w:tc>
          <w:tcPr>
            <w:tcW w:w="0" w:type="auto"/>
            <w:tcBorders>
              <w:top w:val="nil"/>
              <w:left w:val="single" w:sz="4" w:space="0" w:color="auto"/>
              <w:bottom w:val="nil"/>
              <w:right w:val="nil"/>
            </w:tcBorders>
            <w:noWrap/>
            <w:vAlign w:val="bottom"/>
            <w:hideMark/>
          </w:tcPr>
          <w:p w14:paraId="0E42773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KUKLJICA – RIBARSKI GAT</w:t>
            </w:r>
          </w:p>
        </w:tc>
        <w:tc>
          <w:tcPr>
            <w:tcW w:w="0" w:type="auto"/>
            <w:tcBorders>
              <w:top w:val="nil"/>
              <w:left w:val="nil"/>
              <w:bottom w:val="nil"/>
              <w:right w:val="single" w:sz="4" w:space="0" w:color="auto"/>
            </w:tcBorders>
            <w:noWrap/>
            <w:vAlign w:val="bottom"/>
            <w:hideMark/>
          </w:tcPr>
          <w:p w14:paraId="26E32E6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2320A0B2" w14:textId="77777777" w:rsidTr="00CA749B">
        <w:trPr>
          <w:trHeight w:val="300"/>
          <w:jc w:val="center"/>
        </w:trPr>
        <w:tc>
          <w:tcPr>
            <w:tcW w:w="0" w:type="auto"/>
            <w:tcBorders>
              <w:top w:val="nil"/>
              <w:left w:val="single" w:sz="4" w:space="0" w:color="auto"/>
              <w:bottom w:val="nil"/>
              <w:right w:val="nil"/>
            </w:tcBorders>
            <w:noWrap/>
            <w:vAlign w:val="bottom"/>
            <w:hideMark/>
          </w:tcPr>
          <w:p w14:paraId="1164328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LIŽNJAN – KUJE</w:t>
            </w:r>
          </w:p>
        </w:tc>
        <w:tc>
          <w:tcPr>
            <w:tcW w:w="0" w:type="auto"/>
            <w:tcBorders>
              <w:top w:val="nil"/>
              <w:left w:val="nil"/>
              <w:bottom w:val="nil"/>
              <w:right w:val="single" w:sz="4" w:space="0" w:color="auto"/>
            </w:tcBorders>
            <w:noWrap/>
            <w:vAlign w:val="bottom"/>
            <w:hideMark/>
          </w:tcPr>
          <w:p w14:paraId="4BF2227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347E0E80" w14:textId="77777777" w:rsidTr="00CA749B">
        <w:trPr>
          <w:trHeight w:val="300"/>
          <w:jc w:val="center"/>
        </w:trPr>
        <w:tc>
          <w:tcPr>
            <w:tcW w:w="0" w:type="auto"/>
            <w:tcBorders>
              <w:top w:val="nil"/>
              <w:left w:val="single" w:sz="4" w:space="0" w:color="auto"/>
              <w:bottom w:val="nil"/>
              <w:right w:val="nil"/>
            </w:tcBorders>
            <w:noWrap/>
            <w:vAlign w:val="bottom"/>
            <w:hideMark/>
          </w:tcPr>
          <w:p w14:paraId="35C19D5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LOVIŠTE</w:t>
            </w:r>
          </w:p>
        </w:tc>
        <w:tc>
          <w:tcPr>
            <w:tcW w:w="0" w:type="auto"/>
            <w:tcBorders>
              <w:top w:val="nil"/>
              <w:left w:val="nil"/>
              <w:bottom w:val="nil"/>
              <w:right w:val="single" w:sz="4" w:space="0" w:color="auto"/>
            </w:tcBorders>
            <w:noWrap/>
            <w:vAlign w:val="bottom"/>
            <w:hideMark/>
          </w:tcPr>
          <w:p w14:paraId="5FBEC45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3DBF3D8" w14:textId="77777777" w:rsidTr="00CA749B">
        <w:trPr>
          <w:trHeight w:val="300"/>
          <w:jc w:val="center"/>
        </w:trPr>
        <w:tc>
          <w:tcPr>
            <w:tcW w:w="0" w:type="auto"/>
            <w:tcBorders>
              <w:top w:val="nil"/>
              <w:left w:val="single" w:sz="4" w:space="0" w:color="auto"/>
              <w:bottom w:val="nil"/>
              <w:right w:val="nil"/>
            </w:tcBorders>
            <w:noWrap/>
            <w:vAlign w:val="bottom"/>
            <w:hideMark/>
          </w:tcPr>
          <w:p w14:paraId="62FF0B6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LUMBARDA</w:t>
            </w:r>
          </w:p>
        </w:tc>
        <w:tc>
          <w:tcPr>
            <w:tcW w:w="0" w:type="auto"/>
            <w:tcBorders>
              <w:top w:val="nil"/>
              <w:left w:val="nil"/>
              <w:bottom w:val="nil"/>
              <w:right w:val="single" w:sz="4" w:space="0" w:color="auto"/>
            </w:tcBorders>
            <w:noWrap/>
            <w:vAlign w:val="bottom"/>
            <w:hideMark/>
          </w:tcPr>
          <w:p w14:paraId="6D6481F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06E4D039" w14:textId="77777777" w:rsidTr="00CA749B">
        <w:trPr>
          <w:trHeight w:val="300"/>
          <w:jc w:val="center"/>
        </w:trPr>
        <w:tc>
          <w:tcPr>
            <w:tcW w:w="0" w:type="auto"/>
            <w:tcBorders>
              <w:top w:val="nil"/>
              <w:left w:val="single" w:sz="4" w:space="0" w:color="auto"/>
              <w:bottom w:val="nil"/>
              <w:right w:val="nil"/>
            </w:tcBorders>
            <w:noWrap/>
            <w:vAlign w:val="bottom"/>
            <w:hideMark/>
          </w:tcPr>
          <w:p w14:paraId="682687F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MAKARSKA</w:t>
            </w:r>
          </w:p>
        </w:tc>
        <w:tc>
          <w:tcPr>
            <w:tcW w:w="0" w:type="auto"/>
            <w:tcBorders>
              <w:top w:val="nil"/>
              <w:left w:val="nil"/>
              <w:bottom w:val="nil"/>
              <w:right w:val="single" w:sz="4" w:space="0" w:color="auto"/>
            </w:tcBorders>
            <w:noWrap/>
            <w:vAlign w:val="bottom"/>
            <w:hideMark/>
          </w:tcPr>
          <w:p w14:paraId="293C3C5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73862649" w14:textId="77777777" w:rsidTr="00CA749B">
        <w:trPr>
          <w:trHeight w:val="300"/>
          <w:jc w:val="center"/>
        </w:trPr>
        <w:tc>
          <w:tcPr>
            <w:tcW w:w="0" w:type="auto"/>
            <w:tcBorders>
              <w:top w:val="nil"/>
              <w:left w:val="single" w:sz="4" w:space="0" w:color="auto"/>
              <w:bottom w:val="nil"/>
              <w:right w:val="nil"/>
            </w:tcBorders>
            <w:noWrap/>
            <w:vAlign w:val="bottom"/>
            <w:hideMark/>
          </w:tcPr>
          <w:p w14:paraId="1314C7A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MALI LOŠINJ</w:t>
            </w:r>
          </w:p>
        </w:tc>
        <w:tc>
          <w:tcPr>
            <w:tcW w:w="0" w:type="auto"/>
            <w:tcBorders>
              <w:top w:val="nil"/>
              <w:left w:val="nil"/>
              <w:bottom w:val="nil"/>
              <w:right w:val="single" w:sz="4" w:space="0" w:color="auto"/>
            </w:tcBorders>
            <w:noWrap/>
            <w:vAlign w:val="bottom"/>
            <w:hideMark/>
          </w:tcPr>
          <w:p w14:paraId="1F3C9E0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73D7D9A" w14:textId="77777777" w:rsidTr="00CA749B">
        <w:trPr>
          <w:trHeight w:val="300"/>
          <w:jc w:val="center"/>
        </w:trPr>
        <w:tc>
          <w:tcPr>
            <w:tcW w:w="0" w:type="auto"/>
            <w:tcBorders>
              <w:top w:val="nil"/>
              <w:left w:val="single" w:sz="4" w:space="0" w:color="auto"/>
              <w:bottom w:val="nil"/>
              <w:right w:val="nil"/>
            </w:tcBorders>
            <w:noWrap/>
            <w:vAlign w:val="bottom"/>
            <w:hideMark/>
          </w:tcPr>
          <w:p w14:paraId="7C77B8E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MALINSKA</w:t>
            </w:r>
          </w:p>
        </w:tc>
        <w:tc>
          <w:tcPr>
            <w:tcW w:w="0" w:type="auto"/>
            <w:tcBorders>
              <w:top w:val="nil"/>
              <w:left w:val="nil"/>
              <w:bottom w:val="nil"/>
              <w:right w:val="single" w:sz="4" w:space="0" w:color="auto"/>
            </w:tcBorders>
            <w:noWrap/>
            <w:vAlign w:val="bottom"/>
            <w:hideMark/>
          </w:tcPr>
          <w:p w14:paraId="17FC5B0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1DCA2725" w14:textId="77777777" w:rsidTr="00CA749B">
        <w:trPr>
          <w:trHeight w:val="300"/>
          <w:jc w:val="center"/>
        </w:trPr>
        <w:tc>
          <w:tcPr>
            <w:tcW w:w="0" w:type="auto"/>
            <w:tcBorders>
              <w:top w:val="nil"/>
              <w:left w:val="single" w:sz="4" w:space="0" w:color="auto"/>
              <w:bottom w:val="nil"/>
              <w:right w:val="nil"/>
            </w:tcBorders>
            <w:noWrap/>
            <w:vAlign w:val="bottom"/>
            <w:hideMark/>
          </w:tcPr>
          <w:p w14:paraId="1D08572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MANDRE</w:t>
            </w:r>
          </w:p>
        </w:tc>
        <w:tc>
          <w:tcPr>
            <w:tcW w:w="0" w:type="auto"/>
            <w:tcBorders>
              <w:top w:val="nil"/>
              <w:left w:val="nil"/>
              <w:bottom w:val="nil"/>
              <w:right w:val="single" w:sz="4" w:space="0" w:color="auto"/>
            </w:tcBorders>
            <w:noWrap/>
            <w:vAlign w:val="bottom"/>
            <w:hideMark/>
          </w:tcPr>
          <w:p w14:paraId="64048E0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D6D379E" w14:textId="77777777" w:rsidTr="00CA749B">
        <w:trPr>
          <w:trHeight w:val="300"/>
          <w:jc w:val="center"/>
        </w:trPr>
        <w:tc>
          <w:tcPr>
            <w:tcW w:w="0" w:type="auto"/>
            <w:tcBorders>
              <w:top w:val="nil"/>
              <w:left w:val="single" w:sz="4" w:space="0" w:color="auto"/>
              <w:bottom w:val="nil"/>
              <w:right w:val="nil"/>
            </w:tcBorders>
            <w:noWrap/>
            <w:vAlign w:val="bottom"/>
            <w:hideMark/>
          </w:tcPr>
          <w:p w14:paraId="6F4C868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lastRenderedPageBreak/>
              <w:t>MARTINSKA</w:t>
            </w:r>
          </w:p>
        </w:tc>
        <w:tc>
          <w:tcPr>
            <w:tcW w:w="0" w:type="auto"/>
            <w:tcBorders>
              <w:top w:val="nil"/>
              <w:left w:val="nil"/>
              <w:bottom w:val="nil"/>
              <w:right w:val="single" w:sz="4" w:space="0" w:color="auto"/>
            </w:tcBorders>
            <w:noWrap/>
            <w:vAlign w:val="bottom"/>
            <w:hideMark/>
          </w:tcPr>
          <w:p w14:paraId="65D23CA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36346DE6" w14:textId="77777777" w:rsidTr="00CA749B">
        <w:trPr>
          <w:trHeight w:val="300"/>
          <w:jc w:val="center"/>
        </w:trPr>
        <w:tc>
          <w:tcPr>
            <w:tcW w:w="0" w:type="auto"/>
            <w:tcBorders>
              <w:top w:val="nil"/>
              <w:left w:val="single" w:sz="4" w:space="0" w:color="auto"/>
              <w:bottom w:val="nil"/>
              <w:right w:val="nil"/>
            </w:tcBorders>
            <w:noWrap/>
            <w:vAlign w:val="bottom"/>
            <w:hideMark/>
          </w:tcPr>
          <w:p w14:paraId="71FB92A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MEDULIN</w:t>
            </w:r>
          </w:p>
        </w:tc>
        <w:tc>
          <w:tcPr>
            <w:tcW w:w="0" w:type="auto"/>
            <w:tcBorders>
              <w:top w:val="nil"/>
              <w:left w:val="nil"/>
              <w:bottom w:val="nil"/>
              <w:right w:val="single" w:sz="4" w:space="0" w:color="auto"/>
            </w:tcBorders>
            <w:noWrap/>
            <w:vAlign w:val="bottom"/>
            <w:hideMark/>
          </w:tcPr>
          <w:p w14:paraId="5B35B38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0C15E032" w14:textId="77777777" w:rsidTr="00CA749B">
        <w:trPr>
          <w:trHeight w:val="300"/>
          <w:jc w:val="center"/>
        </w:trPr>
        <w:tc>
          <w:tcPr>
            <w:tcW w:w="0" w:type="auto"/>
            <w:tcBorders>
              <w:top w:val="nil"/>
              <w:left w:val="single" w:sz="4" w:space="0" w:color="auto"/>
              <w:bottom w:val="nil"/>
              <w:right w:val="nil"/>
            </w:tcBorders>
            <w:noWrap/>
            <w:vAlign w:val="bottom"/>
            <w:hideMark/>
          </w:tcPr>
          <w:p w14:paraId="1468EB1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MILNA</w:t>
            </w:r>
          </w:p>
        </w:tc>
        <w:tc>
          <w:tcPr>
            <w:tcW w:w="0" w:type="auto"/>
            <w:tcBorders>
              <w:top w:val="nil"/>
              <w:left w:val="nil"/>
              <w:bottom w:val="nil"/>
              <w:right w:val="single" w:sz="4" w:space="0" w:color="auto"/>
            </w:tcBorders>
            <w:noWrap/>
            <w:vAlign w:val="bottom"/>
            <w:hideMark/>
          </w:tcPr>
          <w:p w14:paraId="180ED53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FDD7AAA" w14:textId="77777777" w:rsidTr="00CA749B">
        <w:trPr>
          <w:trHeight w:val="300"/>
          <w:jc w:val="center"/>
        </w:trPr>
        <w:tc>
          <w:tcPr>
            <w:tcW w:w="0" w:type="auto"/>
            <w:tcBorders>
              <w:top w:val="nil"/>
              <w:left w:val="single" w:sz="4" w:space="0" w:color="auto"/>
              <w:bottom w:val="nil"/>
              <w:right w:val="nil"/>
            </w:tcBorders>
            <w:noWrap/>
            <w:vAlign w:val="bottom"/>
            <w:hideMark/>
          </w:tcPr>
          <w:p w14:paraId="3E46896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MOLAT – LUCINA</w:t>
            </w:r>
          </w:p>
        </w:tc>
        <w:tc>
          <w:tcPr>
            <w:tcW w:w="0" w:type="auto"/>
            <w:tcBorders>
              <w:top w:val="nil"/>
              <w:left w:val="nil"/>
              <w:bottom w:val="nil"/>
              <w:right w:val="single" w:sz="4" w:space="0" w:color="auto"/>
            </w:tcBorders>
            <w:noWrap/>
            <w:vAlign w:val="bottom"/>
            <w:hideMark/>
          </w:tcPr>
          <w:p w14:paraId="3311E07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5D2C7A33" w14:textId="77777777" w:rsidTr="00CA749B">
        <w:trPr>
          <w:trHeight w:val="300"/>
          <w:jc w:val="center"/>
        </w:trPr>
        <w:tc>
          <w:tcPr>
            <w:tcW w:w="0" w:type="auto"/>
            <w:tcBorders>
              <w:top w:val="nil"/>
              <w:left w:val="single" w:sz="4" w:space="0" w:color="auto"/>
              <w:bottom w:val="nil"/>
              <w:right w:val="nil"/>
            </w:tcBorders>
            <w:noWrap/>
            <w:vAlign w:val="bottom"/>
            <w:hideMark/>
          </w:tcPr>
          <w:p w14:paraId="7EB7BD7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MOLUNAT</w:t>
            </w:r>
          </w:p>
        </w:tc>
        <w:tc>
          <w:tcPr>
            <w:tcW w:w="0" w:type="auto"/>
            <w:tcBorders>
              <w:top w:val="nil"/>
              <w:left w:val="nil"/>
              <w:bottom w:val="nil"/>
              <w:right w:val="single" w:sz="4" w:space="0" w:color="auto"/>
            </w:tcBorders>
            <w:noWrap/>
            <w:vAlign w:val="bottom"/>
            <w:hideMark/>
          </w:tcPr>
          <w:p w14:paraId="69EDA6F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2CB44F02" w14:textId="77777777" w:rsidTr="00CA749B">
        <w:trPr>
          <w:trHeight w:val="300"/>
          <w:jc w:val="center"/>
        </w:trPr>
        <w:tc>
          <w:tcPr>
            <w:tcW w:w="0" w:type="auto"/>
            <w:tcBorders>
              <w:top w:val="nil"/>
              <w:left w:val="single" w:sz="4" w:space="0" w:color="auto"/>
              <w:bottom w:val="nil"/>
              <w:right w:val="nil"/>
            </w:tcBorders>
            <w:noWrap/>
            <w:vAlign w:val="bottom"/>
            <w:hideMark/>
          </w:tcPr>
          <w:p w14:paraId="0E58D02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MOŠCENICKA DRAGA</w:t>
            </w:r>
          </w:p>
        </w:tc>
        <w:tc>
          <w:tcPr>
            <w:tcW w:w="0" w:type="auto"/>
            <w:tcBorders>
              <w:top w:val="nil"/>
              <w:left w:val="nil"/>
              <w:bottom w:val="nil"/>
              <w:right w:val="single" w:sz="4" w:space="0" w:color="auto"/>
            </w:tcBorders>
            <w:noWrap/>
            <w:vAlign w:val="bottom"/>
            <w:hideMark/>
          </w:tcPr>
          <w:p w14:paraId="0035D83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0573027B" w14:textId="77777777" w:rsidTr="00CA749B">
        <w:trPr>
          <w:trHeight w:val="300"/>
          <w:jc w:val="center"/>
        </w:trPr>
        <w:tc>
          <w:tcPr>
            <w:tcW w:w="0" w:type="auto"/>
            <w:tcBorders>
              <w:top w:val="nil"/>
              <w:left w:val="single" w:sz="4" w:space="0" w:color="auto"/>
              <w:bottom w:val="nil"/>
              <w:right w:val="nil"/>
            </w:tcBorders>
            <w:noWrap/>
            <w:vAlign w:val="bottom"/>
            <w:hideMark/>
          </w:tcPr>
          <w:p w14:paraId="1C47CCD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MURTER</w:t>
            </w:r>
          </w:p>
        </w:tc>
        <w:tc>
          <w:tcPr>
            <w:tcW w:w="0" w:type="auto"/>
            <w:tcBorders>
              <w:top w:val="nil"/>
              <w:left w:val="nil"/>
              <w:bottom w:val="nil"/>
              <w:right w:val="single" w:sz="4" w:space="0" w:color="auto"/>
            </w:tcBorders>
            <w:noWrap/>
            <w:vAlign w:val="bottom"/>
            <w:hideMark/>
          </w:tcPr>
          <w:p w14:paraId="0989C5B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65EDF4FE" w14:textId="77777777" w:rsidTr="00CA749B">
        <w:trPr>
          <w:trHeight w:val="300"/>
          <w:jc w:val="center"/>
        </w:trPr>
        <w:tc>
          <w:tcPr>
            <w:tcW w:w="0" w:type="auto"/>
            <w:tcBorders>
              <w:top w:val="nil"/>
              <w:left w:val="single" w:sz="4" w:space="0" w:color="auto"/>
              <w:bottom w:val="nil"/>
              <w:right w:val="nil"/>
            </w:tcBorders>
            <w:noWrap/>
            <w:vAlign w:val="bottom"/>
            <w:hideMark/>
          </w:tcPr>
          <w:p w14:paraId="2832EBF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NOVALJA</w:t>
            </w:r>
          </w:p>
        </w:tc>
        <w:tc>
          <w:tcPr>
            <w:tcW w:w="0" w:type="auto"/>
            <w:tcBorders>
              <w:top w:val="nil"/>
              <w:left w:val="nil"/>
              <w:bottom w:val="nil"/>
              <w:right w:val="single" w:sz="4" w:space="0" w:color="auto"/>
            </w:tcBorders>
            <w:noWrap/>
            <w:vAlign w:val="bottom"/>
            <w:hideMark/>
          </w:tcPr>
          <w:p w14:paraId="4493674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2747085F" w14:textId="77777777" w:rsidTr="00CA749B">
        <w:trPr>
          <w:trHeight w:val="300"/>
          <w:jc w:val="center"/>
        </w:trPr>
        <w:tc>
          <w:tcPr>
            <w:tcW w:w="0" w:type="auto"/>
            <w:tcBorders>
              <w:top w:val="nil"/>
              <w:left w:val="single" w:sz="4" w:space="0" w:color="auto"/>
              <w:bottom w:val="nil"/>
              <w:right w:val="nil"/>
            </w:tcBorders>
            <w:noWrap/>
            <w:vAlign w:val="bottom"/>
            <w:hideMark/>
          </w:tcPr>
          <w:p w14:paraId="74DCAB2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NOVIGRAD</w:t>
            </w:r>
          </w:p>
        </w:tc>
        <w:tc>
          <w:tcPr>
            <w:tcW w:w="0" w:type="auto"/>
            <w:tcBorders>
              <w:top w:val="nil"/>
              <w:left w:val="nil"/>
              <w:bottom w:val="nil"/>
              <w:right w:val="single" w:sz="4" w:space="0" w:color="auto"/>
            </w:tcBorders>
            <w:noWrap/>
            <w:vAlign w:val="bottom"/>
            <w:hideMark/>
          </w:tcPr>
          <w:p w14:paraId="50A00E0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3C34DA08" w14:textId="77777777" w:rsidTr="00CA749B">
        <w:trPr>
          <w:trHeight w:val="300"/>
          <w:jc w:val="center"/>
        </w:trPr>
        <w:tc>
          <w:tcPr>
            <w:tcW w:w="0" w:type="auto"/>
            <w:tcBorders>
              <w:top w:val="nil"/>
              <w:left w:val="single" w:sz="4" w:space="0" w:color="auto"/>
              <w:bottom w:val="nil"/>
              <w:right w:val="nil"/>
            </w:tcBorders>
            <w:noWrap/>
            <w:vAlign w:val="bottom"/>
            <w:hideMark/>
          </w:tcPr>
          <w:p w14:paraId="6B18F89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NOVIGRAD – PORPORELA</w:t>
            </w:r>
          </w:p>
        </w:tc>
        <w:tc>
          <w:tcPr>
            <w:tcW w:w="0" w:type="auto"/>
            <w:tcBorders>
              <w:top w:val="nil"/>
              <w:left w:val="nil"/>
              <w:bottom w:val="nil"/>
              <w:right w:val="single" w:sz="4" w:space="0" w:color="auto"/>
            </w:tcBorders>
            <w:noWrap/>
            <w:vAlign w:val="bottom"/>
            <w:hideMark/>
          </w:tcPr>
          <w:p w14:paraId="38053E5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55FFB6BB" w14:textId="77777777" w:rsidTr="00CA749B">
        <w:trPr>
          <w:trHeight w:val="300"/>
          <w:jc w:val="center"/>
        </w:trPr>
        <w:tc>
          <w:tcPr>
            <w:tcW w:w="0" w:type="auto"/>
            <w:tcBorders>
              <w:top w:val="nil"/>
              <w:left w:val="single" w:sz="4" w:space="0" w:color="auto"/>
              <w:bottom w:val="nil"/>
              <w:right w:val="nil"/>
            </w:tcBorders>
            <w:noWrap/>
            <w:vAlign w:val="bottom"/>
            <w:hideMark/>
          </w:tcPr>
          <w:p w14:paraId="529D439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OBALA ULJANIK</w:t>
            </w:r>
          </w:p>
        </w:tc>
        <w:tc>
          <w:tcPr>
            <w:tcW w:w="0" w:type="auto"/>
            <w:tcBorders>
              <w:top w:val="nil"/>
              <w:left w:val="nil"/>
              <w:bottom w:val="nil"/>
              <w:right w:val="single" w:sz="4" w:space="0" w:color="auto"/>
            </w:tcBorders>
            <w:noWrap/>
            <w:vAlign w:val="bottom"/>
            <w:hideMark/>
          </w:tcPr>
          <w:p w14:paraId="7637CEA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36592088" w14:textId="77777777" w:rsidTr="00CA749B">
        <w:trPr>
          <w:trHeight w:val="300"/>
          <w:jc w:val="center"/>
        </w:trPr>
        <w:tc>
          <w:tcPr>
            <w:tcW w:w="0" w:type="auto"/>
            <w:tcBorders>
              <w:top w:val="nil"/>
              <w:left w:val="single" w:sz="4" w:space="0" w:color="auto"/>
              <w:bottom w:val="nil"/>
              <w:right w:val="nil"/>
            </w:tcBorders>
            <w:noWrap/>
            <w:vAlign w:val="bottom"/>
            <w:hideMark/>
          </w:tcPr>
          <w:p w14:paraId="4E120AA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OMIŠ</w:t>
            </w:r>
          </w:p>
        </w:tc>
        <w:tc>
          <w:tcPr>
            <w:tcW w:w="0" w:type="auto"/>
            <w:tcBorders>
              <w:top w:val="nil"/>
              <w:left w:val="nil"/>
              <w:bottom w:val="nil"/>
              <w:right w:val="single" w:sz="4" w:space="0" w:color="auto"/>
            </w:tcBorders>
            <w:noWrap/>
            <w:vAlign w:val="bottom"/>
            <w:hideMark/>
          </w:tcPr>
          <w:p w14:paraId="252FD05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1AA4138" w14:textId="77777777" w:rsidTr="00CA749B">
        <w:trPr>
          <w:trHeight w:val="300"/>
          <w:jc w:val="center"/>
        </w:trPr>
        <w:tc>
          <w:tcPr>
            <w:tcW w:w="0" w:type="auto"/>
            <w:tcBorders>
              <w:top w:val="nil"/>
              <w:left w:val="single" w:sz="4" w:space="0" w:color="auto"/>
              <w:bottom w:val="nil"/>
              <w:right w:val="nil"/>
            </w:tcBorders>
            <w:noWrap/>
            <w:vAlign w:val="bottom"/>
            <w:hideMark/>
          </w:tcPr>
          <w:p w14:paraId="1441C35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OMIŠALJ</w:t>
            </w:r>
          </w:p>
        </w:tc>
        <w:tc>
          <w:tcPr>
            <w:tcW w:w="0" w:type="auto"/>
            <w:tcBorders>
              <w:top w:val="nil"/>
              <w:left w:val="nil"/>
              <w:bottom w:val="nil"/>
              <w:right w:val="single" w:sz="4" w:space="0" w:color="auto"/>
            </w:tcBorders>
            <w:noWrap/>
            <w:vAlign w:val="bottom"/>
            <w:hideMark/>
          </w:tcPr>
          <w:p w14:paraId="39EFDAD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7BAD32D" w14:textId="77777777" w:rsidTr="00CA749B">
        <w:trPr>
          <w:trHeight w:val="300"/>
          <w:jc w:val="center"/>
        </w:trPr>
        <w:tc>
          <w:tcPr>
            <w:tcW w:w="0" w:type="auto"/>
            <w:tcBorders>
              <w:top w:val="nil"/>
              <w:left w:val="single" w:sz="4" w:space="0" w:color="auto"/>
              <w:bottom w:val="nil"/>
              <w:right w:val="nil"/>
            </w:tcBorders>
            <w:noWrap/>
            <w:vAlign w:val="bottom"/>
            <w:hideMark/>
          </w:tcPr>
          <w:p w14:paraId="3B94CB2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OREBIC</w:t>
            </w:r>
          </w:p>
        </w:tc>
        <w:tc>
          <w:tcPr>
            <w:tcW w:w="0" w:type="auto"/>
            <w:tcBorders>
              <w:top w:val="nil"/>
              <w:left w:val="nil"/>
              <w:bottom w:val="nil"/>
              <w:right w:val="single" w:sz="4" w:space="0" w:color="auto"/>
            </w:tcBorders>
            <w:noWrap/>
            <w:vAlign w:val="bottom"/>
            <w:hideMark/>
          </w:tcPr>
          <w:p w14:paraId="5642476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3A97758A" w14:textId="77777777" w:rsidTr="00CA749B">
        <w:trPr>
          <w:trHeight w:val="300"/>
          <w:jc w:val="center"/>
        </w:trPr>
        <w:tc>
          <w:tcPr>
            <w:tcW w:w="0" w:type="auto"/>
            <w:tcBorders>
              <w:top w:val="nil"/>
              <w:left w:val="single" w:sz="4" w:space="0" w:color="auto"/>
              <w:bottom w:val="nil"/>
              <w:right w:val="nil"/>
            </w:tcBorders>
            <w:noWrap/>
            <w:vAlign w:val="bottom"/>
            <w:hideMark/>
          </w:tcPr>
          <w:p w14:paraId="6544302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OSOR</w:t>
            </w:r>
          </w:p>
        </w:tc>
        <w:tc>
          <w:tcPr>
            <w:tcW w:w="0" w:type="auto"/>
            <w:tcBorders>
              <w:top w:val="nil"/>
              <w:left w:val="nil"/>
              <w:bottom w:val="nil"/>
              <w:right w:val="single" w:sz="4" w:space="0" w:color="auto"/>
            </w:tcBorders>
            <w:noWrap/>
            <w:vAlign w:val="bottom"/>
            <w:hideMark/>
          </w:tcPr>
          <w:p w14:paraId="03F7201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06472C40" w14:textId="77777777" w:rsidTr="00CA749B">
        <w:trPr>
          <w:trHeight w:val="300"/>
          <w:jc w:val="center"/>
        </w:trPr>
        <w:tc>
          <w:tcPr>
            <w:tcW w:w="0" w:type="auto"/>
            <w:tcBorders>
              <w:top w:val="nil"/>
              <w:left w:val="single" w:sz="4" w:space="0" w:color="auto"/>
              <w:bottom w:val="nil"/>
              <w:right w:val="nil"/>
            </w:tcBorders>
            <w:noWrap/>
            <w:vAlign w:val="bottom"/>
            <w:hideMark/>
          </w:tcPr>
          <w:p w14:paraId="5F84FEC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PLOCE</w:t>
            </w:r>
          </w:p>
        </w:tc>
        <w:tc>
          <w:tcPr>
            <w:tcW w:w="0" w:type="auto"/>
            <w:tcBorders>
              <w:top w:val="nil"/>
              <w:left w:val="nil"/>
              <w:bottom w:val="nil"/>
              <w:right w:val="single" w:sz="4" w:space="0" w:color="auto"/>
            </w:tcBorders>
            <w:noWrap/>
            <w:vAlign w:val="bottom"/>
            <w:hideMark/>
          </w:tcPr>
          <w:p w14:paraId="0C2F1BB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5A069452" w14:textId="77777777" w:rsidTr="00CA749B">
        <w:trPr>
          <w:trHeight w:val="300"/>
          <w:jc w:val="center"/>
        </w:trPr>
        <w:tc>
          <w:tcPr>
            <w:tcW w:w="0" w:type="auto"/>
            <w:tcBorders>
              <w:top w:val="nil"/>
              <w:left w:val="single" w:sz="4" w:space="0" w:color="auto"/>
              <w:bottom w:val="nil"/>
              <w:right w:val="nil"/>
            </w:tcBorders>
            <w:noWrap/>
            <w:vAlign w:val="bottom"/>
            <w:hideMark/>
          </w:tcPr>
          <w:p w14:paraId="737954E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PLOMIN</w:t>
            </w:r>
          </w:p>
        </w:tc>
        <w:tc>
          <w:tcPr>
            <w:tcW w:w="0" w:type="auto"/>
            <w:tcBorders>
              <w:top w:val="nil"/>
              <w:left w:val="nil"/>
              <w:bottom w:val="nil"/>
              <w:right w:val="single" w:sz="4" w:space="0" w:color="auto"/>
            </w:tcBorders>
            <w:noWrap/>
            <w:vAlign w:val="bottom"/>
            <w:hideMark/>
          </w:tcPr>
          <w:p w14:paraId="10BA66C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17CABCB9" w14:textId="77777777" w:rsidTr="00CA749B">
        <w:trPr>
          <w:trHeight w:val="300"/>
          <w:jc w:val="center"/>
        </w:trPr>
        <w:tc>
          <w:tcPr>
            <w:tcW w:w="0" w:type="auto"/>
            <w:tcBorders>
              <w:top w:val="nil"/>
              <w:left w:val="single" w:sz="4" w:space="0" w:color="auto"/>
              <w:bottom w:val="nil"/>
              <w:right w:val="nil"/>
            </w:tcBorders>
            <w:noWrap/>
            <w:vAlign w:val="bottom"/>
            <w:hideMark/>
          </w:tcPr>
          <w:p w14:paraId="4975036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PODGORA</w:t>
            </w:r>
          </w:p>
        </w:tc>
        <w:tc>
          <w:tcPr>
            <w:tcW w:w="0" w:type="auto"/>
            <w:tcBorders>
              <w:top w:val="nil"/>
              <w:left w:val="nil"/>
              <w:bottom w:val="nil"/>
              <w:right w:val="single" w:sz="4" w:space="0" w:color="auto"/>
            </w:tcBorders>
            <w:noWrap/>
            <w:vAlign w:val="bottom"/>
            <w:hideMark/>
          </w:tcPr>
          <w:p w14:paraId="29114D2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75519758" w14:textId="77777777" w:rsidTr="00CA749B">
        <w:trPr>
          <w:trHeight w:val="300"/>
          <w:jc w:val="center"/>
        </w:trPr>
        <w:tc>
          <w:tcPr>
            <w:tcW w:w="0" w:type="auto"/>
            <w:tcBorders>
              <w:top w:val="nil"/>
              <w:left w:val="single" w:sz="4" w:space="0" w:color="auto"/>
              <w:bottom w:val="nil"/>
              <w:right w:val="nil"/>
            </w:tcBorders>
            <w:noWrap/>
            <w:vAlign w:val="bottom"/>
            <w:hideMark/>
          </w:tcPr>
          <w:p w14:paraId="57B6C4F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PODVRŠKE</w:t>
            </w:r>
          </w:p>
        </w:tc>
        <w:tc>
          <w:tcPr>
            <w:tcW w:w="0" w:type="auto"/>
            <w:tcBorders>
              <w:top w:val="nil"/>
              <w:left w:val="nil"/>
              <w:bottom w:val="nil"/>
              <w:right w:val="single" w:sz="4" w:space="0" w:color="auto"/>
            </w:tcBorders>
            <w:noWrap/>
            <w:vAlign w:val="bottom"/>
            <w:hideMark/>
          </w:tcPr>
          <w:p w14:paraId="19AF4E0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189A4FAD" w14:textId="77777777" w:rsidTr="00CA749B">
        <w:trPr>
          <w:trHeight w:val="300"/>
          <w:jc w:val="center"/>
        </w:trPr>
        <w:tc>
          <w:tcPr>
            <w:tcW w:w="0" w:type="auto"/>
            <w:tcBorders>
              <w:top w:val="nil"/>
              <w:left w:val="single" w:sz="4" w:space="0" w:color="auto"/>
              <w:bottom w:val="nil"/>
              <w:right w:val="nil"/>
            </w:tcBorders>
            <w:noWrap/>
            <w:vAlign w:val="bottom"/>
            <w:hideMark/>
          </w:tcPr>
          <w:p w14:paraId="5627F04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PORAT</w:t>
            </w:r>
          </w:p>
        </w:tc>
        <w:tc>
          <w:tcPr>
            <w:tcW w:w="0" w:type="auto"/>
            <w:tcBorders>
              <w:top w:val="nil"/>
              <w:left w:val="nil"/>
              <w:bottom w:val="nil"/>
              <w:right w:val="single" w:sz="4" w:space="0" w:color="auto"/>
            </w:tcBorders>
            <w:noWrap/>
            <w:vAlign w:val="bottom"/>
            <w:hideMark/>
          </w:tcPr>
          <w:p w14:paraId="5539771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522C954" w14:textId="77777777" w:rsidTr="00CA749B">
        <w:trPr>
          <w:trHeight w:val="300"/>
          <w:jc w:val="center"/>
        </w:trPr>
        <w:tc>
          <w:tcPr>
            <w:tcW w:w="0" w:type="auto"/>
            <w:tcBorders>
              <w:top w:val="nil"/>
              <w:left w:val="single" w:sz="4" w:space="0" w:color="auto"/>
              <w:bottom w:val="nil"/>
              <w:right w:val="nil"/>
            </w:tcBorders>
            <w:noWrap/>
            <w:vAlign w:val="bottom"/>
            <w:hideMark/>
          </w:tcPr>
          <w:p w14:paraId="72EF5AA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POREC</w:t>
            </w:r>
          </w:p>
        </w:tc>
        <w:tc>
          <w:tcPr>
            <w:tcW w:w="0" w:type="auto"/>
            <w:tcBorders>
              <w:top w:val="nil"/>
              <w:left w:val="nil"/>
              <w:bottom w:val="nil"/>
              <w:right w:val="single" w:sz="4" w:space="0" w:color="auto"/>
            </w:tcBorders>
            <w:noWrap/>
            <w:vAlign w:val="bottom"/>
            <w:hideMark/>
          </w:tcPr>
          <w:p w14:paraId="63761C2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72ACA9AC" w14:textId="77777777" w:rsidTr="00CA749B">
        <w:trPr>
          <w:trHeight w:val="300"/>
          <w:jc w:val="center"/>
        </w:trPr>
        <w:tc>
          <w:tcPr>
            <w:tcW w:w="0" w:type="auto"/>
            <w:tcBorders>
              <w:top w:val="nil"/>
              <w:left w:val="single" w:sz="4" w:space="0" w:color="auto"/>
              <w:bottom w:val="nil"/>
              <w:right w:val="nil"/>
            </w:tcBorders>
            <w:noWrap/>
            <w:vAlign w:val="bottom"/>
            <w:hideMark/>
          </w:tcPr>
          <w:p w14:paraId="6292681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PRAPRATNO</w:t>
            </w:r>
          </w:p>
        </w:tc>
        <w:tc>
          <w:tcPr>
            <w:tcW w:w="0" w:type="auto"/>
            <w:tcBorders>
              <w:top w:val="nil"/>
              <w:left w:val="nil"/>
              <w:bottom w:val="nil"/>
              <w:right w:val="single" w:sz="4" w:space="0" w:color="auto"/>
            </w:tcBorders>
            <w:noWrap/>
            <w:vAlign w:val="bottom"/>
            <w:hideMark/>
          </w:tcPr>
          <w:p w14:paraId="25B02C9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7D4A0BAE" w14:textId="77777777" w:rsidTr="00CA749B">
        <w:trPr>
          <w:trHeight w:val="300"/>
          <w:jc w:val="center"/>
        </w:trPr>
        <w:tc>
          <w:tcPr>
            <w:tcW w:w="0" w:type="auto"/>
            <w:tcBorders>
              <w:top w:val="nil"/>
              <w:left w:val="single" w:sz="4" w:space="0" w:color="auto"/>
              <w:bottom w:val="nil"/>
              <w:right w:val="nil"/>
            </w:tcBorders>
            <w:noWrap/>
            <w:vAlign w:val="bottom"/>
            <w:hideMark/>
          </w:tcPr>
          <w:p w14:paraId="64F62A7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PRIMOŠTEN</w:t>
            </w:r>
          </w:p>
        </w:tc>
        <w:tc>
          <w:tcPr>
            <w:tcW w:w="0" w:type="auto"/>
            <w:tcBorders>
              <w:top w:val="nil"/>
              <w:left w:val="nil"/>
              <w:bottom w:val="nil"/>
              <w:right w:val="single" w:sz="4" w:space="0" w:color="auto"/>
            </w:tcBorders>
            <w:noWrap/>
            <w:vAlign w:val="bottom"/>
            <w:hideMark/>
          </w:tcPr>
          <w:p w14:paraId="52C8D2C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7F372FAD" w14:textId="77777777" w:rsidTr="00CA749B">
        <w:trPr>
          <w:trHeight w:val="300"/>
          <w:jc w:val="center"/>
        </w:trPr>
        <w:tc>
          <w:tcPr>
            <w:tcW w:w="0" w:type="auto"/>
            <w:tcBorders>
              <w:top w:val="nil"/>
              <w:left w:val="single" w:sz="4" w:space="0" w:color="auto"/>
              <w:bottom w:val="nil"/>
              <w:right w:val="nil"/>
            </w:tcBorders>
            <w:noWrap/>
            <w:vAlign w:val="bottom"/>
            <w:hideMark/>
          </w:tcPr>
          <w:p w14:paraId="1CAEFCB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PRVIC – ŠEPURINE</w:t>
            </w:r>
          </w:p>
        </w:tc>
        <w:tc>
          <w:tcPr>
            <w:tcW w:w="0" w:type="auto"/>
            <w:tcBorders>
              <w:top w:val="nil"/>
              <w:left w:val="nil"/>
              <w:bottom w:val="nil"/>
              <w:right w:val="single" w:sz="4" w:space="0" w:color="auto"/>
            </w:tcBorders>
            <w:noWrap/>
            <w:vAlign w:val="bottom"/>
            <w:hideMark/>
          </w:tcPr>
          <w:p w14:paraId="0020A3C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6FF5ACAE" w14:textId="77777777" w:rsidTr="00CA749B">
        <w:trPr>
          <w:trHeight w:val="300"/>
          <w:jc w:val="center"/>
        </w:trPr>
        <w:tc>
          <w:tcPr>
            <w:tcW w:w="0" w:type="auto"/>
            <w:tcBorders>
              <w:top w:val="nil"/>
              <w:left w:val="single" w:sz="4" w:space="0" w:color="auto"/>
              <w:bottom w:val="nil"/>
              <w:right w:val="nil"/>
            </w:tcBorders>
            <w:noWrap/>
            <w:vAlign w:val="bottom"/>
            <w:hideMark/>
          </w:tcPr>
          <w:p w14:paraId="032CF6C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PUCIŠCA</w:t>
            </w:r>
          </w:p>
        </w:tc>
        <w:tc>
          <w:tcPr>
            <w:tcW w:w="0" w:type="auto"/>
            <w:tcBorders>
              <w:top w:val="nil"/>
              <w:left w:val="nil"/>
              <w:bottom w:val="nil"/>
              <w:right w:val="single" w:sz="4" w:space="0" w:color="auto"/>
            </w:tcBorders>
            <w:noWrap/>
            <w:vAlign w:val="bottom"/>
            <w:hideMark/>
          </w:tcPr>
          <w:p w14:paraId="6F0362E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A58C90D" w14:textId="77777777" w:rsidTr="00CA749B">
        <w:trPr>
          <w:trHeight w:val="300"/>
          <w:jc w:val="center"/>
        </w:trPr>
        <w:tc>
          <w:tcPr>
            <w:tcW w:w="0" w:type="auto"/>
            <w:tcBorders>
              <w:top w:val="nil"/>
              <w:left w:val="single" w:sz="4" w:space="0" w:color="auto"/>
              <w:bottom w:val="nil"/>
              <w:right w:val="nil"/>
            </w:tcBorders>
            <w:noWrap/>
            <w:vAlign w:val="bottom"/>
            <w:hideMark/>
          </w:tcPr>
          <w:p w14:paraId="3EEE76B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PULA – KORIJEN GATA RIJEKA</w:t>
            </w:r>
          </w:p>
        </w:tc>
        <w:tc>
          <w:tcPr>
            <w:tcW w:w="0" w:type="auto"/>
            <w:tcBorders>
              <w:top w:val="nil"/>
              <w:left w:val="nil"/>
              <w:bottom w:val="nil"/>
              <w:right w:val="single" w:sz="4" w:space="0" w:color="auto"/>
            </w:tcBorders>
            <w:noWrap/>
            <w:vAlign w:val="bottom"/>
            <w:hideMark/>
          </w:tcPr>
          <w:p w14:paraId="5D4C11E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68632A61" w14:textId="77777777" w:rsidTr="00CA749B">
        <w:trPr>
          <w:trHeight w:val="300"/>
          <w:jc w:val="center"/>
        </w:trPr>
        <w:tc>
          <w:tcPr>
            <w:tcW w:w="0" w:type="auto"/>
            <w:tcBorders>
              <w:top w:val="nil"/>
              <w:left w:val="single" w:sz="4" w:space="0" w:color="auto"/>
              <w:bottom w:val="nil"/>
              <w:right w:val="nil"/>
            </w:tcBorders>
            <w:noWrap/>
            <w:vAlign w:val="bottom"/>
            <w:hideMark/>
          </w:tcPr>
          <w:p w14:paraId="4B25DFA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PUNAT</w:t>
            </w:r>
          </w:p>
        </w:tc>
        <w:tc>
          <w:tcPr>
            <w:tcW w:w="0" w:type="auto"/>
            <w:tcBorders>
              <w:top w:val="nil"/>
              <w:left w:val="nil"/>
              <w:bottom w:val="nil"/>
              <w:right w:val="single" w:sz="4" w:space="0" w:color="auto"/>
            </w:tcBorders>
            <w:noWrap/>
            <w:vAlign w:val="bottom"/>
            <w:hideMark/>
          </w:tcPr>
          <w:p w14:paraId="0701BAA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603DD9BA" w14:textId="77777777" w:rsidTr="00CA749B">
        <w:trPr>
          <w:trHeight w:val="300"/>
          <w:jc w:val="center"/>
        </w:trPr>
        <w:tc>
          <w:tcPr>
            <w:tcW w:w="0" w:type="auto"/>
            <w:tcBorders>
              <w:top w:val="nil"/>
              <w:left w:val="single" w:sz="4" w:space="0" w:color="auto"/>
              <w:bottom w:val="nil"/>
              <w:right w:val="nil"/>
            </w:tcBorders>
            <w:noWrap/>
            <w:vAlign w:val="bottom"/>
            <w:hideMark/>
          </w:tcPr>
          <w:p w14:paraId="3F5DB98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RAB</w:t>
            </w:r>
          </w:p>
        </w:tc>
        <w:tc>
          <w:tcPr>
            <w:tcW w:w="0" w:type="auto"/>
            <w:tcBorders>
              <w:top w:val="nil"/>
              <w:left w:val="nil"/>
              <w:bottom w:val="nil"/>
              <w:right w:val="single" w:sz="4" w:space="0" w:color="auto"/>
            </w:tcBorders>
            <w:noWrap/>
            <w:vAlign w:val="bottom"/>
            <w:hideMark/>
          </w:tcPr>
          <w:p w14:paraId="09A37EA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8EDD1FA" w14:textId="77777777" w:rsidTr="00CA749B">
        <w:trPr>
          <w:trHeight w:val="300"/>
          <w:jc w:val="center"/>
        </w:trPr>
        <w:tc>
          <w:tcPr>
            <w:tcW w:w="0" w:type="auto"/>
            <w:tcBorders>
              <w:top w:val="nil"/>
              <w:left w:val="single" w:sz="4" w:space="0" w:color="auto"/>
              <w:bottom w:val="nil"/>
              <w:right w:val="nil"/>
            </w:tcBorders>
            <w:noWrap/>
            <w:vAlign w:val="bottom"/>
            <w:hideMark/>
          </w:tcPr>
          <w:p w14:paraId="3FD69C5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RABAC</w:t>
            </w:r>
          </w:p>
        </w:tc>
        <w:tc>
          <w:tcPr>
            <w:tcW w:w="0" w:type="auto"/>
            <w:tcBorders>
              <w:top w:val="nil"/>
              <w:left w:val="nil"/>
              <w:bottom w:val="nil"/>
              <w:right w:val="single" w:sz="4" w:space="0" w:color="auto"/>
            </w:tcBorders>
            <w:noWrap/>
            <w:vAlign w:val="bottom"/>
            <w:hideMark/>
          </w:tcPr>
          <w:p w14:paraId="2738CBC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163D84D0" w14:textId="77777777" w:rsidTr="00CA749B">
        <w:trPr>
          <w:trHeight w:val="300"/>
          <w:jc w:val="center"/>
        </w:trPr>
        <w:tc>
          <w:tcPr>
            <w:tcW w:w="0" w:type="auto"/>
            <w:tcBorders>
              <w:top w:val="nil"/>
              <w:left w:val="single" w:sz="4" w:space="0" w:color="auto"/>
              <w:bottom w:val="nil"/>
              <w:right w:val="nil"/>
            </w:tcBorders>
            <w:noWrap/>
            <w:vAlign w:val="bottom"/>
            <w:hideMark/>
          </w:tcPr>
          <w:p w14:paraId="669D515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RIJEKA – DIO PUTNICKE LUKE</w:t>
            </w:r>
          </w:p>
        </w:tc>
        <w:tc>
          <w:tcPr>
            <w:tcW w:w="0" w:type="auto"/>
            <w:tcBorders>
              <w:top w:val="nil"/>
              <w:left w:val="nil"/>
              <w:bottom w:val="nil"/>
              <w:right w:val="single" w:sz="4" w:space="0" w:color="auto"/>
            </w:tcBorders>
            <w:noWrap/>
            <w:vAlign w:val="bottom"/>
            <w:hideMark/>
          </w:tcPr>
          <w:p w14:paraId="3C474C0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0922E2DC" w14:textId="77777777" w:rsidTr="00CA749B">
        <w:trPr>
          <w:trHeight w:val="300"/>
          <w:jc w:val="center"/>
        </w:trPr>
        <w:tc>
          <w:tcPr>
            <w:tcW w:w="0" w:type="auto"/>
            <w:tcBorders>
              <w:top w:val="nil"/>
              <w:left w:val="single" w:sz="4" w:space="0" w:color="auto"/>
              <w:bottom w:val="nil"/>
              <w:right w:val="nil"/>
            </w:tcBorders>
            <w:noWrap/>
            <w:vAlign w:val="bottom"/>
            <w:hideMark/>
          </w:tcPr>
          <w:p w14:paraId="511CDD3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RIJEKA-LUKA RIJEKA</w:t>
            </w:r>
          </w:p>
        </w:tc>
        <w:tc>
          <w:tcPr>
            <w:tcW w:w="0" w:type="auto"/>
            <w:tcBorders>
              <w:top w:val="nil"/>
              <w:left w:val="nil"/>
              <w:bottom w:val="nil"/>
              <w:right w:val="single" w:sz="4" w:space="0" w:color="auto"/>
            </w:tcBorders>
            <w:noWrap/>
            <w:vAlign w:val="bottom"/>
            <w:hideMark/>
          </w:tcPr>
          <w:p w14:paraId="5B5FE6B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1126388B" w14:textId="77777777" w:rsidTr="00CA749B">
        <w:trPr>
          <w:trHeight w:val="300"/>
          <w:jc w:val="center"/>
        </w:trPr>
        <w:tc>
          <w:tcPr>
            <w:tcW w:w="0" w:type="auto"/>
            <w:tcBorders>
              <w:top w:val="nil"/>
              <w:left w:val="single" w:sz="4" w:space="0" w:color="auto"/>
              <w:bottom w:val="nil"/>
              <w:right w:val="nil"/>
            </w:tcBorders>
            <w:noWrap/>
            <w:vAlign w:val="bottom"/>
            <w:hideMark/>
          </w:tcPr>
          <w:p w14:paraId="1A65C66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ROGOZNICA</w:t>
            </w:r>
          </w:p>
        </w:tc>
        <w:tc>
          <w:tcPr>
            <w:tcW w:w="0" w:type="auto"/>
            <w:tcBorders>
              <w:top w:val="nil"/>
              <w:left w:val="nil"/>
              <w:bottom w:val="nil"/>
              <w:right w:val="single" w:sz="4" w:space="0" w:color="auto"/>
            </w:tcBorders>
            <w:noWrap/>
            <w:vAlign w:val="bottom"/>
            <w:hideMark/>
          </w:tcPr>
          <w:p w14:paraId="4D780A0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9100238" w14:textId="77777777" w:rsidTr="00CA749B">
        <w:trPr>
          <w:trHeight w:val="300"/>
          <w:jc w:val="center"/>
        </w:trPr>
        <w:tc>
          <w:tcPr>
            <w:tcW w:w="0" w:type="auto"/>
            <w:tcBorders>
              <w:top w:val="nil"/>
              <w:left w:val="single" w:sz="4" w:space="0" w:color="auto"/>
              <w:bottom w:val="nil"/>
              <w:right w:val="nil"/>
            </w:tcBorders>
            <w:noWrap/>
            <w:vAlign w:val="bottom"/>
            <w:hideMark/>
          </w:tcPr>
          <w:p w14:paraId="0253D93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ROVINJ – VALDIBORA</w:t>
            </w:r>
          </w:p>
        </w:tc>
        <w:tc>
          <w:tcPr>
            <w:tcW w:w="0" w:type="auto"/>
            <w:tcBorders>
              <w:top w:val="nil"/>
              <w:left w:val="nil"/>
              <w:bottom w:val="nil"/>
              <w:right w:val="single" w:sz="4" w:space="0" w:color="auto"/>
            </w:tcBorders>
            <w:noWrap/>
            <w:vAlign w:val="bottom"/>
            <w:hideMark/>
          </w:tcPr>
          <w:p w14:paraId="65C170C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5C38A160" w14:textId="77777777" w:rsidTr="00CA749B">
        <w:trPr>
          <w:trHeight w:val="300"/>
          <w:jc w:val="center"/>
        </w:trPr>
        <w:tc>
          <w:tcPr>
            <w:tcW w:w="0" w:type="auto"/>
            <w:tcBorders>
              <w:top w:val="nil"/>
              <w:left w:val="single" w:sz="4" w:space="0" w:color="auto"/>
              <w:bottom w:val="nil"/>
              <w:right w:val="nil"/>
            </w:tcBorders>
            <w:noWrap/>
            <w:vAlign w:val="bottom"/>
            <w:hideMark/>
          </w:tcPr>
          <w:p w14:paraId="0632083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SALI – MARDEŠIC</w:t>
            </w:r>
          </w:p>
        </w:tc>
        <w:tc>
          <w:tcPr>
            <w:tcW w:w="0" w:type="auto"/>
            <w:tcBorders>
              <w:top w:val="nil"/>
              <w:left w:val="nil"/>
              <w:bottom w:val="nil"/>
              <w:right w:val="single" w:sz="4" w:space="0" w:color="auto"/>
            </w:tcBorders>
            <w:noWrap/>
            <w:vAlign w:val="bottom"/>
            <w:hideMark/>
          </w:tcPr>
          <w:p w14:paraId="4872191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704F2A7E" w14:textId="77777777" w:rsidTr="00CA749B">
        <w:trPr>
          <w:trHeight w:val="300"/>
          <w:jc w:val="center"/>
        </w:trPr>
        <w:tc>
          <w:tcPr>
            <w:tcW w:w="0" w:type="auto"/>
            <w:tcBorders>
              <w:top w:val="nil"/>
              <w:left w:val="single" w:sz="4" w:space="0" w:color="auto"/>
              <w:bottom w:val="nil"/>
              <w:right w:val="nil"/>
            </w:tcBorders>
            <w:noWrap/>
            <w:vAlign w:val="bottom"/>
            <w:hideMark/>
          </w:tcPr>
          <w:p w14:paraId="0393D7E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SANTA MARINA</w:t>
            </w:r>
          </w:p>
        </w:tc>
        <w:tc>
          <w:tcPr>
            <w:tcW w:w="0" w:type="auto"/>
            <w:tcBorders>
              <w:top w:val="nil"/>
              <w:left w:val="nil"/>
              <w:bottom w:val="nil"/>
              <w:right w:val="single" w:sz="4" w:space="0" w:color="auto"/>
            </w:tcBorders>
            <w:noWrap/>
            <w:vAlign w:val="bottom"/>
            <w:hideMark/>
          </w:tcPr>
          <w:p w14:paraId="59CEDF0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53E17A97" w14:textId="77777777" w:rsidTr="00CA749B">
        <w:trPr>
          <w:trHeight w:val="300"/>
          <w:jc w:val="center"/>
        </w:trPr>
        <w:tc>
          <w:tcPr>
            <w:tcW w:w="0" w:type="auto"/>
            <w:tcBorders>
              <w:top w:val="nil"/>
              <w:left w:val="single" w:sz="4" w:space="0" w:color="auto"/>
              <w:bottom w:val="nil"/>
              <w:right w:val="nil"/>
            </w:tcBorders>
            <w:noWrap/>
            <w:vAlign w:val="bottom"/>
            <w:hideMark/>
          </w:tcPr>
          <w:p w14:paraId="281E15E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SAVUDRIJA</w:t>
            </w:r>
          </w:p>
        </w:tc>
        <w:tc>
          <w:tcPr>
            <w:tcW w:w="0" w:type="auto"/>
            <w:tcBorders>
              <w:top w:val="nil"/>
              <w:left w:val="nil"/>
              <w:bottom w:val="nil"/>
              <w:right w:val="single" w:sz="4" w:space="0" w:color="auto"/>
            </w:tcBorders>
            <w:noWrap/>
            <w:vAlign w:val="bottom"/>
            <w:hideMark/>
          </w:tcPr>
          <w:p w14:paraId="253A97E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6D229068" w14:textId="77777777" w:rsidTr="00CA749B">
        <w:trPr>
          <w:trHeight w:val="300"/>
          <w:jc w:val="center"/>
        </w:trPr>
        <w:tc>
          <w:tcPr>
            <w:tcW w:w="0" w:type="auto"/>
            <w:tcBorders>
              <w:top w:val="nil"/>
              <w:left w:val="single" w:sz="4" w:space="0" w:color="auto"/>
              <w:bottom w:val="nil"/>
              <w:right w:val="nil"/>
            </w:tcBorders>
            <w:noWrap/>
            <w:vAlign w:val="bottom"/>
            <w:hideMark/>
          </w:tcPr>
          <w:p w14:paraId="0C28C34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SEGET DONJI</w:t>
            </w:r>
          </w:p>
        </w:tc>
        <w:tc>
          <w:tcPr>
            <w:tcW w:w="0" w:type="auto"/>
            <w:tcBorders>
              <w:top w:val="nil"/>
              <w:left w:val="nil"/>
              <w:bottom w:val="nil"/>
              <w:right w:val="single" w:sz="4" w:space="0" w:color="auto"/>
            </w:tcBorders>
            <w:noWrap/>
            <w:vAlign w:val="bottom"/>
            <w:hideMark/>
          </w:tcPr>
          <w:p w14:paraId="12D76AA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620FF53" w14:textId="77777777" w:rsidTr="00CA749B">
        <w:trPr>
          <w:trHeight w:val="300"/>
          <w:jc w:val="center"/>
        </w:trPr>
        <w:tc>
          <w:tcPr>
            <w:tcW w:w="0" w:type="auto"/>
            <w:tcBorders>
              <w:top w:val="nil"/>
              <w:left w:val="single" w:sz="4" w:space="0" w:color="auto"/>
              <w:bottom w:val="nil"/>
              <w:right w:val="nil"/>
            </w:tcBorders>
            <w:noWrap/>
            <w:vAlign w:val="bottom"/>
            <w:hideMark/>
          </w:tcPr>
          <w:p w14:paraId="620AD18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SENJ</w:t>
            </w:r>
          </w:p>
        </w:tc>
        <w:tc>
          <w:tcPr>
            <w:tcW w:w="0" w:type="auto"/>
            <w:tcBorders>
              <w:top w:val="nil"/>
              <w:left w:val="nil"/>
              <w:bottom w:val="nil"/>
              <w:right w:val="single" w:sz="4" w:space="0" w:color="auto"/>
            </w:tcBorders>
            <w:noWrap/>
            <w:vAlign w:val="bottom"/>
            <w:hideMark/>
          </w:tcPr>
          <w:p w14:paraId="541509A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7D44495" w14:textId="77777777" w:rsidTr="00CA749B">
        <w:trPr>
          <w:trHeight w:val="300"/>
          <w:jc w:val="center"/>
        </w:trPr>
        <w:tc>
          <w:tcPr>
            <w:tcW w:w="0" w:type="auto"/>
            <w:tcBorders>
              <w:top w:val="nil"/>
              <w:left w:val="single" w:sz="4" w:space="0" w:color="auto"/>
              <w:bottom w:val="nil"/>
              <w:right w:val="nil"/>
            </w:tcBorders>
            <w:noWrap/>
            <w:vAlign w:val="bottom"/>
            <w:hideMark/>
          </w:tcPr>
          <w:p w14:paraId="7AEFE5F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SILBA – PORAT</w:t>
            </w:r>
          </w:p>
        </w:tc>
        <w:tc>
          <w:tcPr>
            <w:tcW w:w="0" w:type="auto"/>
            <w:tcBorders>
              <w:top w:val="nil"/>
              <w:left w:val="nil"/>
              <w:bottom w:val="nil"/>
              <w:right w:val="single" w:sz="4" w:space="0" w:color="auto"/>
            </w:tcBorders>
            <w:noWrap/>
            <w:vAlign w:val="bottom"/>
            <w:hideMark/>
          </w:tcPr>
          <w:p w14:paraId="60556A1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5C9C52F2" w14:textId="77777777" w:rsidTr="00CA749B">
        <w:trPr>
          <w:trHeight w:val="300"/>
          <w:jc w:val="center"/>
        </w:trPr>
        <w:tc>
          <w:tcPr>
            <w:tcW w:w="0" w:type="auto"/>
            <w:tcBorders>
              <w:top w:val="nil"/>
              <w:left w:val="single" w:sz="4" w:space="0" w:color="auto"/>
              <w:bottom w:val="nil"/>
              <w:right w:val="nil"/>
            </w:tcBorders>
            <w:noWrap/>
            <w:vAlign w:val="bottom"/>
            <w:hideMark/>
          </w:tcPr>
          <w:p w14:paraId="3557D98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SLANO</w:t>
            </w:r>
          </w:p>
        </w:tc>
        <w:tc>
          <w:tcPr>
            <w:tcW w:w="0" w:type="auto"/>
            <w:tcBorders>
              <w:top w:val="nil"/>
              <w:left w:val="nil"/>
              <w:bottom w:val="nil"/>
              <w:right w:val="single" w:sz="4" w:space="0" w:color="auto"/>
            </w:tcBorders>
            <w:noWrap/>
            <w:vAlign w:val="bottom"/>
            <w:hideMark/>
          </w:tcPr>
          <w:p w14:paraId="063FE76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6316BF52" w14:textId="77777777" w:rsidTr="00CA749B">
        <w:trPr>
          <w:trHeight w:val="300"/>
          <w:jc w:val="center"/>
        </w:trPr>
        <w:tc>
          <w:tcPr>
            <w:tcW w:w="0" w:type="auto"/>
            <w:tcBorders>
              <w:top w:val="nil"/>
              <w:left w:val="single" w:sz="4" w:space="0" w:color="auto"/>
              <w:bottom w:val="nil"/>
              <w:right w:val="nil"/>
            </w:tcBorders>
            <w:noWrap/>
            <w:vAlign w:val="bottom"/>
            <w:hideMark/>
          </w:tcPr>
          <w:p w14:paraId="7426FE8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SPLIT-SJEVERNA LUKA</w:t>
            </w:r>
          </w:p>
        </w:tc>
        <w:tc>
          <w:tcPr>
            <w:tcW w:w="0" w:type="auto"/>
            <w:tcBorders>
              <w:top w:val="nil"/>
              <w:left w:val="nil"/>
              <w:bottom w:val="nil"/>
              <w:right w:val="single" w:sz="4" w:space="0" w:color="auto"/>
            </w:tcBorders>
            <w:noWrap/>
            <w:vAlign w:val="bottom"/>
            <w:hideMark/>
          </w:tcPr>
          <w:p w14:paraId="16FF817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7DC852B7" w14:textId="77777777" w:rsidTr="00CA749B">
        <w:trPr>
          <w:trHeight w:val="300"/>
          <w:jc w:val="center"/>
        </w:trPr>
        <w:tc>
          <w:tcPr>
            <w:tcW w:w="0" w:type="auto"/>
            <w:tcBorders>
              <w:top w:val="nil"/>
              <w:left w:val="single" w:sz="4" w:space="0" w:color="auto"/>
              <w:bottom w:val="nil"/>
              <w:right w:val="nil"/>
            </w:tcBorders>
            <w:noWrap/>
            <w:vAlign w:val="bottom"/>
            <w:hideMark/>
          </w:tcPr>
          <w:p w14:paraId="7AB687C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STARI GRAD</w:t>
            </w:r>
          </w:p>
        </w:tc>
        <w:tc>
          <w:tcPr>
            <w:tcW w:w="0" w:type="auto"/>
            <w:tcBorders>
              <w:top w:val="nil"/>
              <w:left w:val="nil"/>
              <w:bottom w:val="nil"/>
              <w:right w:val="single" w:sz="4" w:space="0" w:color="auto"/>
            </w:tcBorders>
            <w:noWrap/>
            <w:vAlign w:val="bottom"/>
            <w:hideMark/>
          </w:tcPr>
          <w:p w14:paraId="4782BE3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26ED0FDB" w14:textId="77777777" w:rsidTr="00CA749B">
        <w:trPr>
          <w:trHeight w:val="300"/>
          <w:jc w:val="center"/>
        </w:trPr>
        <w:tc>
          <w:tcPr>
            <w:tcW w:w="0" w:type="auto"/>
            <w:tcBorders>
              <w:top w:val="nil"/>
              <w:left w:val="single" w:sz="4" w:space="0" w:color="auto"/>
              <w:bottom w:val="nil"/>
              <w:right w:val="nil"/>
            </w:tcBorders>
            <w:noWrap/>
            <w:vAlign w:val="bottom"/>
            <w:hideMark/>
          </w:tcPr>
          <w:p w14:paraId="091A37A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STOBREC</w:t>
            </w:r>
          </w:p>
        </w:tc>
        <w:tc>
          <w:tcPr>
            <w:tcW w:w="0" w:type="auto"/>
            <w:tcBorders>
              <w:top w:val="nil"/>
              <w:left w:val="nil"/>
              <w:bottom w:val="nil"/>
              <w:right w:val="single" w:sz="4" w:space="0" w:color="auto"/>
            </w:tcBorders>
            <w:noWrap/>
            <w:vAlign w:val="bottom"/>
            <w:hideMark/>
          </w:tcPr>
          <w:p w14:paraId="4DD6079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51EC7ECD" w14:textId="77777777" w:rsidTr="00CA749B">
        <w:trPr>
          <w:trHeight w:val="300"/>
          <w:jc w:val="center"/>
        </w:trPr>
        <w:tc>
          <w:tcPr>
            <w:tcW w:w="0" w:type="auto"/>
            <w:tcBorders>
              <w:top w:val="nil"/>
              <w:left w:val="single" w:sz="4" w:space="0" w:color="auto"/>
              <w:bottom w:val="nil"/>
              <w:right w:val="nil"/>
            </w:tcBorders>
            <w:noWrap/>
            <w:vAlign w:val="bottom"/>
            <w:hideMark/>
          </w:tcPr>
          <w:p w14:paraId="6F8617A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SUCURAJ</w:t>
            </w:r>
          </w:p>
        </w:tc>
        <w:tc>
          <w:tcPr>
            <w:tcW w:w="0" w:type="auto"/>
            <w:tcBorders>
              <w:top w:val="nil"/>
              <w:left w:val="nil"/>
              <w:bottom w:val="nil"/>
              <w:right w:val="single" w:sz="4" w:space="0" w:color="auto"/>
            </w:tcBorders>
            <w:noWrap/>
            <w:vAlign w:val="bottom"/>
            <w:hideMark/>
          </w:tcPr>
          <w:p w14:paraId="06464C5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36397BEE" w14:textId="77777777" w:rsidTr="00CA749B">
        <w:trPr>
          <w:trHeight w:val="300"/>
          <w:jc w:val="center"/>
        </w:trPr>
        <w:tc>
          <w:tcPr>
            <w:tcW w:w="0" w:type="auto"/>
            <w:tcBorders>
              <w:top w:val="nil"/>
              <w:left w:val="single" w:sz="4" w:space="0" w:color="auto"/>
              <w:bottom w:val="nil"/>
              <w:right w:val="nil"/>
            </w:tcBorders>
            <w:noWrap/>
            <w:vAlign w:val="bottom"/>
            <w:hideMark/>
          </w:tcPr>
          <w:p w14:paraId="78C9515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SUKOŠAN</w:t>
            </w:r>
          </w:p>
        </w:tc>
        <w:tc>
          <w:tcPr>
            <w:tcW w:w="0" w:type="auto"/>
            <w:tcBorders>
              <w:top w:val="nil"/>
              <w:left w:val="nil"/>
              <w:bottom w:val="nil"/>
              <w:right w:val="single" w:sz="4" w:space="0" w:color="auto"/>
            </w:tcBorders>
            <w:noWrap/>
            <w:vAlign w:val="bottom"/>
            <w:hideMark/>
          </w:tcPr>
          <w:p w14:paraId="5E4272C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192378F9" w14:textId="77777777" w:rsidTr="00CA749B">
        <w:trPr>
          <w:trHeight w:val="300"/>
          <w:jc w:val="center"/>
        </w:trPr>
        <w:tc>
          <w:tcPr>
            <w:tcW w:w="0" w:type="auto"/>
            <w:tcBorders>
              <w:top w:val="nil"/>
              <w:left w:val="single" w:sz="4" w:space="0" w:color="auto"/>
              <w:bottom w:val="nil"/>
              <w:right w:val="nil"/>
            </w:tcBorders>
            <w:noWrap/>
            <w:vAlign w:val="bottom"/>
            <w:hideMark/>
          </w:tcPr>
          <w:p w14:paraId="5654322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lastRenderedPageBreak/>
              <w:t>SUMARTIN</w:t>
            </w:r>
          </w:p>
        </w:tc>
        <w:tc>
          <w:tcPr>
            <w:tcW w:w="0" w:type="auto"/>
            <w:tcBorders>
              <w:top w:val="nil"/>
              <w:left w:val="nil"/>
              <w:bottom w:val="nil"/>
              <w:right w:val="single" w:sz="4" w:space="0" w:color="auto"/>
            </w:tcBorders>
            <w:noWrap/>
            <w:vAlign w:val="bottom"/>
            <w:hideMark/>
          </w:tcPr>
          <w:p w14:paraId="7715C49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28E0E77A" w14:textId="77777777" w:rsidTr="00CA749B">
        <w:trPr>
          <w:trHeight w:val="300"/>
          <w:jc w:val="center"/>
        </w:trPr>
        <w:tc>
          <w:tcPr>
            <w:tcW w:w="0" w:type="auto"/>
            <w:tcBorders>
              <w:top w:val="nil"/>
              <w:left w:val="single" w:sz="4" w:space="0" w:color="auto"/>
              <w:bottom w:val="nil"/>
              <w:right w:val="nil"/>
            </w:tcBorders>
            <w:noWrap/>
            <w:vAlign w:val="bottom"/>
            <w:hideMark/>
          </w:tcPr>
          <w:p w14:paraId="00E4B13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SUPETAR</w:t>
            </w:r>
          </w:p>
        </w:tc>
        <w:tc>
          <w:tcPr>
            <w:tcW w:w="0" w:type="auto"/>
            <w:tcBorders>
              <w:top w:val="nil"/>
              <w:left w:val="nil"/>
              <w:bottom w:val="nil"/>
              <w:right w:val="single" w:sz="4" w:space="0" w:color="auto"/>
            </w:tcBorders>
            <w:noWrap/>
            <w:vAlign w:val="bottom"/>
            <w:hideMark/>
          </w:tcPr>
          <w:p w14:paraId="606F4CC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787D57F7" w14:textId="77777777" w:rsidTr="00CA749B">
        <w:trPr>
          <w:trHeight w:val="300"/>
          <w:jc w:val="center"/>
        </w:trPr>
        <w:tc>
          <w:tcPr>
            <w:tcW w:w="0" w:type="auto"/>
            <w:tcBorders>
              <w:top w:val="nil"/>
              <w:left w:val="single" w:sz="4" w:space="0" w:color="auto"/>
              <w:bottom w:val="nil"/>
              <w:right w:val="nil"/>
            </w:tcBorders>
            <w:noWrap/>
            <w:vAlign w:val="bottom"/>
            <w:hideMark/>
          </w:tcPr>
          <w:p w14:paraId="571D045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SUSTJEPAN</w:t>
            </w:r>
          </w:p>
        </w:tc>
        <w:tc>
          <w:tcPr>
            <w:tcW w:w="0" w:type="auto"/>
            <w:tcBorders>
              <w:top w:val="nil"/>
              <w:left w:val="nil"/>
              <w:bottom w:val="nil"/>
              <w:right w:val="single" w:sz="4" w:space="0" w:color="auto"/>
            </w:tcBorders>
            <w:noWrap/>
            <w:vAlign w:val="bottom"/>
            <w:hideMark/>
          </w:tcPr>
          <w:p w14:paraId="0F3B7ED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54AC28D1" w14:textId="77777777" w:rsidTr="00CA749B">
        <w:trPr>
          <w:trHeight w:val="300"/>
          <w:jc w:val="center"/>
        </w:trPr>
        <w:tc>
          <w:tcPr>
            <w:tcW w:w="0" w:type="auto"/>
            <w:tcBorders>
              <w:top w:val="nil"/>
              <w:left w:val="single" w:sz="4" w:space="0" w:color="auto"/>
              <w:bottom w:val="nil"/>
              <w:right w:val="nil"/>
            </w:tcBorders>
            <w:noWrap/>
            <w:vAlign w:val="bottom"/>
            <w:hideMark/>
          </w:tcPr>
          <w:p w14:paraId="7BA48D7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SVETA FUSKA</w:t>
            </w:r>
          </w:p>
        </w:tc>
        <w:tc>
          <w:tcPr>
            <w:tcW w:w="0" w:type="auto"/>
            <w:tcBorders>
              <w:top w:val="nil"/>
              <w:left w:val="nil"/>
              <w:bottom w:val="nil"/>
              <w:right w:val="single" w:sz="4" w:space="0" w:color="auto"/>
            </w:tcBorders>
            <w:noWrap/>
            <w:vAlign w:val="bottom"/>
            <w:hideMark/>
          </w:tcPr>
          <w:p w14:paraId="72D446C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08AE200D" w14:textId="77777777" w:rsidTr="00CA749B">
        <w:trPr>
          <w:trHeight w:val="300"/>
          <w:jc w:val="center"/>
        </w:trPr>
        <w:tc>
          <w:tcPr>
            <w:tcW w:w="0" w:type="auto"/>
            <w:tcBorders>
              <w:top w:val="nil"/>
              <w:left w:val="single" w:sz="4" w:space="0" w:color="auto"/>
              <w:bottom w:val="nil"/>
              <w:right w:val="nil"/>
            </w:tcBorders>
            <w:noWrap/>
            <w:vAlign w:val="bottom"/>
            <w:hideMark/>
          </w:tcPr>
          <w:p w14:paraId="6BA6C2C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SVETI MARTIN</w:t>
            </w:r>
          </w:p>
        </w:tc>
        <w:tc>
          <w:tcPr>
            <w:tcW w:w="0" w:type="auto"/>
            <w:tcBorders>
              <w:top w:val="nil"/>
              <w:left w:val="nil"/>
              <w:bottom w:val="nil"/>
              <w:right w:val="single" w:sz="4" w:space="0" w:color="auto"/>
            </w:tcBorders>
            <w:noWrap/>
            <w:vAlign w:val="bottom"/>
            <w:hideMark/>
          </w:tcPr>
          <w:p w14:paraId="778A1E0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6AAFA10A" w14:textId="77777777" w:rsidTr="00CA749B">
        <w:trPr>
          <w:trHeight w:val="300"/>
          <w:jc w:val="center"/>
        </w:trPr>
        <w:tc>
          <w:tcPr>
            <w:tcW w:w="0" w:type="auto"/>
            <w:tcBorders>
              <w:top w:val="nil"/>
              <w:left w:val="single" w:sz="4" w:space="0" w:color="auto"/>
              <w:bottom w:val="nil"/>
              <w:right w:val="nil"/>
            </w:tcBorders>
            <w:noWrap/>
            <w:vAlign w:val="bottom"/>
            <w:hideMark/>
          </w:tcPr>
          <w:p w14:paraId="1B1046C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TKON</w:t>
            </w:r>
          </w:p>
        </w:tc>
        <w:tc>
          <w:tcPr>
            <w:tcW w:w="0" w:type="auto"/>
            <w:tcBorders>
              <w:top w:val="nil"/>
              <w:left w:val="nil"/>
              <w:bottom w:val="nil"/>
              <w:right w:val="single" w:sz="4" w:space="0" w:color="auto"/>
            </w:tcBorders>
            <w:noWrap/>
            <w:vAlign w:val="bottom"/>
            <w:hideMark/>
          </w:tcPr>
          <w:p w14:paraId="5A78E32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BD67D8C" w14:textId="77777777" w:rsidTr="00CA749B">
        <w:trPr>
          <w:trHeight w:val="300"/>
          <w:jc w:val="center"/>
        </w:trPr>
        <w:tc>
          <w:tcPr>
            <w:tcW w:w="0" w:type="auto"/>
            <w:tcBorders>
              <w:top w:val="nil"/>
              <w:left w:val="single" w:sz="4" w:space="0" w:color="auto"/>
              <w:bottom w:val="nil"/>
              <w:right w:val="nil"/>
            </w:tcBorders>
            <w:noWrap/>
            <w:vAlign w:val="bottom"/>
            <w:hideMark/>
          </w:tcPr>
          <w:p w14:paraId="6EC1F43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TRIBUNJ</w:t>
            </w:r>
          </w:p>
        </w:tc>
        <w:tc>
          <w:tcPr>
            <w:tcW w:w="0" w:type="auto"/>
            <w:tcBorders>
              <w:top w:val="nil"/>
              <w:left w:val="nil"/>
              <w:bottom w:val="nil"/>
              <w:right w:val="single" w:sz="4" w:space="0" w:color="auto"/>
            </w:tcBorders>
            <w:noWrap/>
            <w:vAlign w:val="bottom"/>
            <w:hideMark/>
          </w:tcPr>
          <w:p w14:paraId="21C2DE4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0970712A" w14:textId="77777777" w:rsidTr="00CA749B">
        <w:trPr>
          <w:trHeight w:val="300"/>
          <w:jc w:val="center"/>
        </w:trPr>
        <w:tc>
          <w:tcPr>
            <w:tcW w:w="0" w:type="auto"/>
            <w:tcBorders>
              <w:top w:val="nil"/>
              <w:left w:val="single" w:sz="4" w:space="0" w:color="auto"/>
              <w:bottom w:val="nil"/>
              <w:right w:val="nil"/>
            </w:tcBorders>
            <w:noWrap/>
            <w:vAlign w:val="bottom"/>
            <w:hideMark/>
          </w:tcPr>
          <w:p w14:paraId="7E9B345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TROGIR – TRAJEKTNA RAMPA</w:t>
            </w:r>
          </w:p>
        </w:tc>
        <w:tc>
          <w:tcPr>
            <w:tcW w:w="0" w:type="auto"/>
            <w:tcBorders>
              <w:top w:val="nil"/>
              <w:left w:val="nil"/>
              <w:bottom w:val="nil"/>
              <w:right w:val="single" w:sz="4" w:space="0" w:color="auto"/>
            </w:tcBorders>
            <w:noWrap/>
            <w:vAlign w:val="bottom"/>
            <w:hideMark/>
          </w:tcPr>
          <w:p w14:paraId="23337DD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206B2C9F" w14:textId="77777777" w:rsidTr="00CA749B">
        <w:trPr>
          <w:trHeight w:val="300"/>
          <w:jc w:val="center"/>
        </w:trPr>
        <w:tc>
          <w:tcPr>
            <w:tcW w:w="0" w:type="auto"/>
            <w:tcBorders>
              <w:top w:val="nil"/>
              <w:left w:val="single" w:sz="4" w:space="0" w:color="auto"/>
              <w:bottom w:val="nil"/>
              <w:right w:val="nil"/>
            </w:tcBorders>
            <w:noWrap/>
            <w:vAlign w:val="bottom"/>
            <w:hideMark/>
          </w:tcPr>
          <w:p w14:paraId="39B1FE9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TRPANJ</w:t>
            </w:r>
          </w:p>
        </w:tc>
        <w:tc>
          <w:tcPr>
            <w:tcW w:w="0" w:type="auto"/>
            <w:tcBorders>
              <w:top w:val="nil"/>
              <w:left w:val="nil"/>
              <w:bottom w:val="nil"/>
              <w:right w:val="single" w:sz="4" w:space="0" w:color="auto"/>
            </w:tcBorders>
            <w:noWrap/>
            <w:vAlign w:val="bottom"/>
            <w:hideMark/>
          </w:tcPr>
          <w:p w14:paraId="7C81F39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1C3BF935" w14:textId="77777777" w:rsidTr="00CA749B">
        <w:trPr>
          <w:trHeight w:val="300"/>
          <w:jc w:val="center"/>
        </w:trPr>
        <w:tc>
          <w:tcPr>
            <w:tcW w:w="0" w:type="auto"/>
            <w:tcBorders>
              <w:top w:val="nil"/>
              <w:left w:val="single" w:sz="4" w:space="0" w:color="auto"/>
              <w:bottom w:val="nil"/>
              <w:right w:val="nil"/>
            </w:tcBorders>
            <w:noWrap/>
            <w:vAlign w:val="bottom"/>
            <w:hideMark/>
          </w:tcPr>
          <w:p w14:paraId="4A9B82F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TRSTENIK</w:t>
            </w:r>
          </w:p>
        </w:tc>
        <w:tc>
          <w:tcPr>
            <w:tcW w:w="0" w:type="auto"/>
            <w:tcBorders>
              <w:top w:val="nil"/>
              <w:left w:val="nil"/>
              <w:bottom w:val="nil"/>
              <w:right w:val="single" w:sz="4" w:space="0" w:color="auto"/>
            </w:tcBorders>
            <w:noWrap/>
            <w:vAlign w:val="bottom"/>
            <w:hideMark/>
          </w:tcPr>
          <w:p w14:paraId="4AFB0D5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329234DA" w14:textId="77777777" w:rsidTr="00CA749B">
        <w:trPr>
          <w:trHeight w:val="300"/>
          <w:jc w:val="center"/>
        </w:trPr>
        <w:tc>
          <w:tcPr>
            <w:tcW w:w="0" w:type="auto"/>
            <w:tcBorders>
              <w:top w:val="nil"/>
              <w:left w:val="single" w:sz="4" w:space="0" w:color="auto"/>
              <w:bottom w:val="nil"/>
              <w:right w:val="nil"/>
            </w:tcBorders>
            <w:noWrap/>
            <w:vAlign w:val="bottom"/>
            <w:hideMark/>
          </w:tcPr>
          <w:p w14:paraId="43D432F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TURANJ</w:t>
            </w:r>
          </w:p>
        </w:tc>
        <w:tc>
          <w:tcPr>
            <w:tcW w:w="0" w:type="auto"/>
            <w:tcBorders>
              <w:top w:val="nil"/>
              <w:left w:val="nil"/>
              <w:bottom w:val="nil"/>
              <w:right w:val="single" w:sz="4" w:space="0" w:color="auto"/>
            </w:tcBorders>
            <w:noWrap/>
            <w:vAlign w:val="bottom"/>
            <w:hideMark/>
          </w:tcPr>
          <w:p w14:paraId="3EB4A10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32552E99" w14:textId="77777777" w:rsidTr="00CA749B">
        <w:trPr>
          <w:trHeight w:val="300"/>
          <w:jc w:val="center"/>
        </w:trPr>
        <w:tc>
          <w:tcPr>
            <w:tcW w:w="0" w:type="auto"/>
            <w:tcBorders>
              <w:top w:val="nil"/>
              <w:left w:val="single" w:sz="4" w:space="0" w:color="auto"/>
              <w:bottom w:val="nil"/>
              <w:right w:val="nil"/>
            </w:tcBorders>
            <w:noWrap/>
            <w:vAlign w:val="bottom"/>
            <w:hideMark/>
          </w:tcPr>
          <w:p w14:paraId="2E02689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UBLI – OPERATIVNA OBALA</w:t>
            </w:r>
          </w:p>
        </w:tc>
        <w:tc>
          <w:tcPr>
            <w:tcW w:w="0" w:type="auto"/>
            <w:tcBorders>
              <w:top w:val="nil"/>
              <w:left w:val="nil"/>
              <w:bottom w:val="nil"/>
              <w:right w:val="single" w:sz="4" w:space="0" w:color="auto"/>
            </w:tcBorders>
            <w:noWrap/>
            <w:vAlign w:val="bottom"/>
            <w:hideMark/>
          </w:tcPr>
          <w:p w14:paraId="2D7310B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35723CE6" w14:textId="77777777" w:rsidTr="00CA749B">
        <w:trPr>
          <w:trHeight w:val="300"/>
          <w:jc w:val="center"/>
        </w:trPr>
        <w:tc>
          <w:tcPr>
            <w:tcW w:w="0" w:type="auto"/>
            <w:tcBorders>
              <w:top w:val="nil"/>
              <w:left w:val="single" w:sz="4" w:space="0" w:color="auto"/>
              <w:bottom w:val="nil"/>
              <w:right w:val="nil"/>
            </w:tcBorders>
            <w:noWrap/>
            <w:vAlign w:val="bottom"/>
            <w:hideMark/>
          </w:tcPr>
          <w:p w14:paraId="08E96F9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UMAG</w:t>
            </w:r>
          </w:p>
        </w:tc>
        <w:tc>
          <w:tcPr>
            <w:tcW w:w="0" w:type="auto"/>
            <w:tcBorders>
              <w:top w:val="nil"/>
              <w:left w:val="nil"/>
              <w:bottom w:val="nil"/>
              <w:right w:val="single" w:sz="4" w:space="0" w:color="auto"/>
            </w:tcBorders>
            <w:noWrap/>
            <w:vAlign w:val="bottom"/>
            <w:hideMark/>
          </w:tcPr>
          <w:p w14:paraId="7E69A1D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6F220872" w14:textId="77777777" w:rsidTr="00CA749B">
        <w:trPr>
          <w:trHeight w:val="300"/>
          <w:jc w:val="center"/>
        </w:trPr>
        <w:tc>
          <w:tcPr>
            <w:tcW w:w="0" w:type="auto"/>
            <w:tcBorders>
              <w:top w:val="nil"/>
              <w:left w:val="single" w:sz="4" w:space="0" w:color="auto"/>
              <w:bottom w:val="nil"/>
              <w:right w:val="nil"/>
            </w:tcBorders>
            <w:noWrap/>
            <w:vAlign w:val="bottom"/>
            <w:hideMark/>
          </w:tcPr>
          <w:p w14:paraId="7A97193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UVALA PALEŠ</w:t>
            </w:r>
          </w:p>
        </w:tc>
        <w:tc>
          <w:tcPr>
            <w:tcW w:w="0" w:type="auto"/>
            <w:tcBorders>
              <w:top w:val="nil"/>
              <w:left w:val="nil"/>
              <w:bottom w:val="nil"/>
              <w:right w:val="single" w:sz="4" w:space="0" w:color="auto"/>
            </w:tcBorders>
            <w:noWrap/>
            <w:vAlign w:val="bottom"/>
            <w:hideMark/>
          </w:tcPr>
          <w:p w14:paraId="11AE849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EU-Croatia</w:t>
            </w:r>
          </w:p>
        </w:tc>
      </w:tr>
      <w:tr w:rsidR="009123AC" w:rsidRPr="00F0379B" w14:paraId="24BE14E6" w14:textId="77777777" w:rsidTr="00CA749B">
        <w:trPr>
          <w:trHeight w:val="300"/>
          <w:jc w:val="center"/>
        </w:trPr>
        <w:tc>
          <w:tcPr>
            <w:tcW w:w="0" w:type="auto"/>
            <w:tcBorders>
              <w:top w:val="nil"/>
              <w:left w:val="single" w:sz="4" w:space="0" w:color="auto"/>
              <w:bottom w:val="nil"/>
              <w:right w:val="nil"/>
            </w:tcBorders>
            <w:noWrap/>
            <w:vAlign w:val="bottom"/>
            <w:hideMark/>
          </w:tcPr>
          <w:p w14:paraId="07AAEAF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UVALA PELEŠ</w:t>
            </w:r>
          </w:p>
        </w:tc>
        <w:tc>
          <w:tcPr>
            <w:tcW w:w="0" w:type="auto"/>
            <w:tcBorders>
              <w:top w:val="nil"/>
              <w:left w:val="nil"/>
              <w:bottom w:val="nil"/>
              <w:right w:val="single" w:sz="4" w:space="0" w:color="auto"/>
            </w:tcBorders>
            <w:noWrap/>
            <w:vAlign w:val="bottom"/>
            <w:hideMark/>
          </w:tcPr>
          <w:p w14:paraId="4304A86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2A176350" w14:textId="77777777" w:rsidTr="00CA749B">
        <w:trPr>
          <w:trHeight w:val="300"/>
          <w:jc w:val="center"/>
        </w:trPr>
        <w:tc>
          <w:tcPr>
            <w:tcW w:w="0" w:type="auto"/>
            <w:tcBorders>
              <w:top w:val="nil"/>
              <w:left w:val="single" w:sz="4" w:space="0" w:color="auto"/>
              <w:bottom w:val="nil"/>
              <w:right w:val="nil"/>
            </w:tcBorders>
            <w:noWrap/>
            <w:vAlign w:val="bottom"/>
            <w:hideMark/>
          </w:tcPr>
          <w:p w14:paraId="2B3470F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UVALA VOZ</w:t>
            </w:r>
          </w:p>
        </w:tc>
        <w:tc>
          <w:tcPr>
            <w:tcW w:w="0" w:type="auto"/>
            <w:tcBorders>
              <w:top w:val="nil"/>
              <w:left w:val="nil"/>
              <w:bottom w:val="nil"/>
              <w:right w:val="single" w:sz="4" w:space="0" w:color="auto"/>
            </w:tcBorders>
            <w:noWrap/>
            <w:vAlign w:val="bottom"/>
            <w:hideMark/>
          </w:tcPr>
          <w:p w14:paraId="15DF143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38436AFB" w14:textId="77777777" w:rsidTr="00CA749B">
        <w:trPr>
          <w:trHeight w:val="300"/>
          <w:jc w:val="center"/>
        </w:trPr>
        <w:tc>
          <w:tcPr>
            <w:tcW w:w="0" w:type="auto"/>
            <w:tcBorders>
              <w:top w:val="nil"/>
              <w:left w:val="single" w:sz="4" w:space="0" w:color="auto"/>
              <w:bottom w:val="nil"/>
              <w:right w:val="nil"/>
            </w:tcBorders>
            <w:noWrap/>
            <w:vAlign w:val="bottom"/>
            <w:hideMark/>
          </w:tcPr>
          <w:p w14:paraId="5E49CC0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VELA LUKA</w:t>
            </w:r>
          </w:p>
        </w:tc>
        <w:tc>
          <w:tcPr>
            <w:tcW w:w="0" w:type="auto"/>
            <w:tcBorders>
              <w:top w:val="nil"/>
              <w:left w:val="nil"/>
              <w:bottom w:val="nil"/>
              <w:right w:val="single" w:sz="4" w:space="0" w:color="auto"/>
            </w:tcBorders>
            <w:noWrap/>
            <w:vAlign w:val="bottom"/>
            <w:hideMark/>
          </w:tcPr>
          <w:p w14:paraId="50250BD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62EAAF33" w14:textId="77777777" w:rsidTr="00CA749B">
        <w:trPr>
          <w:trHeight w:val="300"/>
          <w:jc w:val="center"/>
        </w:trPr>
        <w:tc>
          <w:tcPr>
            <w:tcW w:w="0" w:type="auto"/>
            <w:tcBorders>
              <w:top w:val="nil"/>
              <w:left w:val="single" w:sz="4" w:space="0" w:color="auto"/>
              <w:bottom w:val="nil"/>
              <w:right w:val="nil"/>
            </w:tcBorders>
            <w:noWrap/>
            <w:vAlign w:val="bottom"/>
            <w:hideMark/>
          </w:tcPr>
          <w:p w14:paraId="0D6BE40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VIGANJ</w:t>
            </w:r>
          </w:p>
        </w:tc>
        <w:tc>
          <w:tcPr>
            <w:tcW w:w="0" w:type="auto"/>
            <w:tcBorders>
              <w:top w:val="nil"/>
              <w:left w:val="nil"/>
              <w:bottom w:val="nil"/>
              <w:right w:val="single" w:sz="4" w:space="0" w:color="auto"/>
            </w:tcBorders>
            <w:noWrap/>
            <w:vAlign w:val="bottom"/>
            <w:hideMark/>
          </w:tcPr>
          <w:p w14:paraId="7F18510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1BB323A6" w14:textId="77777777" w:rsidTr="00CA749B">
        <w:trPr>
          <w:trHeight w:val="300"/>
          <w:jc w:val="center"/>
        </w:trPr>
        <w:tc>
          <w:tcPr>
            <w:tcW w:w="0" w:type="auto"/>
            <w:tcBorders>
              <w:top w:val="nil"/>
              <w:left w:val="single" w:sz="4" w:space="0" w:color="auto"/>
              <w:bottom w:val="nil"/>
              <w:right w:val="nil"/>
            </w:tcBorders>
            <w:noWrap/>
            <w:vAlign w:val="bottom"/>
            <w:hideMark/>
          </w:tcPr>
          <w:p w14:paraId="6050100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VINIŠCE</w:t>
            </w:r>
          </w:p>
        </w:tc>
        <w:tc>
          <w:tcPr>
            <w:tcW w:w="0" w:type="auto"/>
            <w:tcBorders>
              <w:top w:val="nil"/>
              <w:left w:val="nil"/>
              <w:bottom w:val="nil"/>
              <w:right w:val="single" w:sz="4" w:space="0" w:color="auto"/>
            </w:tcBorders>
            <w:noWrap/>
            <w:vAlign w:val="bottom"/>
            <w:hideMark/>
          </w:tcPr>
          <w:p w14:paraId="7A83572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5736C69A" w14:textId="77777777" w:rsidTr="00CA749B">
        <w:trPr>
          <w:trHeight w:val="300"/>
          <w:jc w:val="center"/>
        </w:trPr>
        <w:tc>
          <w:tcPr>
            <w:tcW w:w="0" w:type="auto"/>
            <w:tcBorders>
              <w:top w:val="nil"/>
              <w:left w:val="single" w:sz="4" w:space="0" w:color="auto"/>
              <w:bottom w:val="nil"/>
              <w:right w:val="nil"/>
            </w:tcBorders>
            <w:noWrap/>
            <w:vAlign w:val="bottom"/>
            <w:hideMark/>
          </w:tcPr>
          <w:p w14:paraId="426B5ED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VIR</w:t>
            </w:r>
          </w:p>
        </w:tc>
        <w:tc>
          <w:tcPr>
            <w:tcW w:w="0" w:type="auto"/>
            <w:tcBorders>
              <w:top w:val="nil"/>
              <w:left w:val="nil"/>
              <w:bottom w:val="nil"/>
              <w:right w:val="single" w:sz="4" w:space="0" w:color="auto"/>
            </w:tcBorders>
            <w:noWrap/>
            <w:vAlign w:val="bottom"/>
            <w:hideMark/>
          </w:tcPr>
          <w:p w14:paraId="2C2309A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0C991B2A" w14:textId="77777777" w:rsidTr="00CA749B">
        <w:trPr>
          <w:trHeight w:val="300"/>
          <w:jc w:val="center"/>
        </w:trPr>
        <w:tc>
          <w:tcPr>
            <w:tcW w:w="0" w:type="auto"/>
            <w:tcBorders>
              <w:top w:val="nil"/>
              <w:left w:val="single" w:sz="4" w:space="0" w:color="auto"/>
              <w:bottom w:val="nil"/>
              <w:right w:val="nil"/>
            </w:tcBorders>
            <w:noWrap/>
            <w:vAlign w:val="bottom"/>
            <w:hideMark/>
          </w:tcPr>
          <w:p w14:paraId="6B6DE7D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VIS</w:t>
            </w:r>
          </w:p>
        </w:tc>
        <w:tc>
          <w:tcPr>
            <w:tcW w:w="0" w:type="auto"/>
            <w:tcBorders>
              <w:top w:val="nil"/>
              <w:left w:val="nil"/>
              <w:bottom w:val="nil"/>
              <w:right w:val="single" w:sz="4" w:space="0" w:color="auto"/>
            </w:tcBorders>
            <w:noWrap/>
            <w:vAlign w:val="bottom"/>
            <w:hideMark/>
          </w:tcPr>
          <w:p w14:paraId="72644AD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64F8D81D" w14:textId="77777777" w:rsidTr="00CA749B">
        <w:trPr>
          <w:trHeight w:val="300"/>
          <w:jc w:val="center"/>
        </w:trPr>
        <w:tc>
          <w:tcPr>
            <w:tcW w:w="0" w:type="auto"/>
            <w:tcBorders>
              <w:top w:val="nil"/>
              <w:left w:val="single" w:sz="4" w:space="0" w:color="auto"/>
              <w:bottom w:val="nil"/>
              <w:right w:val="nil"/>
            </w:tcBorders>
            <w:noWrap/>
            <w:vAlign w:val="bottom"/>
            <w:hideMark/>
          </w:tcPr>
          <w:p w14:paraId="68B3DF1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VODICE</w:t>
            </w:r>
          </w:p>
        </w:tc>
        <w:tc>
          <w:tcPr>
            <w:tcW w:w="0" w:type="auto"/>
            <w:tcBorders>
              <w:top w:val="nil"/>
              <w:left w:val="nil"/>
              <w:bottom w:val="nil"/>
              <w:right w:val="single" w:sz="4" w:space="0" w:color="auto"/>
            </w:tcBorders>
            <w:noWrap/>
            <w:vAlign w:val="bottom"/>
            <w:hideMark/>
          </w:tcPr>
          <w:p w14:paraId="578358F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055C1E5A" w14:textId="77777777" w:rsidTr="00CA749B">
        <w:trPr>
          <w:trHeight w:val="300"/>
          <w:jc w:val="center"/>
        </w:trPr>
        <w:tc>
          <w:tcPr>
            <w:tcW w:w="0" w:type="auto"/>
            <w:tcBorders>
              <w:top w:val="nil"/>
              <w:left w:val="single" w:sz="4" w:space="0" w:color="auto"/>
              <w:bottom w:val="nil"/>
              <w:right w:val="nil"/>
            </w:tcBorders>
            <w:noWrap/>
            <w:vAlign w:val="bottom"/>
            <w:hideMark/>
          </w:tcPr>
          <w:p w14:paraId="3987CF5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VRBOVSKA</w:t>
            </w:r>
          </w:p>
        </w:tc>
        <w:tc>
          <w:tcPr>
            <w:tcW w:w="0" w:type="auto"/>
            <w:tcBorders>
              <w:top w:val="nil"/>
              <w:left w:val="nil"/>
              <w:bottom w:val="nil"/>
              <w:right w:val="single" w:sz="4" w:space="0" w:color="auto"/>
            </w:tcBorders>
            <w:noWrap/>
            <w:vAlign w:val="bottom"/>
            <w:hideMark/>
          </w:tcPr>
          <w:p w14:paraId="2A2916C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EU-Croatia</w:t>
            </w:r>
          </w:p>
        </w:tc>
      </w:tr>
      <w:tr w:rsidR="009123AC" w:rsidRPr="00F0379B" w14:paraId="5B4208C1" w14:textId="77777777" w:rsidTr="00CA749B">
        <w:trPr>
          <w:trHeight w:val="300"/>
          <w:jc w:val="center"/>
        </w:trPr>
        <w:tc>
          <w:tcPr>
            <w:tcW w:w="0" w:type="auto"/>
            <w:tcBorders>
              <w:top w:val="nil"/>
              <w:left w:val="single" w:sz="4" w:space="0" w:color="auto"/>
              <w:bottom w:val="nil"/>
              <w:right w:val="nil"/>
            </w:tcBorders>
            <w:noWrap/>
            <w:vAlign w:val="bottom"/>
            <w:hideMark/>
          </w:tcPr>
          <w:p w14:paraId="3A05037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VRSAR</w:t>
            </w:r>
          </w:p>
        </w:tc>
        <w:tc>
          <w:tcPr>
            <w:tcW w:w="0" w:type="auto"/>
            <w:tcBorders>
              <w:top w:val="nil"/>
              <w:left w:val="nil"/>
              <w:bottom w:val="nil"/>
              <w:right w:val="single" w:sz="4" w:space="0" w:color="auto"/>
            </w:tcBorders>
            <w:noWrap/>
            <w:vAlign w:val="bottom"/>
            <w:hideMark/>
          </w:tcPr>
          <w:p w14:paraId="6D61C7F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8AADF05" w14:textId="77777777" w:rsidTr="00CA749B">
        <w:trPr>
          <w:trHeight w:val="300"/>
          <w:jc w:val="center"/>
        </w:trPr>
        <w:tc>
          <w:tcPr>
            <w:tcW w:w="0" w:type="auto"/>
            <w:tcBorders>
              <w:top w:val="nil"/>
              <w:left w:val="single" w:sz="4" w:space="0" w:color="auto"/>
              <w:bottom w:val="nil"/>
              <w:right w:val="nil"/>
            </w:tcBorders>
            <w:noWrap/>
            <w:vAlign w:val="bottom"/>
            <w:hideMark/>
          </w:tcPr>
          <w:p w14:paraId="0F56B7D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ZADAR – GAŽENICA</w:t>
            </w:r>
          </w:p>
        </w:tc>
        <w:tc>
          <w:tcPr>
            <w:tcW w:w="0" w:type="auto"/>
            <w:tcBorders>
              <w:top w:val="nil"/>
              <w:left w:val="nil"/>
              <w:bottom w:val="nil"/>
              <w:right w:val="single" w:sz="4" w:space="0" w:color="auto"/>
            </w:tcBorders>
            <w:noWrap/>
            <w:vAlign w:val="bottom"/>
            <w:hideMark/>
          </w:tcPr>
          <w:p w14:paraId="0CD7AA3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3CECAF8C" w14:textId="77777777" w:rsidTr="00CA749B">
        <w:trPr>
          <w:trHeight w:val="300"/>
          <w:jc w:val="center"/>
        </w:trPr>
        <w:tc>
          <w:tcPr>
            <w:tcW w:w="0" w:type="auto"/>
            <w:tcBorders>
              <w:top w:val="nil"/>
              <w:left w:val="single" w:sz="4" w:space="0" w:color="auto"/>
              <w:bottom w:val="nil"/>
              <w:right w:val="nil"/>
            </w:tcBorders>
            <w:noWrap/>
            <w:vAlign w:val="bottom"/>
            <w:hideMark/>
          </w:tcPr>
          <w:p w14:paraId="5E3A9C2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ZADAR – KOD MOSTA</w:t>
            </w:r>
          </w:p>
        </w:tc>
        <w:tc>
          <w:tcPr>
            <w:tcW w:w="0" w:type="auto"/>
            <w:tcBorders>
              <w:top w:val="nil"/>
              <w:left w:val="nil"/>
              <w:bottom w:val="nil"/>
              <w:right w:val="single" w:sz="4" w:space="0" w:color="auto"/>
            </w:tcBorders>
            <w:noWrap/>
            <w:vAlign w:val="bottom"/>
            <w:hideMark/>
          </w:tcPr>
          <w:p w14:paraId="09848B9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C0E8831" w14:textId="77777777" w:rsidTr="00CA749B">
        <w:trPr>
          <w:trHeight w:val="300"/>
          <w:jc w:val="center"/>
        </w:trPr>
        <w:tc>
          <w:tcPr>
            <w:tcW w:w="0" w:type="auto"/>
            <w:tcBorders>
              <w:top w:val="nil"/>
              <w:left w:val="single" w:sz="4" w:space="0" w:color="auto"/>
              <w:bottom w:val="nil"/>
              <w:right w:val="nil"/>
            </w:tcBorders>
            <w:noWrap/>
            <w:vAlign w:val="bottom"/>
            <w:hideMark/>
          </w:tcPr>
          <w:p w14:paraId="5F17597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ZAOSTROG</w:t>
            </w:r>
          </w:p>
        </w:tc>
        <w:tc>
          <w:tcPr>
            <w:tcW w:w="0" w:type="auto"/>
            <w:tcBorders>
              <w:top w:val="nil"/>
              <w:left w:val="nil"/>
              <w:bottom w:val="nil"/>
              <w:right w:val="single" w:sz="4" w:space="0" w:color="auto"/>
            </w:tcBorders>
            <w:noWrap/>
            <w:vAlign w:val="bottom"/>
            <w:hideMark/>
          </w:tcPr>
          <w:p w14:paraId="1DCFE84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48F2C17F" w14:textId="77777777" w:rsidTr="00CA749B">
        <w:trPr>
          <w:trHeight w:val="300"/>
          <w:jc w:val="center"/>
        </w:trPr>
        <w:tc>
          <w:tcPr>
            <w:tcW w:w="0" w:type="auto"/>
            <w:tcBorders>
              <w:top w:val="nil"/>
              <w:left w:val="single" w:sz="4" w:space="0" w:color="auto"/>
              <w:bottom w:val="nil"/>
              <w:right w:val="nil"/>
            </w:tcBorders>
            <w:noWrap/>
            <w:vAlign w:val="bottom"/>
            <w:hideMark/>
          </w:tcPr>
          <w:p w14:paraId="648B939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ŠIBENIK – GAT SV. PETRA</w:t>
            </w:r>
          </w:p>
        </w:tc>
        <w:tc>
          <w:tcPr>
            <w:tcW w:w="0" w:type="auto"/>
            <w:tcBorders>
              <w:top w:val="nil"/>
              <w:left w:val="nil"/>
              <w:bottom w:val="nil"/>
              <w:right w:val="single" w:sz="4" w:space="0" w:color="auto"/>
            </w:tcBorders>
            <w:noWrap/>
            <w:vAlign w:val="bottom"/>
            <w:hideMark/>
          </w:tcPr>
          <w:p w14:paraId="59A924B9"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EU-Croatia</w:t>
            </w:r>
          </w:p>
        </w:tc>
      </w:tr>
      <w:tr w:rsidR="009123AC" w:rsidRPr="00F0379B" w14:paraId="208A766A" w14:textId="77777777" w:rsidTr="00CA749B">
        <w:trPr>
          <w:trHeight w:val="300"/>
          <w:jc w:val="center"/>
        </w:trPr>
        <w:tc>
          <w:tcPr>
            <w:tcW w:w="0" w:type="auto"/>
            <w:tcBorders>
              <w:top w:val="nil"/>
              <w:left w:val="single" w:sz="4" w:space="0" w:color="auto"/>
              <w:bottom w:val="nil"/>
              <w:right w:val="nil"/>
            </w:tcBorders>
            <w:noWrap/>
            <w:vAlign w:val="bottom"/>
            <w:hideMark/>
          </w:tcPr>
          <w:p w14:paraId="23F5FB6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ŠIMUNI</w:t>
            </w:r>
          </w:p>
        </w:tc>
        <w:tc>
          <w:tcPr>
            <w:tcW w:w="0" w:type="auto"/>
            <w:tcBorders>
              <w:top w:val="nil"/>
              <w:left w:val="nil"/>
              <w:bottom w:val="nil"/>
              <w:right w:val="single" w:sz="4" w:space="0" w:color="auto"/>
            </w:tcBorders>
            <w:noWrap/>
            <w:vAlign w:val="bottom"/>
            <w:hideMark/>
          </w:tcPr>
          <w:p w14:paraId="2EB994B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EU-Croatia</w:t>
            </w:r>
          </w:p>
        </w:tc>
      </w:tr>
      <w:tr w:rsidR="009123AC" w:rsidRPr="00F0379B" w14:paraId="04180F05" w14:textId="77777777" w:rsidTr="00CA749B">
        <w:trPr>
          <w:trHeight w:val="300"/>
          <w:jc w:val="center"/>
        </w:trPr>
        <w:tc>
          <w:tcPr>
            <w:tcW w:w="0" w:type="auto"/>
            <w:tcBorders>
              <w:top w:val="nil"/>
              <w:left w:val="single" w:sz="4" w:space="0" w:color="auto"/>
              <w:bottom w:val="nil"/>
              <w:right w:val="nil"/>
            </w:tcBorders>
            <w:noWrap/>
            <w:vAlign w:val="bottom"/>
            <w:hideMark/>
          </w:tcPr>
          <w:p w14:paraId="7AED7CB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ŽUNAC</w:t>
            </w:r>
          </w:p>
        </w:tc>
        <w:tc>
          <w:tcPr>
            <w:tcW w:w="0" w:type="auto"/>
            <w:tcBorders>
              <w:top w:val="nil"/>
              <w:left w:val="nil"/>
              <w:bottom w:val="nil"/>
              <w:right w:val="single" w:sz="4" w:space="0" w:color="auto"/>
            </w:tcBorders>
            <w:noWrap/>
            <w:vAlign w:val="bottom"/>
            <w:hideMark/>
          </w:tcPr>
          <w:p w14:paraId="03D7AD1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EU-Croatia</w:t>
            </w:r>
          </w:p>
        </w:tc>
      </w:tr>
      <w:tr w:rsidR="009123AC" w:rsidRPr="00F0379B" w14:paraId="77AE498E" w14:textId="77777777" w:rsidTr="00CA749B">
        <w:trPr>
          <w:trHeight w:val="300"/>
          <w:jc w:val="center"/>
        </w:trPr>
        <w:tc>
          <w:tcPr>
            <w:tcW w:w="0" w:type="auto"/>
            <w:tcBorders>
              <w:top w:val="nil"/>
              <w:left w:val="single" w:sz="4" w:space="0" w:color="auto"/>
              <w:bottom w:val="nil"/>
              <w:right w:val="nil"/>
            </w:tcBorders>
            <w:noWrap/>
            <w:vAlign w:val="bottom"/>
            <w:hideMark/>
          </w:tcPr>
          <w:p w14:paraId="2A04E71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AYIA NAPA FISHING SHELTER</w:t>
            </w:r>
          </w:p>
        </w:tc>
        <w:tc>
          <w:tcPr>
            <w:tcW w:w="0" w:type="auto"/>
            <w:tcBorders>
              <w:top w:val="nil"/>
              <w:left w:val="nil"/>
              <w:bottom w:val="nil"/>
              <w:right w:val="single" w:sz="4" w:space="0" w:color="auto"/>
            </w:tcBorders>
            <w:noWrap/>
            <w:vAlign w:val="bottom"/>
            <w:hideMark/>
          </w:tcPr>
          <w:p w14:paraId="19233B7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EU-Cyprus</w:t>
            </w:r>
          </w:p>
        </w:tc>
      </w:tr>
      <w:tr w:rsidR="009123AC" w:rsidRPr="00F0379B" w14:paraId="0B65FC5C" w14:textId="77777777" w:rsidTr="00CA749B">
        <w:trPr>
          <w:trHeight w:val="300"/>
          <w:jc w:val="center"/>
        </w:trPr>
        <w:tc>
          <w:tcPr>
            <w:tcW w:w="0" w:type="auto"/>
            <w:tcBorders>
              <w:top w:val="nil"/>
              <w:left w:val="single" w:sz="4" w:space="0" w:color="auto"/>
              <w:bottom w:val="nil"/>
              <w:right w:val="nil"/>
            </w:tcBorders>
            <w:noWrap/>
            <w:vAlign w:val="bottom"/>
            <w:hideMark/>
          </w:tcPr>
          <w:p w14:paraId="7448C54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LARNACA</w:t>
            </w:r>
          </w:p>
        </w:tc>
        <w:tc>
          <w:tcPr>
            <w:tcW w:w="0" w:type="auto"/>
            <w:tcBorders>
              <w:top w:val="nil"/>
              <w:left w:val="nil"/>
              <w:bottom w:val="nil"/>
              <w:right w:val="single" w:sz="4" w:space="0" w:color="auto"/>
            </w:tcBorders>
            <w:noWrap/>
            <w:vAlign w:val="bottom"/>
            <w:hideMark/>
          </w:tcPr>
          <w:p w14:paraId="26C5C01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EU-Cyprus</w:t>
            </w:r>
          </w:p>
        </w:tc>
      </w:tr>
      <w:tr w:rsidR="009123AC" w:rsidRPr="00F0379B" w14:paraId="386CE8F1" w14:textId="77777777" w:rsidTr="00CA749B">
        <w:trPr>
          <w:trHeight w:val="300"/>
          <w:jc w:val="center"/>
        </w:trPr>
        <w:tc>
          <w:tcPr>
            <w:tcW w:w="0" w:type="auto"/>
            <w:tcBorders>
              <w:top w:val="nil"/>
              <w:left w:val="single" w:sz="4" w:space="0" w:color="auto"/>
              <w:bottom w:val="nil"/>
              <w:right w:val="nil"/>
            </w:tcBorders>
            <w:noWrap/>
            <w:vAlign w:val="bottom"/>
            <w:hideMark/>
          </w:tcPr>
          <w:p w14:paraId="628F010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LARNACA FISHING SHELTER</w:t>
            </w:r>
          </w:p>
        </w:tc>
        <w:tc>
          <w:tcPr>
            <w:tcW w:w="0" w:type="auto"/>
            <w:tcBorders>
              <w:top w:val="nil"/>
              <w:left w:val="nil"/>
              <w:bottom w:val="nil"/>
              <w:right w:val="single" w:sz="4" w:space="0" w:color="auto"/>
            </w:tcBorders>
            <w:noWrap/>
            <w:vAlign w:val="bottom"/>
            <w:hideMark/>
          </w:tcPr>
          <w:p w14:paraId="23275EC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EU-Cyprus</w:t>
            </w:r>
          </w:p>
        </w:tc>
      </w:tr>
      <w:tr w:rsidR="009123AC" w:rsidRPr="00F0379B" w14:paraId="66B2A8C2" w14:textId="77777777" w:rsidTr="00CA749B">
        <w:trPr>
          <w:trHeight w:val="300"/>
          <w:jc w:val="center"/>
        </w:trPr>
        <w:tc>
          <w:tcPr>
            <w:tcW w:w="0" w:type="auto"/>
            <w:tcBorders>
              <w:top w:val="nil"/>
              <w:left w:val="single" w:sz="4" w:space="0" w:color="auto"/>
              <w:bottom w:val="nil"/>
              <w:right w:val="nil"/>
            </w:tcBorders>
            <w:noWrap/>
            <w:vAlign w:val="bottom"/>
            <w:hideMark/>
          </w:tcPr>
          <w:p w14:paraId="453132C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LATSI FISHING SHELTER</w:t>
            </w:r>
          </w:p>
        </w:tc>
        <w:tc>
          <w:tcPr>
            <w:tcW w:w="0" w:type="auto"/>
            <w:tcBorders>
              <w:top w:val="nil"/>
              <w:left w:val="nil"/>
              <w:bottom w:val="nil"/>
              <w:right w:val="single" w:sz="4" w:space="0" w:color="auto"/>
            </w:tcBorders>
            <w:noWrap/>
            <w:vAlign w:val="bottom"/>
            <w:hideMark/>
          </w:tcPr>
          <w:p w14:paraId="0B76C6B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EU-Cyprus</w:t>
            </w:r>
          </w:p>
        </w:tc>
      </w:tr>
      <w:tr w:rsidR="009123AC" w:rsidRPr="00F0379B" w14:paraId="0D5D2C61" w14:textId="77777777" w:rsidTr="00CA749B">
        <w:trPr>
          <w:trHeight w:val="300"/>
          <w:jc w:val="center"/>
        </w:trPr>
        <w:tc>
          <w:tcPr>
            <w:tcW w:w="0" w:type="auto"/>
            <w:tcBorders>
              <w:top w:val="nil"/>
              <w:left w:val="single" w:sz="4" w:space="0" w:color="auto"/>
              <w:bottom w:val="nil"/>
              <w:right w:val="nil"/>
            </w:tcBorders>
            <w:noWrap/>
            <w:vAlign w:val="bottom"/>
            <w:hideMark/>
          </w:tcPr>
          <w:p w14:paraId="6F00F67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LIMASSOL NEW PORT</w:t>
            </w:r>
          </w:p>
        </w:tc>
        <w:tc>
          <w:tcPr>
            <w:tcW w:w="0" w:type="auto"/>
            <w:tcBorders>
              <w:top w:val="nil"/>
              <w:left w:val="nil"/>
              <w:bottom w:val="nil"/>
              <w:right w:val="single" w:sz="4" w:space="0" w:color="auto"/>
            </w:tcBorders>
            <w:noWrap/>
            <w:vAlign w:val="bottom"/>
            <w:hideMark/>
          </w:tcPr>
          <w:p w14:paraId="12FCF55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EU-Cyprus</w:t>
            </w:r>
          </w:p>
        </w:tc>
      </w:tr>
      <w:tr w:rsidR="009123AC" w:rsidRPr="00F0379B" w14:paraId="2B99847C" w14:textId="77777777" w:rsidTr="00CA749B">
        <w:trPr>
          <w:trHeight w:val="300"/>
          <w:jc w:val="center"/>
        </w:trPr>
        <w:tc>
          <w:tcPr>
            <w:tcW w:w="0" w:type="auto"/>
            <w:tcBorders>
              <w:top w:val="nil"/>
              <w:left w:val="single" w:sz="4" w:space="0" w:color="auto"/>
              <w:bottom w:val="nil"/>
              <w:right w:val="nil"/>
            </w:tcBorders>
            <w:noWrap/>
            <w:vAlign w:val="bottom"/>
            <w:hideMark/>
          </w:tcPr>
          <w:p w14:paraId="4A7C3EE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LIMASSOL OLD PORT</w:t>
            </w:r>
          </w:p>
        </w:tc>
        <w:tc>
          <w:tcPr>
            <w:tcW w:w="0" w:type="auto"/>
            <w:tcBorders>
              <w:top w:val="nil"/>
              <w:left w:val="nil"/>
              <w:bottom w:val="nil"/>
              <w:right w:val="single" w:sz="4" w:space="0" w:color="auto"/>
            </w:tcBorders>
            <w:noWrap/>
            <w:vAlign w:val="bottom"/>
            <w:hideMark/>
          </w:tcPr>
          <w:p w14:paraId="1B872B6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EU-Cyprus</w:t>
            </w:r>
          </w:p>
        </w:tc>
      </w:tr>
      <w:tr w:rsidR="009123AC" w:rsidRPr="00F0379B" w14:paraId="088C8BA9" w14:textId="77777777" w:rsidTr="00CA749B">
        <w:trPr>
          <w:trHeight w:val="300"/>
          <w:jc w:val="center"/>
        </w:trPr>
        <w:tc>
          <w:tcPr>
            <w:tcW w:w="0" w:type="auto"/>
            <w:tcBorders>
              <w:top w:val="nil"/>
              <w:left w:val="single" w:sz="4" w:space="0" w:color="auto"/>
              <w:bottom w:val="nil"/>
              <w:right w:val="nil"/>
            </w:tcBorders>
            <w:noWrap/>
            <w:vAlign w:val="bottom"/>
            <w:hideMark/>
          </w:tcPr>
          <w:p w14:paraId="3B7C500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PAFOS FISHING SHELTER</w:t>
            </w:r>
          </w:p>
        </w:tc>
        <w:tc>
          <w:tcPr>
            <w:tcW w:w="0" w:type="auto"/>
            <w:tcBorders>
              <w:top w:val="nil"/>
              <w:left w:val="nil"/>
              <w:bottom w:val="nil"/>
              <w:right w:val="single" w:sz="4" w:space="0" w:color="auto"/>
            </w:tcBorders>
            <w:noWrap/>
            <w:vAlign w:val="bottom"/>
            <w:hideMark/>
          </w:tcPr>
          <w:p w14:paraId="2B1610B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EU-Cyprus</w:t>
            </w:r>
          </w:p>
        </w:tc>
      </w:tr>
      <w:tr w:rsidR="009123AC" w:rsidRPr="00F0379B" w14:paraId="5CC258BC" w14:textId="77777777" w:rsidTr="00CA749B">
        <w:trPr>
          <w:trHeight w:val="300"/>
          <w:jc w:val="center"/>
        </w:trPr>
        <w:tc>
          <w:tcPr>
            <w:tcW w:w="0" w:type="auto"/>
            <w:tcBorders>
              <w:top w:val="nil"/>
              <w:left w:val="single" w:sz="4" w:space="0" w:color="auto"/>
              <w:bottom w:val="nil"/>
              <w:right w:val="nil"/>
            </w:tcBorders>
            <w:noWrap/>
            <w:vAlign w:val="bottom"/>
            <w:hideMark/>
          </w:tcPr>
          <w:p w14:paraId="12D68EF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PARALIMNI FISHING SHELTER</w:t>
            </w:r>
          </w:p>
        </w:tc>
        <w:tc>
          <w:tcPr>
            <w:tcW w:w="0" w:type="auto"/>
            <w:tcBorders>
              <w:top w:val="nil"/>
              <w:left w:val="nil"/>
              <w:bottom w:val="nil"/>
              <w:right w:val="single" w:sz="4" w:space="0" w:color="auto"/>
            </w:tcBorders>
            <w:noWrap/>
            <w:vAlign w:val="bottom"/>
            <w:hideMark/>
          </w:tcPr>
          <w:p w14:paraId="4C365E0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EU-Cyprus</w:t>
            </w:r>
          </w:p>
        </w:tc>
      </w:tr>
      <w:tr w:rsidR="009123AC" w:rsidRPr="00F0379B" w14:paraId="2D2D4822" w14:textId="77777777" w:rsidTr="00CA749B">
        <w:trPr>
          <w:trHeight w:val="300"/>
          <w:jc w:val="center"/>
        </w:trPr>
        <w:tc>
          <w:tcPr>
            <w:tcW w:w="0" w:type="auto"/>
            <w:tcBorders>
              <w:top w:val="nil"/>
              <w:left w:val="single" w:sz="4" w:space="0" w:color="auto"/>
              <w:bottom w:val="nil"/>
              <w:right w:val="nil"/>
            </w:tcBorders>
            <w:noWrap/>
            <w:vAlign w:val="bottom"/>
            <w:hideMark/>
          </w:tcPr>
          <w:p w14:paraId="26D2F97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ZYGI FISHING SHELTER</w:t>
            </w:r>
          </w:p>
        </w:tc>
        <w:tc>
          <w:tcPr>
            <w:tcW w:w="0" w:type="auto"/>
            <w:tcBorders>
              <w:top w:val="nil"/>
              <w:left w:val="nil"/>
              <w:bottom w:val="nil"/>
              <w:right w:val="single" w:sz="4" w:space="0" w:color="auto"/>
            </w:tcBorders>
            <w:noWrap/>
            <w:vAlign w:val="bottom"/>
            <w:hideMark/>
          </w:tcPr>
          <w:p w14:paraId="06BA1E6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EU-Cyprus</w:t>
            </w:r>
          </w:p>
        </w:tc>
      </w:tr>
      <w:tr w:rsidR="009123AC" w:rsidRPr="00F0379B" w14:paraId="5758BB35" w14:textId="77777777" w:rsidTr="00CA749B">
        <w:trPr>
          <w:trHeight w:val="300"/>
          <w:jc w:val="center"/>
        </w:trPr>
        <w:tc>
          <w:tcPr>
            <w:tcW w:w="0" w:type="auto"/>
            <w:tcBorders>
              <w:top w:val="nil"/>
              <w:left w:val="single" w:sz="4" w:space="0" w:color="auto"/>
              <w:bottom w:val="nil"/>
              <w:right w:val="nil"/>
            </w:tcBorders>
            <w:noWrap/>
            <w:vAlign w:val="bottom"/>
            <w:hideMark/>
          </w:tcPr>
          <w:p w14:paraId="3D351DB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BØNNERUP</w:t>
            </w:r>
          </w:p>
        </w:tc>
        <w:tc>
          <w:tcPr>
            <w:tcW w:w="0" w:type="auto"/>
            <w:tcBorders>
              <w:top w:val="nil"/>
              <w:left w:val="nil"/>
              <w:bottom w:val="nil"/>
              <w:right w:val="single" w:sz="4" w:space="0" w:color="auto"/>
            </w:tcBorders>
            <w:noWrap/>
            <w:vAlign w:val="bottom"/>
            <w:hideMark/>
          </w:tcPr>
          <w:p w14:paraId="39C1B56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EU-Denmark</w:t>
            </w:r>
          </w:p>
        </w:tc>
      </w:tr>
      <w:tr w:rsidR="009123AC" w:rsidRPr="00F0379B" w14:paraId="0FD578FA" w14:textId="77777777" w:rsidTr="00CA749B">
        <w:trPr>
          <w:trHeight w:val="300"/>
          <w:jc w:val="center"/>
        </w:trPr>
        <w:tc>
          <w:tcPr>
            <w:tcW w:w="0" w:type="auto"/>
            <w:tcBorders>
              <w:top w:val="nil"/>
              <w:left w:val="single" w:sz="4" w:space="0" w:color="auto"/>
              <w:bottom w:val="nil"/>
              <w:right w:val="nil"/>
            </w:tcBorders>
            <w:noWrap/>
            <w:vAlign w:val="bottom"/>
            <w:hideMark/>
          </w:tcPr>
          <w:p w14:paraId="0212C01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GILLELEJE</w:t>
            </w:r>
          </w:p>
        </w:tc>
        <w:tc>
          <w:tcPr>
            <w:tcW w:w="0" w:type="auto"/>
            <w:tcBorders>
              <w:top w:val="nil"/>
              <w:left w:val="nil"/>
              <w:bottom w:val="nil"/>
              <w:right w:val="single" w:sz="4" w:space="0" w:color="auto"/>
            </w:tcBorders>
            <w:noWrap/>
            <w:vAlign w:val="bottom"/>
            <w:hideMark/>
          </w:tcPr>
          <w:p w14:paraId="245FF20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EU-Denmark</w:t>
            </w:r>
          </w:p>
        </w:tc>
      </w:tr>
      <w:tr w:rsidR="009123AC" w:rsidRPr="00F0379B" w14:paraId="7C11C22B" w14:textId="77777777" w:rsidTr="00CA749B">
        <w:trPr>
          <w:trHeight w:val="300"/>
          <w:jc w:val="center"/>
        </w:trPr>
        <w:tc>
          <w:tcPr>
            <w:tcW w:w="0" w:type="auto"/>
            <w:tcBorders>
              <w:top w:val="nil"/>
              <w:left w:val="single" w:sz="4" w:space="0" w:color="auto"/>
              <w:bottom w:val="nil"/>
              <w:right w:val="nil"/>
            </w:tcBorders>
            <w:noWrap/>
            <w:vAlign w:val="bottom"/>
            <w:hideMark/>
          </w:tcPr>
          <w:p w14:paraId="0B8EC54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GRENÅ</w:t>
            </w:r>
          </w:p>
        </w:tc>
        <w:tc>
          <w:tcPr>
            <w:tcW w:w="0" w:type="auto"/>
            <w:tcBorders>
              <w:top w:val="nil"/>
              <w:left w:val="nil"/>
              <w:bottom w:val="nil"/>
              <w:right w:val="single" w:sz="4" w:space="0" w:color="auto"/>
            </w:tcBorders>
            <w:noWrap/>
            <w:vAlign w:val="bottom"/>
            <w:hideMark/>
          </w:tcPr>
          <w:p w14:paraId="7F33AA1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EU-Denmark</w:t>
            </w:r>
          </w:p>
        </w:tc>
      </w:tr>
      <w:tr w:rsidR="009123AC" w:rsidRPr="00F0379B" w14:paraId="01216363" w14:textId="77777777" w:rsidTr="00CA749B">
        <w:trPr>
          <w:trHeight w:val="300"/>
          <w:jc w:val="center"/>
        </w:trPr>
        <w:tc>
          <w:tcPr>
            <w:tcW w:w="0" w:type="auto"/>
            <w:tcBorders>
              <w:top w:val="nil"/>
              <w:left w:val="single" w:sz="4" w:space="0" w:color="auto"/>
              <w:bottom w:val="nil"/>
              <w:right w:val="nil"/>
            </w:tcBorders>
            <w:noWrap/>
            <w:vAlign w:val="bottom"/>
            <w:hideMark/>
          </w:tcPr>
          <w:p w14:paraId="5052EF4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HANSTHOLM</w:t>
            </w:r>
          </w:p>
        </w:tc>
        <w:tc>
          <w:tcPr>
            <w:tcW w:w="0" w:type="auto"/>
            <w:tcBorders>
              <w:top w:val="nil"/>
              <w:left w:val="nil"/>
              <w:bottom w:val="nil"/>
              <w:right w:val="single" w:sz="4" w:space="0" w:color="auto"/>
            </w:tcBorders>
            <w:noWrap/>
            <w:vAlign w:val="bottom"/>
            <w:hideMark/>
          </w:tcPr>
          <w:p w14:paraId="18B2097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EU-Denmark</w:t>
            </w:r>
          </w:p>
        </w:tc>
      </w:tr>
      <w:tr w:rsidR="009123AC" w:rsidRPr="00F0379B" w14:paraId="04BA23F4" w14:textId="77777777" w:rsidTr="00CA749B">
        <w:trPr>
          <w:trHeight w:val="300"/>
          <w:jc w:val="center"/>
        </w:trPr>
        <w:tc>
          <w:tcPr>
            <w:tcW w:w="0" w:type="auto"/>
            <w:tcBorders>
              <w:top w:val="nil"/>
              <w:left w:val="single" w:sz="4" w:space="0" w:color="auto"/>
              <w:bottom w:val="nil"/>
              <w:right w:val="nil"/>
            </w:tcBorders>
            <w:noWrap/>
            <w:vAlign w:val="bottom"/>
            <w:hideMark/>
          </w:tcPr>
          <w:p w14:paraId="78EE81F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HELSINGØR</w:t>
            </w:r>
          </w:p>
        </w:tc>
        <w:tc>
          <w:tcPr>
            <w:tcW w:w="0" w:type="auto"/>
            <w:tcBorders>
              <w:top w:val="nil"/>
              <w:left w:val="nil"/>
              <w:bottom w:val="nil"/>
              <w:right w:val="single" w:sz="4" w:space="0" w:color="auto"/>
            </w:tcBorders>
            <w:noWrap/>
            <w:vAlign w:val="bottom"/>
            <w:hideMark/>
          </w:tcPr>
          <w:p w14:paraId="70FBBE2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EU-Denmark</w:t>
            </w:r>
          </w:p>
        </w:tc>
      </w:tr>
      <w:tr w:rsidR="009123AC" w:rsidRPr="00F0379B" w14:paraId="0875BD04" w14:textId="77777777" w:rsidTr="00CA749B">
        <w:trPr>
          <w:trHeight w:val="300"/>
          <w:jc w:val="center"/>
        </w:trPr>
        <w:tc>
          <w:tcPr>
            <w:tcW w:w="0" w:type="auto"/>
            <w:tcBorders>
              <w:top w:val="nil"/>
              <w:left w:val="single" w:sz="4" w:space="0" w:color="auto"/>
              <w:bottom w:val="nil"/>
              <w:right w:val="nil"/>
            </w:tcBorders>
            <w:noWrap/>
            <w:vAlign w:val="bottom"/>
            <w:hideMark/>
          </w:tcPr>
          <w:p w14:paraId="7401F60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HIRTSHALS</w:t>
            </w:r>
          </w:p>
        </w:tc>
        <w:tc>
          <w:tcPr>
            <w:tcW w:w="0" w:type="auto"/>
            <w:tcBorders>
              <w:top w:val="nil"/>
              <w:left w:val="nil"/>
              <w:bottom w:val="nil"/>
              <w:right w:val="single" w:sz="4" w:space="0" w:color="auto"/>
            </w:tcBorders>
            <w:noWrap/>
            <w:vAlign w:val="bottom"/>
            <w:hideMark/>
          </w:tcPr>
          <w:p w14:paraId="0A48085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EU-Denmark</w:t>
            </w:r>
          </w:p>
        </w:tc>
      </w:tr>
      <w:tr w:rsidR="009123AC" w:rsidRPr="00F0379B" w14:paraId="4F6E528C" w14:textId="77777777" w:rsidTr="00CA749B">
        <w:trPr>
          <w:trHeight w:val="300"/>
          <w:jc w:val="center"/>
        </w:trPr>
        <w:tc>
          <w:tcPr>
            <w:tcW w:w="0" w:type="auto"/>
            <w:tcBorders>
              <w:top w:val="nil"/>
              <w:left w:val="single" w:sz="4" w:space="0" w:color="auto"/>
              <w:bottom w:val="nil"/>
              <w:right w:val="nil"/>
            </w:tcBorders>
            <w:noWrap/>
            <w:vAlign w:val="bottom"/>
            <w:hideMark/>
          </w:tcPr>
          <w:p w14:paraId="27E1052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lastRenderedPageBreak/>
              <w:t>HVIDE SANDE</w:t>
            </w:r>
          </w:p>
        </w:tc>
        <w:tc>
          <w:tcPr>
            <w:tcW w:w="0" w:type="auto"/>
            <w:tcBorders>
              <w:top w:val="nil"/>
              <w:left w:val="nil"/>
              <w:bottom w:val="nil"/>
              <w:right w:val="single" w:sz="4" w:space="0" w:color="auto"/>
            </w:tcBorders>
            <w:noWrap/>
            <w:vAlign w:val="bottom"/>
            <w:hideMark/>
          </w:tcPr>
          <w:p w14:paraId="7E8F02E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EU-Denmark</w:t>
            </w:r>
          </w:p>
        </w:tc>
      </w:tr>
      <w:tr w:rsidR="009123AC" w:rsidRPr="00F0379B" w14:paraId="7C157858" w14:textId="77777777" w:rsidTr="00CA749B">
        <w:trPr>
          <w:trHeight w:val="300"/>
          <w:jc w:val="center"/>
        </w:trPr>
        <w:tc>
          <w:tcPr>
            <w:tcW w:w="0" w:type="auto"/>
            <w:tcBorders>
              <w:top w:val="nil"/>
              <w:left w:val="single" w:sz="4" w:space="0" w:color="auto"/>
              <w:bottom w:val="nil"/>
              <w:right w:val="nil"/>
            </w:tcBorders>
            <w:noWrap/>
            <w:vAlign w:val="bottom"/>
            <w:hideMark/>
          </w:tcPr>
          <w:p w14:paraId="5661926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SKAGEN</w:t>
            </w:r>
          </w:p>
        </w:tc>
        <w:tc>
          <w:tcPr>
            <w:tcW w:w="0" w:type="auto"/>
            <w:tcBorders>
              <w:top w:val="nil"/>
              <w:left w:val="nil"/>
              <w:bottom w:val="nil"/>
              <w:right w:val="single" w:sz="4" w:space="0" w:color="auto"/>
            </w:tcBorders>
            <w:noWrap/>
            <w:vAlign w:val="bottom"/>
            <w:hideMark/>
          </w:tcPr>
          <w:p w14:paraId="783A9FE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EU-Denmark</w:t>
            </w:r>
          </w:p>
        </w:tc>
      </w:tr>
      <w:tr w:rsidR="009123AC" w:rsidRPr="00F0379B" w14:paraId="63B7C1D3" w14:textId="77777777" w:rsidTr="00CA749B">
        <w:trPr>
          <w:trHeight w:val="300"/>
          <w:jc w:val="center"/>
        </w:trPr>
        <w:tc>
          <w:tcPr>
            <w:tcW w:w="0" w:type="auto"/>
            <w:tcBorders>
              <w:top w:val="nil"/>
              <w:left w:val="single" w:sz="4" w:space="0" w:color="auto"/>
              <w:bottom w:val="nil"/>
              <w:right w:val="nil"/>
            </w:tcBorders>
            <w:noWrap/>
            <w:vAlign w:val="bottom"/>
            <w:hideMark/>
          </w:tcPr>
          <w:p w14:paraId="5EB6CBE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THYBORØN</w:t>
            </w:r>
          </w:p>
        </w:tc>
        <w:tc>
          <w:tcPr>
            <w:tcW w:w="0" w:type="auto"/>
            <w:tcBorders>
              <w:top w:val="nil"/>
              <w:left w:val="nil"/>
              <w:bottom w:val="nil"/>
              <w:right w:val="single" w:sz="4" w:space="0" w:color="auto"/>
            </w:tcBorders>
            <w:noWrap/>
            <w:vAlign w:val="bottom"/>
            <w:hideMark/>
          </w:tcPr>
          <w:p w14:paraId="25B9CB4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EU-Denmark</w:t>
            </w:r>
          </w:p>
        </w:tc>
      </w:tr>
      <w:tr w:rsidR="009123AC" w:rsidRPr="00F0379B" w14:paraId="2C157E6E" w14:textId="77777777" w:rsidTr="00CA749B">
        <w:trPr>
          <w:trHeight w:val="300"/>
          <w:jc w:val="center"/>
        </w:trPr>
        <w:tc>
          <w:tcPr>
            <w:tcW w:w="0" w:type="auto"/>
            <w:tcBorders>
              <w:top w:val="nil"/>
              <w:left w:val="single" w:sz="4" w:space="0" w:color="auto"/>
              <w:bottom w:val="nil"/>
              <w:right w:val="nil"/>
            </w:tcBorders>
            <w:noWrap/>
            <w:vAlign w:val="bottom"/>
            <w:hideMark/>
          </w:tcPr>
          <w:p w14:paraId="1B93987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 CORUÑA</w:t>
            </w:r>
          </w:p>
        </w:tc>
        <w:tc>
          <w:tcPr>
            <w:tcW w:w="0" w:type="auto"/>
            <w:tcBorders>
              <w:top w:val="nil"/>
              <w:left w:val="nil"/>
              <w:bottom w:val="nil"/>
              <w:right w:val="single" w:sz="4" w:space="0" w:color="auto"/>
            </w:tcBorders>
            <w:noWrap/>
            <w:vAlign w:val="bottom"/>
            <w:hideMark/>
          </w:tcPr>
          <w:p w14:paraId="084DCF4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306456E9" w14:textId="77777777" w:rsidTr="00CA749B">
        <w:trPr>
          <w:trHeight w:val="300"/>
          <w:jc w:val="center"/>
        </w:trPr>
        <w:tc>
          <w:tcPr>
            <w:tcW w:w="0" w:type="auto"/>
            <w:tcBorders>
              <w:top w:val="nil"/>
              <w:left w:val="single" w:sz="4" w:space="0" w:color="auto"/>
              <w:bottom w:val="nil"/>
              <w:right w:val="nil"/>
            </w:tcBorders>
            <w:noWrap/>
            <w:vAlign w:val="bottom"/>
            <w:hideMark/>
          </w:tcPr>
          <w:p w14:paraId="4FA01F2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ADRA</w:t>
            </w:r>
          </w:p>
        </w:tc>
        <w:tc>
          <w:tcPr>
            <w:tcW w:w="0" w:type="auto"/>
            <w:tcBorders>
              <w:top w:val="nil"/>
              <w:left w:val="nil"/>
              <w:bottom w:val="nil"/>
              <w:right w:val="single" w:sz="4" w:space="0" w:color="auto"/>
            </w:tcBorders>
            <w:noWrap/>
            <w:vAlign w:val="bottom"/>
            <w:hideMark/>
          </w:tcPr>
          <w:p w14:paraId="4CD8B35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55500094" w14:textId="77777777" w:rsidTr="00CA749B">
        <w:trPr>
          <w:trHeight w:val="300"/>
          <w:jc w:val="center"/>
        </w:trPr>
        <w:tc>
          <w:tcPr>
            <w:tcW w:w="0" w:type="auto"/>
            <w:tcBorders>
              <w:top w:val="nil"/>
              <w:left w:val="single" w:sz="4" w:space="0" w:color="auto"/>
              <w:bottom w:val="nil"/>
              <w:right w:val="nil"/>
            </w:tcBorders>
            <w:noWrap/>
            <w:vAlign w:val="bottom"/>
            <w:hideMark/>
          </w:tcPr>
          <w:p w14:paraId="146707B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AGAETE</w:t>
            </w:r>
          </w:p>
        </w:tc>
        <w:tc>
          <w:tcPr>
            <w:tcW w:w="0" w:type="auto"/>
            <w:tcBorders>
              <w:top w:val="nil"/>
              <w:left w:val="nil"/>
              <w:bottom w:val="nil"/>
              <w:right w:val="single" w:sz="4" w:space="0" w:color="auto"/>
            </w:tcBorders>
            <w:noWrap/>
            <w:vAlign w:val="bottom"/>
            <w:hideMark/>
          </w:tcPr>
          <w:p w14:paraId="4FA057A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5ECA9D53" w14:textId="77777777" w:rsidTr="00CA749B">
        <w:trPr>
          <w:trHeight w:val="300"/>
          <w:jc w:val="center"/>
        </w:trPr>
        <w:tc>
          <w:tcPr>
            <w:tcW w:w="0" w:type="auto"/>
            <w:tcBorders>
              <w:top w:val="nil"/>
              <w:left w:val="single" w:sz="4" w:space="0" w:color="auto"/>
              <w:bottom w:val="nil"/>
              <w:right w:val="nil"/>
            </w:tcBorders>
            <w:noWrap/>
            <w:vAlign w:val="bottom"/>
            <w:hideMark/>
          </w:tcPr>
          <w:p w14:paraId="7933163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AGUILAS</w:t>
            </w:r>
          </w:p>
        </w:tc>
        <w:tc>
          <w:tcPr>
            <w:tcW w:w="0" w:type="auto"/>
            <w:tcBorders>
              <w:top w:val="nil"/>
              <w:left w:val="nil"/>
              <w:bottom w:val="nil"/>
              <w:right w:val="single" w:sz="4" w:space="0" w:color="auto"/>
            </w:tcBorders>
            <w:noWrap/>
            <w:vAlign w:val="bottom"/>
            <w:hideMark/>
          </w:tcPr>
          <w:p w14:paraId="37E81DC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3ABB1A76" w14:textId="77777777" w:rsidTr="00CA749B">
        <w:trPr>
          <w:trHeight w:val="300"/>
          <w:jc w:val="center"/>
        </w:trPr>
        <w:tc>
          <w:tcPr>
            <w:tcW w:w="0" w:type="auto"/>
            <w:tcBorders>
              <w:top w:val="nil"/>
              <w:left w:val="single" w:sz="4" w:space="0" w:color="auto"/>
              <w:bottom w:val="nil"/>
              <w:right w:val="nil"/>
            </w:tcBorders>
            <w:noWrap/>
            <w:vAlign w:val="bottom"/>
            <w:hideMark/>
          </w:tcPr>
          <w:p w14:paraId="1E02710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ALCUDIA</w:t>
            </w:r>
          </w:p>
        </w:tc>
        <w:tc>
          <w:tcPr>
            <w:tcW w:w="0" w:type="auto"/>
            <w:tcBorders>
              <w:top w:val="nil"/>
              <w:left w:val="nil"/>
              <w:bottom w:val="nil"/>
              <w:right w:val="single" w:sz="4" w:space="0" w:color="auto"/>
            </w:tcBorders>
            <w:noWrap/>
            <w:vAlign w:val="bottom"/>
            <w:hideMark/>
          </w:tcPr>
          <w:p w14:paraId="5EB7581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9481FA3" w14:textId="77777777" w:rsidTr="00CA749B">
        <w:trPr>
          <w:trHeight w:val="300"/>
          <w:jc w:val="center"/>
        </w:trPr>
        <w:tc>
          <w:tcPr>
            <w:tcW w:w="0" w:type="auto"/>
            <w:tcBorders>
              <w:top w:val="nil"/>
              <w:left w:val="single" w:sz="4" w:space="0" w:color="auto"/>
              <w:bottom w:val="nil"/>
              <w:right w:val="nil"/>
            </w:tcBorders>
            <w:noWrap/>
            <w:vAlign w:val="bottom"/>
            <w:hideMark/>
          </w:tcPr>
          <w:p w14:paraId="36F2EBD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ALGECIRAS</w:t>
            </w:r>
          </w:p>
        </w:tc>
        <w:tc>
          <w:tcPr>
            <w:tcW w:w="0" w:type="auto"/>
            <w:tcBorders>
              <w:top w:val="nil"/>
              <w:left w:val="nil"/>
              <w:bottom w:val="nil"/>
              <w:right w:val="single" w:sz="4" w:space="0" w:color="auto"/>
            </w:tcBorders>
            <w:noWrap/>
            <w:vAlign w:val="bottom"/>
            <w:hideMark/>
          </w:tcPr>
          <w:p w14:paraId="204F9D0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09593B19" w14:textId="77777777" w:rsidTr="00CA749B">
        <w:trPr>
          <w:trHeight w:val="300"/>
          <w:jc w:val="center"/>
        </w:trPr>
        <w:tc>
          <w:tcPr>
            <w:tcW w:w="0" w:type="auto"/>
            <w:tcBorders>
              <w:top w:val="nil"/>
              <w:left w:val="single" w:sz="4" w:space="0" w:color="auto"/>
              <w:bottom w:val="nil"/>
              <w:right w:val="nil"/>
            </w:tcBorders>
            <w:noWrap/>
            <w:vAlign w:val="bottom"/>
            <w:hideMark/>
          </w:tcPr>
          <w:p w14:paraId="4EF280F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ALICANTE</w:t>
            </w:r>
          </w:p>
        </w:tc>
        <w:tc>
          <w:tcPr>
            <w:tcW w:w="0" w:type="auto"/>
            <w:tcBorders>
              <w:top w:val="nil"/>
              <w:left w:val="nil"/>
              <w:bottom w:val="nil"/>
              <w:right w:val="single" w:sz="4" w:space="0" w:color="auto"/>
            </w:tcBorders>
            <w:noWrap/>
            <w:vAlign w:val="bottom"/>
            <w:hideMark/>
          </w:tcPr>
          <w:p w14:paraId="484B3C6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3C766C49" w14:textId="77777777" w:rsidTr="00CA749B">
        <w:trPr>
          <w:trHeight w:val="300"/>
          <w:jc w:val="center"/>
        </w:trPr>
        <w:tc>
          <w:tcPr>
            <w:tcW w:w="0" w:type="auto"/>
            <w:tcBorders>
              <w:top w:val="nil"/>
              <w:left w:val="single" w:sz="4" w:space="0" w:color="auto"/>
              <w:bottom w:val="nil"/>
              <w:right w:val="nil"/>
            </w:tcBorders>
            <w:noWrap/>
            <w:vAlign w:val="bottom"/>
            <w:hideMark/>
          </w:tcPr>
          <w:p w14:paraId="3F3CF55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AMPOLLA</w:t>
            </w:r>
          </w:p>
        </w:tc>
        <w:tc>
          <w:tcPr>
            <w:tcW w:w="0" w:type="auto"/>
            <w:tcBorders>
              <w:top w:val="nil"/>
              <w:left w:val="nil"/>
              <w:bottom w:val="nil"/>
              <w:right w:val="single" w:sz="4" w:space="0" w:color="auto"/>
            </w:tcBorders>
            <w:noWrap/>
            <w:vAlign w:val="bottom"/>
            <w:hideMark/>
          </w:tcPr>
          <w:p w14:paraId="209CDA7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6604C9B1" w14:textId="77777777" w:rsidTr="00CA749B">
        <w:trPr>
          <w:trHeight w:val="300"/>
          <w:jc w:val="center"/>
        </w:trPr>
        <w:tc>
          <w:tcPr>
            <w:tcW w:w="0" w:type="auto"/>
            <w:tcBorders>
              <w:top w:val="nil"/>
              <w:left w:val="single" w:sz="4" w:space="0" w:color="auto"/>
              <w:bottom w:val="nil"/>
              <w:right w:val="nil"/>
            </w:tcBorders>
            <w:noWrap/>
            <w:vAlign w:val="bottom"/>
            <w:hideMark/>
          </w:tcPr>
          <w:p w14:paraId="262510E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ANDRATX</w:t>
            </w:r>
          </w:p>
        </w:tc>
        <w:tc>
          <w:tcPr>
            <w:tcW w:w="0" w:type="auto"/>
            <w:tcBorders>
              <w:top w:val="nil"/>
              <w:left w:val="nil"/>
              <w:bottom w:val="nil"/>
              <w:right w:val="single" w:sz="4" w:space="0" w:color="auto"/>
            </w:tcBorders>
            <w:noWrap/>
            <w:vAlign w:val="bottom"/>
            <w:hideMark/>
          </w:tcPr>
          <w:p w14:paraId="770716D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9B615C4" w14:textId="77777777" w:rsidTr="00CA749B">
        <w:trPr>
          <w:trHeight w:val="300"/>
          <w:jc w:val="center"/>
        </w:trPr>
        <w:tc>
          <w:tcPr>
            <w:tcW w:w="0" w:type="auto"/>
            <w:tcBorders>
              <w:top w:val="nil"/>
              <w:left w:val="single" w:sz="4" w:space="0" w:color="auto"/>
              <w:bottom w:val="nil"/>
              <w:right w:val="nil"/>
            </w:tcBorders>
            <w:noWrap/>
            <w:vAlign w:val="bottom"/>
            <w:hideMark/>
          </w:tcPr>
          <w:p w14:paraId="60BA682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ARENYS DE MAR</w:t>
            </w:r>
          </w:p>
        </w:tc>
        <w:tc>
          <w:tcPr>
            <w:tcW w:w="0" w:type="auto"/>
            <w:tcBorders>
              <w:top w:val="nil"/>
              <w:left w:val="nil"/>
              <w:bottom w:val="nil"/>
              <w:right w:val="single" w:sz="4" w:space="0" w:color="auto"/>
            </w:tcBorders>
            <w:noWrap/>
            <w:vAlign w:val="bottom"/>
            <w:hideMark/>
          </w:tcPr>
          <w:p w14:paraId="6A39E29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7EA47B96" w14:textId="77777777" w:rsidTr="00CA749B">
        <w:trPr>
          <w:trHeight w:val="300"/>
          <w:jc w:val="center"/>
        </w:trPr>
        <w:tc>
          <w:tcPr>
            <w:tcW w:w="0" w:type="auto"/>
            <w:tcBorders>
              <w:top w:val="nil"/>
              <w:left w:val="single" w:sz="4" w:space="0" w:color="auto"/>
              <w:bottom w:val="nil"/>
              <w:right w:val="nil"/>
            </w:tcBorders>
            <w:noWrap/>
            <w:vAlign w:val="bottom"/>
            <w:hideMark/>
          </w:tcPr>
          <w:p w14:paraId="696DDD6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ARGUINEGUIN</w:t>
            </w:r>
          </w:p>
        </w:tc>
        <w:tc>
          <w:tcPr>
            <w:tcW w:w="0" w:type="auto"/>
            <w:tcBorders>
              <w:top w:val="nil"/>
              <w:left w:val="nil"/>
              <w:bottom w:val="nil"/>
              <w:right w:val="single" w:sz="4" w:space="0" w:color="auto"/>
            </w:tcBorders>
            <w:noWrap/>
            <w:vAlign w:val="bottom"/>
            <w:hideMark/>
          </w:tcPr>
          <w:p w14:paraId="36D403D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5CA587D9" w14:textId="77777777" w:rsidTr="00CA749B">
        <w:trPr>
          <w:trHeight w:val="300"/>
          <w:jc w:val="center"/>
        </w:trPr>
        <w:tc>
          <w:tcPr>
            <w:tcW w:w="0" w:type="auto"/>
            <w:tcBorders>
              <w:top w:val="nil"/>
              <w:left w:val="single" w:sz="4" w:space="0" w:color="auto"/>
              <w:bottom w:val="nil"/>
              <w:right w:val="nil"/>
            </w:tcBorders>
            <w:noWrap/>
            <w:vAlign w:val="bottom"/>
            <w:hideMark/>
          </w:tcPr>
          <w:p w14:paraId="07262EF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ARRECIFE DE LANZAROTE</w:t>
            </w:r>
          </w:p>
        </w:tc>
        <w:tc>
          <w:tcPr>
            <w:tcW w:w="0" w:type="auto"/>
            <w:tcBorders>
              <w:top w:val="nil"/>
              <w:left w:val="nil"/>
              <w:bottom w:val="nil"/>
              <w:right w:val="single" w:sz="4" w:space="0" w:color="auto"/>
            </w:tcBorders>
            <w:noWrap/>
            <w:vAlign w:val="bottom"/>
            <w:hideMark/>
          </w:tcPr>
          <w:p w14:paraId="5EE39A5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5DE2699D" w14:textId="77777777" w:rsidTr="00CA749B">
        <w:trPr>
          <w:trHeight w:val="300"/>
          <w:jc w:val="center"/>
        </w:trPr>
        <w:tc>
          <w:tcPr>
            <w:tcW w:w="0" w:type="auto"/>
            <w:tcBorders>
              <w:top w:val="nil"/>
              <w:left w:val="single" w:sz="4" w:space="0" w:color="auto"/>
              <w:bottom w:val="nil"/>
              <w:right w:val="nil"/>
            </w:tcBorders>
            <w:noWrap/>
            <w:vAlign w:val="bottom"/>
            <w:hideMark/>
          </w:tcPr>
          <w:p w14:paraId="5559742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AVILES</w:t>
            </w:r>
          </w:p>
        </w:tc>
        <w:tc>
          <w:tcPr>
            <w:tcW w:w="0" w:type="auto"/>
            <w:tcBorders>
              <w:top w:val="nil"/>
              <w:left w:val="nil"/>
              <w:bottom w:val="nil"/>
              <w:right w:val="single" w:sz="4" w:space="0" w:color="auto"/>
            </w:tcBorders>
            <w:noWrap/>
            <w:vAlign w:val="bottom"/>
            <w:hideMark/>
          </w:tcPr>
          <w:p w14:paraId="63CA2B0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191B025" w14:textId="77777777" w:rsidTr="00CA749B">
        <w:trPr>
          <w:trHeight w:val="300"/>
          <w:jc w:val="center"/>
        </w:trPr>
        <w:tc>
          <w:tcPr>
            <w:tcW w:w="0" w:type="auto"/>
            <w:tcBorders>
              <w:top w:val="nil"/>
              <w:left w:val="single" w:sz="4" w:space="0" w:color="auto"/>
              <w:bottom w:val="nil"/>
              <w:right w:val="nil"/>
            </w:tcBorders>
            <w:noWrap/>
            <w:vAlign w:val="bottom"/>
            <w:hideMark/>
          </w:tcPr>
          <w:p w14:paraId="51FA885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AZOHIA</w:t>
            </w:r>
          </w:p>
        </w:tc>
        <w:tc>
          <w:tcPr>
            <w:tcW w:w="0" w:type="auto"/>
            <w:tcBorders>
              <w:top w:val="nil"/>
              <w:left w:val="nil"/>
              <w:bottom w:val="nil"/>
              <w:right w:val="single" w:sz="4" w:space="0" w:color="auto"/>
            </w:tcBorders>
            <w:noWrap/>
            <w:vAlign w:val="bottom"/>
            <w:hideMark/>
          </w:tcPr>
          <w:p w14:paraId="134D8FC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7009054A" w14:textId="77777777" w:rsidTr="00CA749B">
        <w:trPr>
          <w:trHeight w:val="300"/>
          <w:jc w:val="center"/>
        </w:trPr>
        <w:tc>
          <w:tcPr>
            <w:tcW w:w="0" w:type="auto"/>
            <w:tcBorders>
              <w:top w:val="nil"/>
              <w:left w:val="single" w:sz="4" w:space="0" w:color="auto"/>
              <w:bottom w:val="nil"/>
              <w:right w:val="nil"/>
            </w:tcBorders>
            <w:noWrap/>
            <w:vAlign w:val="bottom"/>
            <w:hideMark/>
          </w:tcPr>
          <w:p w14:paraId="6D1F2FA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BADALONA</w:t>
            </w:r>
          </w:p>
        </w:tc>
        <w:tc>
          <w:tcPr>
            <w:tcW w:w="0" w:type="auto"/>
            <w:tcBorders>
              <w:top w:val="nil"/>
              <w:left w:val="nil"/>
              <w:bottom w:val="nil"/>
              <w:right w:val="single" w:sz="4" w:space="0" w:color="auto"/>
            </w:tcBorders>
            <w:noWrap/>
            <w:vAlign w:val="bottom"/>
            <w:hideMark/>
          </w:tcPr>
          <w:p w14:paraId="60747DB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C6D555F" w14:textId="77777777" w:rsidTr="00CA749B">
        <w:trPr>
          <w:trHeight w:val="300"/>
          <w:jc w:val="center"/>
        </w:trPr>
        <w:tc>
          <w:tcPr>
            <w:tcW w:w="0" w:type="auto"/>
            <w:tcBorders>
              <w:top w:val="nil"/>
              <w:left w:val="single" w:sz="4" w:space="0" w:color="auto"/>
              <w:bottom w:val="nil"/>
              <w:right w:val="nil"/>
            </w:tcBorders>
            <w:noWrap/>
            <w:vAlign w:val="bottom"/>
            <w:hideMark/>
          </w:tcPr>
          <w:p w14:paraId="251CE03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BARBATE</w:t>
            </w:r>
          </w:p>
        </w:tc>
        <w:tc>
          <w:tcPr>
            <w:tcW w:w="0" w:type="auto"/>
            <w:tcBorders>
              <w:top w:val="nil"/>
              <w:left w:val="nil"/>
              <w:bottom w:val="nil"/>
              <w:right w:val="single" w:sz="4" w:space="0" w:color="auto"/>
            </w:tcBorders>
            <w:noWrap/>
            <w:vAlign w:val="bottom"/>
            <w:hideMark/>
          </w:tcPr>
          <w:p w14:paraId="5FD2936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3D336F0" w14:textId="77777777" w:rsidTr="00CA749B">
        <w:trPr>
          <w:trHeight w:val="300"/>
          <w:jc w:val="center"/>
        </w:trPr>
        <w:tc>
          <w:tcPr>
            <w:tcW w:w="0" w:type="auto"/>
            <w:tcBorders>
              <w:top w:val="nil"/>
              <w:left w:val="single" w:sz="4" w:space="0" w:color="auto"/>
              <w:bottom w:val="nil"/>
              <w:right w:val="nil"/>
            </w:tcBorders>
            <w:noWrap/>
            <w:vAlign w:val="bottom"/>
            <w:hideMark/>
          </w:tcPr>
          <w:p w14:paraId="7970E28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BARCELONA</w:t>
            </w:r>
          </w:p>
        </w:tc>
        <w:tc>
          <w:tcPr>
            <w:tcW w:w="0" w:type="auto"/>
            <w:tcBorders>
              <w:top w:val="nil"/>
              <w:left w:val="nil"/>
              <w:bottom w:val="nil"/>
              <w:right w:val="single" w:sz="4" w:space="0" w:color="auto"/>
            </w:tcBorders>
            <w:noWrap/>
            <w:vAlign w:val="bottom"/>
            <w:hideMark/>
          </w:tcPr>
          <w:p w14:paraId="7AAEED5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08FCCD61" w14:textId="77777777" w:rsidTr="00CA749B">
        <w:trPr>
          <w:trHeight w:val="300"/>
          <w:jc w:val="center"/>
        </w:trPr>
        <w:tc>
          <w:tcPr>
            <w:tcW w:w="0" w:type="auto"/>
            <w:tcBorders>
              <w:top w:val="nil"/>
              <w:left w:val="single" w:sz="4" w:space="0" w:color="auto"/>
              <w:bottom w:val="nil"/>
              <w:right w:val="nil"/>
            </w:tcBorders>
            <w:noWrap/>
            <w:vAlign w:val="bottom"/>
            <w:hideMark/>
          </w:tcPr>
          <w:p w14:paraId="78EF481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BENICARLO</w:t>
            </w:r>
          </w:p>
        </w:tc>
        <w:tc>
          <w:tcPr>
            <w:tcW w:w="0" w:type="auto"/>
            <w:tcBorders>
              <w:top w:val="nil"/>
              <w:left w:val="nil"/>
              <w:bottom w:val="nil"/>
              <w:right w:val="single" w:sz="4" w:space="0" w:color="auto"/>
            </w:tcBorders>
            <w:noWrap/>
            <w:vAlign w:val="bottom"/>
            <w:hideMark/>
          </w:tcPr>
          <w:p w14:paraId="0EAC747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5D319B8A" w14:textId="77777777" w:rsidTr="00CA749B">
        <w:trPr>
          <w:trHeight w:val="300"/>
          <w:jc w:val="center"/>
        </w:trPr>
        <w:tc>
          <w:tcPr>
            <w:tcW w:w="0" w:type="auto"/>
            <w:tcBorders>
              <w:top w:val="nil"/>
              <w:left w:val="single" w:sz="4" w:space="0" w:color="auto"/>
              <w:bottom w:val="nil"/>
              <w:right w:val="nil"/>
            </w:tcBorders>
            <w:noWrap/>
            <w:vAlign w:val="bottom"/>
            <w:hideMark/>
          </w:tcPr>
          <w:p w14:paraId="655FB50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BERMEO</w:t>
            </w:r>
          </w:p>
        </w:tc>
        <w:tc>
          <w:tcPr>
            <w:tcW w:w="0" w:type="auto"/>
            <w:tcBorders>
              <w:top w:val="nil"/>
              <w:left w:val="nil"/>
              <w:bottom w:val="nil"/>
              <w:right w:val="single" w:sz="4" w:space="0" w:color="auto"/>
            </w:tcBorders>
            <w:noWrap/>
            <w:vAlign w:val="bottom"/>
            <w:hideMark/>
          </w:tcPr>
          <w:p w14:paraId="23B1205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6E333943" w14:textId="77777777" w:rsidTr="00CA749B">
        <w:trPr>
          <w:trHeight w:val="300"/>
          <w:jc w:val="center"/>
        </w:trPr>
        <w:tc>
          <w:tcPr>
            <w:tcW w:w="0" w:type="auto"/>
            <w:tcBorders>
              <w:top w:val="nil"/>
              <w:left w:val="single" w:sz="4" w:space="0" w:color="auto"/>
              <w:bottom w:val="nil"/>
              <w:right w:val="nil"/>
            </w:tcBorders>
            <w:noWrap/>
            <w:vAlign w:val="bottom"/>
            <w:hideMark/>
          </w:tcPr>
          <w:p w14:paraId="5328EE5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BLANES</w:t>
            </w:r>
          </w:p>
        </w:tc>
        <w:tc>
          <w:tcPr>
            <w:tcW w:w="0" w:type="auto"/>
            <w:tcBorders>
              <w:top w:val="nil"/>
              <w:left w:val="nil"/>
              <w:bottom w:val="nil"/>
              <w:right w:val="single" w:sz="4" w:space="0" w:color="auto"/>
            </w:tcBorders>
            <w:noWrap/>
            <w:vAlign w:val="bottom"/>
            <w:hideMark/>
          </w:tcPr>
          <w:p w14:paraId="644CB7C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6AE96055" w14:textId="77777777" w:rsidTr="00CA749B">
        <w:trPr>
          <w:trHeight w:val="300"/>
          <w:jc w:val="center"/>
        </w:trPr>
        <w:tc>
          <w:tcPr>
            <w:tcW w:w="0" w:type="auto"/>
            <w:tcBorders>
              <w:top w:val="nil"/>
              <w:left w:val="single" w:sz="4" w:space="0" w:color="auto"/>
              <w:bottom w:val="nil"/>
              <w:right w:val="nil"/>
            </w:tcBorders>
            <w:noWrap/>
            <w:vAlign w:val="bottom"/>
            <w:hideMark/>
          </w:tcPr>
          <w:p w14:paraId="3E28B5B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BURELA</w:t>
            </w:r>
          </w:p>
        </w:tc>
        <w:tc>
          <w:tcPr>
            <w:tcW w:w="0" w:type="auto"/>
            <w:tcBorders>
              <w:top w:val="nil"/>
              <w:left w:val="nil"/>
              <w:bottom w:val="nil"/>
              <w:right w:val="single" w:sz="4" w:space="0" w:color="auto"/>
            </w:tcBorders>
            <w:noWrap/>
            <w:vAlign w:val="bottom"/>
            <w:hideMark/>
          </w:tcPr>
          <w:p w14:paraId="3AD07A1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4E7FFD1" w14:textId="77777777" w:rsidTr="00CA749B">
        <w:trPr>
          <w:trHeight w:val="300"/>
          <w:jc w:val="center"/>
        </w:trPr>
        <w:tc>
          <w:tcPr>
            <w:tcW w:w="0" w:type="auto"/>
            <w:tcBorders>
              <w:top w:val="nil"/>
              <w:left w:val="single" w:sz="4" w:space="0" w:color="auto"/>
              <w:bottom w:val="nil"/>
              <w:right w:val="nil"/>
            </w:tcBorders>
            <w:noWrap/>
            <w:vAlign w:val="bottom"/>
            <w:hideMark/>
          </w:tcPr>
          <w:p w14:paraId="162186C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BURRIANA</w:t>
            </w:r>
          </w:p>
        </w:tc>
        <w:tc>
          <w:tcPr>
            <w:tcW w:w="0" w:type="auto"/>
            <w:tcBorders>
              <w:top w:val="nil"/>
              <w:left w:val="nil"/>
              <w:bottom w:val="nil"/>
              <w:right w:val="single" w:sz="4" w:space="0" w:color="auto"/>
            </w:tcBorders>
            <w:noWrap/>
            <w:vAlign w:val="bottom"/>
            <w:hideMark/>
          </w:tcPr>
          <w:p w14:paraId="1F3B66E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62B2C2B2" w14:textId="77777777" w:rsidTr="00CA749B">
        <w:trPr>
          <w:trHeight w:val="300"/>
          <w:jc w:val="center"/>
        </w:trPr>
        <w:tc>
          <w:tcPr>
            <w:tcW w:w="0" w:type="auto"/>
            <w:tcBorders>
              <w:top w:val="nil"/>
              <w:left w:val="single" w:sz="4" w:space="0" w:color="auto"/>
              <w:bottom w:val="nil"/>
              <w:right w:val="nil"/>
            </w:tcBorders>
            <w:noWrap/>
            <w:vAlign w:val="bottom"/>
            <w:hideMark/>
          </w:tcPr>
          <w:p w14:paraId="134DC27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CABO PALOS</w:t>
            </w:r>
          </w:p>
        </w:tc>
        <w:tc>
          <w:tcPr>
            <w:tcW w:w="0" w:type="auto"/>
            <w:tcBorders>
              <w:top w:val="nil"/>
              <w:left w:val="nil"/>
              <w:bottom w:val="nil"/>
              <w:right w:val="single" w:sz="4" w:space="0" w:color="auto"/>
            </w:tcBorders>
            <w:noWrap/>
            <w:vAlign w:val="bottom"/>
            <w:hideMark/>
          </w:tcPr>
          <w:p w14:paraId="292A9C1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BF173E0" w14:textId="77777777" w:rsidTr="00CA749B">
        <w:trPr>
          <w:trHeight w:val="300"/>
          <w:jc w:val="center"/>
        </w:trPr>
        <w:tc>
          <w:tcPr>
            <w:tcW w:w="0" w:type="auto"/>
            <w:tcBorders>
              <w:top w:val="nil"/>
              <w:left w:val="single" w:sz="4" w:space="0" w:color="auto"/>
              <w:bottom w:val="nil"/>
              <w:right w:val="nil"/>
            </w:tcBorders>
            <w:noWrap/>
            <w:vAlign w:val="bottom"/>
            <w:hideMark/>
          </w:tcPr>
          <w:p w14:paraId="7EE4042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CADIZ</w:t>
            </w:r>
          </w:p>
        </w:tc>
        <w:tc>
          <w:tcPr>
            <w:tcW w:w="0" w:type="auto"/>
            <w:tcBorders>
              <w:top w:val="nil"/>
              <w:left w:val="nil"/>
              <w:bottom w:val="nil"/>
              <w:right w:val="single" w:sz="4" w:space="0" w:color="auto"/>
            </w:tcBorders>
            <w:noWrap/>
            <w:vAlign w:val="bottom"/>
            <w:hideMark/>
          </w:tcPr>
          <w:p w14:paraId="0C81003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3E5C470D" w14:textId="77777777" w:rsidTr="00CA749B">
        <w:trPr>
          <w:trHeight w:val="300"/>
          <w:jc w:val="center"/>
        </w:trPr>
        <w:tc>
          <w:tcPr>
            <w:tcW w:w="0" w:type="auto"/>
            <w:tcBorders>
              <w:top w:val="nil"/>
              <w:left w:val="single" w:sz="4" w:space="0" w:color="auto"/>
              <w:bottom w:val="nil"/>
              <w:right w:val="nil"/>
            </w:tcBorders>
            <w:noWrap/>
            <w:vAlign w:val="bottom"/>
            <w:hideMark/>
          </w:tcPr>
          <w:p w14:paraId="08F73FE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CALA BONA</w:t>
            </w:r>
          </w:p>
        </w:tc>
        <w:tc>
          <w:tcPr>
            <w:tcW w:w="0" w:type="auto"/>
            <w:tcBorders>
              <w:top w:val="nil"/>
              <w:left w:val="nil"/>
              <w:bottom w:val="nil"/>
              <w:right w:val="single" w:sz="4" w:space="0" w:color="auto"/>
            </w:tcBorders>
            <w:noWrap/>
            <w:vAlign w:val="bottom"/>
            <w:hideMark/>
          </w:tcPr>
          <w:p w14:paraId="105C41F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0C91A9F4" w14:textId="77777777" w:rsidTr="00CA749B">
        <w:trPr>
          <w:trHeight w:val="300"/>
          <w:jc w:val="center"/>
        </w:trPr>
        <w:tc>
          <w:tcPr>
            <w:tcW w:w="0" w:type="auto"/>
            <w:tcBorders>
              <w:top w:val="nil"/>
              <w:left w:val="single" w:sz="4" w:space="0" w:color="auto"/>
              <w:bottom w:val="nil"/>
              <w:right w:val="nil"/>
            </w:tcBorders>
            <w:noWrap/>
            <w:vAlign w:val="bottom"/>
            <w:hideMark/>
          </w:tcPr>
          <w:p w14:paraId="751E83C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CALA RATJADA</w:t>
            </w:r>
          </w:p>
        </w:tc>
        <w:tc>
          <w:tcPr>
            <w:tcW w:w="0" w:type="auto"/>
            <w:tcBorders>
              <w:top w:val="nil"/>
              <w:left w:val="nil"/>
              <w:bottom w:val="nil"/>
              <w:right w:val="single" w:sz="4" w:space="0" w:color="auto"/>
            </w:tcBorders>
            <w:noWrap/>
            <w:vAlign w:val="bottom"/>
            <w:hideMark/>
          </w:tcPr>
          <w:p w14:paraId="2EB2632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32FFA66C" w14:textId="77777777" w:rsidTr="00CA749B">
        <w:trPr>
          <w:trHeight w:val="300"/>
          <w:jc w:val="center"/>
        </w:trPr>
        <w:tc>
          <w:tcPr>
            <w:tcW w:w="0" w:type="auto"/>
            <w:tcBorders>
              <w:top w:val="nil"/>
              <w:left w:val="single" w:sz="4" w:space="0" w:color="auto"/>
              <w:bottom w:val="nil"/>
              <w:right w:val="nil"/>
            </w:tcBorders>
            <w:noWrap/>
            <w:vAlign w:val="bottom"/>
            <w:hideMark/>
          </w:tcPr>
          <w:p w14:paraId="4B31BBA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CALETA DE VELEZ</w:t>
            </w:r>
          </w:p>
        </w:tc>
        <w:tc>
          <w:tcPr>
            <w:tcW w:w="0" w:type="auto"/>
            <w:tcBorders>
              <w:top w:val="nil"/>
              <w:left w:val="nil"/>
              <w:bottom w:val="nil"/>
              <w:right w:val="single" w:sz="4" w:space="0" w:color="auto"/>
            </w:tcBorders>
            <w:noWrap/>
            <w:vAlign w:val="bottom"/>
            <w:hideMark/>
          </w:tcPr>
          <w:p w14:paraId="4DF7B5A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5D961BAB" w14:textId="77777777" w:rsidTr="00CA749B">
        <w:trPr>
          <w:trHeight w:val="300"/>
          <w:jc w:val="center"/>
        </w:trPr>
        <w:tc>
          <w:tcPr>
            <w:tcW w:w="0" w:type="auto"/>
            <w:tcBorders>
              <w:top w:val="nil"/>
              <w:left w:val="single" w:sz="4" w:space="0" w:color="auto"/>
              <w:bottom w:val="nil"/>
              <w:right w:val="nil"/>
            </w:tcBorders>
            <w:noWrap/>
            <w:vAlign w:val="bottom"/>
            <w:hideMark/>
          </w:tcPr>
          <w:p w14:paraId="14A05B4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CALPE</w:t>
            </w:r>
          </w:p>
        </w:tc>
        <w:tc>
          <w:tcPr>
            <w:tcW w:w="0" w:type="auto"/>
            <w:tcBorders>
              <w:top w:val="nil"/>
              <w:left w:val="nil"/>
              <w:bottom w:val="nil"/>
              <w:right w:val="single" w:sz="4" w:space="0" w:color="auto"/>
            </w:tcBorders>
            <w:noWrap/>
            <w:vAlign w:val="bottom"/>
            <w:hideMark/>
          </w:tcPr>
          <w:p w14:paraId="66DA3E5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0E07285C" w14:textId="77777777" w:rsidTr="00CA749B">
        <w:trPr>
          <w:trHeight w:val="300"/>
          <w:jc w:val="center"/>
        </w:trPr>
        <w:tc>
          <w:tcPr>
            <w:tcW w:w="0" w:type="auto"/>
            <w:tcBorders>
              <w:top w:val="nil"/>
              <w:left w:val="single" w:sz="4" w:space="0" w:color="auto"/>
              <w:bottom w:val="nil"/>
              <w:right w:val="nil"/>
            </w:tcBorders>
            <w:noWrap/>
            <w:vAlign w:val="bottom"/>
            <w:hideMark/>
          </w:tcPr>
          <w:p w14:paraId="62B0525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CAMBRILS</w:t>
            </w:r>
          </w:p>
        </w:tc>
        <w:tc>
          <w:tcPr>
            <w:tcW w:w="0" w:type="auto"/>
            <w:tcBorders>
              <w:top w:val="nil"/>
              <w:left w:val="nil"/>
              <w:bottom w:val="nil"/>
              <w:right w:val="single" w:sz="4" w:space="0" w:color="auto"/>
            </w:tcBorders>
            <w:noWrap/>
            <w:vAlign w:val="bottom"/>
            <w:hideMark/>
          </w:tcPr>
          <w:p w14:paraId="215326E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1746D40E" w14:textId="77777777" w:rsidTr="00CA749B">
        <w:trPr>
          <w:trHeight w:val="300"/>
          <w:jc w:val="center"/>
        </w:trPr>
        <w:tc>
          <w:tcPr>
            <w:tcW w:w="0" w:type="auto"/>
            <w:tcBorders>
              <w:top w:val="nil"/>
              <w:left w:val="single" w:sz="4" w:space="0" w:color="auto"/>
              <w:bottom w:val="nil"/>
              <w:right w:val="nil"/>
            </w:tcBorders>
            <w:noWrap/>
            <w:vAlign w:val="bottom"/>
            <w:hideMark/>
          </w:tcPr>
          <w:p w14:paraId="43A401C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CARBONERAS</w:t>
            </w:r>
          </w:p>
        </w:tc>
        <w:tc>
          <w:tcPr>
            <w:tcW w:w="0" w:type="auto"/>
            <w:tcBorders>
              <w:top w:val="nil"/>
              <w:left w:val="nil"/>
              <w:bottom w:val="nil"/>
              <w:right w:val="single" w:sz="4" w:space="0" w:color="auto"/>
            </w:tcBorders>
            <w:noWrap/>
            <w:vAlign w:val="bottom"/>
            <w:hideMark/>
          </w:tcPr>
          <w:p w14:paraId="05E402A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95A6BDD" w14:textId="77777777" w:rsidTr="00CA749B">
        <w:trPr>
          <w:trHeight w:val="300"/>
          <w:jc w:val="center"/>
        </w:trPr>
        <w:tc>
          <w:tcPr>
            <w:tcW w:w="0" w:type="auto"/>
            <w:tcBorders>
              <w:top w:val="nil"/>
              <w:left w:val="single" w:sz="4" w:space="0" w:color="auto"/>
              <w:bottom w:val="nil"/>
              <w:right w:val="nil"/>
            </w:tcBorders>
            <w:noWrap/>
            <w:vAlign w:val="bottom"/>
            <w:hideMark/>
          </w:tcPr>
          <w:p w14:paraId="1341DB9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CARTAGENA</w:t>
            </w:r>
          </w:p>
        </w:tc>
        <w:tc>
          <w:tcPr>
            <w:tcW w:w="0" w:type="auto"/>
            <w:tcBorders>
              <w:top w:val="nil"/>
              <w:left w:val="nil"/>
              <w:bottom w:val="nil"/>
              <w:right w:val="single" w:sz="4" w:space="0" w:color="auto"/>
            </w:tcBorders>
            <w:noWrap/>
            <w:vAlign w:val="bottom"/>
            <w:hideMark/>
          </w:tcPr>
          <w:p w14:paraId="609182F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6B0C3590" w14:textId="77777777" w:rsidTr="00CA749B">
        <w:trPr>
          <w:trHeight w:val="300"/>
          <w:jc w:val="center"/>
        </w:trPr>
        <w:tc>
          <w:tcPr>
            <w:tcW w:w="0" w:type="auto"/>
            <w:tcBorders>
              <w:top w:val="nil"/>
              <w:left w:val="single" w:sz="4" w:space="0" w:color="auto"/>
              <w:bottom w:val="nil"/>
              <w:right w:val="nil"/>
            </w:tcBorders>
            <w:noWrap/>
            <w:vAlign w:val="bottom"/>
            <w:hideMark/>
          </w:tcPr>
          <w:p w14:paraId="2CE8DC3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CASAS DE ALCANAR</w:t>
            </w:r>
          </w:p>
        </w:tc>
        <w:tc>
          <w:tcPr>
            <w:tcW w:w="0" w:type="auto"/>
            <w:tcBorders>
              <w:top w:val="nil"/>
              <w:left w:val="nil"/>
              <w:bottom w:val="nil"/>
              <w:right w:val="single" w:sz="4" w:space="0" w:color="auto"/>
            </w:tcBorders>
            <w:noWrap/>
            <w:vAlign w:val="bottom"/>
            <w:hideMark/>
          </w:tcPr>
          <w:p w14:paraId="7C552F8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7019AD07" w14:textId="77777777" w:rsidTr="00CA749B">
        <w:trPr>
          <w:trHeight w:val="300"/>
          <w:jc w:val="center"/>
        </w:trPr>
        <w:tc>
          <w:tcPr>
            <w:tcW w:w="0" w:type="auto"/>
            <w:tcBorders>
              <w:top w:val="nil"/>
              <w:left w:val="single" w:sz="4" w:space="0" w:color="auto"/>
              <w:bottom w:val="nil"/>
              <w:right w:val="nil"/>
            </w:tcBorders>
            <w:noWrap/>
            <w:vAlign w:val="bottom"/>
            <w:hideMark/>
          </w:tcPr>
          <w:p w14:paraId="4E6FBD1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CASTELLON</w:t>
            </w:r>
          </w:p>
        </w:tc>
        <w:tc>
          <w:tcPr>
            <w:tcW w:w="0" w:type="auto"/>
            <w:tcBorders>
              <w:top w:val="nil"/>
              <w:left w:val="nil"/>
              <w:bottom w:val="nil"/>
              <w:right w:val="single" w:sz="4" w:space="0" w:color="auto"/>
            </w:tcBorders>
            <w:noWrap/>
            <w:vAlign w:val="bottom"/>
            <w:hideMark/>
          </w:tcPr>
          <w:p w14:paraId="2FB5E4D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13D413F3" w14:textId="77777777" w:rsidTr="00CA749B">
        <w:trPr>
          <w:trHeight w:val="300"/>
          <w:jc w:val="center"/>
        </w:trPr>
        <w:tc>
          <w:tcPr>
            <w:tcW w:w="0" w:type="auto"/>
            <w:tcBorders>
              <w:top w:val="nil"/>
              <w:left w:val="single" w:sz="4" w:space="0" w:color="auto"/>
              <w:bottom w:val="nil"/>
              <w:right w:val="nil"/>
            </w:tcBorders>
            <w:noWrap/>
            <w:vAlign w:val="bottom"/>
            <w:hideMark/>
          </w:tcPr>
          <w:p w14:paraId="240FCEF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CELEIRO</w:t>
            </w:r>
          </w:p>
        </w:tc>
        <w:tc>
          <w:tcPr>
            <w:tcW w:w="0" w:type="auto"/>
            <w:tcBorders>
              <w:top w:val="nil"/>
              <w:left w:val="nil"/>
              <w:bottom w:val="nil"/>
              <w:right w:val="single" w:sz="4" w:space="0" w:color="auto"/>
            </w:tcBorders>
            <w:noWrap/>
            <w:vAlign w:val="bottom"/>
            <w:hideMark/>
          </w:tcPr>
          <w:p w14:paraId="0D83C97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0CF4EA4" w14:textId="77777777" w:rsidTr="00CA749B">
        <w:trPr>
          <w:trHeight w:val="300"/>
          <w:jc w:val="center"/>
        </w:trPr>
        <w:tc>
          <w:tcPr>
            <w:tcW w:w="0" w:type="auto"/>
            <w:tcBorders>
              <w:top w:val="nil"/>
              <w:left w:val="single" w:sz="4" w:space="0" w:color="auto"/>
              <w:bottom w:val="nil"/>
              <w:right w:val="nil"/>
            </w:tcBorders>
            <w:noWrap/>
            <w:vAlign w:val="bottom"/>
            <w:hideMark/>
          </w:tcPr>
          <w:p w14:paraId="4A0E1C9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CIUDADELA</w:t>
            </w:r>
          </w:p>
        </w:tc>
        <w:tc>
          <w:tcPr>
            <w:tcW w:w="0" w:type="auto"/>
            <w:tcBorders>
              <w:top w:val="nil"/>
              <w:left w:val="nil"/>
              <w:bottom w:val="nil"/>
              <w:right w:val="single" w:sz="4" w:space="0" w:color="auto"/>
            </w:tcBorders>
            <w:noWrap/>
            <w:vAlign w:val="bottom"/>
            <w:hideMark/>
          </w:tcPr>
          <w:p w14:paraId="1A6B48A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630933ED" w14:textId="77777777" w:rsidTr="00CA749B">
        <w:trPr>
          <w:trHeight w:val="300"/>
          <w:jc w:val="center"/>
        </w:trPr>
        <w:tc>
          <w:tcPr>
            <w:tcW w:w="0" w:type="auto"/>
            <w:tcBorders>
              <w:top w:val="nil"/>
              <w:left w:val="single" w:sz="4" w:space="0" w:color="auto"/>
              <w:bottom w:val="nil"/>
              <w:right w:val="nil"/>
            </w:tcBorders>
            <w:noWrap/>
            <w:vAlign w:val="bottom"/>
            <w:hideMark/>
          </w:tcPr>
          <w:p w14:paraId="4C08BBD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COLINDRES</w:t>
            </w:r>
          </w:p>
        </w:tc>
        <w:tc>
          <w:tcPr>
            <w:tcW w:w="0" w:type="auto"/>
            <w:tcBorders>
              <w:top w:val="nil"/>
              <w:left w:val="nil"/>
              <w:bottom w:val="nil"/>
              <w:right w:val="single" w:sz="4" w:space="0" w:color="auto"/>
            </w:tcBorders>
            <w:noWrap/>
            <w:vAlign w:val="bottom"/>
            <w:hideMark/>
          </w:tcPr>
          <w:p w14:paraId="061B5E9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1E5D0DAA" w14:textId="77777777" w:rsidTr="00CA749B">
        <w:trPr>
          <w:trHeight w:val="300"/>
          <w:jc w:val="center"/>
        </w:trPr>
        <w:tc>
          <w:tcPr>
            <w:tcW w:w="0" w:type="auto"/>
            <w:tcBorders>
              <w:top w:val="nil"/>
              <w:left w:val="single" w:sz="4" w:space="0" w:color="auto"/>
              <w:bottom w:val="nil"/>
              <w:right w:val="nil"/>
            </w:tcBorders>
            <w:noWrap/>
            <w:vAlign w:val="bottom"/>
            <w:hideMark/>
          </w:tcPr>
          <w:p w14:paraId="731A003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COLONIA SAN JORGE</w:t>
            </w:r>
          </w:p>
        </w:tc>
        <w:tc>
          <w:tcPr>
            <w:tcW w:w="0" w:type="auto"/>
            <w:tcBorders>
              <w:top w:val="nil"/>
              <w:left w:val="nil"/>
              <w:bottom w:val="nil"/>
              <w:right w:val="single" w:sz="4" w:space="0" w:color="auto"/>
            </w:tcBorders>
            <w:noWrap/>
            <w:vAlign w:val="bottom"/>
            <w:hideMark/>
          </w:tcPr>
          <w:p w14:paraId="4786EDC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7394E99D" w14:textId="77777777" w:rsidTr="00CA749B">
        <w:trPr>
          <w:trHeight w:val="300"/>
          <w:jc w:val="center"/>
        </w:trPr>
        <w:tc>
          <w:tcPr>
            <w:tcW w:w="0" w:type="auto"/>
            <w:tcBorders>
              <w:top w:val="nil"/>
              <w:left w:val="single" w:sz="4" w:space="0" w:color="auto"/>
              <w:bottom w:val="nil"/>
              <w:right w:val="nil"/>
            </w:tcBorders>
            <w:noWrap/>
            <w:vAlign w:val="bottom"/>
            <w:hideMark/>
          </w:tcPr>
          <w:p w14:paraId="72E1FDD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CONIL</w:t>
            </w:r>
          </w:p>
        </w:tc>
        <w:tc>
          <w:tcPr>
            <w:tcW w:w="0" w:type="auto"/>
            <w:tcBorders>
              <w:top w:val="nil"/>
              <w:left w:val="nil"/>
              <w:bottom w:val="nil"/>
              <w:right w:val="single" w:sz="4" w:space="0" w:color="auto"/>
            </w:tcBorders>
            <w:noWrap/>
            <w:vAlign w:val="bottom"/>
            <w:hideMark/>
          </w:tcPr>
          <w:p w14:paraId="62D3D4B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6F7ACE48" w14:textId="77777777" w:rsidTr="00CA749B">
        <w:trPr>
          <w:trHeight w:val="300"/>
          <w:jc w:val="center"/>
        </w:trPr>
        <w:tc>
          <w:tcPr>
            <w:tcW w:w="0" w:type="auto"/>
            <w:tcBorders>
              <w:top w:val="nil"/>
              <w:left w:val="single" w:sz="4" w:space="0" w:color="auto"/>
              <w:bottom w:val="nil"/>
              <w:right w:val="nil"/>
            </w:tcBorders>
            <w:noWrap/>
            <w:vAlign w:val="bottom"/>
            <w:hideMark/>
          </w:tcPr>
          <w:p w14:paraId="32D32A8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CORRALEJO</w:t>
            </w:r>
          </w:p>
        </w:tc>
        <w:tc>
          <w:tcPr>
            <w:tcW w:w="0" w:type="auto"/>
            <w:tcBorders>
              <w:top w:val="nil"/>
              <w:left w:val="nil"/>
              <w:bottom w:val="nil"/>
              <w:right w:val="single" w:sz="4" w:space="0" w:color="auto"/>
            </w:tcBorders>
            <w:noWrap/>
            <w:vAlign w:val="bottom"/>
            <w:hideMark/>
          </w:tcPr>
          <w:p w14:paraId="6A12D4C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0CA19281" w14:textId="77777777" w:rsidTr="00CA749B">
        <w:trPr>
          <w:trHeight w:val="300"/>
          <w:jc w:val="center"/>
        </w:trPr>
        <w:tc>
          <w:tcPr>
            <w:tcW w:w="0" w:type="auto"/>
            <w:tcBorders>
              <w:top w:val="nil"/>
              <w:left w:val="single" w:sz="4" w:space="0" w:color="auto"/>
              <w:bottom w:val="nil"/>
              <w:right w:val="nil"/>
            </w:tcBorders>
            <w:noWrap/>
            <w:vAlign w:val="bottom"/>
            <w:hideMark/>
          </w:tcPr>
          <w:p w14:paraId="55488C2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CULLERA</w:t>
            </w:r>
          </w:p>
        </w:tc>
        <w:tc>
          <w:tcPr>
            <w:tcW w:w="0" w:type="auto"/>
            <w:tcBorders>
              <w:top w:val="nil"/>
              <w:left w:val="nil"/>
              <w:bottom w:val="nil"/>
              <w:right w:val="single" w:sz="4" w:space="0" w:color="auto"/>
            </w:tcBorders>
            <w:noWrap/>
            <w:vAlign w:val="bottom"/>
            <w:hideMark/>
          </w:tcPr>
          <w:p w14:paraId="5B349E1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CAA40CF" w14:textId="77777777" w:rsidTr="00CA749B">
        <w:trPr>
          <w:trHeight w:val="300"/>
          <w:jc w:val="center"/>
        </w:trPr>
        <w:tc>
          <w:tcPr>
            <w:tcW w:w="0" w:type="auto"/>
            <w:tcBorders>
              <w:top w:val="nil"/>
              <w:left w:val="single" w:sz="4" w:space="0" w:color="auto"/>
              <w:bottom w:val="nil"/>
              <w:right w:val="nil"/>
            </w:tcBorders>
            <w:noWrap/>
            <w:vAlign w:val="bottom"/>
            <w:hideMark/>
          </w:tcPr>
          <w:p w14:paraId="2D7E108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ESTEPONA</w:t>
            </w:r>
          </w:p>
        </w:tc>
        <w:tc>
          <w:tcPr>
            <w:tcW w:w="0" w:type="auto"/>
            <w:tcBorders>
              <w:top w:val="nil"/>
              <w:left w:val="nil"/>
              <w:bottom w:val="nil"/>
              <w:right w:val="single" w:sz="4" w:space="0" w:color="auto"/>
            </w:tcBorders>
            <w:noWrap/>
            <w:vAlign w:val="bottom"/>
            <w:hideMark/>
          </w:tcPr>
          <w:p w14:paraId="584D686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55168DCB" w14:textId="77777777" w:rsidTr="00CA749B">
        <w:trPr>
          <w:trHeight w:val="300"/>
          <w:jc w:val="center"/>
        </w:trPr>
        <w:tc>
          <w:tcPr>
            <w:tcW w:w="0" w:type="auto"/>
            <w:tcBorders>
              <w:top w:val="nil"/>
              <w:left w:val="single" w:sz="4" w:space="0" w:color="auto"/>
              <w:bottom w:val="nil"/>
              <w:right w:val="nil"/>
            </w:tcBorders>
            <w:noWrap/>
            <w:vAlign w:val="bottom"/>
            <w:hideMark/>
          </w:tcPr>
          <w:p w14:paraId="1A850A7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FORMENTERA (CALA SAVINA)</w:t>
            </w:r>
          </w:p>
        </w:tc>
        <w:tc>
          <w:tcPr>
            <w:tcW w:w="0" w:type="auto"/>
            <w:tcBorders>
              <w:top w:val="nil"/>
              <w:left w:val="nil"/>
              <w:bottom w:val="nil"/>
              <w:right w:val="single" w:sz="4" w:space="0" w:color="auto"/>
            </w:tcBorders>
            <w:noWrap/>
            <w:vAlign w:val="bottom"/>
            <w:hideMark/>
          </w:tcPr>
          <w:p w14:paraId="7CEE17D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66E3FDC5" w14:textId="77777777" w:rsidTr="00CA749B">
        <w:trPr>
          <w:trHeight w:val="300"/>
          <w:jc w:val="center"/>
        </w:trPr>
        <w:tc>
          <w:tcPr>
            <w:tcW w:w="0" w:type="auto"/>
            <w:tcBorders>
              <w:top w:val="nil"/>
              <w:left w:val="single" w:sz="4" w:space="0" w:color="auto"/>
              <w:bottom w:val="nil"/>
              <w:right w:val="nil"/>
            </w:tcBorders>
            <w:noWrap/>
            <w:vAlign w:val="bottom"/>
            <w:hideMark/>
          </w:tcPr>
          <w:p w14:paraId="5D4A7F2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FORNELLS</w:t>
            </w:r>
          </w:p>
        </w:tc>
        <w:tc>
          <w:tcPr>
            <w:tcW w:w="0" w:type="auto"/>
            <w:tcBorders>
              <w:top w:val="nil"/>
              <w:left w:val="nil"/>
              <w:bottom w:val="nil"/>
              <w:right w:val="single" w:sz="4" w:space="0" w:color="auto"/>
            </w:tcBorders>
            <w:noWrap/>
            <w:vAlign w:val="bottom"/>
            <w:hideMark/>
          </w:tcPr>
          <w:p w14:paraId="0DFE112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536F651F" w14:textId="77777777" w:rsidTr="00CA749B">
        <w:trPr>
          <w:trHeight w:val="300"/>
          <w:jc w:val="center"/>
        </w:trPr>
        <w:tc>
          <w:tcPr>
            <w:tcW w:w="0" w:type="auto"/>
            <w:tcBorders>
              <w:top w:val="nil"/>
              <w:left w:val="single" w:sz="4" w:space="0" w:color="auto"/>
              <w:bottom w:val="nil"/>
              <w:right w:val="nil"/>
            </w:tcBorders>
            <w:noWrap/>
            <w:vAlign w:val="bottom"/>
            <w:hideMark/>
          </w:tcPr>
          <w:p w14:paraId="538B662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FUENGIROLA</w:t>
            </w:r>
          </w:p>
        </w:tc>
        <w:tc>
          <w:tcPr>
            <w:tcW w:w="0" w:type="auto"/>
            <w:tcBorders>
              <w:top w:val="nil"/>
              <w:left w:val="nil"/>
              <w:bottom w:val="nil"/>
              <w:right w:val="single" w:sz="4" w:space="0" w:color="auto"/>
            </w:tcBorders>
            <w:noWrap/>
            <w:vAlign w:val="bottom"/>
            <w:hideMark/>
          </w:tcPr>
          <w:p w14:paraId="25DABC1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63C01F24" w14:textId="77777777" w:rsidTr="00CA749B">
        <w:trPr>
          <w:trHeight w:val="300"/>
          <w:jc w:val="center"/>
        </w:trPr>
        <w:tc>
          <w:tcPr>
            <w:tcW w:w="0" w:type="auto"/>
            <w:tcBorders>
              <w:top w:val="nil"/>
              <w:left w:val="single" w:sz="4" w:space="0" w:color="auto"/>
              <w:bottom w:val="nil"/>
              <w:right w:val="nil"/>
            </w:tcBorders>
            <w:noWrap/>
            <w:vAlign w:val="bottom"/>
            <w:hideMark/>
          </w:tcPr>
          <w:p w14:paraId="7387462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GANDIA</w:t>
            </w:r>
          </w:p>
        </w:tc>
        <w:tc>
          <w:tcPr>
            <w:tcW w:w="0" w:type="auto"/>
            <w:tcBorders>
              <w:top w:val="nil"/>
              <w:left w:val="nil"/>
              <w:bottom w:val="nil"/>
              <w:right w:val="single" w:sz="4" w:space="0" w:color="auto"/>
            </w:tcBorders>
            <w:noWrap/>
            <w:vAlign w:val="bottom"/>
            <w:hideMark/>
          </w:tcPr>
          <w:p w14:paraId="279A411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09F36B92" w14:textId="77777777" w:rsidTr="00CA749B">
        <w:trPr>
          <w:trHeight w:val="300"/>
          <w:jc w:val="center"/>
        </w:trPr>
        <w:tc>
          <w:tcPr>
            <w:tcW w:w="0" w:type="auto"/>
            <w:tcBorders>
              <w:top w:val="nil"/>
              <w:left w:val="single" w:sz="4" w:space="0" w:color="auto"/>
              <w:bottom w:val="nil"/>
              <w:right w:val="nil"/>
            </w:tcBorders>
            <w:noWrap/>
            <w:vAlign w:val="bottom"/>
            <w:hideMark/>
          </w:tcPr>
          <w:p w14:paraId="5C7797B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GIJON</w:t>
            </w:r>
          </w:p>
        </w:tc>
        <w:tc>
          <w:tcPr>
            <w:tcW w:w="0" w:type="auto"/>
            <w:tcBorders>
              <w:top w:val="nil"/>
              <w:left w:val="nil"/>
              <w:bottom w:val="nil"/>
              <w:right w:val="single" w:sz="4" w:space="0" w:color="auto"/>
            </w:tcBorders>
            <w:noWrap/>
            <w:vAlign w:val="bottom"/>
            <w:hideMark/>
          </w:tcPr>
          <w:p w14:paraId="7304606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005FDD57" w14:textId="77777777" w:rsidTr="00CA749B">
        <w:trPr>
          <w:trHeight w:val="300"/>
          <w:jc w:val="center"/>
        </w:trPr>
        <w:tc>
          <w:tcPr>
            <w:tcW w:w="0" w:type="auto"/>
            <w:tcBorders>
              <w:top w:val="nil"/>
              <w:left w:val="single" w:sz="4" w:space="0" w:color="auto"/>
              <w:bottom w:val="nil"/>
              <w:right w:val="nil"/>
            </w:tcBorders>
            <w:noWrap/>
            <w:vAlign w:val="bottom"/>
            <w:hideMark/>
          </w:tcPr>
          <w:p w14:paraId="5A72883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GRAN TARAJAL</w:t>
            </w:r>
          </w:p>
        </w:tc>
        <w:tc>
          <w:tcPr>
            <w:tcW w:w="0" w:type="auto"/>
            <w:tcBorders>
              <w:top w:val="nil"/>
              <w:left w:val="nil"/>
              <w:bottom w:val="nil"/>
              <w:right w:val="single" w:sz="4" w:space="0" w:color="auto"/>
            </w:tcBorders>
            <w:noWrap/>
            <w:vAlign w:val="bottom"/>
            <w:hideMark/>
          </w:tcPr>
          <w:p w14:paraId="76DFBCE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A6470AA" w14:textId="77777777" w:rsidTr="00CA749B">
        <w:trPr>
          <w:trHeight w:val="300"/>
          <w:jc w:val="center"/>
        </w:trPr>
        <w:tc>
          <w:tcPr>
            <w:tcW w:w="0" w:type="auto"/>
            <w:tcBorders>
              <w:top w:val="nil"/>
              <w:left w:val="single" w:sz="4" w:space="0" w:color="auto"/>
              <w:bottom w:val="nil"/>
              <w:right w:val="nil"/>
            </w:tcBorders>
            <w:noWrap/>
            <w:vAlign w:val="bottom"/>
            <w:hideMark/>
          </w:tcPr>
          <w:p w14:paraId="78BB153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GUETARIA</w:t>
            </w:r>
          </w:p>
        </w:tc>
        <w:tc>
          <w:tcPr>
            <w:tcW w:w="0" w:type="auto"/>
            <w:tcBorders>
              <w:top w:val="nil"/>
              <w:left w:val="nil"/>
              <w:bottom w:val="nil"/>
              <w:right w:val="single" w:sz="4" w:space="0" w:color="auto"/>
            </w:tcBorders>
            <w:noWrap/>
            <w:vAlign w:val="bottom"/>
            <w:hideMark/>
          </w:tcPr>
          <w:p w14:paraId="3C29CB2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0C2AF47B" w14:textId="77777777" w:rsidTr="00CA749B">
        <w:trPr>
          <w:trHeight w:val="300"/>
          <w:jc w:val="center"/>
        </w:trPr>
        <w:tc>
          <w:tcPr>
            <w:tcW w:w="0" w:type="auto"/>
            <w:tcBorders>
              <w:top w:val="nil"/>
              <w:left w:val="single" w:sz="4" w:space="0" w:color="auto"/>
              <w:bottom w:val="nil"/>
              <w:right w:val="nil"/>
            </w:tcBorders>
            <w:noWrap/>
            <w:vAlign w:val="bottom"/>
            <w:hideMark/>
          </w:tcPr>
          <w:p w14:paraId="6A42F22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HONDARRIBIA</w:t>
            </w:r>
          </w:p>
        </w:tc>
        <w:tc>
          <w:tcPr>
            <w:tcW w:w="0" w:type="auto"/>
            <w:tcBorders>
              <w:top w:val="nil"/>
              <w:left w:val="nil"/>
              <w:bottom w:val="nil"/>
              <w:right w:val="single" w:sz="4" w:space="0" w:color="auto"/>
            </w:tcBorders>
            <w:noWrap/>
            <w:vAlign w:val="bottom"/>
            <w:hideMark/>
          </w:tcPr>
          <w:p w14:paraId="2550146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59F5C072" w14:textId="77777777" w:rsidTr="00CA749B">
        <w:trPr>
          <w:trHeight w:val="300"/>
          <w:jc w:val="center"/>
        </w:trPr>
        <w:tc>
          <w:tcPr>
            <w:tcW w:w="0" w:type="auto"/>
            <w:tcBorders>
              <w:top w:val="nil"/>
              <w:left w:val="single" w:sz="4" w:space="0" w:color="auto"/>
              <w:bottom w:val="nil"/>
              <w:right w:val="nil"/>
            </w:tcBorders>
            <w:noWrap/>
            <w:vAlign w:val="bottom"/>
            <w:hideMark/>
          </w:tcPr>
          <w:p w14:paraId="66F1D65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HUELVA</w:t>
            </w:r>
          </w:p>
        </w:tc>
        <w:tc>
          <w:tcPr>
            <w:tcW w:w="0" w:type="auto"/>
            <w:tcBorders>
              <w:top w:val="nil"/>
              <w:left w:val="nil"/>
              <w:bottom w:val="nil"/>
              <w:right w:val="single" w:sz="4" w:space="0" w:color="auto"/>
            </w:tcBorders>
            <w:noWrap/>
            <w:vAlign w:val="bottom"/>
            <w:hideMark/>
          </w:tcPr>
          <w:p w14:paraId="66B8C8A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67DCF8C0" w14:textId="77777777" w:rsidTr="00CA749B">
        <w:trPr>
          <w:trHeight w:val="300"/>
          <w:jc w:val="center"/>
        </w:trPr>
        <w:tc>
          <w:tcPr>
            <w:tcW w:w="0" w:type="auto"/>
            <w:tcBorders>
              <w:top w:val="nil"/>
              <w:left w:val="single" w:sz="4" w:space="0" w:color="auto"/>
              <w:bottom w:val="nil"/>
              <w:right w:val="nil"/>
            </w:tcBorders>
            <w:noWrap/>
            <w:vAlign w:val="bottom"/>
            <w:hideMark/>
          </w:tcPr>
          <w:p w14:paraId="43E4CE3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IBIZA</w:t>
            </w:r>
          </w:p>
        </w:tc>
        <w:tc>
          <w:tcPr>
            <w:tcW w:w="0" w:type="auto"/>
            <w:tcBorders>
              <w:top w:val="nil"/>
              <w:left w:val="nil"/>
              <w:bottom w:val="nil"/>
              <w:right w:val="single" w:sz="4" w:space="0" w:color="auto"/>
            </w:tcBorders>
            <w:noWrap/>
            <w:vAlign w:val="bottom"/>
            <w:hideMark/>
          </w:tcPr>
          <w:p w14:paraId="3BC74CE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14EDE08B" w14:textId="77777777" w:rsidTr="00CA749B">
        <w:trPr>
          <w:trHeight w:val="300"/>
          <w:jc w:val="center"/>
        </w:trPr>
        <w:tc>
          <w:tcPr>
            <w:tcW w:w="0" w:type="auto"/>
            <w:tcBorders>
              <w:top w:val="nil"/>
              <w:left w:val="single" w:sz="4" w:space="0" w:color="auto"/>
              <w:bottom w:val="nil"/>
              <w:right w:val="nil"/>
            </w:tcBorders>
            <w:noWrap/>
            <w:vAlign w:val="bottom"/>
            <w:hideMark/>
          </w:tcPr>
          <w:p w14:paraId="233FD39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JAVEA</w:t>
            </w:r>
          </w:p>
        </w:tc>
        <w:tc>
          <w:tcPr>
            <w:tcW w:w="0" w:type="auto"/>
            <w:tcBorders>
              <w:top w:val="nil"/>
              <w:left w:val="nil"/>
              <w:bottom w:val="nil"/>
              <w:right w:val="single" w:sz="4" w:space="0" w:color="auto"/>
            </w:tcBorders>
            <w:noWrap/>
            <w:vAlign w:val="bottom"/>
            <w:hideMark/>
          </w:tcPr>
          <w:p w14:paraId="62A5FD2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F338ECF" w14:textId="77777777" w:rsidTr="00CA749B">
        <w:trPr>
          <w:trHeight w:val="300"/>
          <w:jc w:val="center"/>
        </w:trPr>
        <w:tc>
          <w:tcPr>
            <w:tcW w:w="0" w:type="auto"/>
            <w:tcBorders>
              <w:top w:val="nil"/>
              <w:left w:val="single" w:sz="4" w:space="0" w:color="auto"/>
              <w:bottom w:val="nil"/>
              <w:right w:val="nil"/>
            </w:tcBorders>
            <w:noWrap/>
            <w:vAlign w:val="bottom"/>
            <w:hideMark/>
          </w:tcPr>
          <w:p w14:paraId="04CBF56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Theme="minorEastAsia" w:hAnsi="Cambria" w:cs="Times New Roman"/>
                <w:color w:val="000000"/>
                <w:sz w:val="20"/>
                <w:szCs w:val="20"/>
                <w:lang w:val="en-GB" w:eastAsia="en-GB"/>
                <w14:ligatures w14:val="standardContextual"/>
              </w:rPr>
              <w:t>L'AMETLLA DE MAR</w:t>
            </w:r>
          </w:p>
        </w:tc>
        <w:tc>
          <w:tcPr>
            <w:tcW w:w="0" w:type="auto"/>
            <w:tcBorders>
              <w:top w:val="nil"/>
              <w:left w:val="nil"/>
              <w:bottom w:val="nil"/>
              <w:right w:val="single" w:sz="4" w:space="0" w:color="auto"/>
            </w:tcBorders>
            <w:noWrap/>
            <w:vAlign w:val="bottom"/>
            <w:hideMark/>
          </w:tcPr>
          <w:p w14:paraId="1F9195F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103B5AC8" w14:textId="77777777" w:rsidTr="00CA749B">
        <w:trPr>
          <w:trHeight w:val="300"/>
          <w:jc w:val="center"/>
        </w:trPr>
        <w:tc>
          <w:tcPr>
            <w:tcW w:w="0" w:type="auto"/>
            <w:tcBorders>
              <w:top w:val="nil"/>
              <w:left w:val="single" w:sz="4" w:space="0" w:color="auto"/>
              <w:bottom w:val="nil"/>
              <w:right w:val="nil"/>
            </w:tcBorders>
            <w:noWrap/>
            <w:vAlign w:val="bottom"/>
            <w:hideMark/>
          </w:tcPr>
          <w:p w14:paraId="67FA5FC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LA ESCALA</w:t>
            </w:r>
          </w:p>
        </w:tc>
        <w:tc>
          <w:tcPr>
            <w:tcW w:w="0" w:type="auto"/>
            <w:tcBorders>
              <w:top w:val="nil"/>
              <w:left w:val="nil"/>
              <w:bottom w:val="nil"/>
              <w:right w:val="single" w:sz="4" w:space="0" w:color="auto"/>
            </w:tcBorders>
            <w:noWrap/>
            <w:vAlign w:val="bottom"/>
            <w:hideMark/>
          </w:tcPr>
          <w:p w14:paraId="0B38770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53876DD5" w14:textId="77777777" w:rsidTr="00CA749B">
        <w:trPr>
          <w:trHeight w:val="300"/>
          <w:jc w:val="center"/>
        </w:trPr>
        <w:tc>
          <w:tcPr>
            <w:tcW w:w="0" w:type="auto"/>
            <w:tcBorders>
              <w:top w:val="nil"/>
              <w:left w:val="single" w:sz="4" w:space="0" w:color="auto"/>
              <w:bottom w:val="nil"/>
              <w:right w:val="nil"/>
            </w:tcBorders>
            <w:noWrap/>
            <w:vAlign w:val="bottom"/>
            <w:hideMark/>
          </w:tcPr>
          <w:p w14:paraId="50165B3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LA RESTINGA</w:t>
            </w:r>
          </w:p>
        </w:tc>
        <w:tc>
          <w:tcPr>
            <w:tcW w:w="0" w:type="auto"/>
            <w:tcBorders>
              <w:top w:val="nil"/>
              <w:left w:val="nil"/>
              <w:bottom w:val="nil"/>
              <w:right w:val="single" w:sz="4" w:space="0" w:color="auto"/>
            </w:tcBorders>
            <w:noWrap/>
            <w:vAlign w:val="bottom"/>
            <w:hideMark/>
          </w:tcPr>
          <w:p w14:paraId="04B5F51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04B9E122" w14:textId="77777777" w:rsidTr="00CA749B">
        <w:trPr>
          <w:trHeight w:val="300"/>
          <w:jc w:val="center"/>
        </w:trPr>
        <w:tc>
          <w:tcPr>
            <w:tcW w:w="0" w:type="auto"/>
            <w:tcBorders>
              <w:top w:val="nil"/>
              <w:left w:val="single" w:sz="4" w:space="0" w:color="auto"/>
              <w:bottom w:val="nil"/>
              <w:right w:val="nil"/>
            </w:tcBorders>
            <w:noWrap/>
            <w:vAlign w:val="bottom"/>
            <w:hideMark/>
          </w:tcPr>
          <w:p w14:paraId="0D8D6A5C" w14:textId="77777777" w:rsidR="009123AC" w:rsidRPr="00F0379B" w:rsidRDefault="009123AC" w:rsidP="009123AC">
            <w:pPr>
              <w:spacing w:after="0" w:line="240" w:lineRule="auto"/>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LA TIÑOSA - PUERTO DEL CARMEN</w:t>
            </w:r>
          </w:p>
        </w:tc>
        <w:tc>
          <w:tcPr>
            <w:tcW w:w="0" w:type="auto"/>
            <w:tcBorders>
              <w:top w:val="nil"/>
              <w:left w:val="nil"/>
              <w:bottom w:val="nil"/>
              <w:right w:val="single" w:sz="4" w:space="0" w:color="auto"/>
            </w:tcBorders>
            <w:noWrap/>
            <w:vAlign w:val="bottom"/>
            <w:hideMark/>
          </w:tcPr>
          <w:p w14:paraId="0536071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D33A5B1" w14:textId="77777777" w:rsidTr="00CA749B">
        <w:trPr>
          <w:trHeight w:val="300"/>
          <w:jc w:val="center"/>
        </w:trPr>
        <w:tc>
          <w:tcPr>
            <w:tcW w:w="0" w:type="auto"/>
            <w:tcBorders>
              <w:top w:val="nil"/>
              <w:left w:val="single" w:sz="4" w:space="0" w:color="auto"/>
              <w:bottom w:val="nil"/>
              <w:right w:val="nil"/>
            </w:tcBorders>
            <w:noWrap/>
            <w:vAlign w:val="bottom"/>
            <w:hideMark/>
          </w:tcPr>
          <w:p w14:paraId="69FE938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LAREDO</w:t>
            </w:r>
          </w:p>
        </w:tc>
        <w:tc>
          <w:tcPr>
            <w:tcW w:w="0" w:type="auto"/>
            <w:tcBorders>
              <w:top w:val="nil"/>
              <w:left w:val="nil"/>
              <w:bottom w:val="nil"/>
              <w:right w:val="single" w:sz="4" w:space="0" w:color="auto"/>
            </w:tcBorders>
            <w:noWrap/>
            <w:vAlign w:val="bottom"/>
            <w:hideMark/>
          </w:tcPr>
          <w:p w14:paraId="666F0C3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FB3B0E5" w14:textId="77777777" w:rsidTr="00CA749B">
        <w:trPr>
          <w:trHeight w:val="300"/>
          <w:jc w:val="center"/>
        </w:trPr>
        <w:tc>
          <w:tcPr>
            <w:tcW w:w="0" w:type="auto"/>
            <w:tcBorders>
              <w:top w:val="nil"/>
              <w:left w:val="single" w:sz="4" w:space="0" w:color="auto"/>
              <w:bottom w:val="nil"/>
              <w:right w:val="nil"/>
            </w:tcBorders>
            <w:noWrap/>
            <w:vAlign w:val="bottom"/>
            <w:hideMark/>
          </w:tcPr>
          <w:p w14:paraId="516854B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LAS PALMAS</w:t>
            </w:r>
          </w:p>
        </w:tc>
        <w:tc>
          <w:tcPr>
            <w:tcW w:w="0" w:type="auto"/>
            <w:tcBorders>
              <w:top w:val="nil"/>
              <w:left w:val="nil"/>
              <w:bottom w:val="nil"/>
              <w:right w:val="single" w:sz="4" w:space="0" w:color="auto"/>
            </w:tcBorders>
            <w:noWrap/>
            <w:vAlign w:val="bottom"/>
            <w:hideMark/>
          </w:tcPr>
          <w:p w14:paraId="2A879D8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342A0ED8" w14:textId="77777777" w:rsidTr="00CA749B">
        <w:trPr>
          <w:trHeight w:val="300"/>
          <w:jc w:val="center"/>
        </w:trPr>
        <w:tc>
          <w:tcPr>
            <w:tcW w:w="0" w:type="auto"/>
            <w:tcBorders>
              <w:top w:val="nil"/>
              <w:left w:val="single" w:sz="4" w:space="0" w:color="auto"/>
              <w:bottom w:val="nil"/>
              <w:right w:val="nil"/>
            </w:tcBorders>
            <w:noWrap/>
            <w:vAlign w:val="bottom"/>
            <w:hideMark/>
          </w:tcPr>
          <w:p w14:paraId="1B95FB0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LLANSA</w:t>
            </w:r>
          </w:p>
        </w:tc>
        <w:tc>
          <w:tcPr>
            <w:tcW w:w="0" w:type="auto"/>
            <w:tcBorders>
              <w:top w:val="nil"/>
              <w:left w:val="nil"/>
              <w:bottom w:val="nil"/>
              <w:right w:val="single" w:sz="4" w:space="0" w:color="auto"/>
            </w:tcBorders>
            <w:noWrap/>
            <w:vAlign w:val="bottom"/>
            <w:hideMark/>
          </w:tcPr>
          <w:p w14:paraId="63CC6AC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80B425C" w14:textId="77777777" w:rsidTr="00CA749B">
        <w:trPr>
          <w:trHeight w:val="300"/>
          <w:jc w:val="center"/>
        </w:trPr>
        <w:tc>
          <w:tcPr>
            <w:tcW w:w="0" w:type="auto"/>
            <w:tcBorders>
              <w:top w:val="nil"/>
              <w:left w:val="single" w:sz="4" w:space="0" w:color="auto"/>
              <w:bottom w:val="nil"/>
              <w:right w:val="nil"/>
            </w:tcBorders>
            <w:noWrap/>
            <w:vAlign w:val="bottom"/>
            <w:hideMark/>
          </w:tcPr>
          <w:p w14:paraId="4C883C2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LOS CRISTIANOS</w:t>
            </w:r>
          </w:p>
        </w:tc>
        <w:tc>
          <w:tcPr>
            <w:tcW w:w="0" w:type="auto"/>
            <w:tcBorders>
              <w:top w:val="nil"/>
              <w:left w:val="nil"/>
              <w:bottom w:val="nil"/>
              <w:right w:val="single" w:sz="4" w:space="0" w:color="auto"/>
            </w:tcBorders>
            <w:noWrap/>
            <w:vAlign w:val="bottom"/>
            <w:hideMark/>
          </w:tcPr>
          <w:p w14:paraId="21795DA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91538DC" w14:textId="77777777" w:rsidTr="00CA749B">
        <w:trPr>
          <w:trHeight w:val="300"/>
          <w:jc w:val="center"/>
        </w:trPr>
        <w:tc>
          <w:tcPr>
            <w:tcW w:w="0" w:type="auto"/>
            <w:tcBorders>
              <w:top w:val="nil"/>
              <w:left w:val="single" w:sz="4" w:space="0" w:color="auto"/>
              <w:bottom w:val="nil"/>
              <w:right w:val="nil"/>
            </w:tcBorders>
            <w:noWrap/>
            <w:vAlign w:val="bottom"/>
            <w:hideMark/>
          </w:tcPr>
          <w:p w14:paraId="72FDAA1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L´ESTARTIT</w:t>
            </w:r>
          </w:p>
        </w:tc>
        <w:tc>
          <w:tcPr>
            <w:tcW w:w="0" w:type="auto"/>
            <w:tcBorders>
              <w:top w:val="nil"/>
              <w:left w:val="nil"/>
              <w:bottom w:val="nil"/>
              <w:right w:val="single" w:sz="4" w:space="0" w:color="auto"/>
            </w:tcBorders>
            <w:noWrap/>
            <w:vAlign w:val="bottom"/>
            <w:hideMark/>
          </w:tcPr>
          <w:p w14:paraId="08726EE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EU-España</w:t>
            </w:r>
          </w:p>
        </w:tc>
      </w:tr>
      <w:tr w:rsidR="009123AC" w:rsidRPr="00F0379B" w14:paraId="57C8C13C" w14:textId="77777777" w:rsidTr="00CA749B">
        <w:trPr>
          <w:trHeight w:val="300"/>
          <w:jc w:val="center"/>
        </w:trPr>
        <w:tc>
          <w:tcPr>
            <w:tcW w:w="0" w:type="auto"/>
            <w:tcBorders>
              <w:top w:val="nil"/>
              <w:left w:val="single" w:sz="4" w:space="0" w:color="auto"/>
              <w:bottom w:val="nil"/>
              <w:right w:val="nil"/>
            </w:tcBorders>
            <w:noWrap/>
            <w:vAlign w:val="bottom"/>
            <w:hideMark/>
          </w:tcPr>
          <w:p w14:paraId="2E33187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MAHON</w:t>
            </w:r>
          </w:p>
        </w:tc>
        <w:tc>
          <w:tcPr>
            <w:tcW w:w="0" w:type="auto"/>
            <w:tcBorders>
              <w:top w:val="nil"/>
              <w:left w:val="nil"/>
              <w:bottom w:val="nil"/>
              <w:right w:val="single" w:sz="4" w:space="0" w:color="auto"/>
            </w:tcBorders>
            <w:noWrap/>
            <w:vAlign w:val="bottom"/>
            <w:hideMark/>
          </w:tcPr>
          <w:p w14:paraId="793DED6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33546ED" w14:textId="77777777" w:rsidTr="00CA749B">
        <w:trPr>
          <w:trHeight w:val="300"/>
          <w:jc w:val="center"/>
        </w:trPr>
        <w:tc>
          <w:tcPr>
            <w:tcW w:w="0" w:type="auto"/>
            <w:tcBorders>
              <w:top w:val="nil"/>
              <w:left w:val="single" w:sz="4" w:space="0" w:color="auto"/>
              <w:bottom w:val="nil"/>
              <w:right w:val="nil"/>
            </w:tcBorders>
            <w:noWrap/>
            <w:vAlign w:val="bottom"/>
            <w:hideMark/>
          </w:tcPr>
          <w:p w14:paraId="4BAA05B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MARBELLA</w:t>
            </w:r>
          </w:p>
        </w:tc>
        <w:tc>
          <w:tcPr>
            <w:tcW w:w="0" w:type="auto"/>
            <w:tcBorders>
              <w:top w:val="nil"/>
              <w:left w:val="nil"/>
              <w:bottom w:val="nil"/>
              <w:right w:val="single" w:sz="4" w:space="0" w:color="auto"/>
            </w:tcBorders>
            <w:noWrap/>
            <w:vAlign w:val="bottom"/>
            <w:hideMark/>
          </w:tcPr>
          <w:p w14:paraId="54AA456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5E38BA93" w14:textId="77777777" w:rsidTr="00CA749B">
        <w:trPr>
          <w:trHeight w:val="300"/>
          <w:jc w:val="center"/>
        </w:trPr>
        <w:tc>
          <w:tcPr>
            <w:tcW w:w="0" w:type="auto"/>
            <w:tcBorders>
              <w:top w:val="nil"/>
              <w:left w:val="single" w:sz="4" w:space="0" w:color="auto"/>
              <w:bottom w:val="nil"/>
              <w:right w:val="nil"/>
            </w:tcBorders>
            <w:noWrap/>
            <w:vAlign w:val="bottom"/>
            <w:hideMark/>
          </w:tcPr>
          <w:p w14:paraId="4DEEC90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MAZARRON</w:t>
            </w:r>
          </w:p>
        </w:tc>
        <w:tc>
          <w:tcPr>
            <w:tcW w:w="0" w:type="auto"/>
            <w:tcBorders>
              <w:top w:val="nil"/>
              <w:left w:val="nil"/>
              <w:bottom w:val="nil"/>
              <w:right w:val="single" w:sz="4" w:space="0" w:color="auto"/>
            </w:tcBorders>
            <w:noWrap/>
            <w:vAlign w:val="bottom"/>
            <w:hideMark/>
          </w:tcPr>
          <w:p w14:paraId="5CA26CE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66BED0D7" w14:textId="77777777" w:rsidTr="00CA749B">
        <w:trPr>
          <w:trHeight w:val="300"/>
          <w:jc w:val="center"/>
        </w:trPr>
        <w:tc>
          <w:tcPr>
            <w:tcW w:w="0" w:type="auto"/>
            <w:tcBorders>
              <w:top w:val="nil"/>
              <w:left w:val="single" w:sz="4" w:space="0" w:color="auto"/>
              <w:bottom w:val="nil"/>
              <w:right w:val="nil"/>
            </w:tcBorders>
            <w:noWrap/>
            <w:vAlign w:val="bottom"/>
            <w:hideMark/>
          </w:tcPr>
          <w:p w14:paraId="415A7F6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MOGAN</w:t>
            </w:r>
          </w:p>
        </w:tc>
        <w:tc>
          <w:tcPr>
            <w:tcW w:w="0" w:type="auto"/>
            <w:tcBorders>
              <w:top w:val="nil"/>
              <w:left w:val="nil"/>
              <w:bottom w:val="nil"/>
              <w:right w:val="single" w:sz="4" w:space="0" w:color="auto"/>
            </w:tcBorders>
            <w:noWrap/>
            <w:vAlign w:val="bottom"/>
            <w:hideMark/>
          </w:tcPr>
          <w:p w14:paraId="47D58E3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D94843F" w14:textId="77777777" w:rsidTr="00CA749B">
        <w:trPr>
          <w:trHeight w:val="300"/>
          <w:jc w:val="center"/>
        </w:trPr>
        <w:tc>
          <w:tcPr>
            <w:tcW w:w="0" w:type="auto"/>
            <w:tcBorders>
              <w:top w:val="nil"/>
              <w:left w:val="single" w:sz="4" w:space="0" w:color="auto"/>
              <w:bottom w:val="nil"/>
              <w:right w:val="nil"/>
            </w:tcBorders>
            <w:noWrap/>
            <w:vAlign w:val="bottom"/>
            <w:hideMark/>
          </w:tcPr>
          <w:p w14:paraId="415EACA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MORRO JABLE</w:t>
            </w:r>
          </w:p>
        </w:tc>
        <w:tc>
          <w:tcPr>
            <w:tcW w:w="0" w:type="auto"/>
            <w:tcBorders>
              <w:top w:val="nil"/>
              <w:left w:val="nil"/>
              <w:bottom w:val="nil"/>
              <w:right w:val="single" w:sz="4" w:space="0" w:color="auto"/>
            </w:tcBorders>
            <w:noWrap/>
            <w:vAlign w:val="bottom"/>
            <w:hideMark/>
          </w:tcPr>
          <w:p w14:paraId="6812A01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5680F9AA" w14:textId="77777777" w:rsidTr="00CA749B">
        <w:trPr>
          <w:trHeight w:val="300"/>
          <w:jc w:val="center"/>
        </w:trPr>
        <w:tc>
          <w:tcPr>
            <w:tcW w:w="0" w:type="auto"/>
            <w:tcBorders>
              <w:top w:val="nil"/>
              <w:left w:val="single" w:sz="4" w:space="0" w:color="auto"/>
              <w:bottom w:val="nil"/>
              <w:right w:val="nil"/>
            </w:tcBorders>
            <w:noWrap/>
            <w:vAlign w:val="bottom"/>
            <w:hideMark/>
          </w:tcPr>
          <w:p w14:paraId="35A2425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MOTRIL</w:t>
            </w:r>
          </w:p>
        </w:tc>
        <w:tc>
          <w:tcPr>
            <w:tcW w:w="0" w:type="auto"/>
            <w:tcBorders>
              <w:top w:val="nil"/>
              <w:left w:val="nil"/>
              <w:bottom w:val="nil"/>
              <w:right w:val="single" w:sz="4" w:space="0" w:color="auto"/>
            </w:tcBorders>
            <w:noWrap/>
            <w:vAlign w:val="bottom"/>
            <w:hideMark/>
          </w:tcPr>
          <w:p w14:paraId="2CD7310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1A392AB6" w14:textId="77777777" w:rsidTr="00CA749B">
        <w:trPr>
          <w:trHeight w:val="300"/>
          <w:jc w:val="center"/>
        </w:trPr>
        <w:tc>
          <w:tcPr>
            <w:tcW w:w="0" w:type="auto"/>
            <w:tcBorders>
              <w:top w:val="nil"/>
              <w:left w:val="single" w:sz="4" w:space="0" w:color="auto"/>
              <w:bottom w:val="nil"/>
              <w:right w:val="nil"/>
            </w:tcBorders>
            <w:noWrap/>
            <w:vAlign w:val="bottom"/>
            <w:hideMark/>
          </w:tcPr>
          <w:p w14:paraId="2CF6CEF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ONDARROA</w:t>
            </w:r>
          </w:p>
        </w:tc>
        <w:tc>
          <w:tcPr>
            <w:tcW w:w="0" w:type="auto"/>
            <w:tcBorders>
              <w:top w:val="nil"/>
              <w:left w:val="nil"/>
              <w:bottom w:val="nil"/>
              <w:right w:val="single" w:sz="4" w:space="0" w:color="auto"/>
            </w:tcBorders>
            <w:noWrap/>
            <w:vAlign w:val="bottom"/>
            <w:hideMark/>
          </w:tcPr>
          <w:p w14:paraId="136EBC4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74163DB2" w14:textId="77777777" w:rsidTr="00CA749B">
        <w:trPr>
          <w:trHeight w:val="300"/>
          <w:jc w:val="center"/>
        </w:trPr>
        <w:tc>
          <w:tcPr>
            <w:tcW w:w="0" w:type="auto"/>
            <w:tcBorders>
              <w:top w:val="nil"/>
              <w:left w:val="single" w:sz="4" w:space="0" w:color="auto"/>
              <w:bottom w:val="nil"/>
              <w:right w:val="nil"/>
            </w:tcBorders>
            <w:noWrap/>
            <w:vAlign w:val="bottom"/>
            <w:hideMark/>
          </w:tcPr>
          <w:p w14:paraId="1E284FD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ORZOLA</w:t>
            </w:r>
          </w:p>
        </w:tc>
        <w:tc>
          <w:tcPr>
            <w:tcW w:w="0" w:type="auto"/>
            <w:tcBorders>
              <w:top w:val="nil"/>
              <w:left w:val="nil"/>
              <w:bottom w:val="nil"/>
              <w:right w:val="single" w:sz="4" w:space="0" w:color="auto"/>
            </w:tcBorders>
            <w:noWrap/>
            <w:vAlign w:val="bottom"/>
            <w:hideMark/>
          </w:tcPr>
          <w:p w14:paraId="0B8B24F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98F1134" w14:textId="77777777" w:rsidTr="00CA749B">
        <w:trPr>
          <w:trHeight w:val="300"/>
          <w:jc w:val="center"/>
        </w:trPr>
        <w:tc>
          <w:tcPr>
            <w:tcW w:w="0" w:type="auto"/>
            <w:tcBorders>
              <w:top w:val="nil"/>
              <w:left w:val="single" w:sz="4" w:space="0" w:color="auto"/>
              <w:bottom w:val="nil"/>
              <w:right w:val="nil"/>
            </w:tcBorders>
            <w:noWrap/>
            <w:vAlign w:val="bottom"/>
            <w:hideMark/>
          </w:tcPr>
          <w:p w14:paraId="1449BC5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PALAMOS</w:t>
            </w:r>
          </w:p>
        </w:tc>
        <w:tc>
          <w:tcPr>
            <w:tcW w:w="0" w:type="auto"/>
            <w:tcBorders>
              <w:top w:val="nil"/>
              <w:left w:val="nil"/>
              <w:bottom w:val="nil"/>
              <w:right w:val="single" w:sz="4" w:space="0" w:color="auto"/>
            </w:tcBorders>
            <w:noWrap/>
            <w:vAlign w:val="bottom"/>
            <w:hideMark/>
          </w:tcPr>
          <w:p w14:paraId="6BCA439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13415EF4" w14:textId="77777777" w:rsidTr="00CA749B">
        <w:trPr>
          <w:trHeight w:val="300"/>
          <w:jc w:val="center"/>
        </w:trPr>
        <w:tc>
          <w:tcPr>
            <w:tcW w:w="0" w:type="auto"/>
            <w:tcBorders>
              <w:top w:val="nil"/>
              <w:left w:val="single" w:sz="4" w:space="0" w:color="auto"/>
              <w:bottom w:val="nil"/>
              <w:right w:val="nil"/>
            </w:tcBorders>
            <w:noWrap/>
            <w:vAlign w:val="bottom"/>
            <w:hideMark/>
          </w:tcPr>
          <w:p w14:paraId="1093D7B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PALMA DE MALLORCA</w:t>
            </w:r>
          </w:p>
        </w:tc>
        <w:tc>
          <w:tcPr>
            <w:tcW w:w="0" w:type="auto"/>
            <w:tcBorders>
              <w:top w:val="nil"/>
              <w:left w:val="nil"/>
              <w:bottom w:val="nil"/>
              <w:right w:val="single" w:sz="4" w:space="0" w:color="auto"/>
            </w:tcBorders>
            <w:noWrap/>
            <w:vAlign w:val="bottom"/>
            <w:hideMark/>
          </w:tcPr>
          <w:p w14:paraId="12C7BA4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6C495BA3" w14:textId="77777777" w:rsidTr="00CA749B">
        <w:trPr>
          <w:trHeight w:val="300"/>
          <w:jc w:val="center"/>
        </w:trPr>
        <w:tc>
          <w:tcPr>
            <w:tcW w:w="0" w:type="auto"/>
            <w:tcBorders>
              <w:top w:val="nil"/>
              <w:left w:val="single" w:sz="4" w:space="0" w:color="auto"/>
              <w:bottom w:val="nil"/>
              <w:right w:val="nil"/>
            </w:tcBorders>
            <w:noWrap/>
            <w:vAlign w:val="bottom"/>
            <w:hideMark/>
          </w:tcPr>
          <w:p w14:paraId="4DE47C7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PASAJES</w:t>
            </w:r>
          </w:p>
        </w:tc>
        <w:tc>
          <w:tcPr>
            <w:tcW w:w="0" w:type="auto"/>
            <w:tcBorders>
              <w:top w:val="nil"/>
              <w:left w:val="nil"/>
              <w:bottom w:val="nil"/>
              <w:right w:val="single" w:sz="4" w:space="0" w:color="auto"/>
            </w:tcBorders>
            <w:noWrap/>
            <w:vAlign w:val="bottom"/>
            <w:hideMark/>
          </w:tcPr>
          <w:p w14:paraId="518812E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00522BA" w14:textId="77777777" w:rsidTr="00CA749B">
        <w:trPr>
          <w:trHeight w:val="300"/>
          <w:jc w:val="center"/>
        </w:trPr>
        <w:tc>
          <w:tcPr>
            <w:tcW w:w="0" w:type="auto"/>
            <w:tcBorders>
              <w:top w:val="nil"/>
              <w:left w:val="single" w:sz="4" w:space="0" w:color="auto"/>
              <w:bottom w:val="nil"/>
              <w:right w:val="nil"/>
            </w:tcBorders>
            <w:noWrap/>
            <w:vAlign w:val="bottom"/>
            <w:hideMark/>
          </w:tcPr>
          <w:p w14:paraId="554D7FD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PEÑISCOLA</w:t>
            </w:r>
          </w:p>
        </w:tc>
        <w:tc>
          <w:tcPr>
            <w:tcW w:w="0" w:type="auto"/>
            <w:tcBorders>
              <w:top w:val="nil"/>
              <w:left w:val="nil"/>
              <w:bottom w:val="nil"/>
              <w:right w:val="single" w:sz="4" w:space="0" w:color="auto"/>
            </w:tcBorders>
            <w:noWrap/>
            <w:vAlign w:val="bottom"/>
            <w:hideMark/>
          </w:tcPr>
          <w:p w14:paraId="192F20A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02319522" w14:textId="77777777" w:rsidTr="00CA749B">
        <w:trPr>
          <w:trHeight w:val="300"/>
          <w:jc w:val="center"/>
        </w:trPr>
        <w:tc>
          <w:tcPr>
            <w:tcW w:w="0" w:type="auto"/>
            <w:tcBorders>
              <w:top w:val="nil"/>
              <w:left w:val="single" w:sz="4" w:space="0" w:color="auto"/>
              <w:bottom w:val="nil"/>
              <w:right w:val="nil"/>
            </w:tcBorders>
            <w:noWrap/>
            <w:vAlign w:val="bottom"/>
            <w:hideMark/>
          </w:tcPr>
          <w:p w14:paraId="201214E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PLAYA DE SANTIAGO (GOMERA)</w:t>
            </w:r>
          </w:p>
        </w:tc>
        <w:tc>
          <w:tcPr>
            <w:tcW w:w="0" w:type="auto"/>
            <w:tcBorders>
              <w:top w:val="nil"/>
              <w:left w:val="nil"/>
              <w:bottom w:val="nil"/>
              <w:right w:val="single" w:sz="4" w:space="0" w:color="auto"/>
            </w:tcBorders>
            <w:noWrap/>
            <w:vAlign w:val="bottom"/>
            <w:hideMark/>
          </w:tcPr>
          <w:p w14:paraId="70B8F23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4FAC43C" w14:textId="77777777" w:rsidTr="00CA749B">
        <w:trPr>
          <w:trHeight w:val="300"/>
          <w:jc w:val="center"/>
        </w:trPr>
        <w:tc>
          <w:tcPr>
            <w:tcW w:w="0" w:type="auto"/>
            <w:tcBorders>
              <w:top w:val="nil"/>
              <w:left w:val="single" w:sz="4" w:space="0" w:color="auto"/>
              <w:bottom w:val="nil"/>
              <w:right w:val="nil"/>
            </w:tcBorders>
            <w:noWrap/>
            <w:vAlign w:val="bottom"/>
            <w:hideMark/>
          </w:tcPr>
          <w:p w14:paraId="4332E8C8" w14:textId="77777777" w:rsidR="009123AC" w:rsidRPr="00F0379B" w:rsidRDefault="009123AC" w:rsidP="009123AC">
            <w:pPr>
              <w:spacing w:after="0" w:line="240" w:lineRule="auto"/>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PLAYA SAN JUAN - GUIA ISORA</w:t>
            </w:r>
          </w:p>
        </w:tc>
        <w:tc>
          <w:tcPr>
            <w:tcW w:w="0" w:type="auto"/>
            <w:tcBorders>
              <w:top w:val="nil"/>
              <w:left w:val="nil"/>
              <w:bottom w:val="nil"/>
              <w:right w:val="single" w:sz="4" w:space="0" w:color="auto"/>
            </w:tcBorders>
            <w:noWrap/>
            <w:vAlign w:val="bottom"/>
            <w:hideMark/>
          </w:tcPr>
          <w:p w14:paraId="131919A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7476F692" w14:textId="77777777" w:rsidTr="00CA749B">
        <w:trPr>
          <w:trHeight w:val="300"/>
          <w:jc w:val="center"/>
        </w:trPr>
        <w:tc>
          <w:tcPr>
            <w:tcW w:w="0" w:type="auto"/>
            <w:tcBorders>
              <w:top w:val="nil"/>
              <w:left w:val="single" w:sz="4" w:space="0" w:color="auto"/>
              <w:bottom w:val="nil"/>
              <w:right w:val="nil"/>
            </w:tcBorders>
            <w:noWrap/>
            <w:vAlign w:val="bottom"/>
            <w:hideMark/>
          </w:tcPr>
          <w:p w14:paraId="6347091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POLLENSA</w:t>
            </w:r>
          </w:p>
        </w:tc>
        <w:tc>
          <w:tcPr>
            <w:tcW w:w="0" w:type="auto"/>
            <w:tcBorders>
              <w:top w:val="nil"/>
              <w:left w:val="nil"/>
              <w:bottom w:val="nil"/>
              <w:right w:val="single" w:sz="4" w:space="0" w:color="auto"/>
            </w:tcBorders>
            <w:noWrap/>
            <w:vAlign w:val="bottom"/>
            <w:hideMark/>
          </w:tcPr>
          <w:p w14:paraId="3734824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0E84BD5" w14:textId="77777777" w:rsidTr="00CA749B">
        <w:trPr>
          <w:trHeight w:val="300"/>
          <w:jc w:val="center"/>
        </w:trPr>
        <w:tc>
          <w:tcPr>
            <w:tcW w:w="0" w:type="auto"/>
            <w:tcBorders>
              <w:top w:val="nil"/>
              <w:left w:val="single" w:sz="4" w:space="0" w:color="auto"/>
              <w:bottom w:val="nil"/>
              <w:right w:val="nil"/>
            </w:tcBorders>
            <w:noWrap/>
            <w:vAlign w:val="bottom"/>
            <w:hideMark/>
          </w:tcPr>
          <w:p w14:paraId="12DE26E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 DE LA SELVA</w:t>
            </w:r>
          </w:p>
        </w:tc>
        <w:tc>
          <w:tcPr>
            <w:tcW w:w="0" w:type="auto"/>
            <w:tcBorders>
              <w:top w:val="nil"/>
              <w:left w:val="nil"/>
              <w:bottom w:val="nil"/>
              <w:right w:val="single" w:sz="4" w:space="0" w:color="auto"/>
            </w:tcBorders>
            <w:noWrap/>
            <w:vAlign w:val="bottom"/>
            <w:hideMark/>
          </w:tcPr>
          <w:p w14:paraId="6F86C96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5AD9B54" w14:textId="77777777" w:rsidTr="00CA749B">
        <w:trPr>
          <w:trHeight w:val="300"/>
          <w:jc w:val="center"/>
        </w:trPr>
        <w:tc>
          <w:tcPr>
            <w:tcW w:w="0" w:type="auto"/>
            <w:tcBorders>
              <w:top w:val="nil"/>
              <w:left w:val="single" w:sz="4" w:space="0" w:color="auto"/>
              <w:bottom w:val="nil"/>
              <w:right w:val="nil"/>
            </w:tcBorders>
            <w:noWrap/>
            <w:vAlign w:val="bottom"/>
            <w:hideMark/>
          </w:tcPr>
          <w:p w14:paraId="0AB1E9D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PORTO COLOM</w:t>
            </w:r>
          </w:p>
        </w:tc>
        <w:tc>
          <w:tcPr>
            <w:tcW w:w="0" w:type="auto"/>
            <w:tcBorders>
              <w:top w:val="nil"/>
              <w:left w:val="nil"/>
              <w:bottom w:val="nil"/>
              <w:right w:val="single" w:sz="4" w:space="0" w:color="auto"/>
            </w:tcBorders>
            <w:noWrap/>
            <w:vAlign w:val="bottom"/>
            <w:hideMark/>
          </w:tcPr>
          <w:p w14:paraId="6664D78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08B6FDC9" w14:textId="77777777" w:rsidTr="00CA749B">
        <w:trPr>
          <w:trHeight w:val="300"/>
          <w:jc w:val="center"/>
        </w:trPr>
        <w:tc>
          <w:tcPr>
            <w:tcW w:w="0" w:type="auto"/>
            <w:tcBorders>
              <w:top w:val="nil"/>
              <w:left w:val="single" w:sz="4" w:space="0" w:color="auto"/>
              <w:bottom w:val="nil"/>
              <w:right w:val="nil"/>
            </w:tcBorders>
            <w:noWrap/>
            <w:vAlign w:val="bottom"/>
            <w:hideMark/>
          </w:tcPr>
          <w:p w14:paraId="302CC95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PUERTO DEL ROSARIO</w:t>
            </w:r>
          </w:p>
        </w:tc>
        <w:tc>
          <w:tcPr>
            <w:tcW w:w="0" w:type="auto"/>
            <w:tcBorders>
              <w:top w:val="nil"/>
              <w:left w:val="nil"/>
              <w:bottom w:val="nil"/>
              <w:right w:val="single" w:sz="4" w:space="0" w:color="auto"/>
            </w:tcBorders>
            <w:noWrap/>
            <w:vAlign w:val="bottom"/>
            <w:hideMark/>
          </w:tcPr>
          <w:p w14:paraId="4134268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1B4AB2CF" w14:textId="77777777" w:rsidTr="00CA749B">
        <w:trPr>
          <w:trHeight w:val="300"/>
          <w:jc w:val="center"/>
        </w:trPr>
        <w:tc>
          <w:tcPr>
            <w:tcW w:w="0" w:type="auto"/>
            <w:tcBorders>
              <w:top w:val="nil"/>
              <w:left w:val="single" w:sz="4" w:space="0" w:color="auto"/>
              <w:bottom w:val="nil"/>
              <w:right w:val="nil"/>
            </w:tcBorders>
            <w:noWrap/>
            <w:vAlign w:val="bottom"/>
            <w:hideMark/>
          </w:tcPr>
          <w:p w14:paraId="6F32BB5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ROQUETAS DE MAR</w:t>
            </w:r>
          </w:p>
        </w:tc>
        <w:tc>
          <w:tcPr>
            <w:tcW w:w="0" w:type="auto"/>
            <w:tcBorders>
              <w:top w:val="nil"/>
              <w:left w:val="nil"/>
              <w:bottom w:val="nil"/>
              <w:right w:val="single" w:sz="4" w:space="0" w:color="auto"/>
            </w:tcBorders>
            <w:noWrap/>
            <w:vAlign w:val="bottom"/>
            <w:hideMark/>
          </w:tcPr>
          <w:p w14:paraId="084A091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F8A47C4" w14:textId="77777777" w:rsidTr="00CA749B">
        <w:trPr>
          <w:trHeight w:val="300"/>
          <w:jc w:val="center"/>
        </w:trPr>
        <w:tc>
          <w:tcPr>
            <w:tcW w:w="0" w:type="auto"/>
            <w:tcBorders>
              <w:top w:val="nil"/>
              <w:left w:val="single" w:sz="4" w:space="0" w:color="auto"/>
              <w:bottom w:val="nil"/>
              <w:right w:val="nil"/>
            </w:tcBorders>
            <w:noWrap/>
            <w:vAlign w:val="bottom"/>
            <w:hideMark/>
          </w:tcPr>
          <w:p w14:paraId="1BBA7CA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ROSAS</w:t>
            </w:r>
          </w:p>
        </w:tc>
        <w:tc>
          <w:tcPr>
            <w:tcW w:w="0" w:type="auto"/>
            <w:tcBorders>
              <w:top w:val="nil"/>
              <w:left w:val="nil"/>
              <w:bottom w:val="nil"/>
              <w:right w:val="single" w:sz="4" w:space="0" w:color="auto"/>
            </w:tcBorders>
            <w:noWrap/>
            <w:vAlign w:val="bottom"/>
            <w:hideMark/>
          </w:tcPr>
          <w:p w14:paraId="5C4DCBA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0A930BB4" w14:textId="77777777" w:rsidTr="00CA749B">
        <w:trPr>
          <w:trHeight w:val="300"/>
          <w:jc w:val="center"/>
        </w:trPr>
        <w:tc>
          <w:tcPr>
            <w:tcW w:w="0" w:type="auto"/>
            <w:tcBorders>
              <w:top w:val="nil"/>
              <w:left w:val="single" w:sz="4" w:space="0" w:color="auto"/>
              <w:bottom w:val="nil"/>
              <w:right w:val="nil"/>
            </w:tcBorders>
            <w:noWrap/>
            <w:vAlign w:val="bottom"/>
            <w:hideMark/>
          </w:tcPr>
          <w:p w14:paraId="66F0075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S’ESTANYOL DE MIGJORN</w:t>
            </w:r>
          </w:p>
        </w:tc>
        <w:tc>
          <w:tcPr>
            <w:tcW w:w="0" w:type="auto"/>
            <w:tcBorders>
              <w:top w:val="nil"/>
              <w:left w:val="nil"/>
              <w:bottom w:val="nil"/>
              <w:right w:val="single" w:sz="4" w:space="0" w:color="auto"/>
            </w:tcBorders>
            <w:noWrap/>
            <w:vAlign w:val="bottom"/>
            <w:hideMark/>
          </w:tcPr>
          <w:p w14:paraId="215665F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68954712" w14:textId="77777777" w:rsidTr="00CA749B">
        <w:trPr>
          <w:trHeight w:val="300"/>
          <w:jc w:val="center"/>
        </w:trPr>
        <w:tc>
          <w:tcPr>
            <w:tcW w:w="0" w:type="auto"/>
            <w:tcBorders>
              <w:top w:val="nil"/>
              <w:left w:val="single" w:sz="4" w:space="0" w:color="auto"/>
              <w:bottom w:val="nil"/>
              <w:right w:val="nil"/>
            </w:tcBorders>
            <w:noWrap/>
            <w:vAlign w:val="bottom"/>
            <w:hideMark/>
          </w:tcPr>
          <w:p w14:paraId="4634B0B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 ANTONI DE PORTMANY</w:t>
            </w:r>
          </w:p>
        </w:tc>
        <w:tc>
          <w:tcPr>
            <w:tcW w:w="0" w:type="auto"/>
            <w:tcBorders>
              <w:top w:val="nil"/>
              <w:left w:val="nil"/>
              <w:bottom w:val="nil"/>
              <w:right w:val="single" w:sz="4" w:space="0" w:color="auto"/>
            </w:tcBorders>
            <w:noWrap/>
            <w:vAlign w:val="bottom"/>
            <w:hideMark/>
          </w:tcPr>
          <w:p w14:paraId="6E6D0CE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77BDEA3A" w14:textId="77777777" w:rsidTr="00CA749B">
        <w:trPr>
          <w:trHeight w:val="300"/>
          <w:jc w:val="center"/>
        </w:trPr>
        <w:tc>
          <w:tcPr>
            <w:tcW w:w="0" w:type="auto"/>
            <w:tcBorders>
              <w:top w:val="nil"/>
              <w:left w:val="single" w:sz="4" w:space="0" w:color="auto"/>
              <w:bottom w:val="nil"/>
              <w:right w:val="nil"/>
            </w:tcBorders>
            <w:noWrap/>
            <w:vAlign w:val="bottom"/>
            <w:hideMark/>
          </w:tcPr>
          <w:p w14:paraId="41D46444" w14:textId="77777777" w:rsidR="009123AC" w:rsidRPr="00F0379B" w:rsidRDefault="009123AC" w:rsidP="009123AC">
            <w:pPr>
              <w:spacing w:after="0" w:line="240" w:lineRule="auto"/>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SAN CARLOS DE LA RAPITA</w:t>
            </w:r>
          </w:p>
        </w:tc>
        <w:tc>
          <w:tcPr>
            <w:tcW w:w="0" w:type="auto"/>
            <w:tcBorders>
              <w:top w:val="nil"/>
              <w:left w:val="nil"/>
              <w:bottom w:val="nil"/>
              <w:right w:val="single" w:sz="4" w:space="0" w:color="auto"/>
            </w:tcBorders>
            <w:noWrap/>
            <w:vAlign w:val="bottom"/>
            <w:hideMark/>
          </w:tcPr>
          <w:p w14:paraId="0C175FA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68BF09B6" w14:textId="77777777" w:rsidTr="00CA749B">
        <w:trPr>
          <w:trHeight w:val="300"/>
          <w:jc w:val="center"/>
        </w:trPr>
        <w:tc>
          <w:tcPr>
            <w:tcW w:w="0" w:type="auto"/>
            <w:tcBorders>
              <w:top w:val="nil"/>
              <w:left w:val="single" w:sz="4" w:space="0" w:color="auto"/>
              <w:bottom w:val="nil"/>
              <w:right w:val="nil"/>
            </w:tcBorders>
            <w:noWrap/>
            <w:vAlign w:val="bottom"/>
            <w:hideMark/>
          </w:tcPr>
          <w:p w14:paraId="4BCF9B5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 FELIU DE GUIXOLS</w:t>
            </w:r>
          </w:p>
        </w:tc>
        <w:tc>
          <w:tcPr>
            <w:tcW w:w="0" w:type="auto"/>
            <w:tcBorders>
              <w:top w:val="nil"/>
              <w:left w:val="nil"/>
              <w:bottom w:val="nil"/>
              <w:right w:val="single" w:sz="4" w:space="0" w:color="auto"/>
            </w:tcBorders>
            <w:noWrap/>
            <w:vAlign w:val="bottom"/>
            <w:hideMark/>
          </w:tcPr>
          <w:p w14:paraId="76885F5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58FFC96F" w14:textId="77777777" w:rsidTr="00CA749B">
        <w:trPr>
          <w:trHeight w:val="300"/>
          <w:jc w:val="center"/>
        </w:trPr>
        <w:tc>
          <w:tcPr>
            <w:tcW w:w="0" w:type="auto"/>
            <w:tcBorders>
              <w:top w:val="nil"/>
              <w:left w:val="single" w:sz="4" w:space="0" w:color="auto"/>
              <w:bottom w:val="nil"/>
              <w:right w:val="nil"/>
            </w:tcBorders>
            <w:noWrap/>
            <w:vAlign w:val="bottom"/>
            <w:hideMark/>
          </w:tcPr>
          <w:p w14:paraId="03E47B7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 PEDRO DEL PINATAR</w:t>
            </w:r>
          </w:p>
        </w:tc>
        <w:tc>
          <w:tcPr>
            <w:tcW w:w="0" w:type="auto"/>
            <w:tcBorders>
              <w:top w:val="nil"/>
              <w:left w:val="nil"/>
              <w:bottom w:val="nil"/>
              <w:right w:val="single" w:sz="4" w:space="0" w:color="auto"/>
            </w:tcBorders>
            <w:noWrap/>
            <w:vAlign w:val="bottom"/>
            <w:hideMark/>
          </w:tcPr>
          <w:p w14:paraId="6F6035E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B9429A5" w14:textId="77777777" w:rsidTr="00CA749B">
        <w:trPr>
          <w:trHeight w:val="300"/>
          <w:jc w:val="center"/>
        </w:trPr>
        <w:tc>
          <w:tcPr>
            <w:tcW w:w="0" w:type="auto"/>
            <w:tcBorders>
              <w:top w:val="nil"/>
              <w:left w:val="single" w:sz="4" w:space="0" w:color="auto"/>
              <w:bottom w:val="nil"/>
              <w:right w:val="nil"/>
            </w:tcBorders>
            <w:noWrap/>
            <w:vAlign w:val="bottom"/>
            <w:hideMark/>
          </w:tcPr>
          <w:p w14:paraId="67DF994A" w14:textId="77777777" w:rsidR="009123AC" w:rsidRPr="00F0379B" w:rsidRDefault="009123AC" w:rsidP="009123AC">
            <w:pPr>
              <w:spacing w:after="0" w:line="240" w:lineRule="auto"/>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SAN VICENTE DE LA BARQUERA</w:t>
            </w:r>
          </w:p>
        </w:tc>
        <w:tc>
          <w:tcPr>
            <w:tcW w:w="0" w:type="auto"/>
            <w:tcBorders>
              <w:top w:val="nil"/>
              <w:left w:val="nil"/>
              <w:bottom w:val="nil"/>
              <w:right w:val="single" w:sz="4" w:space="0" w:color="auto"/>
            </w:tcBorders>
            <w:noWrap/>
            <w:vAlign w:val="bottom"/>
            <w:hideMark/>
          </w:tcPr>
          <w:p w14:paraId="0808904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F4D88C3" w14:textId="77777777" w:rsidTr="00CA749B">
        <w:trPr>
          <w:trHeight w:val="300"/>
          <w:jc w:val="center"/>
        </w:trPr>
        <w:tc>
          <w:tcPr>
            <w:tcW w:w="0" w:type="auto"/>
            <w:tcBorders>
              <w:top w:val="nil"/>
              <w:left w:val="single" w:sz="4" w:space="0" w:color="auto"/>
              <w:bottom w:val="nil"/>
              <w:right w:val="nil"/>
            </w:tcBorders>
            <w:noWrap/>
            <w:vAlign w:val="bottom"/>
            <w:hideMark/>
          </w:tcPr>
          <w:p w14:paraId="0E0E72B7" w14:textId="77777777" w:rsidR="009123AC" w:rsidRPr="00F0379B" w:rsidRDefault="009123AC" w:rsidP="009123AC">
            <w:pPr>
              <w:spacing w:after="0" w:line="240" w:lineRule="auto"/>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SANTA CRUZ DE LA PALMA</w:t>
            </w:r>
          </w:p>
        </w:tc>
        <w:tc>
          <w:tcPr>
            <w:tcW w:w="0" w:type="auto"/>
            <w:tcBorders>
              <w:top w:val="nil"/>
              <w:left w:val="nil"/>
              <w:bottom w:val="nil"/>
              <w:right w:val="single" w:sz="4" w:space="0" w:color="auto"/>
            </w:tcBorders>
            <w:noWrap/>
            <w:vAlign w:val="bottom"/>
            <w:hideMark/>
          </w:tcPr>
          <w:p w14:paraId="5B538CC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79097ABC" w14:textId="77777777" w:rsidTr="00CA749B">
        <w:trPr>
          <w:trHeight w:val="300"/>
          <w:jc w:val="center"/>
        </w:trPr>
        <w:tc>
          <w:tcPr>
            <w:tcW w:w="0" w:type="auto"/>
            <w:tcBorders>
              <w:top w:val="nil"/>
              <w:left w:val="single" w:sz="4" w:space="0" w:color="auto"/>
              <w:bottom w:val="nil"/>
              <w:right w:val="nil"/>
            </w:tcBorders>
            <w:noWrap/>
            <w:vAlign w:val="bottom"/>
            <w:hideMark/>
          </w:tcPr>
          <w:p w14:paraId="4C84771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SANTA CRUZ DE TENERIFE</w:t>
            </w:r>
          </w:p>
        </w:tc>
        <w:tc>
          <w:tcPr>
            <w:tcW w:w="0" w:type="auto"/>
            <w:tcBorders>
              <w:top w:val="nil"/>
              <w:left w:val="nil"/>
              <w:bottom w:val="nil"/>
              <w:right w:val="single" w:sz="4" w:space="0" w:color="auto"/>
            </w:tcBorders>
            <w:noWrap/>
            <w:vAlign w:val="bottom"/>
            <w:hideMark/>
          </w:tcPr>
          <w:p w14:paraId="10D93D1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7B30C4A7" w14:textId="77777777" w:rsidTr="00CA749B">
        <w:trPr>
          <w:trHeight w:val="300"/>
          <w:jc w:val="center"/>
        </w:trPr>
        <w:tc>
          <w:tcPr>
            <w:tcW w:w="0" w:type="auto"/>
            <w:tcBorders>
              <w:top w:val="nil"/>
              <w:left w:val="single" w:sz="4" w:space="0" w:color="auto"/>
              <w:bottom w:val="nil"/>
              <w:right w:val="nil"/>
            </w:tcBorders>
            <w:noWrap/>
            <w:vAlign w:val="bottom"/>
            <w:hideMark/>
          </w:tcPr>
          <w:p w14:paraId="7BB6874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SANTA POLA</w:t>
            </w:r>
          </w:p>
        </w:tc>
        <w:tc>
          <w:tcPr>
            <w:tcW w:w="0" w:type="auto"/>
            <w:tcBorders>
              <w:top w:val="nil"/>
              <w:left w:val="nil"/>
              <w:bottom w:val="nil"/>
              <w:right w:val="single" w:sz="4" w:space="0" w:color="auto"/>
            </w:tcBorders>
            <w:noWrap/>
            <w:vAlign w:val="bottom"/>
            <w:hideMark/>
          </w:tcPr>
          <w:p w14:paraId="2470170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7F43B580" w14:textId="77777777" w:rsidTr="00CA749B">
        <w:trPr>
          <w:trHeight w:val="300"/>
          <w:jc w:val="center"/>
        </w:trPr>
        <w:tc>
          <w:tcPr>
            <w:tcW w:w="0" w:type="auto"/>
            <w:tcBorders>
              <w:top w:val="nil"/>
              <w:left w:val="single" w:sz="4" w:space="0" w:color="auto"/>
              <w:bottom w:val="nil"/>
              <w:right w:val="nil"/>
            </w:tcBorders>
            <w:noWrap/>
            <w:vAlign w:val="bottom"/>
            <w:hideMark/>
          </w:tcPr>
          <w:p w14:paraId="18F53BB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SANTANDER</w:t>
            </w:r>
          </w:p>
        </w:tc>
        <w:tc>
          <w:tcPr>
            <w:tcW w:w="0" w:type="auto"/>
            <w:tcBorders>
              <w:top w:val="nil"/>
              <w:left w:val="nil"/>
              <w:bottom w:val="nil"/>
              <w:right w:val="single" w:sz="4" w:space="0" w:color="auto"/>
            </w:tcBorders>
            <w:noWrap/>
            <w:vAlign w:val="bottom"/>
            <w:hideMark/>
          </w:tcPr>
          <w:p w14:paraId="12FFED6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5BDAA808" w14:textId="77777777" w:rsidTr="00CA749B">
        <w:trPr>
          <w:trHeight w:val="300"/>
          <w:jc w:val="center"/>
        </w:trPr>
        <w:tc>
          <w:tcPr>
            <w:tcW w:w="0" w:type="auto"/>
            <w:tcBorders>
              <w:top w:val="nil"/>
              <w:left w:val="single" w:sz="4" w:space="0" w:color="auto"/>
              <w:bottom w:val="nil"/>
              <w:right w:val="nil"/>
            </w:tcBorders>
            <w:noWrap/>
            <w:vAlign w:val="bottom"/>
            <w:hideMark/>
          </w:tcPr>
          <w:p w14:paraId="6396DFF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SANTAÑI</w:t>
            </w:r>
          </w:p>
        </w:tc>
        <w:tc>
          <w:tcPr>
            <w:tcW w:w="0" w:type="auto"/>
            <w:tcBorders>
              <w:top w:val="nil"/>
              <w:left w:val="nil"/>
              <w:bottom w:val="nil"/>
              <w:right w:val="single" w:sz="4" w:space="0" w:color="auto"/>
            </w:tcBorders>
            <w:noWrap/>
            <w:vAlign w:val="bottom"/>
            <w:hideMark/>
          </w:tcPr>
          <w:p w14:paraId="2E1AF94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B3603D0" w14:textId="77777777" w:rsidTr="00CA749B">
        <w:trPr>
          <w:trHeight w:val="300"/>
          <w:jc w:val="center"/>
        </w:trPr>
        <w:tc>
          <w:tcPr>
            <w:tcW w:w="0" w:type="auto"/>
            <w:tcBorders>
              <w:top w:val="nil"/>
              <w:left w:val="single" w:sz="4" w:space="0" w:color="auto"/>
              <w:bottom w:val="nil"/>
              <w:right w:val="nil"/>
            </w:tcBorders>
            <w:noWrap/>
            <w:vAlign w:val="bottom"/>
            <w:hideMark/>
          </w:tcPr>
          <w:p w14:paraId="6E6D296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SANTOÑA</w:t>
            </w:r>
          </w:p>
        </w:tc>
        <w:tc>
          <w:tcPr>
            <w:tcW w:w="0" w:type="auto"/>
            <w:tcBorders>
              <w:top w:val="nil"/>
              <w:left w:val="nil"/>
              <w:bottom w:val="nil"/>
              <w:right w:val="single" w:sz="4" w:space="0" w:color="auto"/>
            </w:tcBorders>
            <w:noWrap/>
            <w:vAlign w:val="bottom"/>
            <w:hideMark/>
          </w:tcPr>
          <w:p w14:paraId="6CDB115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F859A4D" w14:textId="77777777" w:rsidTr="00CA749B">
        <w:trPr>
          <w:trHeight w:val="300"/>
          <w:jc w:val="center"/>
        </w:trPr>
        <w:tc>
          <w:tcPr>
            <w:tcW w:w="0" w:type="auto"/>
            <w:tcBorders>
              <w:top w:val="nil"/>
              <w:left w:val="single" w:sz="4" w:space="0" w:color="auto"/>
              <w:bottom w:val="nil"/>
              <w:right w:val="nil"/>
            </w:tcBorders>
            <w:noWrap/>
            <w:vAlign w:val="bottom"/>
            <w:hideMark/>
          </w:tcPr>
          <w:p w14:paraId="523D131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SOLLER</w:t>
            </w:r>
          </w:p>
        </w:tc>
        <w:tc>
          <w:tcPr>
            <w:tcW w:w="0" w:type="auto"/>
            <w:tcBorders>
              <w:top w:val="nil"/>
              <w:left w:val="nil"/>
              <w:bottom w:val="nil"/>
              <w:right w:val="single" w:sz="4" w:space="0" w:color="auto"/>
            </w:tcBorders>
            <w:noWrap/>
            <w:vAlign w:val="bottom"/>
            <w:hideMark/>
          </w:tcPr>
          <w:p w14:paraId="0C12FD2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4447BF6" w14:textId="77777777" w:rsidTr="00CA749B">
        <w:trPr>
          <w:trHeight w:val="300"/>
          <w:jc w:val="center"/>
        </w:trPr>
        <w:tc>
          <w:tcPr>
            <w:tcW w:w="0" w:type="auto"/>
            <w:tcBorders>
              <w:top w:val="nil"/>
              <w:left w:val="single" w:sz="4" w:space="0" w:color="auto"/>
              <w:bottom w:val="nil"/>
              <w:right w:val="nil"/>
            </w:tcBorders>
            <w:noWrap/>
            <w:vAlign w:val="bottom"/>
            <w:hideMark/>
          </w:tcPr>
          <w:p w14:paraId="537D687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TALIARTE - MELENARA</w:t>
            </w:r>
          </w:p>
        </w:tc>
        <w:tc>
          <w:tcPr>
            <w:tcW w:w="0" w:type="auto"/>
            <w:tcBorders>
              <w:top w:val="nil"/>
              <w:left w:val="nil"/>
              <w:bottom w:val="nil"/>
              <w:right w:val="single" w:sz="4" w:space="0" w:color="auto"/>
            </w:tcBorders>
            <w:noWrap/>
            <w:vAlign w:val="bottom"/>
            <w:hideMark/>
          </w:tcPr>
          <w:p w14:paraId="0D1D9E0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2403A45" w14:textId="77777777" w:rsidTr="00CA749B">
        <w:trPr>
          <w:trHeight w:val="300"/>
          <w:jc w:val="center"/>
        </w:trPr>
        <w:tc>
          <w:tcPr>
            <w:tcW w:w="0" w:type="auto"/>
            <w:tcBorders>
              <w:top w:val="nil"/>
              <w:left w:val="single" w:sz="4" w:space="0" w:color="auto"/>
              <w:bottom w:val="nil"/>
              <w:right w:val="nil"/>
            </w:tcBorders>
            <w:noWrap/>
            <w:vAlign w:val="bottom"/>
            <w:hideMark/>
          </w:tcPr>
          <w:p w14:paraId="12546B2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TARIFA</w:t>
            </w:r>
          </w:p>
        </w:tc>
        <w:tc>
          <w:tcPr>
            <w:tcW w:w="0" w:type="auto"/>
            <w:tcBorders>
              <w:top w:val="nil"/>
              <w:left w:val="nil"/>
              <w:bottom w:val="nil"/>
              <w:right w:val="single" w:sz="4" w:space="0" w:color="auto"/>
            </w:tcBorders>
            <w:noWrap/>
            <w:vAlign w:val="bottom"/>
            <w:hideMark/>
          </w:tcPr>
          <w:p w14:paraId="4B9F886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67F0BFE5" w14:textId="77777777" w:rsidTr="00CA749B">
        <w:trPr>
          <w:trHeight w:val="300"/>
          <w:jc w:val="center"/>
        </w:trPr>
        <w:tc>
          <w:tcPr>
            <w:tcW w:w="0" w:type="auto"/>
            <w:tcBorders>
              <w:top w:val="nil"/>
              <w:left w:val="single" w:sz="4" w:space="0" w:color="auto"/>
              <w:bottom w:val="nil"/>
              <w:right w:val="nil"/>
            </w:tcBorders>
            <w:noWrap/>
            <w:vAlign w:val="bottom"/>
            <w:hideMark/>
          </w:tcPr>
          <w:p w14:paraId="3508500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TARRAGONA</w:t>
            </w:r>
          </w:p>
        </w:tc>
        <w:tc>
          <w:tcPr>
            <w:tcW w:w="0" w:type="auto"/>
            <w:tcBorders>
              <w:top w:val="nil"/>
              <w:left w:val="nil"/>
              <w:bottom w:val="nil"/>
              <w:right w:val="single" w:sz="4" w:space="0" w:color="auto"/>
            </w:tcBorders>
            <w:noWrap/>
            <w:vAlign w:val="bottom"/>
            <w:hideMark/>
          </w:tcPr>
          <w:p w14:paraId="1AF2995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66BC0269" w14:textId="77777777" w:rsidTr="00CA749B">
        <w:trPr>
          <w:trHeight w:val="300"/>
          <w:jc w:val="center"/>
        </w:trPr>
        <w:tc>
          <w:tcPr>
            <w:tcW w:w="0" w:type="auto"/>
            <w:tcBorders>
              <w:top w:val="nil"/>
              <w:left w:val="single" w:sz="4" w:space="0" w:color="auto"/>
              <w:bottom w:val="nil"/>
              <w:right w:val="nil"/>
            </w:tcBorders>
            <w:noWrap/>
            <w:vAlign w:val="bottom"/>
            <w:hideMark/>
          </w:tcPr>
          <w:p w14:paraId="19FE9D9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TAZACORTE</w:t>
            </w:r>
          </w:p>
        </w:tc>
        <w:tc>
          <w:tcPr>
            <w:tcW w:w="0" w:type="auto"/>
            <w:tcBorders>
              <w:top w:val="nil"/>
              <w:left w:val="nil"/>
              <w:bottom w:val="nil"/>
              <w:right w:val="single" w:sz="4" w:space="0" w:color="auto"/>
            </w:tcBorders>
            <w:noWrap/>
            <w:vAlign w:val="bottom"/>
            <w:hideMark/>
          </w:tcPr>
          <w:p w14:paraId="57F17FA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2D9AEF3" w14:textId="77777777" w:rsidTr="00CA749B">
        <w:trPr>
          <w:trHeight w:val="300"/>
          <w:jc w:val="center"/>
        </w:trPr>
        <w:tc>
          <w:tcPr>
            <w:tcW w:w="0" w:type="auto"/>
            <w:tcBorders>
              <w:top w:val="nil"/>
              <w:left w:val="single" w:sz="4" w:space="0" w:color="auto"/>
              <w:bottom w:val="nil"/>
              <w:right w:val="nil"/>
            </w:tcBorders>
            <w:noWrap/>
            <w:vAlign w:val="bottom"/>
            <w:hideMark/>
          </w:tcPr>
          <w:p w14:paraId="55B56BE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TORREDEMBARRA</w:t>
            </w:r>
          </w:p>
        </w:tc>
        <w:tc>
          <w:tcPr>
            <w:tcW w:w="0" w:type="auto"/>
            <w:tcBorders>
              <w:top w:val="nil"/>
              <w:left w:val="nil"/>
              <w:bottom w:val="nil"/>
              <w:right w:val="single" w:sz="4" w:space="0" w:color="auto"/>
            </w:tcBorders>
            <w:noWrap/>
            <w:vAlign w:val="bottom"/>
            <w:hideMark/>
          </w:tcPr>
          <w:p w14:paraId="2BFA77F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333B8D68" w14:textId="77777777" w:rsidTr="00CA749B">
        <w:trPr>
          <w:trHeight w:val="300"/>
          <w:jc w:val="center"/>
        </w:trPr>
        <w:tc>
          <w:tcPr>
            <w:tcW w:w="0" w:type="auto"/>
            <w:tcBorders>
              <w:top w:val="nil"/>
              <w:left w:val="single" w:sz="4" w:space="0" w:color="auto"/>
              <w:bottom w:val="nil"/>
              <w:right w:val="nil"/>
            </w:tcBorders>
            <w:noWrap/>
            <w:vAlign w:val="bottom"/>
            <w:hideMark/>
          </w:tcPr>
          <w:p w14:paraId="3419872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TORREVIEJA</w:t>
            </w:r>
          </w:p>
        </w:tc>
        <w:tc>
          <w:tcPr>
            <w:tcW w:w="0" w:type="auto"/>
            <w:tcBorders>
              <w:top w:val="nil"/>
              <w:left w:val="nil"/>
              <w:bottom w:val="nil"/>
              <w:right w:val="single" w:sz="4" w:space="0" w:color="auto"/>
            </w:tcBorders>
            <w:noWrap/>
            <w:vAlign w:val="bottom"/>
            <w:hideMark/>
          </w:tcPr>
          <w:p w14:paraId="5262CC1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22858480" w14:textId="77777777" w:rsidTr="00CA749B">
        <w:trPr>
          <w:trHeight w:val="300"/>
          <w:jc w:val="center"/>
        </w:trPr>
        <w:tc>
          <w:tcPr>
            <w:tcW w:w="0" w:type="auto"/>
            <w:tcBorders>
              <w:top w:val="nil"/>
              <w:left w:val="single" w:sz="4" w:space="0" w:color="auto"/>
              <w:bottom w:val="nil"/>
              <w:right w:val="nil"/>
            </w:tcBorders>
            <w:noWrap/>
            <w:vAlign w:val="bottom"/>
            <w:hideMark/>
          </w:tcPr>
          <w:p w14:paraId="0EAC917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VALLE GRAN REY</w:t>
            </w:r>
          </w:p>
        </w:tc>
        <w:tc>
          <w:tcPr>
            <w:tcW w:w="0" w:type="auto"/>
            <w:tcBorders>
              <w:top w:val="nil"/>
              <w:left w:val="nil"/>
              <w:bottom w:val="nil"/>
              <w:right w:val="single" w:sz="4" w:space="0" w:color="auto"/>
            </w:tcBorders>
            <w:noWrap/>
            <w:vAlign w:val="bottom"/>
            <w:hideMark/>
          </w:tcPr>
          <w:p w14:paraId="0D55756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56AC1243" w14:textId="77777777" w:rsidTr="00CA749B">
        <w:trPr>
          <w:trHeight w:val="300"/>
          <w:jc w:val="center"/>
        </w:trPr>
        <w:tc>
          <w:tcPr>
            <w:tcW w:w="0" w:type="auto"/>
            <w:tcBorders>
              <w:top w:val="nil"/>
              <w:left w:val="single" w:sz="4" w:space="0" w:color="auto"/>
              <w:bottom w:val="nil"/>
              <w:right w:val="nil"/>
            </w:tcBorders>
            <w:noWrap/>
            <w:vAlign w:val="bottom"/>
            <w:hideMark/>
          </w:tcPr>
          <w:p w14:paraId="7738F00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VIGO</w:t>
            </w:r>
          </w:p>
        </w:tc>
        <w:tc>
          <w:tcPr>
            <w:tcW w:w="0" w:type="auto"/>
            <w:tcBorders>
              <w:top w:val="nil"/>
              <w:left w:val="nil"/>
              <w:bottom w:val="nil"/>
              <w:right w:val="single" w:sz="4" w:space="0" w:color="auto"/>
            </w:tcBorders>
            <w:noWrap/>
            <w:vAlign w:val="bottom"/>
            <w:hideMark/>
          </w:tcPr>
          <w:p w14:paraId="5E5DFC7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55A5394C" w14:textId="77777777" w:rsidTr="00CA749B">
        <w:trPr>
          <w:trHeight w:val="300"/>
          <w:jc w:val="center"/>
        </w:trPr>
        <w:tc>
          <w:tcPr>
            <w:tcW w:w="0" w:type="auto"/>
            <w:tcBorders>
              <w:top w:val="nil"/>
              <w:left w:val="single" w:sz="4" w:space="0" w:color="auto"/>
              <w:bottom w:val="nil"/>
              <w:right w:val="nil"/>
            </w:tcBorders>
            <w:noWrap/>
            <w:vAlign w:val="bottom"/>
            <w:hideMark/>
          </w:tcPr>
          <w:p w14:paraId="22457FC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VILANOVA I LA GELTRU</w:t>
            </w:r>
          </w:p>
        </w:tc>
        <w:tc>
          <w:tcPr>
            <w:tcW w:w="0" w:type="auto"/>
            <w:tcBorders>
              <w:top w:val="nil"/>
              <w:left w:val="nil"/>
              <w:bottom w:val="nil"/>
              <w:right w:val="single" w:sz="4" w:space="0" w:color="auto"/>
            </w:tcBorders>
            <w:noWrap/>
            <w:vAlign w:val="bottom"/>
            <w:hideMark/>
          </w:tcPr>
          <w:p w14:paraId="5F442DF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1BB0289B" w14:textId="77777777" w:rsidTr="00CA749B">
        <w:trPr>
          <w:trHeight w:val="300"/>
          <w:jc w:val="center"/>
        </w:trPr>
        <w:tc>
          <w:tcPr>
            <w:tcW w:w="0" w:type="auto"/>
            <w:tcBorders>
              <w:top w:val="nil"/>
              <w:left w:val="single" w:sz="4" w:space="0" w:color="auto"/>
              <w:bottom w:val="nil"/>
              <w:right w:val="nil"/>
            </w:tcBorders>
            <w:noWrap/>
            <w:vAlign w:val="bottom"/>
            <w:hideMark/>
          </w:tcPr>
          <w:p w14:paraId="3E93F22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VILLAJOYOSA</w:t>
            </w:r>
          </w:p>
        </w:tc>
        <w:tc>
          <w:tcPr>
            <w:tcW w:w="0" w:type="auto"/>
            <w:tcBorders>
              <w:top w:val="nil"/>
              <w:left w:val="nil"/>
              <w:bottom w:val="nil"/>
              <w:right w:val="single" w:sz="4" w:space="0" w:color="auto"/>
            </w:tcBorders>
            <w:noWrap/>
            <w:vAlign w:val="bottom"/>
            <w:hideMark/>
          </w:tcPr>
          <w:p w14:paraId="4CBD77F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DF0D1D8" w14:textId="77777777" w:rsidTr="00CA749B">
        <w:trPr>
          <w:trHeight w:val="300"/>
          <w:jc w:val="center"/>
        </w:trPr>
        <w:tc>
          <w:tcPr>
            <w:tcW w:w="0" w:type="auto"/>
            <w:tcBorders>
              <w:top w:val="nil"/>
              <w:left w:val="single" w:sz="4" w:space="0" w:color="auto"/>
              <w:bottom w:val="nil"/>
              <w:right w:val="nil"/>
            </w:tcBorders>
            <w:noWrap/>
            <w:vAlign w:val="bottom"/>
            <w:hideMark/>
          </w:tcPr>
          <w:p w14:paraId="50128F0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VINAROZ</w:t>
            </w:r>
          </w:p>
        </w:tc>
        <w:tc>
          <w:tcPr>
            <w:tcW w:w="0" w:type="auto"/>
            <w:tcBorders>
              <w:top w:val="nil"/>
              <w:left w:val="nil"/>
              <w:bottom w:val="nil"/>
              <w:right w:val="single" w:sz="4" w:space="0" w:color="auto"/>
            </w:tcBorders>
            <w:noWrap/>
            <w:vAlign w:val="bottom"/>
            <w:hideMark/>
          </w:tcPr>
          <w:p w14:paraId="7306261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EU-España</w:t>
            </w:r>
          </w:p>
        </w:tc>
      </w:tr>
      <w:tr w:rsidR="009123AC" w:rsidRPr="00F0379B" w14:paraId="4FBB8356" w14:textId="77777777" w:rsidTr="00CA749B">
        <w:trPr>
          <w:trHeight w:val="300"/>
          <w:jc w:val="center"/>
        </w:trPr>
        <w:tc>
          <w:tcPr>
            <w:tcW w:w="0" w:type="auto"/>
            <w:tcBorders>
              <w:top w:val="nil"/>
              <w:left w:val="single" w:sz="4" w:space="0" w:color="auto"/>
              <w:bottom w:val="nil"/>
              <w:right w:val="nil"/>
            </w:tcBorders>
            <w:noWrap/>
            <w:vAlign w:val="bottom"/>
            <w:hideMark/>
          </w:tcPr>
          <w:p w14:paraId="2AAF250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AGDE</w:t>
            </w:r>
          </w:p>
        </w:tc>
        <w:tc>
          <w:tcPr>
            <w:tcW w:w="0" w:type="auto"/>
            <w:tcBorders>
              <w:top w:val="nil"/>
              <w:left w:val="nil"/>
              <w:bottom w:val="nil"/>
              <w:right w:val="single" w:sz="4" w:space="0" w:color="auto"/>
            </w:tcBorders>
            <w:noWrap/>
            <w:vAlign w:val="bottom"/>
            <w:hideMark/>
          </w:tcPr>
          <w:p w14:paraId="1C2B99E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4A007784" w14:textId="77777777" w:rsidTr="00CA749B">
        <w:trPr>
          <w:trHeight w:val="300"/>
          <w:jc w:val="center"/>
        </w:trPr>
        <w:tc>
          <w:tcPr>
            <w:tcW w:w="0" w:type="auto"/>
            <w:tcBorders>
              <w:top w:val="nil"/>
              <w:left w:val="single" w:sz="4" w:space="0" w:color="auto"/>
              <w:bottom w:val="nil"/>
              <w:right w:val="nil"/>
            </w:tcBorders>
            <w:noWrap/>
            <w:vAlign w:val="bottom"/>
            <w:hideMark/>
          </w:tcPr>
          <w:p w14:paraId="67AA6D5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AJACCIO</w:t>
            </w:r>
          </w:p>
        </w:tc>
        <w:tc>
          <w:tcPr>
            <w:tcW w:w="0" w:type="auto"/>
            <w:tcBorders>
              <w:top w:val="nil"/>
              <w:left w:val="nil"/>
              <w:bottom w:val="nil"/>
              <w:right w:val="single" w:sz="4" w:space="0" w:color="auto"/>
            </w:tcBorders>
            <w:noWrap/>
            <w:vAlign w:val="bottom"/>
            <w:hideMark/>
          </w:tcPr>
          <w:p w14:paraId="10312FB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35AF4BEB" w14:textId="77777777" w:rsidTr="00CA749B">
        <w:trPr>
          <w:trHeight w:val="300"/>
          <w:jc w:val="center"/>
        </w:trPr>
        <w:tc>
          <w:tcPr>
            <w:tcW w:w="0" w:type="auto"/>
            <w:tcBorders>
              <w:top w:val="nil"/>
              <w:left w:val="single" w:sz="4" w:space="0" w:color="auto"/>
              <w:bottom w:val="nil"/>
              <w:right w:val="nil"/>
            </w:tcBorders>
            <w:noWrap/>
            <w:vAlign w:val="bottom"/>
            <w:hideMark/>
          </w:tcPr>
          <w:p w14:paraId="0EF5DC5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ARCACHON</w:t>
            </w:r>
          </w:p>
        </w:tc>
        <w:tc>
          <w:tcPr>
            <w:tcW w:w="0" w:type="auto"/>
            <w:tcBorders>
              <w:top w:val="nil"/>
              <w:left w:val="nil"/>
              <w:bottom w:val="nil"/>
              <w:right w:val="single" w:sz="4" w:space="0" w:color="auto"/>
            </w:tcBorders>
            <w:noWrap/>
            <w:vAlign w:val="bottom"/>
            <w:hideMark/>
          </w:tcPr>
          <w:p w14:paraId="0912EA3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2FB2DF80" w14:textId="77777777" w:rsidTr="00CA749B">
        <w:trPr>
          <w:trHeight w:val="300"/>
          <w:jc w:val="center"/>
        </w:trPr>
        <w:tc>
          <w:tcPr>
            <w:tcW w:w="0" w:type="auto"/>
            <w:tcBorders>
              <w:top w:val="nil"/>
              <w:left w:val="single" w:sz="4" w:space="0" w:color="auto"/>
              <w:bottom w:val="nil"/>
              <w:right w:val="nil"/>
            </w:tcBorders>
            <w:noWrap/>
            <w:vAlign w:val="bottom"/>
            <w:hideMark/>
          </w:tcPr>
          <w:p w14:paraId="2100425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ARGELÈS-SUR-MER</w:t>
            </w:r>
          </w:p>
        </w:tc>
        <w:tc>
          <w:tcPr>
            <w:tcW w:w="0" w:type="auto"/>
            <w:tcBorders>
              <w:top w:val="nil"/>
              <w:left w:val="nil"/>
              <w:bottom w:val="nil"/>
              <w:right w:val="single" w:sz="4" w:space="0" w:color="auto"/>
            </w:tcBorders>
            <w:noWrap/>
            <w:vAlign w:val="bottom"/>
            <w:hideMark/>
          </w:tcPr>
          <w:p w14:paraId="21FE313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0E5B8575" w14:textId="77777777" w:rsidTr="00CA749B">
        <w:trPr>
          <w:trHeight w:val="300"/>
          <w:jc w:val="center"/>
        </w:trPr>
        <w:tc>
          <w:tcPr>
            <w:tcW w:w="0" w:type="auto"/>
            <w:tcBorders>
              <w:top w:val="nil"/>
              <w:left w:val="single" w:sz="4" w:space="0" w:color="auto"/>
              <w:bottom w:val="nil"/>
              <w:right w:val="nil"/>
            </w:tcBorders>
            <w:noWrap/>
            <w:vAlign w:val="bottom"/>
            <w:hideMark/>
          </w:tcPr>
          <w:p w14:paraId="7C35072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AUDIERNE</w:t>
            </w:r>
          </w:p>
        </w:tc>
        <w:tc>
          <w:tcPr>
            <w:tcW w:w="0" w:type="auto"/>
            <w:tcBorders>
              <w:top w:val="nil"/>
              <w:left w:val="nil"/>
              <w:bottom w:val="nil"/>
              <w:right w:val="single" w:sz="4" w:space="0" w:color="auto"/>
            </w:tcBorders>
            <w:noWrap/>
            <w:vAlign w:val="bottom"/>
            <w:hideMark/>
          </w:tcPr>
          <w:p w14:paraId="195FE18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4B275631" w14:textId="77777777" w:rsidTr="00CA749B">
        <w:trPr>
          <w:trHeight w:val="300"/>
          <w:jc w:val="center"/>
        </w:trPr>
        <w:tc>
          <w:tcPr>
            <w:tcW w:w="0" w:type="auto"/>
            <w:tcBorders>
              <w:top w:val="nil"/>
              <w:left w:val="single" w:sz="4" w:space="0" w:color="auto"/>
              <w:bottom w:val="nil"/>
              <w:right w:val="nil"/>
            </w:tcBorders>
            <w:noWrap/>
            <w:vAlign w:val="bottom"/>
            <w:hideMark/>
          </w:tcPr>
          <w:p w14:paraId="681BA0A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BASTIA</w:t>
            </w:r>
          </w:p>
        </w:tc>
        <w:tc>
          <w:tcPr>
            <w:tcW w:w="0" w:type="auto"/>
            <w:tcBorders>
              <w:top w:val="nil"/>
              <w:left w:val="nil"/>
              <w:bottom w:val="nil"/>
              <w:right w:val="single" w:sz="4" w:space="0" w:color="auto"/>
            </w:tcBorders>
            <w:noWrap/>
            <w:vAlign w:val="bottom"/>
            <w:hideMark/>
          </w:tcPr>
          <w:p w14:paraId="06F048D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690E89C4" w14:textId="77777777" w:rsidTr="00CA749B">
        <w:trPr>
          <w:trHeight w:val="300"/>
          <w:jc w:val="center"/>
        </w:trPr>
        <w:tc>
          <w:tcPr>
            <w:tcW w:w="0" w:type="auto"/>
            <w:tcBorders>
              <w:top w:val="nil"/>
              <w:left w:val="single" w:sz="4" w:space="0" w:color="auto"/>
              <w:bottom w:val="nil"/>
              <w:right w:val="nil"/>
            </w:tcBorders>
            <w:noWrap/>
            <w:vAlign w:val="bottom"/>
            <w:hideMark/>
          </w:tcPr>
          <w:p w14:paraId="3F2279D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BAYONNE</w:t>
            </w:r>
          </w:p>
        </w:tc>
        <w:tc>
          <w:tcPr>
            <w:tcW w:w="0" w:type="auto"/>
            <w:tcBorders>
              <w:top w:val="nil"/>
              <w:left w:val="nil"/>
              <w:bottom w:val="nil"/>
              <w:right w:val="single" w:sz="4" w:space="0" w:color="auto"/>
            </w:tcBorders>
            <w:noWrap/>
            <w:vAlign w:val="bottom"/>
            <w:hideMark/>
          </w:tcPr>
          <w:p w14:paraId="28A8A6A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16054B30" w14:textId="77777777" w:rsidTr="00CA749B">
        <w:trPr>
          <w:trHeight w:val="300"/>
          <w:jc w:val="center"/>
        </w:trPr>
        <w:tc>
          <w:tcPr>
            <w:tcW w:w="0" w:type="auto"/>
            <w:tcBorders>
              <w:top w:val="nil"/>
              <w:left w:val="single" w:sz="4" w:space="0" w:color="auto"/>
              <w:bottom w:val="nil"/>
              <w:right w:val="nil"/>
            </w:tcBorders>
            <w:noWrap/>
            <w:vAlign w:val="bottom"/>
            <w:hideMark/>
          </w:tcPr>
          <w:p w14:paraId="6DC8256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BONIFACIO</w:t>
            </w:r>
          </w:p>
        </w:tc>
        <w:tc>
          <w:tcPr>
            <w:tcW w:w="0" w:type="auto"/>
            <w:tcBorders>
              <w:top w:val="nil"/>
              <w:left w:val="nil"/>
              <w:bottom w:val="nil"/>
              <w:right w:val="single" w:sz="4" w:space="0" w:color="auto"/>
            </w:tcBorders>
            <w:noWrap/>
            <w:vAlign w:val="bottom"/>
            <w:hideMark/>
          </w:tcPr>
          <w:p w14:paraId="324ED9C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518FBF46" w14:textId="77777777" w:rsidTr="00CA749B">
        <w:trPr>
          <w:trHeight w:val="300"/>
          <w:jc w:val="center"/>
        </w:trPr>
        <w:tc>
          <w:tcPr>
            <w:tcW w:w="0" w:type="auto"/>
            <w:tcBorders>
              <w:top w:val="nil"/>
              <w:left w:val="single" w:sz="4" w:space="0" w:color="auto"/>
              <w:bottom w:val="nil"/>
              <w:right w:val="nil"/>
            </w:tcBorders>
            <w:noWrap/>
            <w:vAlign w:val="bottom"/>
            <w:hideMark/>
          </w:tcPr>
          <w:p w14:paraId="6422242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BOULOGNE SUR MER</w:t>
            </w:r>
          </w:p>
        </w:tc>
        <w:tc>
          <w:tcPr>
            <w:tcW w:w="0" w:type="auto"/>
            <w:tcBorders>
              <w:top w:val="nil"/>
              <w:left w:val="nil"/>
              <w:bottom w:val="nil"/>
              <w:right w:val="single" w:sz="4" w:space="0" w:color="auto"/>
            </w:tcBorders>
            <w:noWrap/>
            <w:vAlign w:val="bottom"/>
            <w:hideMark/>
          </w:tcPr>
          <w:p w14:paraId="0CD1394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4F95D55B" w14:textId="77777777" w:rsidTr="00CA749B">
        <w:trPr>
          <w:trHeight w:val="300"/>
          <w:jc w:val="center"/>
        </w:trPr>
        <w:tc>
          <w:tcPr>
            <w:tcW w:w="0" w:type="auto"/>
            <w:tcBorders>
              <w:top w:val="nil"/>
              <w:left w:val="single" w:sz="4" w:space="0" w:color="auto"/>
              <w:bottom w:val="nil"/>
              <w:right w:val="nil"/>
            </w:tcBorders>
            <w:noWrap/>
            <w:vAlign w:val="bottom"/>
            <w:hideMark/>
          </w:tcPr>
          <w:p w14:paraId="12A9AFC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CAGNES SUR MER</w:t>
            </w:r>
          </w:p>
        </w:tc>
        <w:tc>
          <w:tcPr>
            <w:tcW w:w="0" w:type="auto"/>
            <w:tcBorders>
              <w:top w:val="nil"/>
              <w:left w:val="nil"/>
              <w:bottom w:val="nil"/>
              <w:right w:val="single" w:sz="4" w:space="0" w:color="auto"/>
            </w:tcBorders>
            <w:noWrap/>
            <w:vAlign w:val="bottom"/>
            <w:hideMark/>
          </w:tcPr>
          <w:p w14:paraId="12C94CD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51417BFB" w14:textId="77777777" w:rsidTr="00CA749B">
        <w:trPr>
          <w:trHeight w:val="300"/>
          <w:jc w:val="center"/>
        </w:trPr>
        <w:tc>
          <w:tcPr>
            <w:tcW w:w="0" w:type="auto"/>
            <w:tcBorders>
              <w:top w:val="nil"/>
              <w:left w:val="single" w:sz="4" w:space="0" w:color="auto"/>
              <w:bottom w:val="nil"/>
              <w:right w:val="nil"/>
            </w:tcBorders>
            <w:noWrap/>
            <w:vAlign w:val="bottom"/>
            <w:hideMark/>
          </w:tcPr>
          <w:p w14:paraId="4226EA9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CALVI</w:t>
            </w:r>
          </w:p>
        </w:tc>
        <w:tc>
          <w:tcPr>
            <w:tcW w:w="0" w:type="auto"/>
            <w:tcBorders>
              <w:top w:val="nil"/>
              <w:left w:val="nil"/>
              <w:bottom w:val="nil"/>
              <w:right w:val="single" w:sz="4" w:space="0" w:color="auto"/>
            </w:tcBorders>
            <w:noWrap/>
            <w:vAlign w:val="bottom"/>
            <w:hideMark/>
          </w:tcPr>
          <w:p w14:paraId="6A015C5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2A227620" w14:textId="77777777" w:rsidTr="00CA749B">
        <w:trPr>
          <w:trHeight w:val="300"/>
          <w:jc w:val="center"/>
        </w:trPr>
        <w:tc>
          <w:tcPr>
            <w:tcW w:w="0" w:type="auto"/>
            <w:tcBorders>
              <w:top w:val="nil"/>
              <w:left w:val="single" w:sz="4" w:space="0" w:color="auto"/>
              <w:bottom w:val="nil"/>
              <w:right w:val="nil"/>
            </w:tcBorders>
            <w:noWrap/>
            <w:vAlign w:val="bottom"/>
            <w:hideMark/>
          </w:tcPr>
          <w:p w14:paraId="583E335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CANNES</w:t>
            </w:r>
          </w:p>
        </w:tc>
        <w:tc>
          <w:tcPr>
            <w:tcW w:w="0" w:type="auto"/>
            <w:tcBorders>
              <w:top w:val="nil"/>
              <w:left w:val="nil"/>
              <w:bottom w:val="nil"/>
              <w:right w:val="single" w:sz="4" w:space="0" w:color="auto"/>
            </w:tcBorders>
            <w:noWrap/>
            <w:vAlign w:val="bottom"/>
            <w:hideMark/>
          </w:tcPr>
          <w:p w14:paraId="65452ED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680015E7" w14:textId="77777777" w:rsidTr="00CA749B">
        <w:trPr>
          <w:trHeight w:val="300"/>
          <w:jc w:val="center"/>
        </w:trPr>
        <w:tc>
          <w:tcPr>
            <w:tcW w:w="0" w:type="auto"/>
            <w:tcBorders>
              <w:top w:val="nil"/>
              <w:left w:val="single" w:sz="4" w:space="0" w:color="auto"/>
              <w:bottom w:val="nil"/>
              <w:right w:val="nil"/>
            </w:tcBorders>
            <w:noWrap/>
            <w:vAlign w:val="bottom"/>
            <w:hideMark/>
          </w:tcPr>
          <w:p w14:paraId="071A6DD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CARGESE</w:t>
            </w:r>
          </w:p>
        </w:tc>
        <w:tc>
          <w:tcPr>
            <w:tcW w:w="0" w:type="auto"/>
            <w:tcBorders>
              <w:top w:val="nil"/>
              <w:left w:val="nil"/>
              <w:bottom w:val="nil"/>
              <w:right w:val="single" w:sz="4" w:space="0" w:color="auto"/>
            </w:tcBorders>
            <w:noWrap/>
            <w:vAlign w:val="bottom"/>
            <w:hideMark/>
          </w:tcPr>
          <w:p w14:paraId="1BF3834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3FE38636" w14:textId="77777777" w:rsidTr="00CA749B">
        <w:trPr>
          <w:trHeight w:val="300"/>
          <w:jc w:val="center"/>
        </w:trPr>
        <w:tc>
          <w:tcPr>
            <w:tcW w:w="0" w:type="auto"/>
            <w:tcBorders>
              <w:top w:val="nil"/>
              <w:left w:val="single" w:sz="4" w:space="0" w:color="auto"/>
              <w:bottom w:val="nil"/>
              <w:right w:val="nil"/>
            </w:tcBorders>
            <w:noWrap/>
            <w:vAlign w:val="bottom"/>
            <w:hideMark/>
          </w:tcPr>
          <w:p w14:paraId="66553A5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CARNON</w:t>
            </w:r>
          </w:p>
        </w:tc>
        <w:tc>
          <w:tcPr>
            <w:tcW w:w="0" w:type="auto"/>
            <w:tcBorders>
              <w:top w:val="nil"/>
              <w:left w:val="nil"/>
              <w:bottom w:val="nil"/>
              <w:right w:val="single" w:sz="4" w:space="0" w:color="auto"/>
            </w:tcBorders>
            <w:noWrap/>
            <w:vAlign w:val="bottom"/>
            <w:hideMark/>
          </w:tcPr>
          <w:p w14:paraId="6EAB623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4F69D895" w14:textId="77777777" w:rsidTr="00CA749B">
        <w:trPr>
          <w:trHeight w:val="300"/>
          <w:jc w:val="center"/>
        </w:trPr>
        <w:tc>
          <w:tcPr>
            <w:tcW w:w="0" w:type="auto"/>
            <w:tcBorders>
              <w:top w:val="nil"/>
              <w:left w:val="single" w:sz="4" w:space="0" w:color="auto"/>
              <w:bottom w:val="nil"/>
              <w:right w:val="nil"/>
            </w:tcBorders>
            <w:noWrap/>
            <w:vAlign w:val="bottom"/>
            <w:hideMark/>
          </w:tcPr>
          <w:p w14:paraId="16A0A24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CARRY-LE-ROUET</w:t>
            </w:r>
          </w:p>
        </w:tc>
        <w:tc>
          <w:tcPr>
            <w:tcW w:w="0" w:type="auto"/>
            <w:tcBorders>
              <w:top w:val="nil"/>
              <w:left w:val="nil"/>
              <w:bottom w:val="nil"/>
              <w:right w:val="single" w:sz="4" w:space="0" w:color="auto"/>
            </w:tcBorders>
            <w:noWrap/>
            <w:vAlign w:val="bottom"/>
            <w:hideMark/>
          </w:tcPr>
          <w:p w14:paraId="2B7F584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1ADD6EC5" w14:textId="77777777" w:rsidTr="00CA749B">
        <w:trPr>
          <w:trHeight w:val="300"/>
          <w:jc w:val="center"/>
        </w:trPr>
        <w:tc>
          <w:tcPr>
            <w:tcW w:w="0" w:type="auto"/>
            <w:tcBorders>
              <w:top w:val="nil"/>
              <w:left w:val="single" w:sz="4" w:space="0" w:color="auto"/>
              <w:bottom w:val="nil"/>
              <w:right w:val="nil"/>
            </w:tcBorders>
            <w:noWrap/>
            <w:vAlign w:val="bottom"/>
            <w:hideMark/>
          </w:tcPr>
          <w:p w14:paraId="2AA6A89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CENTURI</w:t>
            </w:r>
          </w:p>
        </w:tc>
        <w:tc>
          <w:tcPr>
            <w:tcW w:w="0" w:type="auto"/>
            <w:tcBorders>
              <w:top w:val="nil"/>
              <w:left w:val="nil"/>
              <w:bottom w:val="nil"/>
              <w:right w:val="single" w:sz="4" w:space="0" w:color="auto"/>
            </w:tcBorders>
            <w:noWrap/>
            <w:vAlign w:val="bottom"/>
            <w:hideMark/>
          </w:tcPr>
          <w:p w14:paraId="569E883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6810E152" w14:textId="77777777" w:rsidTr="00CA749B">
        <w:trPr>
          <w:trHeight w:val="300"/>
          <w:jc w:val="center"/>
        </w:trPr>
        <w:tc>
          <w:tcPr>
            <w:tcW w:w="0" w:type="auto"/>
            <w:tcBorders>
              <w:top w:val="nil"/>
              <w:left w:val="single" w:sz="4" w:space="0" w:color="auto"/>
              <w:bottom w:val="nil"/>
              <w:right w:val="nil"/>
            </w:tcBorders>
            <w:noWrap/>
            <w:vAlign w:val="bottom"/>
            <w:hideMark/>
          </w:tcPr>
          <w:p w14:paraId="3BEF308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CHERBOURG</w:t>
            </w:r>
          </w:p>
        </w:tc>
        <w:tc>
          <w:tcPr>
            <w:tcW w:w="0" w:type="auto"/>
            <w:tcBorders>
              <w:top w:val="nil"/>
              <w:left w:val="nil"/>
              <w:bottom w:val="nil"/>
              <w:right w:val="single" w:sz="4" w:space="0" w:color="auto"/>
            </w:tcBorders>
            <w:noWrap/>
            <w:vAlign w:val="bottom"/>
            <w:hideMark/>
          </w:tcPr>
          <w:p w14:paraId="6226081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6CCDD051" w14:textId="77777777" w:rsidTr="00CA749B">
        <w:trPr>
          <w:trHeight w:val="300"/>
          <w:jc w:val="center"/>
        </w:trPr>
        <w:tc>
          <w:tcPr>
            <w:tcW w:w="0" w:type="auto"/>
            <w:tcBorders>
              <w:top w:val="nil"/>
              <w:left w:val="single" w:sz="4" w:space="0" w:color="auto"/>
              <w:bottom w:val="nil"/>
              <w:right w:val="nil"/>
            </w:tcBorders>
            <w:noWrap/>
            <w:vAlign w:val="bottom"/>
            <w:hideMark/>
          </w:tcPr>
          <w:p w14:paraId="6AA102D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COGOLIN</w:t>
            </w:r>
          </w:p>
        </w:tc>
        <w:tc>
          <w:tcPr>
            <w:tcW w:w="0" w:type="auto"/>
            <w:tcBorders>
              <w:top w:val="nil"/>
              <w:left w:val="nil"/>
              <w:bottom w:val="nil"/>
              <w:right w:val="single" w:sz="4" w:space="0" w:color="auto"/>
            </w:tcBorders>
            <w:noWrap/>
            <w:vAlign w:val="bottom"/>
            <w:hideMark/>
          </w:tcPr>
          <w:p w14:paraId="3DF7F70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0640762C" w14:textId="77777777" w:rsidTr="00CA749B">
        <w:trPr>
          <w:trHeight w:val="300"/>
          <w:jc w:val="center"/>
        </w:trPr>
        <w:tc>
          <w:tcPr>
            <w:tcW w:w="0" w:type="auto"/>
            <w:tcBorders>
              <w:top w:val="nil"/>
              <w:left w:val="single" w:sz="4" w:space="0" w:color="auto"/>
              <w:bottom w:val="nil"/>
              <w:right w:val="nil"/>
            </w:tcBorders>
            <w:noWrap/>
            <w:vAlign w:val="bottom"/>
            <w:hideMark/>
          </w:tcPr>
          <w:p w14:paraId="2EBD936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CONCARNEAU</w:t>
            </w:r>
          </w:p>
        </w:tc>
        <w:tc>
          <w:tcPr>
            <w:tcW w:w="0" w:type="auto"/>
            <w:tcBorders>
              <w:top w:val="nil"/>
              <w:left w:val="nil"/>
              <w:bottom w:val="nil"/>
              <w:right w:val="single" w:sz="4" w:space="0" w:color="auto"/>
            </w:tcBorders>
            <w:noWrap/>
            <w:vAlign w:val="bottom"/>
            <w:hideMark/>
          </w:tcPr>
          <w:p w14:paraId="39CCF0D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562FF2CE" w14:textId="77777777" w:rsidTr="00CA749B">
        <w:trPr>
          <w:trHeight w:val="300"/>
          <w:jc w:val="center"/>
        </w:trPr>
        <w:tc>
          <w:tcPr>
            <w:tcW w:w="0" w:type="auto"/>
            <w:tcBorders>
              <w:top w:val="nil"/>
              <w:left w:val="single" w:sz="4" w:space="0" w:color="auto"/>
              <w:bottom w:val="nil"/>
              <w:right w:val="nil"/>
            </w:tcBorders>
            <w:noWrap/>
            <w:vAlign w:val="bottom"/>
            <w:hideMark/>
          </w:tcPr>
          <w:p w14:paraId="7202387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DOUARNENEZ</w:t>
            </w:r>
          </w:p>
        </w:tc>
        <w:tc>
          <w:tcPr>
            <w:tcW w:w="0" w:type="auto"/>
            <w:tcBorders>
              <w:top w:val="nil"/>
              <w:left w:val="nil"/>
              <w:bottom w:val="nil"/>
              <w:right w:val="single" w:sz="4" w:space="0" w:color="auto"/>
            </w:tcBorders>
            <w:noWrap/>
            <w:vAlign w:val="bottom"/>
            <w:hideMark/>
          </w:tcPr>
          <w:p w14:paraId="5A3C4BA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3A7FE4F1" w14:textId="77777777" w:rsidTr="00CA749B">
        <w:trPr>
          <w:trHeight w:val="300"/>
          <w:jc w:val="center"/>
        </w:trPr>
        <w:tc>
          <w:tcPr>
            <w:tcW w:w="0" w:type="auto"/>
            <w:tcBorders>
              <w:top w:val="nil"/>
              <w:left w:val="single" w:sz="4" w:space="0" w:color="auto"/>
              <w:bottom w:val="nil"/>
              <w:right w:val="nil"/>
            </w:tcBorders>
            <w:noWrap/>
            <w:vAlign w:val="bottom"/>
            <w:hideMark/>
          </w:tcPr>
          <w:p w14:paraId="0882A33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ERQUY</w:t>
            </w:r>
          </w:p>
        </w:tc>
        <w:tc>
          <w:tcPr>
            <w:tcW w:w="0" w:type="auto"/>
            <w:tcBorders>
              <w:top w:val="nil"/>
              <w:left w:val="nil"/>
              <w:bottom w:val="nil"/>
              <w:right w:val="single" w:sz="4" w:space="0" w:color="auto"/>
            </w:tcBorders>
            <w:noWrap/>
            <w:vAlign w:val="bottom"/>
            <w:hideMark/>
          </w:tcPr>
          <w:p w14:paraId="16BBB79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27256F83" w14:textId="77777777" w:rsidTr="00CA749B">
        <w:trPr>
          <w:trHeight w:val="300"/>
          <w:jc w:val="center"/>
        </w:trPr>
        <w:tc>
          <w:tcPr>
            <w:tcW w:w="0" w:type="auto"/>
            <w:tcBorders>
              <w:top w:val="nil"/>
              <w:left w:val="single" w:sz="4" w:space="0" w:color="auto"/>
              <w:bottom w:val="nil"/>
              <w:right w:val="nil"/>
            </w:tcBorders>
            <w:noWrap/>
            <w:vAlign w:val="bottom"/>
            <w:hideMark/>
          </w:tcPr>
          <w:p w14:paraId="577EC26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FRONTIGNAN PLAGE</w:t>
            </w:r>
          </w:p>
        </w:tc>
        <w:tc>
          <w:tcPr>
            <w:tcW w:w="0" w:type="auto"/>
            <w:tcBorders>
              <w:top w:val="nil"/>
              <w:left w:val="nil"/>
              <w:bottom w:val="nil"/>
              <w:right w:val="single" w:sz="4" w:space="0" w:color="auto"/>
            </w:tcBorders>
            <w:noWrap/>
            <w:vAlign w:val="bottom"/>
            <w:hideMark/>
          </w:tcPr>
          <w:p w14:paraId="34F49C8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2D2453D0" w14:textId="77777777" w:rsidTr="00CA749B">
        <w:trPr>
          <w:trHeight w:val="300"/>
          <w:jc w:val="center"/>
        </w:trPr>
        <w:tc>
          <w:tcPr>
            <w:tcW w:w="0" w:type="auto"/>
            <w:tcBorders>
              <w:top w:val="nil"/>
              <w:left w:val="single" w:sz="4" w:space="0" w:color="auto"/>
              <w:bottom w:val="nil"/>
              <w:right w:val="nil"/>
            </w:tcBorders>
            <w:noWrap/>
            <w:vAlign w:val="bottom"/>
            <w:hideMark/>
          </w:tcPr>
          <w:p w14:paraId="6233BC3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GALÉRIA</w:t>
            </w:r>
          </w:p>
        </w:tc>
        <w:tc>
          <w:tcPr>
            <w:tcW w:w="0" w:type="auto"/>
            <w:tcBorders>
              <w:top w:val="nil"/>
              <w:left w:val="nil"/>
              <w:bottom w:val="nil"/>
              <w:right w:val="single" w:sz="4" w:space="0" w:color="auto"/>
            </w:tcBorders>
            <w:noWrap/>
            <w:vAlign w:val="bottom"/>
            <w:hideMark/>
          </w:tcPr>
          <w:p w14:paraId="75C8A30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332A2A5C" w14:textId="77777777" w:rsidTr="00CA749B">
        <w:trPr>
          <w:trHeight w:val="300"/>
          <w:jc w:val="center"/>
        </w:trPr>
        <w:tc>
          <w:tcPr>
            <w:tcW w:w="0" w:type="auto"/>
            <w:tcBorders>
              <w:top w:val="nil"/>
              <w:left w:val="single" w:sz="4" w:space="0" w:color="auto"/>
              <w:bottom w:val="nil"/>
              <w:right w:val="nil"/>
            </w:tcBorders>
            <w:noWrap/>
            <w:vAlign w:val="bottom"/>
            <w:hideMark/>
          </w:tcPr>
          <w:p w14:paraId="65B012A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GRANVILLE</w:t>
            </w:r>
          </w:p>
        </w:tc>
        <w:tc>
          <w:tcPr>
            <w:tcW w:w="0" w:type="auto"/>
            <w:tcBorders>
              <w:top w:val="nil"/>
              <w:left w:val="nil"/>
              <w:bottom w:val="nil"/>
              <w:right w:val="single" w:sz="4" w:space="0" w:color="auto"/>
            </w:tcBorders>
            <w:noWrap/>
            <w:vAlign w:val="bottom"/>
            <w:hideMark/>
          </w:tcPr>
          <w:p w14:paraId="2EC7699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6DA8CC9E" w14:textId="77777777" w:rsidTr="00CA749B">
        <w:trPr>
          <w:trHeight w:val="300"/>
          <w:jc w:val="center"/>
        </w:trPr>
        <w:tc>
          <w:tcPr>
            <w:tcW w:w="0" w:type="auto"/>
            <w:tcBorders>
              <w:top w:val="nil"/>
              <w:left w:val="single" w:sz="4" w:space="0" w:color="auto"/>
              <w:bottom w:val="nil"/>
              <w:right w:val="nil"/>
            </w:tcBorders>
            <w:noWrap/>
            <w:vAlign w:val="bottom"/>
            <w:hideMark/>
          </w:tcPr>
          <w:p w14:paraId="73A7CBD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GRAU-DU-ROI</w:t>
            </w:r>
          </w:p>
        </w:tc>
        <w:tc>
          <w:tcPr>
            <w:tcW w:w="0" w:type="auto"/>
            <w:tcBorders>
              <w:top w:val="nil"/>
              <w:left w:val="nil"/>
              <w:bottom w:val="nil"/>
              <w:right w:val="single" w:sz="4" w:space="0" w:color="auto"/>
            </w:tcBorders>
            <w:noWrap/>
            <w:vAlign w:val="bottom"/>
            <w:hideMark/>
          </w:tcPr>
          <w:p w14:paraId="074498D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3699DEC5" w14:textId="77777777" w:rsidTr="00CA749B">
        <w:trPr>
          <w:trHeight w:val="300"/>
          <w:jc w:val="center"/>
        </w:trPr>
        <w:tc>
          <w:tcPr>
            <w:tcW w:w="0" w:type="auto"/>
            <w:tcBorders>
              <w:top w:val="nil"/>
              <w:left w:val="single" w:sz="4" w:space="0" w:color="auto"/>
              <w:bottom w:val="nil"/>
              <w:right w:val="nil"/>
            </w:tcBorders>
            <w:noWrap/>
            <w:vAlign w:val="bottom"/>
            <w:hideMark/>
          </w:tcPr>
          <w:p w14:paraId="7FBEB90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GRUISSAN</w:t>
            </w:r>
          </w:p>
        </w:tc>
        <w:tc>
          <w:tcPr>
            <w:tcW w:w="0" w:type="auto"/>
            <w:tcBorders>
              <w:top w:val="nil"/>
              <w:left w:val="nil"/>
              <w:bottom w:val="nil"/>
              <w:right w:val="single" w:sz="4" w:space="0" w:color="auto"/>
            </w:tcBorders>
            <w:noWrap/>
            <w:vAlign w:val="bottom"/>
            <w:hideMark/>
          </w:tcPr>
          <w:p w14:paraId="52CDA75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6DFBED31" w14:textId="77777777" w:rsidTr="00CA749B">
        <w:trPr>
          <w:trHeight w:val="300"/>
          <w:jc w:val="center"/>
        </w:trPr>
        <w:tc>
          <w:tcPr>
            <w:tcW w:w="0" w:type="auto"/>
            <w:tcBorders>
              <w:top w:val="nil"/>
              <w:left w:val="single" w:sz="4" w:space="0" w:color="auto"/>
              <w:bottom w:val="nil"/>
              <w:right w:val="nil"/>
            </w:tcBorders>
            <w:noWrap/>
            <w:vAlign w:val="bottom"/>
            <w:hideMark/>
          </w:tcPr>
          <w:p w14:paraId="4803F27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HYÈRES</w:t>
            </w:r>
          </w:p>
        </w:tc>
        <w:tc>
          <w:tcPr>
            <w:tcW w:w="0" w:type="auto"/>
            <w:tcBorders>
              <w:top w:val="nil"/>
              <w:left w:val="nil"/>
              <w:bottom w:val="nil"/>
              <w:right w:val="single" w:sz="4" w:space="0" w:color="auto"/>
            </w:tcBorders>
            <w:noWrap/>
            <w:vAlign w:val="bottom"/>
            <w:hideMark/>
          </w:tcPr>
          <w:p w14:paraId="5A78F92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04B016E8" w14:textId="77777777" w:rsidTr="00CA749B">
        <w:trPr>
          <w:trHeight w:val="300"/>
          <w:jc w:val="center"/>
        </w:trPr>
        <w:tc>
          <w:tcPr>
            <w:tcW w:w="0" w:type="auto"/>
            <w:tcBorders>
              <w:top w:val="nil"/>
              <w:left w:val="single" w:sz="4" w:space="0" w:color="auto"/>
              <w:bottom w:val="nil"/>
              <w:right w:val="nil"/>
            </w:tcBorders>
            <w:noWrap/>
            <w:vAlign w:val="bottom"/>
            <w:hideMark/>
          </w:tcPr>
          <w:p w14:paraId="74C7535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HYÈRES</w:t>
            </w:r>
          </w:p>
        </w:tc>
        <w:tc>
          <w:tcPr>
            <w:tcW w:w="0" w:type="auto"/>
            <w:tcBorders>
              <w:top w:val="nil"/>
              <w:left w:val="nil"/>
              <w:bottom w:val="nil"/>
              <w:right w:val="single" w:sz="4" w:space="0" w:color="auto"/>
            </w:tcBorders>
            <w:noWrap/>
            <w:vAlign w:val="bottom"/>
            <w:hideMark/>
          </w:tcPr>
          <w:p w14:paraId="1DD4B85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0C67F7A1" w14:textId="77777777" w:rsidTr="00CA749B">
        <w:trPr>
          <w:trHeight w:val="300"/>
          <w:jc w:val="center"/>
        </w:trPr>
        <w:tc>
          <w:tcPr>
            <w:tcW w:w="0" w:type="auto"/>
            <w:tcBorders>
              <w:top w:val="nil"/>
              <w:left w:val="single" w:sz="4" w:space="0" w:color="auto"/>
              <w:bottom w:val="nil"/>
              <w:right w:val="nil"/>
            </w:tcBorders>
            <w:noWrap/>
            <w:vAlign w:val="bottom"/>
            <w:hideMark/>
          </w:tcPr>
          <w:p w14:paraId="726B721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L’ÎLE-ROUSSE</w:t>
            </w:r>
          </w:p>
        </w:tc>
        <w:tc>
          <w:tcPr>
            <w:tcW w:w="0" w:type="auto"/>
            <w:tcBorders>
              <w:top w:val="nil"/>
              <w:left w:val="nil"/>
              <w:bottom w:val="nil"/>
              <w:right w:val="single" w:sz="4" w:space="0" w:color="auto"/>
            </w:tcBorders>
            <w:noWrap/>
            <w:vAlign w:val="bottom"/>
            <w:hideMark/>
          </w:tcPr>
          <w:p w14:paraId="1F048B7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28E7F365" w14:textId="77777777" w:rsidTr="00CA749B">
        <w:trPr>
          <w:trHeight w:val="300"/>
          <w:jc w:val="center"/>
        </w:trPr>
        <w:tc>
          <w:tcPr>
            <w:tcW w:w="0" w:type="auto"/>
            <w:tcBorders>
              <w:top w:val="nil"/>
              <w:left w:val="single" w:sz="4" w:space="0" w:color="auto"/>
              <w:bottom w:val="nil"/>
              <w:right w:val="nil"/>
            </w:tcBorders>
            <w:noWrap/>
            <w:vAlign w:val="bottom"/>
            <w:hideMark/>
          </w:tcPr>
          <w:p w14:paraId="0B939E5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LA CIOTAT</w:t>
            </w:r>
          </w:p>
        </w:tc>
        <w:tc>
          <w:tcPr>
            <w:tcW w:w="0" w:type="auto"/>
            <w:tcBorders>
              <w:top w:val="nil"/>
              <w:left w:val="nil"/>
              <w:bottom w:val="nil"/>
              <w:right w:val="single" w:sz="4" w:space="0" w:color="auto"/>
            </w:tcBorders>
            <w:noWrap/>
            <w:vAlign w:val="bottom"/>
            <w:hideMark/>
          </w:tcPr>
          <w:p w14:paraId="392DB0E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4EBA477E" w14:textId="77777777" w:rsidTr="00CA749B">
        <w:trPr>
          <w:trHeight w:val="300"/>
          <w:jc w:val="center"/>
        </w:trPr>
        <w:tc>
          <w:tcPr>
            <w:tcW w:w="0" w:type="auto"/>
            <w:tcBorders>
              <w:top w:val="nil"/>
              <w:left w:val="single" w:sz="4" w:space="0" w:color="auto"/>
              <w:bottom w:val="nil"/>
              <w:right w:val="nil"/>
            </w:tcBorders>
            <w:noWrap/>
            <w:vAlign w:val="bottom"/>
            <w:hideMark/>
          </w:tcPr>
          <w:p w14:paraId="657137F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LA COTINIÈRE</w:t>
            </w:r>
          </w:p>
        </w:tc>
        <w:tc>
          <w:tcPr>
            <w:tcW w:w="0" w:type="auto"/>
            <w:tcBorders>
              <w:top w:val="nil"/>
              <w:left w:val="nil"/>
              <w:bottom w:val="nil"/>
              <w:right w:val="single" w:sz="4" w:space="0" w:color="auto"/>
            </w:tcBorders>
            <w:noWrap/>
            <w:vAlign w:val="bottom"/>
            <w:hideMark/>
          </w:tcPr>
          <w:p w14:paraId="437DDDF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55BB1A51" w14:textId="77777777" w:rsidTr="00CA749B">
        <w:trPr>
          <w:trHeight w:val="300"/>
          <w:jc w:val="center"/>
        </w:trPr>
        <w:tc>
          <w:tcPr>
            <w:tcW w:w="0" w:type="auto"/>
            <w:tcBorders>
              <w:top w:val="nil"/>
              <w:left w:val="single" w:sz="4" w:space="0" w:color="auto"/>
              <w:bottom w:val="nil"/>
              <w:right w:val="nil"/>
            </w:tcBorders>
            <w:noWrap/>
            <w:vAlign w:val="bottom"/>
            <w:hideMark/>
          </w:tcPr>
          <w:p w14:paraId="5B558E0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LA ROCHELLE</w:t>
            </w:r>
          </w:p>
        </w:tc>
        <w:tc>
          <w:tcPr>
            <w:tcW w:w="0" w:type="auto"/>
            <w:tcBorders>
              <w:top w:val="nil"/>
              <w:left w:val="nil"/>
              <w:bottom w:val="nil"/>
              <w:right w:val="single" w:sz="4" w:space="0" w:color="auto"/>
            </w:tcBorders>
            <w:noWrap/>
            <w:vAlign w:val="bottom"/>
            <w:hideMark/>
          </w:tcPr>
          <w:p w14:paraId="7C3699E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15A6C018" w14:textId="77777777" w:rsidTr="00CA749B">
        <w:trPr>
          <w:trHeight w:val="300"/>
          <w:jc w:val="center"/>
        </w:trPr>
        <w:tc>
          <w:tcPr>
            <w:tcW w:w="0" w:type="auto"/>
            <w:tcBorders>
              <w:top w:val="nil"/>
              <w:left w:val="single" w:sz="4" w:space="0" w:color="auto"/>
              <w:bottom w:val="nil"/>
              <w:right w:val="nil"/>
            </w:tcBorders>
            <w:noWrap/>
            <w:vAlign w:val="bottom"/>
            <w:hideMark/>
          </w:tcPr>
          <w:p w14:paraId="05ED88B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LA TURBALLE</w:t>
            </w:r>
          </w:p>
        </w:tc>
        <w:tc>
          <w:tcPr>
            <w:tcW w:w="0" w:type="auto"/>
            <w:tcBorders>
              <w:top w:val="nil"/>
              <w:left w:val="nil"/>
              <w:bottom w:val="nil"/>
              <w:right w:val="single" w:sz="4" w:space="0" w:color="auto"/>
            </w:tcBorders>
            <w:noWrap/>
            <w:vAlign w:val="bottom"/>
            <w:hideMark/>
          </w:tcPr>
          <w:p w14:paraId="04A3A96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43EAC326" w14:textId="77777777" w:rsidTr="00CA749B">
        <w:trPr>
          <w:trHeight w:val="300"/>
          <w:jc w:val="center"/>
        </w:trPr>
        <w:tc>
          <w:tcPr>
            <w:tcW w:w="0" w:type="auto"/>
            <w:tcBorders>
              <w:top w:val="nil"/>
              <w:left w:val="single" w:sz="4" w:space="0" w:color="auto"/>
              <w:bottom w:val="nil"/>
              <w:right w:val="nil"/>
            </w:tcBorders>
            <w:noWrap/>
            <w:vAlign w:val="bottom"/>
            <w:hideMark/>
          </w:tcPr>
          <w:p w14:paraId="39240CD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LE BARCARÈS</w:t>
            </w:r>
          </w:p>
        </w:tc>
        <w:tc>
          <w:tcPr>
            <w:tcW w:w="0" w:type="auto"/>
            <w:tcBorders>
              <w:top w:val="nil"/>
              <w:left w:val="nil"/>
              <w:bottom w:val="nil"/>
              <w:right w:val="single" w:sz="4" w:space="0" w:color="auto"/>
            </w:tcBorders>
            <w:noWrap/>
            <w:vAlign w:val="bottom"/>
            <w:hideMark/>
          </w:tcPr>
          <w:p w14:paraId="370E8AA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44445174" w14:textId="77777777" w:rsidTr="00CA749B">
        <w:trPr>
          <w:trHeight w:val="300"/>
          <w:jc w:val="center"/>
        </w:trPr>
        <w:tc>
          <w:tcPr>
            <w:tcW w:w="0" w:type="auto"/>
            <w:tcBorders>
              <w:top w:val="nil"/>
              <w:left w:val="single" w:sz="4" w:space="0" w:color="auto"/>
              <w:bottom w:val="nil"/>
              <w:right w:val="nil"/>
            </w:tcBorders>
            <w:noWrap/>
            <w:vAlign w:val="bottom"/>
            <w:hideMark/>
          </w:tcPr>
          <w:p w14:paraId="204D5A6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LE CONQUET</w:t>
            </w:r>
          </w:p>
        </w:tc>
        <w:tc>
          <w:tcPr>
            <w:tcW w:w="0" w:type="auto"/>
            <w:tcBorders>
              <w:top w:val="nil"/>
              <w:left w:val="nil"/>
              <w:bottom w:val="nil"/>
              <w:right w:val="single" w:sz="4" w:space="0" w:color="auto"/>
            </w:tcBorders>
            <w:noWrap/>
            <w:vAlign w:val="bottom"/>
            <w:hideMark/>
          </w:tcPr>
          <w:p w14:paraId="5291F3D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6EA6B40C" w14:textId="77777777" w:rsidTr="00CA749B">
        <w:trPr>
          <w:trHeight w:val="300"/>
          <w:jc w:val="center"/>
        </w:trPr>
        <w:tc>
          <w:tcPr>
            <w:tcW w:w="0" w:type="auto"/>
            <w:tcBorders>
              <w:top w:val="nil"/>
              <w:left w:val="single" w:sz="4" w:space="0" w:color="auto"/>
              <w:bottom w:val="nil"/>
              <w:right w:val="nil"/>
            </w:tcBorders>
            <w:noWrap/>
            <w:vAlign w:val="bottom"/>
            <w:hideMark/>
          </w:tcPr>
          <w:p w14:paraId="0BF59A8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LE GUILVINEC</w:t>
            </w:r>
          </w:p>
        </w:tc>
        <w:tc>
          <w:tcPr>
            <w:tcW w:w="0" w:type="auto"/>
            <w:tcBorders>
              <w:top w:val="nil"/>
              <w:left w:val="nil"/>
              <w:bottom w:val="nil"/>
              <w:right w:val="single" w:sz="4" w:space="0" w:color="auto"/>
            </w:tcBorders>
            <w:noWrap/>
            <w:vAlign w:val="bottom"/>
            <w:hideMark/>
          </w:tcPr>
          <w:p w14:paraId="6835AFD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5866284D" w14:textId="77777777" w:rsidTr="00CA749B">
        <w:trPr>
          <w:trHeight w:val="300"/>
          <w:jc w:val="center"/>
        </w:trPr>
        <w:tc>
          <w:tcPr>
            <w:tcW w:w="0" w:type="auto"/>
            <w:tcBorders>
              <w:top w:val="nil"/>
              <w:left w:val="single" w:sz="4" w:space="0" w:color="auto"/>
              <w:bottom w:val="nil"/>
              <w:right w:val="nil"/>
            </w:tcBorders>
            <w:noWrap/>
            <w:vAlign w:val="bottom"/>
            <w:hideMark/>
          </w:tcPr>
          <w:p w14:paraId="0C56295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LE LAVANDOU</w:t>
            </w:r>
          </w:p>
        </w:tc>
        <w:tc>
          <w:tcPr>
            <w:tcW w:w="0" w:type="auto"/>
            <w:tcBorders>
              <w:top w:val="nil"/>
              <w:left w:val="nil"/>
              <w:bottom w:val="nil"/>
              <w:right w:val="single" w:sz="4" w:space="0" w:color="auto"/>
            </w:tcBorders>
            <w:noWrap/>
            <w:vAlign w:val="bottom"/>
            <w:hideMark/>
          </w:tcPr>
          <w:p w14:paraId="607DE27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06F86AAC" w14:textId="77777777" w:rsidTr="00CA749B">
        <w:trPr>
          <w:trHeight w:val="300"/>
          <w:jc w:val="center"/>
        </w:trPr>
        <w:tc>
          <w:tcPr>
            <w:tcW w:w="0" w:type="auto"/>
            <w:tcBorders>
              <w:top w:val="nil"/>
              <w:left w:val="single" w:sz="4" w:space="0" w:color="auto"/>
              <w:bottom w:val="nil"/>
              <w:right w:val="nil"/>
            </w:tcBorders>
            <w:noWrap/>
            <w:vAlign w:val="bottom"/>
            <w:hideMark/>
          </w:tcPr>
          <w:p w14:paraId="622504D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LES SABLES D’OLONNE</w:t>
            </w:r>
          </w:p>
        </w:tc>
        <w:tc>
          <w:tcPr>
            <w:tcW w:w="0" w:type="auto"/>
            <w:tcBorders>
              <w:top w:val="nil"/>
              <w:left w:val="nil"/>
              <w:bottom w:val="nil"/>
              <w:right w:val="single" w:sz="4" w:space="0" w:color="auto"/>
            </w:tcBorders>
            <w:noWrap/>
            <w:vAlign w:val="bottom"/>
            <w:hideMark/>
          </w:tcPr>
          <w:p w14:paraId="4137710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63824F52" w14:textId="77777777" w:rsidTr="00CA749B">
        <w:trPr>
          <w:trHeight w:val="300"/>
          <w:jc w:val="center"/>
        </w:trPr>
        <w:tc>
          <w:tcPr>
            <w:tcW w:w="0" w:type="auto"/>
            <w:tcBorders>
              <w:top w:val="nil"/>
              <w:left w:val="single" w:sz="4" w:space="0" w:color="auto"/>
              <w:bottom w:val="nil"/>
              <w:right w:val="nil"/>
            </w:tcBorders>
            <w:noWrap/>
            <w:vAlign w:val="bottom"/>
            <w:hideMark/>
          </w:tcPr>
          <w:p w14:paraId="0320FA64" w14:textId="77777777" w:rsidR="009123AC" w:rsidRPr="00F0379B" w:rsidRDefault="009123AC" w:rsidP="009123AC">
            <w:pPr>
              <w:spacing w:after="0" w:line="240" w:lineRule="auto"/>
              <w:rPr>
                <w:rFonts w:ascii="Cambria" w:eastAsia="MS Gothic" w:hAnsi="Cambria" w:cs="Times New Roman"/>
                <w:color w:val="000000"/>
                <w:sz w:val="20"/>
                <w:szCs w:val="20"/>
                <w:lang w:val="fr-FR" w:eastAsia="fr-FR" w:bidi="fr-FR"/>
                <w14:ligatures w14:val="standardContextual"/>
              </w:rPr>
            </w:pPr>
            <w:r w:rsidRPr="00F0379B">
              <w:rPr>
                <w:rFonts w:ascii="Cambria" w:eastAsia="MS Gothic" w:hAnsi="Cambria" w:cs="Times New Roman"/>
                <w:color w:val="000000"/>
                <w:sz w:val="20"/>
                <w:szCs w:val="20"/>
                <w:lang w:val="fr-FR" w:eastAsia="fr-FR" w:bidi="fr-FR"/>
                <w14:ligatures w14:val="standardContextual"/>
              </w:rPr>
              <w:t>LES SAINTES-MARIES -DE-LA-MER</w:t>
            </w:r>
          </w:p>
        </w:tc>
        <w:tc>
          <w:tcPr>
            <w:tcW w:w="0" w:type="auto"/>
            <w:tcBorders>
              <w:top w:val="nil"/>
              <w:left w:val="nil"/>
              <w:bottom w:val="nil"/>
              <w:right w:val="single" w:sz="4" w:space="0" w:color="auto"/>
            </w:tcBorders>
            <w:noWrap/>
            <w:vAlign w:val="bottom"/>
            <w:hideMark/>
          </w:tcPr>
          <w:p w14:paraId="233280C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012F5F26" w14:textId="77777777" w:rsidTr="00CA749B">
        <w:trPr>
          <w:trHeight w:val="300"/>
          <w:jc w:val="center"/>
        </w:trPr>
        <w:tc>
          <w:tcPr>
            <w:tcW w:w="0" w:type="auto"/>
            <w:tcBorders>
              <w:top w:val="nil"/>
              <w:left w:val="single" w:sz="4" w:space="0" w:color="auto"/>
              <w:bottom w:val="nil"/>
              <w:right w:val="nil"/>
            </w:tcBorders>
            <w:noWrap/>
            <w:vAlign w:val="bottom"/>
            <w:hideMark/>
          </w:tcPr>
          <w:p w14:paraId="1929DA2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LEUCATE</w:t>
            </w:r>
          </w:p>
        </w:tc>
        <w:tc>
          <w:tcPr>
            <w:tcW w:w="0" w:type="auto"/>
            <w:tcBorders>
              <w:top w:val="nil"/>
              <w:left w:val="nil"/>
              <w:bottom w:val="nil"/>
              <w:right w:val="single" w:sz="4" w:space="0" w:color="auto"/>
            </w:tcBorders>
            <w:noWrap/>
            <w:vAlign w:val="bottom"/>
            <w:hideMark/>
          </w:tcPr>
          <w:p w14:paraId="75A2CA1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6FEA3828" w14:textId="77777777" w:rsidTr="00CA749B">
        <w:trPr>
          <w:trHeight w:val="300"/>
          <w:jc w:val="center"/>
        </w:trPr>
        <w:tc>
          <w:tcPr>
            <w:tcW w:w="0" w:type="auto"/>
            <w:tcBorders>
              <w:top w:val="nil"/>
              <w:left w:val="single" w:sz="4" w:space="0" w:color="auto"/>
              <w:bottom w:val="nil"/>
              <w:right w:val="nil"/>
            </w:tcBorders>
            <w:noWrap/>
            <w:vAlign w:val="bottom"/>
            <w:hideMark/>
          </w:tcPr>
          <w:p w14:paraId="1161EE4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LOGUIVY-DE-LA-MER</w:t>
            </w:r>
          </w:p>
        </w:tc>
        <w:tc>
          <w:tcPr>
            <w:tcW w:w="0" w:type="auto"/>
            <w:tcBorders>
              <w:top w:val="nil"/>
              <w:left w:val="nil"/>
              <w:bottom w:val="nil"/>
              <w:right w:val="single" w:sz="4" w:space="0" w:color="auto"/>
            </w:tcBorders>
            <w:noWrap/>
            <w:vAlign w:val="bottom"/>
            <w:hideMark/>
          </w:tcPr>
          <w:p w14:paraId="74FED97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04285E03" w14:textId="77777777" w:rsidTr="00CA749B">
        <w:trPr>
          <w:trHeight w:val="300"/>
          <w:jc w:val="center"/>
        </w:trPr>
        <w:tc>
          <w:tcPr>
            <w:tcW w:w="0" w:type="auto"/>
            <w:tcBorders>
              <w:top w:val="nil"/>
              <w:left w:val="single" w:sz="4" w:space="0" w:color="auto"/>
              <w:bottom w:val="nil"/>
              <w:right w:val="nil"/>
            </w:tcBorders>
            <w:noWrap/>
            <w:vAlign w:val="bottom"/>
            <w:hideMark/>
          </w:tcPr>
          <w:p w14:paraId="0779517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LORIENT</w:t>
            </w:r>
          </w:p>
        </w:tc>
        <w:tc>
          <w:tcPr>
            <w:tcW w:w="0" w:type="auto"/>
            <w:tcBorders>
              <w:top w:val="nil"/>
              <w:left w:val="nil"/>
              <w:bottom w:val="nil"/>
              <w:right w:val="single" w:sz="4" w:space="0" w:color="auto"/>
            </w:tcBorders>
            <w:noWrap/>
            <w:vAlign w:val="bottom"/>
            <w:hideMark/>
          </w:tcPr>
          <w:p w14:paraId="5438051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4ED5DCF8" w14:textId="77777777" w:rsidTr="00CA749B">
        <w:trPr>
          <w:trHeight w:val="300"/>
          <w:jc w:val="center"/>
        </w:trPr>
        <w:tc>
          <w:tcPr>
            <w:tcW w:w="0" w:type="auto"/>
            <w:tcBorders>
              <w:top w:val="nil"/>
              <w:left w:val="single" w:sz="4" w:space="0" w:color="auto"/>
              <w:bottom w:val="nil"/>
              <w:right w:val="nil"/>
            </w:tcBorders>
            <w:noWrap/>
            <w:vAlign w:val="bottom"/>
            <w:hideMark/>
          </w:tcPr>
          <w:p w14:paraId="1BAB48F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MACCINAGGIO</w:t>
            </w:r>
          </w:p>
        </w:tc>
        <w:tc>
          <w:tcPr>
            <w:tcW w:w="0" w:type="auto"/>
            <w:tcBorders>
              <w:top w:val="nil"/>
              <w:left w:val="nil"/>
              <w:bottom w:val="nil"/>
              <w:right w:val="single" w:sz="4" w:space="0" w:color="auto"/>
            </w:tcBorders>
            <w:noWrap/>
            <w:vAlign w:val="bottom"/>
            <w:hideMark/>
          </w:tcPr>
          <w:p w14:paraId="151B2E8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0F8DC7D0" w14:textId="77777777" w:rsidTr="00CA749B">
        <w:trPr>
          <w:trHeight w:val="300"/>
          <w:jc w:val="center"/>
        </w:trPr>
        <w:tc>
          <w:tcPr>
            <w:tcW w:w="0" w:type="auto"/>
            <w:tcBorders>
              <w:top w:val="nil"/>
              <w:left w:val="single" w:sz="4" w:space="0" w:color="auto"/>
              <w:bottom w:val="nil"/>
              <w:right w:val="nil"/>
            </w:tcBorders>
            <w:noWrap/>
            <w:vAlign w:val="bottom"/>
            <w:hideMark/>
          </w:tcPr>
          <w:p w14:paraId="7D8AF8B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MARSEILLAN PLAGE</w:t>
            </w:r>
          </w:p>
        </w:tc>
        <w:tc>
          <w:tcPr>
            <w:tcW w:w="0" w:type="auto"/>
            <w:tcBorders>
              <w:top w:val="nil"/>
              <w:left w:val="nil"/>
              <w:bottom w:val="nil"/>
              <w:right w:val="single" w:sz="4" w:space="0" w:color="auto"/>
            </w:tcBorders>
            <w:noWrap/>
            <w:vAlign w:val="bottom"/>
            <w:hideMark/>
          </w:tcPr>
          <w:p w14:paraId="5773C65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EU-France</w:t>
            </w:r>
          </w:p>
        </w:tc>
      </w:tr>
      <w:tr w:rsidR="009123AC" w:rsidRPr="00F0379B" w14:paraId="7CAA7D85" w14:textId="77777777" w:rsidTr="00CA749B">
        <w:trPr>
          <w:trHeight w:val="300"/>
          <w:jc w:val="center"/>
        </w:trPr>
        <w:tc>
          <w:tcPr>
            <w:tcW w:w="0" w:type="auto"/>
            <w:tcBorders>
              <w:top w:val="nil"/>
              <w:left w:val="single" w:sz="4" w:space="0" w:color="auto"/>
              <w:bottom w:val="nil"/>
              <w:right w:val="nil"/>
            </w:tcBorders>
            <w:noWrap/>
            <w:vAlign w:val="bottom"/>
            <w:hideMark/>
          </w:tcPr>
          <w:p w14:paraId="4D372AD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MARSEILLE</w:t>
            </w:r>
          </w:p>
        </w:tc>
        <w:tc>
          <w:tcPr>
            <w:tcW w:w="0" w:type="auto"/>
            <w:tcBorders>
              <w:top w:val="nil"/>
              <w:left w:val="nil"/>
              <w:bottom w:val="nil"/>
              <w:right w:val="single" w:sz="4" w:space="0" w:color="auto"/>
            </w:tcBorders>
            <w:noWrap/>
            <w:vAlign w:val="bottom"/>
            <w:hideMark/>
          </w:tcPr>
          <w:p w14:paraId="587431E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1580F81B" w14:textId="77777777" w:rsidTr="00CA749B">
        <w:trPr>
          <w:trHeight w:val="300"/>
          <w:jc w:val="center"/>
        </w:trPr>
        <w:tc>
          <w:tcPr>
            <w:tcW w:w="0" w:type="auto"/>
            <w:tcBorders>
              <w:top w:val="nil"/>
              <w:left w:val="single" w:sz="4" w:space="0" w:color="auto"/>
              <w:bottom w:val="nil"/>
              <w:right w:val="nil"/>
            </w:tcBorders>
            <w:noWrap/>
            <w:vAlign w:val="bottom"/>
            <w:hideMark/>
          </w:tcPr>
          <w:p w14:paraId="339E500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MARTIGUES</w:t>
            </w:r>
          </w:p>
        </w:tc>
        <w:tc>
          <w:tcPr>
            <w:tcW w:w="0" w:type="auto"/>
            <w:tcBorders>
              <w:top w:val="nil"/>
              <w:left w:val="nil"/>
              <w:bottom w:val="nil"/>
              <w:right w:val="single" w:sz="4" w:space="0" w:color="auto"/>
            </w:tcBorders>
            <w:noWrap/>
            <w:vAlign w:val="bottom"/>
            <w:hideMark/>
          </w:tcPr>
          <w:p w14:paraId="5B70E7F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6F4D5BDB" w14:textId="77777777" w:rsidTr="00CA749B">
        <w:trPr>
          <w:trHeight w:val="300"/>
          <w:jc w:val="center"/>
        </w:trPr>
        <w:tc>
          <w:tcPr>
            <w:tcW w:w="0" w:type="auto"/>
            <w:tcBorders>
              <w:top w:val="nil"/>
              <w:left w:val="single" w:sz="4" w:space="0" w:color="auto"/>
              <w:bottom w:val="nil"/>
              <w:right w:val="nil"/>
            </w:tcBorders>
            <w:noWrap/>
            <w:vAlign w:val="bottom"/>
            <w:hideMark/>
          </w:tcPr>
          <w:p w14:paraId="0FBAEED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MENTON</w:t>
            </w:r>
          </w:p>
        </w:tc>
        <w:tc>
          <w:tcPr>
            <w:tcW w:w="0" w:type="auto"/>
            <w:tcBorders>
              <w:top w:val="nil"/>
              <w:left w:val="nil"/>
              <w:bottom w:val="nil"/>
              <w:right w:val="single" w:sz="4" w:space="0" w:color="auto"/>
            </w:tcBorders>
            <w:noWrap/>
            <w:vAlign w:val="bottom"/>
            <w:hideMark/>
          </w:tcPr>
          <w:p w14:paraId="1168749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4D80AFF3" w14:textId="77777777" w:rsidTr="00CA749B">
        <w:trPr>
          <w:trHeight w:val="300"/>
          <w:jc w:val="center"/>
        </w:trPr>
        <w:tc>
          <w:tcPr>
            <w:tcW w:w="0" w:type="auto"/>
            <w:tcBorders>
              <w:top w:val="nil"/>
              <w:left w:val="single" w:sz="4" w:space="0" w:color="auto"/>
              <w:bottom w:val="nil"/>
              <w:right w:val="nil"/>
            </w:tcBorders>
            <w:noWrap/>
            <w:vAlign w:val="bottom"/>
            <w:hideMark/>
          </w:tcPr>
          <w:p w14:paraId="05C9D7B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PALAVAS-LES-FLOTS</w:t>
            </w:r>
          </w:p>
        </w:tc>
        <w:tc>
          <w:tcPr>
            <w:tcW w:w="0" w:type="auto"/>
            <w:tcBorders>
              <w:top w:val="nil"/>
              <w:left w:val="nil"/>
              <w:bottom w:val="nil"/>
              <w:right w:val="single" w:sz="4" w:space="0" w:color="auto"/>
            </w:tcBorders>
            <w:noWrap/>
            <w:vAlign w:val="bottom"/>
            <w:hideMark/>
          </w:tcPr>
          <w:p w14:paraId="2B649A5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16C64C98" w14:textId="77777777" w:rsidTr="00CA749B">
        <w:trPr>
          <w:trHeight w:val="300"/>
          <w:jc w:val="center"/>
        </w:trPr>
        <w:tc>
          <w:tcPr>
            <w:tcW w:w="0" w:type="auto"/>
            <w:tcBorders>
              <w:top w:val="nil"/>
              <w:left w:val="single" w:sz="4" w:space="0" w:color="auto"/>
              <w:bottom w:val="nil"/>
              <w:right w:val="nil"/>
            </w:tcBorders>
            <w:noWrap/>
            <w:vAlign w:val="bottom"/>
            <w:hideMark/>
          </w:tcPr>
          <w:p w14:paraId="5CEAE2A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 DE BOUC</w:t>
            </w:r>
          </w:p>
        </w:tc>
        <w:tc>
          <w:tcPr>
            <w:tcW w:w="0" w:type="auto"/>
            <w:tcBorders>
              <w:top w:val="nil"/>
              <w:left w:val="nil"/>
              <w:bottom w:val="nil"/>
              <w:right w:val="single" w:sz="4" w:space="0" w:color="auto"/>
            </w:tcBorders>
            <w:noWrap/>
            <w:vAlign w:val="bottom"/>
            <w:hideMark/>
          </w:tcPr>
          <w:p w14:paraId="3A0617A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3AA7635F" w14:textId="77777777" w:rsidTr="00CA749B">
        <w:trPr>
          <w:trHeight w:val="300"/>
          <w:jc w:val="center"/>
        </w:trPr>
        <w:tc>
          <w:tcPr>
            <w:tcW w:w="0" w:type="auto"/>
            <w:tcBorders>
              <w:top w:val="nil"/>
              <w:left w:val="single" w:sz="4" w:space="0" w:color="auto"/>
              <w:bottom w:val="nil"/>
              <w:right w:val="nil"/>
            </w:tcBorders>
            <w:noWrap/>
            <w:vAlign w:val="bottom"/>
            <w:hideMark/>
          </w:tcPr>
          <w:p w14:paraId="50751E69" w14:textId="77777777" w:rsidR="009123AC" w:rsidRPr="00F0379B" w:rsidRDefault="009123AC" w:rsidP="009123AC">
            <w:pPr>
              <w:spacing w:after="0" w:line="240" w:lineRule="auto"/>
              <w:rPr>
                <w:rFonts w:ascii="Cambria" w:eastAsia="MS Gothic" w:hAnsi="Cambria" w:cs="Times New Roman"/>
                <w:color w:val="000000"/>
                <w:sz w:val="20"/>
                <w:szCs w:val="20"/>
                <w:lang w:val="fr-FR" w:eastAsia="fr-FR" w:bidi="fr-FR"/>
                <w14:ligatures w14:val="standardContextual"/>
              </w:rPr>
            </w:pPr>
            <w:r w:rsidRPr="00F0379B">
              <w:rPr>
                <w:rFonts w:ascii="Cambria" w:eastAsia="MS Gothic" w:hAnsi="Cambria" w:cs="Times New Roman"/>
                <w:color w:val="000000"/>
                <w:sz w:val="20"/>
                <w:szCs w:val="20"/>
                <w:lang w:val="fr-FR" w:eastAsia="fr-FR" w:bidi="fr-FR"/>
                <w14:ligatures w14:val="standardContextual"/>
              </w:rPr>
              <w:t>PORT SAINT LOUIS DU RHÔNE</w:t>
            </w:r>
          </w:p>
        </w:tc>
        <w:tc>
          <w:tcPr>
            <w:tcW w:w="0" w:type="auto"/>
            <w:tcBorders>
              <w:top w:val="nil"/>
              <w:left w:val="nil"/>
              <w:bottom w:val="nil"/>
              <w:right w:val="single" w:sz="4" w:space="0" w:color="auto"/>
            </w:tcBorders>
            <w:noWrap/>
            <w:vAlign w:val="bottom"/>
            <w:hideMark/>
          </w:tcPr>
          <w:p w14:paraId="381C8F0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168D9B29" w14:textId="77777777" w:rsidTr="00CA749B">
        <w:trPr>
          <w:trHeight w:val="300"/>
          <w:jc w:val="center"/>
        </w:trPr>
        <w:tc>
          <w:tcPr>
            <w:tcW w:w="0" w:type="auto"/>
            <w:tcBorders>
              <w:top w:val="nil"/>
              <w:left w:val="single" w:sz="4" w:space="0" w:color="auto"/>
              <w:bottom w:val="nil"/>
              <w:right w:val="nil"/>
            </w:tcBorders>
            <w:noWrap/>
            <w:vAlign w:val="bottom"/>
            <w:hideMark/>
          </w:tcPr>
          <w:p w14:paraId="429C01F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PORT-LA-NOUVELLE</w:t>
            </w:r>
          </w:p>
        </w:tc>
        <w:tc>
          <w:tcPr>
            <w:tcW w:w="0" w:type="auto"/>
            <w:tcBorders>
              <w:top w:val="nil"/>
              <w:left w:val="nil"/>
              <w:bottom w:val="nil"/>
              <w:right w:val="single" w:sz="4" w:space="0" w:color="auto"/>
            </w:tcBorders>
            <w:noWrap/>
            <w:vAlign w:val="bottom"/>
            <w:hideMark/>
          </w:tcPr>
          <w:p w14:paraId="76041B0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005D1971" w14:textId="77777777" w:rsidTr="00CA749B">
        <w:trPr>
          <w:trHeight w:val="300"/>
          <w:jc w:val="center"/>
        </w:trPr>
        <w:tc>
          <w:tcPr>
            <w:tcW w:w="0" w:type="auto"/>
            <w:tcBorders>
              <w:top w:val="nil"/>
              <w:left w:val="single" w:sz="4" w:space="0" w:color="auto"/>
              <w:bottom w:val="nil"/>
              <w:right w:val="nil"/>
            </w:tcBorders>
            <w:noWrap/>
            <w:vAlign w:val="bottom"/>
            <w:hideMark/>
          </w:tcPr>
          <w:p w14:paraId="51862F9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PORT-VENDRES</w:t>
            </w:r>
          </w:p>
        </w:tc>
        <w:tc>
          <w:tcPr>
            <w:tcW w:w="0" w:type="auto"/>
            <w:tcBorders>
              <w:top w:val="nil"/>
              <w:left w:val="nil"/>
              <w:bottom w:val="nil"/>
              <w:right w:val="single" w:sz="4" w:space="0" w:color="auto"/>
            </w:tcBorders>
            <w:noWrap/>
            <w:vAlign w:val="bottom"/>
            <w:hideMark/>
          </w:tcPr>
          <w:p w14:paraId="23DD6AF6"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EU-France</w:t>
            </w:r>
          </w:p>
        </w:tc>
      </w:tr>
      <w:tr w:rsidR="009123AC" w:rsidRPr="00F0379B" w14:paraId="58FAFA07" w14:textId="77777777" w:rsidTr="00CA749B">
        <w:trPr>
          <w:trHeight w:val="300"/>
          <w:jc w:val="center"/>
        </w:trPr>
        <w:tc>
          <w:tcPr>
            <w:tcW w:w="0" w:type="auto"/>
            <w:tcBorders>
              <w:top w:val="nil"/>
              <w:left w:val="single" w:sz="4" w:space="0" w:color="auto"/>
              <w:bottom w:val="nil"/>
              <w:right w:val="nil"/>
            </w:tcBorders>
            <w:noWrap/>
            <w:vAlign w:val="bottom"/>
            <w:hideMark/>
          </w:tcPr>
          <w:p w14:paraId="0EA5AEC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PORTO-VECCHIO</w:t>
            </w:r>
          </w:p>
        </w:tc>
        <w:tc>
          <w:tcPr>
            <w:tcW w:w="0" w:type="auto"/>
            <w:tcBorders>
              <w:top w:val="nil"/>
              <w:left w:val="nil"/>
              <w:bottom w:val="nil"/>
              <w:right w:val="single" w:sz="4" w:space="0" w:color="auto"/>
            </w:tcBorders>
            <w:noWrap/>
            <w:vAlign w:val="bottom"/>
            <w:hideMark/>
          </w:tcPr>
          <w:p w14:paraId="052E36D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65FD37C7" w14:textId="77777777" w:rsidTr="00CA749B">
        <w:trPr>
          <w:trHeight w:val="300"/>
          <w:jc w:val="center"/>
        </w:trPr>
        <w:tc>
          <w:tcPr>
            <w:tcW w:w="0" w:type="auto"/>
            <w:tcBorders>
              <w:top w:val="nil"/>
              <w:left w:val="single" w:sz="4" w:space="0" w:color="auto"/>
              <w:bottom w:val="nil"/>
              <w:right w:val="nil"/>
            </w:tcBorders>
            <w:noWrap/>
            <w:vAlign w:val="bottom"/>
            <w:hideMark/>
          </w:tcPr>
          <w:p w14:paraId="2F56D0B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PROPRIANO</w:t>
            </w:r>
          </w:p>
        </w:tc>
        <w:tc>
          <w:tcPr>
            <w:tcW w:w="0" w:type="auto"/>
            <w:tcBorders>
              <w:top w:val="nil"/>
              <w:left w:val="nil"/>
              <w:bottom w:val="nil"/>
              <w:right w:val="single" w:sz="4" w:space="0" w:color="auto"/>
            </w:tcBorders>
            <w:noWrap/>
            <w:vAlign w:val="bottom"/>
            <w:hideMark/>
          </w:tcPr>
          <w:p w14:paraId="3091D74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6E0A3570" w14:textId="77777777" w:rsidTr="00CA749B">
        <w:trPr>
          <w:trHeight w:val="300"/>
          <w:jc w:val="center"/>
        </w:trPr>
        <w:tc>
          <w:tcPr>
            <w:tcW w:w="0" w:type="auto"/>
            <w:tcBorders>
              <w:top w:val="nil"/>
              <w:left w:val="single" w:sz="4" w:space="0" w:color="auto"/>
              <w:bottom w:val="nil"/>
              <w:right w:val="nil"/>
            </w:tcBorders>
            <w:noWrap/>
            <w:vAlign w:val="bottom"/>
            <w:hideMark/>
          </w:tcPr>
          <w:p w14:paraId="3E51BDD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QUIBERON</w:t>
            </w:r>
          </w:p>
        </w:tc>
        <w:tc>
          <w:tcPr>
            <w:tcW w:w="0" w:type="auto"/>
            <w:tcBorders>
              <w:top w:val="nil"/>
              <w:left w:val="nil"/>
              <w:bottom w:val="nil"/>
              <w:right w:val="single" w:sz="4" w:space="0" w:color="auto"/>
            </w:tcBorders>
            <w:noWrap/>
            <w:vAlign w:val="bottom"/>
            <w:hideMark/>
          </w:tcPr>
          <w:p w14:paraId="60EC8DD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71D8B800" w14:textId="77777777" w:rsidTr="00CA749B">
        <w:trPr>
          <w:trHeight w:val="300"/>
          <w:jc w:val="center"/>
        </w:trPr>
        <w:tc>
          <w:tcPr>
            <w:tcW w:w="0" w:type="auto"/>
            <w:tcBorders>
              <w:top w:val="nil"/>
              <w:left w:val="single" w:sz="4" w:space="0" w:color="auto"/>
              <w:bottom w:val="nil"/>
              <w:right w:val="nil"/>
            </w:tcBorders>
            <w:noWrap/>
            <w:vAlign w:val="bottom"/>
            <w:hideMark/>
          </w:tcPr>
          <w:p w14:paraId="18B0FCB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ROSCOFF</w:t>
            </w:r>
          </w:p>
        </w:tc>
        <w:tc>
          <w:tcPr>
            <w:tcW w:w="0" w:type="auto"/>
            <w:tcBorders>
              <w:top w:val="nil"/>
              <w:left w:val="nil"/>
              <w:bottom w:val="nil"/>
              <w:right w:val="single" w:sz="4" w:space="0" w:color="auto"/>
            </w:tcBorders>
            <w:noWrap/>
            <w:vAlign w:val="bottom"/>
            <w:hideMark/>
          </w:tcPr>
          <w:p w14:paraId="58DB585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19D344CB" w14:textId="77777777" w:rsidTr="00CA749B">
        <w:trPr>
          <w:trHeight w:val="300"/>
          <w:jc w:val="center"/>
        </w:trPr>
        <w:tc>
          <w:tcPr>
            <w:tcW w:w="0" w:type="auto"/>
            <w:tcBorders>
              <w:top w:val="nil"/>
              <w:left w:val="single" w:sz="4" w:space="0" w:color="auto"/>
              <w:bottom w:val="nil"/>
              <w:right w:val="nil"/>
            </w:tcBorders>
            <w:noWrap/>
            <w:vAlign w:val="bottom"/>
            <w:hideMark/>
          </w:tcPr>
          <w:p w14:paraId="2217D34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ROYAN</w:t>
            </w:r>
          </w:p>
        </w:tc>
        <w:tc>
          <w:tcPr>
            <w:tcW w:w="0" w:type="auto"/>
            <w:tcBorders>
              <w:top w:val="nil"/>
              <w:left w:val="nil"/>
              <w:bottom w:val="nil"/>
              <w:right w:val="single" w:sz="4" w:space="0" w:color="auto"/>
            </w:tcBorders>
            <w:noWrap/>
            <w:vAlign w:val="bottom"/>
            <w:hideMark/>
          </w:tcPr>
          <w:p w14:paraId="07105D2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73D0E4B0" w14:textId="77777777" w:rsidTr="00CA749B">
        <w:trPr>
          <w:trHeight w:val="300"/>
          <w:jc w:val="center"/>
        </w:trPr>
        <w:tc>
          <w:tcPr>
            <w:tcW w:w="0" w:type="auto"/>
            <w:tcBorders>
              <w:top w:val="nil"/>
              <w:left w:val="single" w:sz="4" w:space="0" w:color="auto"/>
              <w:bottom w:val="nil"/>
              <w:right w:val="nil"/>
            </w:tcBorders>
            <w:noWrap/>
            <w:vAlign w:val="bottom"/>
            <w:hideMark/>
          </w:tcPr>
          <w:p w14:paraId="5902D11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SAGONE</w:t>
            </w:r>
          </w:p>
        </w:tc>
        <w:tc>
          <w:tcPr>
            <w:tcW w:w="0" w:type="auto"/>
            <w:tcBorders>
              <w:top w:val="nil"/>
              <w:left w:val="nil"/>
              <w:bottom w:val="nil"/>
              <w:right w:val="single" w:sz="4" w:space="0" w:color="auto"/>
            </w:tcBorders>
            <w:noWrap/>
            <w:vAlign w:val="bottom"/>
            <w:hideMark/>
          </w:tcPr>
          <w:p w14:paraId="5C1D870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76A60B64" w14:textId="77777777" w:rsidTr="00CA749B">
        <w:trPr>
          <w:trHeight w:val="300"/>
          <w:jc w:val="center"/>
        </w:trPr>
        <w:tc>
          <w:tcPr>
            <w:tcW w:w="0" w:type="auto"/>
            <w:tcBorders>
              <w:top w:val="nil"/>
              <w:left w:val="single" w:sz="4" w:space="0" w:color="auto"/>
              <w:bottom w:val="nil"/>
              <w:right w:val="nil"/>
            </w:tcBorders>
            <w:noWrap/>
            <w:vAlign w:val="bottom"/>
            <w:hideMark/>
          </w:tcPr>
          <w:p w14:paraId="2FE21E0A" w14:textId="77777777" w:rsidR="009123AC" w:rsidRPr="00F0379B" w:rsidRDefault="009123AC" w:rsidP="009123AC">
            <w:pPr>
              <w:spacing w:after="0" w:line="240" w:lineRule="auto"/>
              <w:rPr>
                <w:rFonts w:ascii="Cambria" w:eastAsia="MS Gothic" w:hAnsi="Cambria" w:cs="Times New Roman"/>
                <w:color w:val="000000"/>
                <w:sz w:val="20"/>
                <w:szCs w:val="20"/>
                <w:lang w:val="fr-FR" w:eastAsia="fr-FR" w:bidi="fr-FR"/>
                <w14:ligatures w14:val="standardContextual"/>
              </w:rPr>
            </w:pPr>
            <w:r w:rsidRPr="00F0379B">
              <w:rPr>
                <w:rFonts w:ascii="Cambria" w:eastAsia="MS Gothic" w:hAnsi="Cambria" w:cs="Times New Roman"/>
                <w:color w:val="000000"/>
                <w:sz w:val="20"/>
                <w:szCs w:val="20"/>
                <w:lang w:val="fr-FR" w:eastAsia="fr-FR" w:bidi="fr-FR"/>
                <w14:ligatures w14:val="standardContextual"/>
              </w:rPr>
              <w:t>SAINT GILLES CROIX DE VIE</w:t>
            </w:r>
          </w:p>
        </w:tc>
        <w:tc>
          <w:tcPr>
            <w:tcW w:w="0" w:type="auto"/>
            <w:tcBorders>
              <w:top w:val="nil"/>
              <w:left w:val="nil"/>
              <w:bottom w:val="nil"/>
              <w:right w:val="single" w:sz="4" w:space="0" w:color="auto"/>
            </w:tcBorders>
            <w:noWrap/>
            <w:vAlign w:val="bottom"/>
            <w:hideMark/>
          </w:tcPr>
          <w:p w14:paraId="10A720E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76B470CD" w14:textId="77777777" w:rsidTr="00CA749B">
        <w:trPr>
          <w:trHeight w:val="300"/>
          <w:jc w:val="center"/>
        </w:trPr>
        <w:tc>
          <w:tcPr>
            <w:tcW w:w="0" w:type="auto"/>
            <w:tcBorders>
              <w:top w:val="nil"/>
              <w:left w:val="single" w:sz="4" w:space="0" w:color="auto"/>
              <w:bottom w:val="nil"/>
              <w:right w:val="nil"/>
            </w:tcBorders>
            <w:noWrap/>
            <w:vAlign w:val="bottom"/>
            <w:hideMark/>
          </w:tcPr>
          <w:p w14:paraId="5B0FF47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SAINT JEAN CAP FERRAT</w:t>
            </w:r>
          </w:p>
        </w:tc>
        <w:tc>
          <w:tcPr>
            <w:tcW w:w="0" w:type="auto"/>
            <w:tcBorders>
              <w:top w:val="nil"/>
              <w:left w:val="nil"/>
              <w:bottom w:val="nil"/>
              <w:right w:val="single" w:sz="4" w:space="0" w:color="auto"/>
            </w:tcBorders>
            <w:noWrap/>
            <w:vAlign w:val="bottom"/>
            <w:hideMark/>
          </w:tcPr>
          <w:p w14:paraId="0E232E5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5766D7F2" w14:textId="77777777" w:rsidTr="00CA749B">
        <w:trPr>
          <w:trHeight w:val="300"/>
          <w:jc w:val="center"/>
        </w:trPr>
        <w:tc>
          <w:tcPr>
            <w:tcW w:w="0" w:type="auto"/>
            <w:tcBorders>
              <w:top w:val="nil"/>
              <w:left w:val="single" w:sz="4" w:space="0" w:color="auto"/>
              <w:bottom w:val="nil"/>
              <w:right w:val="nil"/>
            </w:tcBorders>
            <w:noWrap/>
            <w:vAlign w:val="bottom"/>
            <w:hideMark/>
          </w:tcPr>
          <w:p w14:paraId="03585C1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SAINT MALO</w:t>
            </w:r>
          </w:p>
        </w:tc>
        <w:tc>
          <w:tcPr>
            <w:tcW w:w="0" w:type="auto"/>
            <w:tcBorders>
              <w:top w:val="nil"/>
              <w:left w:val="nil"/>
              <w:bottom w:val="nil"/>
              <w:right w:val="single" w:sz="4" w:space="0" w:color="auto"/>
            </w:tcBorders>
            <w:noWrap/>
            <w:vAlign w:val="bottom"/>
            <w:hideMark/>
          </w:tcPr>
          <w:p w14:paraId="6FD19C5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55BBAC08" w14:textId="77777777" w:rsidTr="00CA749B">
        <w:trPr>
          <w:trHeight w:val="300"/>
          <w:jc w:val="center"/>
        </w:trPr>
        <w:tc>
          <w:tcPr>
            <w:tcW w:w="0" w:type="auto"/>
            <w:tcBorders>
              <w:top w:val="nil"/>
              <w:left w:val="single" w:sz="4" w:space="0" w:color="auto"/>
              <w:bottom w:val="nil"/>
              <w:right w:val="nil"/>
            </w:tcBorders>
            <w:noWrap/>
            <w:vAlign w:val="bottom"/>
            <w:hideMark/>
          </w:tcPr>
          <w:p w14:paraId="1F7736F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SAINT MANDRIER</w:t>
            </w:r>
          </w:p>
        </w:tc>
        <w:tc>
          <w:tcPr>
            <w:tcW w:w="0" w:type="auto"/>
            <w:tcBorders>
              <w:top w:val="nil"/>
              <w:left w:val="nil"/>
              <w:bottom w:val="nil"/>
              <w:right w:val="single" w:sz="4" w:space="0" w:color="auto"/>
            </w:tcBorders>
            <w:noWrap/>
            <w:vAlign w:val="bottom"/>
            <w:hideMark/>
          </w:tcPr>
          <w:p w14:paraId="3B8418E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EU-France</w:t>
            </w:r>
          </w:p>
        </w:tc>
      </w:tr>
      <w:tr w:rsidR="009123AC" w:rsidRPr="00F0379B" w14:paraId="5700F5ED" w14:textId="77777777" w:rsidTr="00CA749B">
        <w:trPr>
          <w:trHeight w:val="300"/>
          <w:jc w:val="center"/>
        </w:trPr>
        <w:tc>
          <w:tcPr>
            <w:tcW w:w="0" w:type="auto"/>
            <w:tcBorders>
              <w:top w:val="nil"/>
              <w:left w:val="single" w:sz="4" w:space="0" w:color="auto"/>
              <w:bottom w:val="nil"/>
              <w:right w:val="nil"/>
            </w:tcBorders>
            <w:noWrap/>
            <w:vAlign w:val="bottom"/>
            <w:hideMark/>
          </w:tcPr>
          <w:p w14:paraId="1BC39A8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SAINT-CYPRIEN</w:t>
            </w:r>
          </w:p>
        </w:tc>
        <w:tc>
          <w:tcPr>
            <w:tcW w:w="0" w:type="auto"/>
            <w:tcBorders>
              <w:top w:val="nil"/>
              <w:left w:val="nil"/>
              <w:bottom w:val="nil"/>
              <w:right w:val="single" w:sz="4" w:space="0" w:color="auto"/>
            </w:tcBorders>
            <w:noWrap/>
            <w:vAlign w:val="bottom"/>
            <w:hideMark/>
          </w:tcPr>
          <w:p w14:paraId="3A0B1A6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214BC2A8" w14:textId="77777777" w:rsidTr="00CA749B">
        <w:trPr>
          <w:trHeight w:val="300"/>
          <w:jc w:val="center"/>
        </w:trPr>
        <w:tc>
          <w:tcPr>
            <w:tcW w:w="0" w:type="auto"/>
            <w:tcBorders>
              <w:top w:val="nil"/>
              <w:left w:val="single" w:sz="4" w:space="0" w:color="auto"/>
              <w:bottom w:val="nil"/>
              <w:right w:val="nil"/>
            </w:tcBorders>
            <w:noWrap/>
            <w:vAlign w:val="bottom"/>
            <w:hideMark/>
          </w:tcPr>
          <w:p w14:paraId="5AE75F6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SAINT-FLORENT</w:t>
            </w:r>
          </w:p>
        </w:tc>
        <w:tc>
          <w:tcPr>
            <w:tcW w:w="0" w:type="auto"/>
            <w:tcBorders>
              <w:top w:val="nil"/>
              <w:left w:val="nil"/>
              <w:bottom w:val="nil"/>
              <w:right w:val="single" w:sz="4" w:space="0" w:color="auto"/>
            </w:tcBorders>
            <w:noWrap/>
            <w:vAlign w:val="bottom"/>
            <w:hideMark/>
          </w:tcPr>
          <w:p w14:paraId="79432E1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071314AD" w14:textId="77777777" w:rsidTr="00CA749B">
        <w:trPr>
          <w:trHeight w:val="300"/>
          <w:jc w:val="center"/>
        </w:trPr>
        <w:tc>
          <w:tcPr>
            <w:tcW w:w="0" w:type="auto"/>
            <w:tcBorders>
              <w:top w:val="nil"/>
              <w:left w:val="single" w:sz="4" w:space="0" w:color="auto"/>
              <w:bottom w:val="nil"/>
              <w:right w:val="nil"/>
            </w:tcBorders>
            <w:noWrap/>
            <w:vAlign w:val="bottom"/>
            <w:hideMark/>
          </w:tcPr>
          <w:p w14:paraId="7277779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SAINT-JEAN-DE-LUZ</w:t>
            </w:r>
          </w:p>
        </w:tc>
        <w:tc>
          <w:tcPr>
            <w:tcW w:w="0" w:type="auto"/>
            <w:tcBorders>
              <w:top w:val="nil"/>
              <w:left w:val="nil"/>
              <w:bottom w:val="nil"/>
              <w:right w:val="single" w:sz="4" w:space="0" w:color="auto"/>
            </w:tcBorders>
            <w:noWrap/>
            <w:vAlign w:val="bottom"/>
            <w:hideMark/>
          </w:tcPr>
          <w:p w14:paraId="6C334CB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328AA95B" w14:textId="77777777" w:rsidTr="00CA749B">
        <w:trPr>
          <w:trHeight w:val="300"/>
          <w:jc w:val="center"/>
        </w:trPr>
        <w:tc>
          <w:tcPr>
            <w:tcW w:w="0" w:type="auto"/>
            <w:tcBorders>
              <w:top w:val="nil"/>
              <w:left w:val="single" w:sz="4" w:space="0" w:color="auto"/>
              <w:bottom w:val="nil"/>
              <w:right w:val="nil"/>
            </w:tcBorders>
            <w:noWrap/>
            <w:vAlign w:val="bottom"/>
            <w:hideMark/>
          </w:tcPr>
          <w:p w14:paraId="020CDEA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SAINT-QUAY-PORTRIEUX</w:t>
            </w:r>
          </w:p>
        </w:tc>
        <w:tc>
          <w:tcPr>
            <w:tcW w:w="0" w:type="auto"/>
            <w:tcBorders>
              <w:top w:val="nil"/>
              <w:left w:val="nil"/>
              <w:bottom w:val="nil"/>
              <w:right w:val="single" w:sz="4" w:space="0" w:color="auto"/>
            </w:tcBorders>
            <w:noWrap/>
            <w:vAlign w:val="bottom"/>
            <w:hideMark/>
          </w:tcPr>
          <w:p w14:paraId="42C59FA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3E776964" w14:textId="77777777" w:rsidTr="00CA749B">
        <w:trPr>
          <w:trHeight w:val="300"/>
          <w:jc w:val="center"/>
        </w:trPr>
        <w:tc>
          <w:tcPr>
            <w:tcW w:w="0" w:type="auto"/>
            <w:tcBorders>
              <w:top w:val="nil"/>
              <w:left w:val="single" w:sz="4" w:space="0" w:color="auto"/>
              <w:bottom w:val="nil"/>
              <w:right w:val="nil"/>
            </w:tcBorders>
            <w:noWrap/>
            <w:vAlign w:val="bottom"/>
            <w:hideMark/>
          </w:tcPr>
          <w:p w14:paraId="0C8FD0D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SAINT-RAPHAËL</w:t>
            </w:r>
          </w:p>
        </w:tc>
        <w:tc>
          <w:tcPr>
            <w:tcW w:w="0" w:type="auto"/>
            <w:tcBorders>
              <w:top w:val="nil"/>
              <w:left w:val="nil"/>
              <w:bottom w:val="nil"/>
              <w:right w:val="single" w:sz="4" w:space="0" w:color="auto"/>
            </w:tcBorders>
            <w:noWrap/>
            <w:vAlign w:val="bottom"/>
            <w:hideMark/>
          </w:tcPr>
          <w:p w14:paraId="044AA3B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1DB56845" w14:textId="77777777" w:rsidTr="00CA749B">
        <w:trPr>
          <w:trHeight w:val="300"/>
          <w:jc w:val="center"/>
        </w:trPr>
        <w:tc>
          <w:tcPr>
            <w:tcW w:w="0" w:type="auto"/>
            <w:tcBorders>
              <w:top w:val="nil"/>
              <w:left w:val="single" w:sz="4" w:space="0" w:color="auto"/>
              <w:bottom w:val="nil"/>
              <w:right w:val="nil"/>
            </w:tcBorders>
            <w:noWrap/>
            <w:vAlign w:val="bottom"/>
            <w:hideMark/>
          </w:tcPr>
          <w:p w14:paraId="0612E6D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SAN'T AMBROGGIO</w:t>
            </w:r>
          </w:p>
        </w:tc>
        <w:tc>
          <w:tcPr>
            <w:tcW w:w="0" w:type="auto"/>
            <w:tcBorders>
              <w:top w:val="nil"/>
              <w:left w:val="nil"/>
              <w:bottom w:val="nil"/>
              <w:right w:val="single" w:sz="4" w:space="0" w:color="auto"/>
            </w:tcBorders>
            <w:noWrap/>
            <w:vAlign w:val="bottom"/>
            <w:hideMark/>
          </w:tcPr>
          <w:p w14:paraId="1E2F755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EU-France</w:t>
            </w:r>
          </w:p>
        </w:tc>
      </w:tr>
      <w:tr w:rsidR="009123AC" w:rsidRPr="00F0379B" w14:paraId="6B5B3C2A" w14:textId="77777777" w:rsidTr="00CA749B">
        <w:trPr>
          <w:trHeight w:val="300"/>
          <w:jc w:val="center"/>
        </w:trPr>
        <w:tc>
          <w:tcPr>
            <w:tcW w:w="0" w:type="auto"/>
            <w:tcBorders>
              <w:top w:val="nil"/>
              <w:left w:val="single" w:sz="4" w:space="0" w:color="auto"/>
              <w:bottom w:val="nil"/>
              <w:right w:val="nil"/>
            </w:tcBorders>
            <w:noWrap/>
            <w:vAlign w:val="bottom"/>
            <w:hideMark/>
          </w:tcPr>
          <w:p w14:paraId="536DD47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SANARY</w:t>
            </w:r>
          </w:p>
        </w:tc>
        <w:tc>
          <w:tcPr>
            <w:tcW w:w="0" w:type="auto"/>
            <w:tcBorders>
              <w:top w:val="nil"/>
              <w:left w:val="nil"/>
              <w:bottom w:val="nil"/>
              <w:right w:val="single" w:sz="4" w:space="0" w:color="auto"/>
            </w:tcBorders>
            <w:noWrap/>
            <w:vAlign w:val="bottom"/>
            <w:hideMark/>
          </w:tcPr>
          <w:p w14:paraId="377DACC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00887F00" w14:textId="77777777" w:rsidTr="00CA749B">
        <w:trPr>
          <w:trHeight w:val="300"/>
          <w:jc w:val="center"/>
        </w:trPr>
        <w:tc>
          <w:tcPr>
            <w:tcW w:w="0" w:type="auto"/>
            <w:tcBorders>
              <w:top w:val="nil"/>
              <w:left w:val="single" w:sz="4" w:space="0" w:color="auto"/>
              <w:bottom w:val="nil"/>
              <w:right w:val="nil"/>
            </w:tcBorders>
            <w:noWrap/>
            <w:vAlign w:val="bottom"/>
            <w:hideMark/>
          </w:tcPr>
          <w:p w14:paraId="2620159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SANTA MARIA POGGIO</w:t>
            </w:r>
          </w:p>
        </w:tc>
        <w:tc>
          <w:tcPr>
            <w:tcW w:w="0" w:type="auto"/>
            <w:tcBorders>
              <w:top w:val="nil"/>
              <w:left w:val="nil"/>
              <w:bottom w:val="nil"/>
              <w:right w:val="single" w:sz="4" w:space="0" w:color="auto"/>
            </w:tcBorders>
            <w:noWrap/>
            <w:vAlign w:val="bottom"/>
            <w:hideMark/>
          </w:tcPr>
          <w:p w14:paraId="37E8FEE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1DC586D4" w14:textId="77777777" w:rsidTr="00CA749B">
        <w:trPr>
          <w:trHeight w:val="300"/>
          <w:jc w:val="center"/>
        </w:trPr>
        <w:tc>
          <w:tcPr>
            <w:tcW w:w="0" w:type="auto"/>
            <w:tcBorders>
              <w:top w:val="nil"/>
              <w:left w:val="single" w:sz="4" w:space="0" w:color="auto"/>
              <w:bottom w:val="nil"/>
              <w:right w:val="nil"/>
            </w:tcBorders>
            <w:noWrap/>
            <w:vAlign w:val="bottom"/>
            <w:hideMark/>
          </w:tcPr>
          <w:p w14:paraId="0F7CDF9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SARI-SOLENZARA</w:t>
            </w:r>
          </w:p>
        </w:tc>
        <w:tc>
          <w:tcPr>
            <w:tcW w:w="0" w:type="auto"/>
            <w:tcBorders>
              <w:top w:val="nil"/>
              <w:left w:val="nil"/>
              <w:bottom w:val="nil"/>
              <w:right w:val="single" w:sz="4" w:space="0" w:color="auto"/>
            </w:tcBorders>
            <w:noWrap/>
            <w:vAlign w:val="bottom"/>
            <w:hideMark/>
          </w:tcPr>
          <w:p w14:paraId="449B883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147D4A9C" w14:textId="77777777" w:rsidTr="00CA749B">
        <w:trPr>
          <w:trHeight w:val="300"/>
          <w:jc w:val="center"/>
        </w:trPr>
        <w:tc>
          <w:tcPr>
            <w:tcW w:w="0" w:type="auto"/>
            <w:tcBorders>
              <w:top w:val="nil"/>
              <w:left w:val="single" w:sz="4" w:space="0" w:color="auto"/>
              <w:bottom w:val="nil"/>
              <w:right w:val="nil"/>
            </w:tcBorders>
            <w:noWrap/>
            <w:vAlign w:val="bottom"/>
            <w:hideMark/>
          </w:tcPr>
          <w:p w14:paraId="3DD230E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SÈTE</w:t>
            </w:r>
          </w:p>
        </w:tc>
        <w:tc>
          <w:tcPr>
            <w:tcW w:w="0" w:type="auto"/>
            <w:tcBorders>
              <w:top w:val="nil"/>
              <w:left w:val="nil"/>
              <w:bottom w:val="nil"/>
              <w:right w:val="single" w:sz="4" w:space="0" w:color="auto"/>
            </w:tcBorders>
            <w:noWrap/>
            <w:vAlign w:val="bottom"/>
            <w:hideMark/>
          </w:tcPr>
          <w:p w14:paraId="43AB0F7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645873A5" w14:textId="77777777" w:rsidTr="00CA749B">
        <w:trPr>
          <w:trHeight w:val="300"/>
          <w:jc w:val="center"/>
        </w:trPr>
        <w:tc>
          <w:tcPr>
            <w:tcW w:w="0" w:type="auto"/>
            <w:tcBorders>
              <w:top w:val="nil"/>
              <w:left w:val="single" w:sz="4" w:space="0" w:color="auto"/>
              <w:bottom w:val="nil"/>
              <w:right w:val="nil"/>
            </w:tcBorders>
            <w:noWrap/>
            <w:vAlign w:val="bottom"/>
            <w:hideMark/>
          </w:tcPr>
          <w:p w14:paraId="25A3F83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THÉOULE SUR MER</w:t>
            </w:r>
          </w:p>
        </w:tc>
        <w:tc>
          <w:tcPr>
            <w:tcW w:w="0" w:type="auto"/>
            <w:tcBorders>
              <w:top w:val="nil"/>
              <w:left w:val="nil"/>
              <w:bottom w:val="nil"/>
              <w:right w:val="single" w:sz="4" w:space="0" w:color="auto"/>
            </w:tcBorders>
            <w:noWrap/>
            <w:vAlign w:val="bottom"/>
            <w:hideMark/>
          </w:tcPr>
          <w:p w14:paraId="1E775DD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7DEE0F90" w14:textId="77777777" w:rsidTr="00CA749B">
        <w:trPr>
          <w:trHeight w:val="300"/>
          <w:jc w:val="center"/>
        </w:trPr>
        <w:tc>
          <w:tcPr>
            <w:tcW w:w="0" w:type="auto"/>
            <w:tcBorders>
              <w:top w:val="nil"/>
              <w:left w:val="single" w:sz="4" w:space="0" w:color="auto"/>
              <w:bottom w:val="nil"/>
              <w:right w:val="nil"/>
            </w:tcBorders>
            <w:noWrap/>
            <w:vAlign w:val="bottom"/>
            <w:hideMark/>
          </w:tcPr>
          <w:p w14:paraId="3059800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TIZZANO</w:t>
            </w:r>
          </w:p>
        </w:tc>
        <w:tc>
          <w:tcPr>
            <w:tcW w:w="0" w:type="auto"/>
            <w:tcBorders>
              <w:top w:val="nil"/>
              <w:left w:val="nil"/>
              <w:bottom w:val="nil"/>
              <w:right w:val="single" w:sz="4" w:space="0" w:color="auto"/>
            </w:tcBorders>
            <w:noWrap/>
            <w:vAlign w:val="bottom"/>
            <w:hideMark/>
          </w:tcPr>
          <w:p w14:paraId="74911C0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25C77851" w14:textId="77777777" w:rsidTr="00CA749B">
        <w:trPr>
          <w:trHeight w:val="300"/>
          <w:jc w:val="center"/>
        </w:trPr>
        <w:tc>
          <w:tcPr>
            <w:tcW w:w="0" w:type="auto"/>
            <w:tcBorders>
              <w:top w:val="nil"/>
              <w:left w:val="single" w:sz="4" w:space="0" w:color="auto"/>
              <w:bottom w:val="nil"/>
              <w:right w:val="nil"/>
            </w:tcBorders>
            <w:noWrap/>
            <w:vAlign w:val="bottom"/>
            <w:hideMark/>
          </w:tcPr>
          <w:p w14:paraId="30D7F66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TOULON</w:t>
            </w:r>
          </w:p>
        </w:tc>
        <w:tc>
          <w:tcPr>
            <w:tcW w:w="0" w:type="auto"/>
            <w:tcBorders>
              <w:top w:val="nil"/>
              <w:left w:val="nil"/>
              <w:bottom w:val="nil"/>
              <w:right w:val="single" w:sz="4" w:space="0" w:color="auto"/>
            </w:tcBorders>
            <w:noWrap/>
            <w:vAlign w:val="bottom"/>
            <w:hideMark/>
          </w:tcPr>
          <w:p w14:paraId="6815C22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66251AE8" w14:textId="77777777" w:rsidTr="00CA749B">
        <w:trPr>
          <w:trHeight w:val="300"/>
          <w:jc w:val="center"/>
        </w:trPr>
        <w:tc>
          <w:tcPr>
            <w:tcW w:w="0" w:type="auto"/>
            <w:tcBorders>
              <w:top w:val="nil"/>
              <w:left w:val="single" w:sz="4" w:space="0" w:color="auto"/>
              <w:bottom w:val="nil"/>
              <w:right w:val="nil"/>
            </w:tcBorders>
            <w:noWrap/>
            <w:vAlign w:val="bottom"/>
            <w:hideMark/>
          </w:tcPr>
          <w:p w14:paraId="705F7CD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TREBEURDEN</w:t>
            </w:r>
          </w:p>
        </w:tc>
        <w:tc>
          <w:tcPr>
            <w:tcW w:w="0" w:type="auto"/>
            <w:tcBorders>
              <w:top w:val="nil"/>
              <w:left w:val="nil"/>
              <w:bottom w:val="nil"/>
              <w:right w:val="single" w:sz="4" w:space="0" w:color="auto"/>
            </w:tcBorders>
            <w:noWrap/>
            <w:vAlign w:val="bottom"/>
            <w:hideMark/>
          </w:tcPr>
          <w:p w14:paraId="1A450D8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1D75E176" w14:textId="77777777" w:rsidTr="00CA749B">
        <w:trPr>
          <w:trHeight w:val="300"/>
          <w:jc w:val="center"/>
        </w:trPr>
        <w:tc>
          <w:tcPr>
            <w:tcW w:w="0" w:type="auto"/>
            <w:tcBorders>
              <w:top w:val="nil"/>
              <w:left w:val="single" w:sz="4" w:space="0" w:color="auto"/>
              <w:bottom w:val="nil"/>
              <w:right w:val="nil"/>
            </w:tcBorders>
            <w:noWrap/>
            <w:vAlign w:val="bottom"/>
            <w:hideMark/>
          </w:tcPr>
          <w:p w14:paraId="388623D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VALLAURIS GOLFE-JUAN</w:t>
            </w:r>
          </w:p>
        </w:tc>
        <w:tc>
          <w:tcPr>
            <w:tcW w:w="0" w:type="auto"/>
            <w:tcBorders>
              <w:top w:val="nil"/>
              <w:left w:val="nil"/>
              <w:bottom w:val="nil"/>
              <w:right w:val="single" w:sz="4" w:space="0" w:color="auto"/>
            </w:tcBorders>
            <w:noWrap/>
            <w:vAlign w:val="bottom"/>
            <w:hideMark/>
          </w:tcPr>
          <w:p w14:paraId="0D1944E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EU-France</w:t>
            </w:r>
          </w:p>
        </w:tc>
      </w:tr>
      <w:tr w:rsidR="009123AC" w:rsidRPr="00F0379B" w14:paraId="5A706219" w14:textId="77777777" w:rsidTr="00CA749B">
        <w:trPr>
          <w:trHeight w:val="300"/>
          <w:jc w:val="center"/>
        </w:trPr>
        <w:tc>
          <w:tcPr>
            <w:tcW w:w="0" w:type="auto"/>
            <w:tcBorders>
              <w:top w:val="nil"/>
              <w:left w:val="single" w:sz="4" w:space="0" w:color="auto"/>
              <w:bottom w:val="nil"/>
              <w:right w:val="nil"/>
            </w:tcBorders>
            <w:noWrap/>
            <w:vAlign w:val="bottom"/>
            <w:hideMark/>
          </w:tcPr>
          <w:p w14:paraId="4E57298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ACHILLEIO MAGNISIAS</w:t>
            </w:r>
          </w:p>
        </w:tc>
        <w:tc>
          <w:tcPr>
            <w:tcW w:w="0" w:type="auto"/>
            <w:tcBorders>
              <w:top w:val="nil"/>
              <w:left w:val="nil"/>
              <w:bottom w:val="nil"/>
              <w:right w:val="single" w:sz="4" w:space="0" w:color="auto"/>
            </w:tcBorders>
            <w:noWrap/>
            <w:vAlign w:val="bottom"/>
            <w:hideMark/>
          </w:tcPr>
          <w:p w14:paraId="00E1330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CE3F0F6" w14:textId="77777777" w:rsidTr="00CA749B">
        <w:trPr>
          <w:trHeight w:val="300"/>
          <w:jc w:val="center"/>
        </w:trPr>
        <w:tc>
          <w:tcPr>
            <w:tcW w:w="0" w:type="auto"/>
            <w:tcBorders>
              <w:top w:val="nil"/>
              <w:left w:val="single" w:sz="4" w:space="0" w:color="auto"/>
              <w:bottom w:val="nil"/>
              <w:right w:val="nil"/>
            </w:tcBorders>
            <w:noWrap/>
            <w:vAlign w:val="bottom"/>
            <w:hideMark/>
          </w:tcPr>
          <w:p w14:paraId="247033E6"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ADAMANTAS </w:t>
            </w:r>
          </w:p>
        </w:tc>
        <w:tc>
          <w:tcPr>
            <w:tcW w:w="0" w:type="auto"/>
            <w:tcBorders>
              <w:top w:val="nil"/>
              <w:left w:val="nil"/>
              <w:bottom w:val="nil"/>
              <w:right w:val="single" w:sz="4" w:space="0" w:color="auto"/>
            </w:tcBorders>
            <w:noWrap/>
            <w:vAlign w:val="bottom"/>
            <w:hideMark/>
          </w:tcPr>
          <w:p w14:paraId="7F83C32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8A3D07E" w14:textId="77777777" w:rsidTr="00CA749B">
        <w:trPr>
          <w:trHeight w:val="300"/>
          <w:jc w:val="center"/>
        </w:trPr>
        <w:tc>
          <w:tcPr>
            <w:tcW w:w="0" w:type="auto"/>
            <w:tcBorders>
              <w:top w:val="nil"/>
              <w:left w:val="single" w:sz="4" w:space="0" w:color="auto"/>
              <w:bottom w:val="nil"/>
              <w:right w:val="nil"/>
            </w:tcBorders>
            <w:noWrap/>
            <w:vAlign w:val="bottom"/>
            <w:hideMark/>
          </w:tcPr>
          <w:p w14:paraId="4F9FF63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AGIA ANNA NAXOU</w:t>
            </w:r>
          </w:p>
        </w:tc>
        <w:tc>
          <w:tcPr>
            <w:tcW w:w="0" w:type="auto"/>
            <w:tcBorders>
              <w:top w:val="nil"/>
              <w:left w:val="nil"/>
              <w:bottom w:val="nil"/>
              <w:right w:val="single" w:sz="4" w:space="0" w:color="auto"/>
            </w:tcBorders>
            <w:noWrap/>
            <w:vAlign w:val="bottom"/>
            <w:hideMark/>
          </w:tcPr>
          <w:p w14:paraId="46B4942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3BB09BB" w14:textId="77777777" w:rsidTr="00CA749B">
        <w:trPr>
          <w:trHeight w:val="300"/>
          <w:jc w:val="center"/>
        </w:trPr>
        <w:tc>
          <w:tcPr>
            <w:tcW w:w="0" w:type="auto"/>
            <w:tcBorders>
              <w:top w:val="nil"/>
              <w:left w:val="single" w:sz="4" w:space="0" w:color="auto"/>
              <w:bottom w:val="nil"/>
              <w:right w:val="nil"/>
            </w:tcBorders>
            <w:noWrap/>
            <w:vAlign w:val="bottom"/>
            <w:hideMark/>
          </w:tcPr>
          <w:p w14:paraId="5F823A1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AGIA GALINI </w:t>
            </w:r>
            <w:r w:rsidRPr="00F0379B">
              <w:rPr>
                <w:rFonts w:ascii="Cambria" w:eastAsiaTheme="minorEastAsia" w:hAnsi="Cambria" w:cs="Times New Roman"/>
                <w:color w:val="000000"/>
                <w:sz w:val="20"/>
                <w:szCs w:val="20"/>
                <w:lang w:val="en-GB" w:eastAsia="en-GB"/>
                <w14:ligatures w14:val="standardContextual"/>
              </w:rPr>
              <w:t>RETHYMNOU</w:t>
            </w:r>
          </w:p>
        </w:tc>
        <w:tc>
          <w:tcPr>
            <w:tcW w:w="0" w:type="auto"/>
            <w:tcBorders>
              <w:top w:val="nil"/>
              <w:left w:val="nil"/>
              <w:bottom w:val="nil"/>
              <w:right w:val="single" w:sz="4" w:space="0" w:color="auto"/>
            </w:tcBorders>
            <w:noWrap/>
            <w:vAlign w:val="bottom"/>
            <w:hideMark/>
          </w:tcPr>
          <w:p w14:paraId="21FAF5F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0CC01940" w14:textId="77777777" w:rsidTr="00CA749B">
        <w:trPr>
          <w:trHeight w:val="300"/>
          <w:jc w:val="center"/>
        </w:trPr>
        <w:tc>
          <w:tcPr>
            <w:tcW w:w="0" w:type="auto"/>
            <w:tcBorders>
              <w:top w:val="nil"/>
              <w:left w:val="single" w:sz="4" w:space="0" w:color="auto"/>
              <w:bottom w:val="nil"/>
              <w:right w:val="nil"/>
            </w:tcBorders>
            <w:noWrap/>
            <w:vAlign w:val="bottom"/>
            <w:hideMark/>
          </w:tcPr>
          <w:p w14:paraId="29710E3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AGIA KYRIAKI </w:t>
            </w:r>
            <w:r w:rsidRPr="00F0379B">
              <w:rPr>
                <w:rFonts w:ascii="Cambria" w:eastAsiaTheme="minorEastAsia" w:hAnsi="Cambria" w:cs="Times New Roman"/>
                <w:color w:val="000000"/>
                <w:sz w:val="20"/>
                <w:szCs w:val="20"/>
                <w:lang w:val="en-GB" w:eastAsia="en-GB"/>
                <w14:ligatures w14:val="standardContextual"/>
              </w:rPr>
              <w:t>TRIKERON</w:t>
            </w:r>
          </w:p>
        </w:tc>
        <w:tc>
          <w:tcPr>
            <w:tcW w:w="0" w:type="auto"/>
            <w:tcBorders>
              <w:top w:val="nil"/>
              <w:left w:val="nil"/>
              <w:bottom w:val="nil"/>
              <w:right w:val="single" w:sz="4" w:space="0" w:color="auto"/>
            </w:tcBorders>
            <w:noWrap/>
            <w:vAlign w:val="bottom"/>
            <w:hideMark/>
          </w:tcPr>
          <w:p w14:paraId="713B588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7673BD78" w14:textId="77777777" w:rsidTr="00CA749B">
        <w:trPr>
          <w:trHeight w:val="300"/>
          <w:jc w:val="center"/>
        </w:trPr>
        <w:tc>
          <w:tcPr>
            <w:tcW w:w="0" w:type="auto"/>
            <w:tcBorders>
              <w:top w:val="nil"/>
              <w:left w:val="single" w:sz="4" w:space="0" w:color="auto"/>
              <w:bottom w:val="nil"/>
              <w:right w:val="nil"/>
            </w:tcBorders>
            <w:noWrap/>
            <w:vAlign w:val="bottom"/>
            <w:hideMark/>
          </w:tcPr>
          <w:p w14:paraId="4095566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AGIA MARINA (LEROS) </w:t>
            </w:r>
          </w:p>
        </w:tc>
        <w:tc>
          <w:tcPr>
            <w:tcW w:w="0" w:type="auto"/>
            <w:tcBorders>
              <w:top w:val="nil"/>
              <w:left w:val="nil"/>
              <w:bottom w:val="nil"/>
              <w:right w:val="single" w:sz="4" w:space="0" w:color="auto"/>
            </w:tcBorders>
            <w:noWrap/>
            <w:vAlign w:val="bottom"/>
            <w:hideMark/>
          </w:tcPr>
          <w:p w14:paraId="3C21C44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12D5C3CE" w14:textId="77777777" w:rsidTr="00CA749B">
        <w:trPr>
          <w:trHeight w:val="300"/>
          <w:jc w:val="center"/>
        </w:trPr>
        <w:tc>
          <w:tcPr>
            <w:tcW w:w="0" w:type="auto"/>
            <w:tcBorders>
              <w:top w:val="nil"/>
              <w:left w:val="single" w:sz="4" w:space="0" w:color="auto"/>
              <w:bottom w:val="nil"/>
              <w:right w:val="nil"/>
            </w:tcBorders>
            <w:noWrap/>
            <w:vAlign w:val="bottom"/>
            <w:hideMark/>
          </w:tcPr>
          <w:p w14:paraId="5138911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AGIA SOTIRA LIMNOU</w:t>
            </w:r>
          </w:p>
        </w:tc>
        <w:tc>
          <w:tcPr>
            <w:tcW w:w="0" w:type="auto"/>
            <w:tcBorders>
              <w:top w:val="nil"/>
              <w:left w:val="nil"/>
              <w:bottom w:val="nil"/>
              <w:right w:val="single" w:sz="4" w:space="0" w:color="auto"/>
            </w:tcBorders>
            <w:noWrap/>
            <w:vAlign w:val="bottom"/>
            <w:hideMark/>
          </w:tcPr>
          <w:p w14:paraId="0222F9C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8DE11C5" w14:textId="77777777" w:rsidTr="00CA749B">
        <w:trPr>
          <w:trHeight w:val="300"/>
          <w:jc w:val="center"/>
        </w:trPr>
        <w:tc>
          <w:tcPr>
            <w:tcW w:w="0" w:type="auto"/>
            <w:tcBorders>
              <w:top w:val="nil"/>
              <w:left w:val="single" w:sz="4" w:space="0" w:color="auto"/>
              <w:bottom w:val="nil"/>
              <w:right w:val="nil"/>
            </w:tcBorders>
            <w:noWrap/>
            <w:vAlign w:val="bottom"/>
            <w:hideMark/>
          </w:tcPr>
          <w:p w14:paraId="2DC56E4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AGIOKAMPOS </w:t>
            </w:r>
          </w:p>
        </w:tc>
        <w:tc>
          <w:tcPr>
            <w:tcW w:w="0" w:type="auto"/>
            <w:tcBorders>
              <w:top w:val="nil"/>
              <w:left w:val="nil"/>
              <w:bottom w:val="nil"/>
              <w:right w:val="single" w:sz="4" w:space="0" w:color="auto"/>
            </w:tcBorders>
            <w:noWrap/>
            <w:vAlign w:val="bottom"/>
            <w:hideMark/>
          </w:tcPr>
          <w:p w14:paraId="0A23C23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814BA2D" w14:textId="77777777" w:rsidTr="00CA749B">
        <w:trPr>
          <w:trHeight w:val="300"/>
          <w:jc w:val="center"/>
        </w:trPr>
        <w:tc>
          <w:tcPr>
            <w:tcW w:w="0" w:type="auto"/>
            <w:tcBorders>
              <w:top w:val="nil"/>
              <w:left w:val="single" w:sz="4" w:space="0" w:color="auto"/>
              <w:bottom w:val="nil"/>
              <w:right w:val="nil"/>
            </w:tcBorders>
            <w:noWrap/>
            <w:vAlign w:val="bottom"/>
            <w:hideMark/>
          </w:tcPr>
          <w:p w14:paraId="1A5C73F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AGIOS EFSTRATIOS </w:t>
            </w:r>
          </w:p>
        </w:tc>
        <w:tc>
          <w:tcPr>
            <w:tcW w:w="0" w:type="auto"/>
            <w:tcBorders>
              <w:top w:val="nil"/>
              <w:left w:val="nil"/>
              <w:bottom w:val="nil"/>
              <w:right w:val="single" w:sz="4" w:space="0" w:color="auto"/>
            </w:tcBorders>
            <w:noWrap/>
            <w:vAlign w:val="bottom"/>
            <w:hideMark/>
          </w:tcPr>
          <w:p w14:paraId="67DA2D9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609D1DC9" w14:textId="77777777" w:rsidTr="00CA749B">
        <w:trPr>
          <w:trHeight w:val="300"/>
          <w:jc w:val="center"/>
        </w:trPr>
        <w:tc>
          <w:tcPr>
            <w:tcW w:w="0" w:type="auto"/>
            <w:tcBorders>
              <w:top w:val="nil"/>
              <w:left w:val="single" w:sz="4" w:space="0" w:color="auto"/>
              <w:bottom w:val="nil"/>
              <w:right w:val="nil"/>
            </w:tcBorders>
            <w:noWrap/>
            <w:vAlign w:val="bottom"/>
            <w:hideMark/>
          </w:tcPr>
          <w:p w14:paraId="0E37178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AGIOS GEORGIOS LICHADAS</w:t>
            </w:r>
          </w:p>
        </w:tc>
        <w:tc>
          <w:tcPr>
            <w:tcW w:w="0" w:type="auto"/>
            <w:tcBorders>
              <w:top w:val="nil"/>
              <w:left w:val="nil"/>
              <w:bottom w:val="nil"/>
              <w:right w:val="single" w:sz="4" w:space="0" w:color="auto"/>
            </w:tcBorders>
            <w:noWrap/>
            <w:vAlign w:val="bottom"/>
            <w:hideMark/>
          </w:tcPr>
          <w:p w14:paraId="728E854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A922FBC" w14:textId="77777777" w:rsidTr="00CA749B">
        <w:trPr>
          <w:trHeight w:val="300"/>
          <w:jc w:val="center"/>
        </w:trPr>
        <w:tc>
          <w:tcPr>
            <w:tcW w:w="0" w:type="auto"/>
            <w:tcBorders>
              <w:top w:val="nil"/>
              <w:left w:val="single" w:sz="4" w:space="0" w:color="auto"/>
              <w:bottom w:val="nil"/>
              <w:right w:val="nil"/>
            </w:tcBorders>
            <w:noWrap/>
            <w:vAlign w:val="bottom"/>
            <w:hideMark/>
          </w:tcPr>
          <w:p w14:paraId="068C8C0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AGIOS IOANNIS (PILIOU)</w:t>
            </w:r>
          </w:p>
        </w:tc>
        <w:tc>
          <w:tcPr>
            <w:tcW w:w="0" w:type="auto"/>
            <w:tcBorders>
              <w:top w:val="nil"/>
              <w:left w:val="nil"/>
              <w:bottom w:val="nil"/>
              <w:right w:val="single" w:sz="4" w:space="0" w:color="auto"/>
            </w:tcBorders>
            <w:noWrap/>
            <w:vAlign w:val="bottom"/>
            <w:hideMark/>
          </w:tcPr>
          <w:p w14:paraId="58E5950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2A948F4" w14:textId="77777777" w:rsidTr="00CA749B">
        <w:trPr>
          <w:trHeight w:val="300"/>
          <w:jc w:val="center"/>
        </w:trPr>
        <w:tc>
          <w:tcPr>
            <w:tcW w:w="0" w:type="auto"/>
            <w:tcBorders>
              <w:top w:val="nil"/>
              <w:left w:val="single" w:sz="4" w:space="0" w:color="auto"/>
              <w:bottom w:val="nil"/>
              <w:right w:val="nil"/>
            </w:tcBorders>
            <w:noWrap/>
            <w:vAlign w:val="bottom"/>
            <w:hideMark/>
          </w:tcPr>
          <w:p w14:paraId="553E4079"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AGIOS IOANNIS THEOLOGOS</w:t>
            </w:r>
          </w:p>
        </w:tc>
        <w:tc>
          <w:tcPr>
            <w:tcW w:w="0" w:type="auto"/>
            <w:tcBorders>
              <w:top w:val="nil"/>
              <w:left w:val="nil"/>
              <w:bottom w:val="nil"/>
              <w:right w:val="single" w:sz="4" w:space="0" w:color="auto"/>
            </w:tcBorders>
            <w:noWrap/>
            <w:vAlign w:val="bottom"/>
            <w:hideMark/>
          </w:tcPr>
          <w:p w14:paraId="503C417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4D0244A" w14:textId="77777777" w:rsidTr="00CA749B">
        <w:trPr>
          <w:trHeight w:val="300"/>
          <w:jc w:val="center"/>
        </w:trPr>
        <w:tc>
          <w:tcPr>
            <w:tcW w:w="0" w:type="auto"/>
            <w:tcBorders>
              <w:top w:val="nil"/>
              <w:left w:val="single" w:sz="4" w:space="0" w:color="auto"/>
              <w:bottom w:val="nil"/>
              <w:right w:val="nil"/>
            </w:tcBorders>
            <w:noWrap/>
            <w:vAlign w:val="bottom"/>
            <w:hideMark/>
          </w:tcPr>
          <w:p w14:paraId="23608BB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AGIOS KIRYKOS </w:t>
            </w:r>
            <w:r w:rsidRPr="00F0379B">
              <w:rPr>
                <w:rFonts w:ascii="Cambria" w:eastAsiaTheme="minorEastAsia" w:hAnsi="Cambria" w:cs="Times New Roman"/>
                <w:color w:val="000000"/>
                <w:sz w:val="20"/>
                <w:szCs w:val="20"/>
                <w:lang w:val="en-GB" w:eastAsia="en-GB"/>
                <w14:ligatures w14:val="standardContextual"/>
              </w:rPr>
              <w:t>IKARIAS</w:t>
            </w:r>
          </w:p>
        </w:tc>
        <w:tc>
          <w:tcPr>
            <w:tcW w:w="0" w:type="auto"/>
            <w:tcBorders>
              <w:top w:val="nil"/>
              <w:left w:val="nil"/>
              <w:bottom w:val="nil"/>
              <w:right w:val="single" w:sz="4" w:space="0" w:color="auto"/>
            </w:tcBorders>
            <w:noWrap/>
            <w:vAlign w:val="bottom"/>
            <w:hideMark/>
          </w:tcPr>
          <w:p w14:paraId="49DD95F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FFC5F4B" w14:textId="77777777" w:rsidTr="00CA749B">
        <w:trPr>
          <w:trHeight w:val="300"/>
          <w:jc w:val="center"/>
        </w:trPr>
        <w:tc>
          <w:tcPr>
            <w:tcW w:w="0" w:type="auto"/>
            <w:tcBorders>
              <w:top w:val="nil"/>
              <w:left w:val="single" w:sz="4" w:space="0" w:color="auto"/>
              <w:bottom w:val="nil"/>
              <w:right w:val="nil"/>
            </w:tcBorders>
            <w:noWrap/>
            <w:vAlign w:val="bottom"/>
            <w:hideMark/>
          </w:tcPr>
          <w:p w14:paraId="500CFDC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AGIOS KONSTANTINOS FTHIOTIDAS </w:t>
            </w:r>
          </w:p>
        </w:tc>
        <w:tc>
          <w:tcPr>
            <w:tcW w:w="0" w:type="auto"/>
            <w:tcBorders>
              <w:top w:val="nil"/>
              <w:left w:val="nil"/>
              <w:bottom w:val="nil"/>
              <w:right w:val="single" w:sz="4" w:space="0" w:color="auto"/>
            </w:tcBorders>
            <w:noWrap/>
            <w:vAlign w:val="bottom"/>
            <w:hideMark/>
          </w:tcPr>
          <w:p w14:paraId="1D6FAAE9"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A78E21F" w14:textId="77777777" w:rsidTr="00CA749B">
        <w:trPr>
          <w:trHeight w:val="300"/>
          <w:jc w:val="center"/>
        </w:trPr>
        <w:tc>
          <w:tcPr>
            <w:tcW w:w="0" w:type="auto"/>
            <w:tcBorders>
              <w:top w:val="nil"/>
              <w:left w:val="single" w:sz="4" w:space="0" w:color="auto"/>
              <w:bottom w:val="nil"/>
              <w:right w:val="nil"/>
            </w:tcBorders>
            <w:noWrap/>
            <w:vAlign w:val="bottom"/>
            <w:hideMark/>
          </w:tcPr>
          <w:p w14:paraId="6FE0B85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AGIOS NIKOLAOS (ANAFI)</w:t>
            </w:r>
          </w:p>
        </w:tc>
        <w:tc>
          <w:tcPr>
            <w:tcW w:w="0" w:type="auto"/>
            <w:tcBorders>
              <w:top w:val="nil"/>
              <w:left w:val="nil"/>
              <w:bottom w:val="nil"/>
              <w:right w:val="single" w:sz="4" w:space="0" w:color="auto"/>
            </w:tcBorders>
            <w:noWrap/>
            <w:vAlign w:val="bottom"/>
            <w:hideMark/>
          </w:tcPr>
          <w:p w14:paraId="1B0D5B6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A60F9FA" w14:textId="77777777" w:rsidTr="00CA749B">
        <w:trPr>
          <w:trHeight w:val="300"/>
          <w:jc w:val="center"/>
        </w:trPr>
        <w:tc>
          <w:tcPr>
            <w:tcW w:w="0" w:type="auto"/>
            <w:tcBorders>
              <w:top w:val="nil"/>
              <w:left w:val="single" w:sz="4" w:space="0" w:color="auto"/>
              <w:bottom w:val="nil"/>
              <w:right w:val="nil"/>
            </w:tcBorders>
            <w:noWrap/>
            <w:vAlign w:val="bottom"/>
            <w:hideMark/>
          </w:tcPr>
          <w:p w14:paraId="3A87BFB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AGIOS NIKOLAOS (LASITHIOU)</w:t>
            </w:r>
          </w:p>
        </w:tc>
        <w:tc>
          <w:tcPr>
            <w:tcW w:w="0" w:type="auto"/>
            <w:tcBorders>
              <w:top w:val="nil"/>
              <w:left w:val="nil"/>
              <w:bottom w:val="nil"/>
              <w:right w:val="single" w:sz="4" w:space="0" w:color="auto"/>
            </w:tcBorders>
            <w:noWrap/>
            <w:vAlign w:val="bottom"/>
            <w:hideMark/>
          </w:tcPr>
          <w:p w14:paraId="04D1A98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0BB42D6" w14:textId="77777777" w:rsidTr="00CA749B">
        <w:trPr>
          <w:trHeight w:val="300"/>
          <w:jc w:val="center"/>
        </w:trPr>
        <w:tc>
          <w:tcPr>
            <w:tcW w:w="0" w:type="auto"/>
            <w:tcBorders>
              <w:top w:val="nil"/>
              <w:left w:val="single" w:sz="4" w:space="0" w:color="auto"/>
              <w:bottom w:val="nil"/>
              <w:right w:val="nil"/>
            </w:tcBorders>
            <w:noWrap/>
            <w:vAlign w:val="bottom"/>
            <w:hideMark/>
          </w:tcPr>
          <w:p w14:paraId="7562E18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AGIOS NIKOLAOS VOLIMON </w:t>
            </w:r>
          </w:p>
        </w:tc>
        <w:tc>
          <w:tcPr>
            <w:tcW w:w="0" w:type="auto"/>
            <w:tcBorders>
              <w:top w:val="nil"/>
              <w:left w:val="nil"/>
              <w:bottom w:val="nil"/>
              <w:right w:val="single" w:sz="4" w:space="0" w:color="auto"/>
            </w:tcBorders>
            <w:noWrap/>
            <w:vAlign w:val="bottom"/>
            <w:hideMark/>
          </w:tcPr>
          <w:p w14:paraId="6D73060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1A2B8FF" w14:textId="77777777" w:rsidTr="00CA749B">
        <w:trPr>
          <w:trHeight w:val="300"/>
          <w:jc w:val="center"/>
        </w:trPr>
        <w:tc>
          <w:tcPr>
            <w:tcW w:w="0" w:type="auto"/>
            <w:tcBorders>
              <w:top w:val="nil"/>
              <w:left w:val="single" w:sz="4" w:space="0" w:color="auto"/>
              <w:bottom w:val="nil"/>
              <w:right w:val="nil"/>
            </w:tcBorders>
            <w:noWrap/>
            <w:vAlign w:val="bottom"/>
            <w:hideMark/>
          </w:tcPr>
          <w:p w14:paraId="5AFFF52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AGIOS STEFANOS (AVLIOTON)</w:t>
            </w:r>
          </w:p>
        </w:tc>
        <w:tc>
          <w:tcPr>
            <w:tcW w:w="0" w:type="auto"/>
            <w:tcBorders>
              <w:top w:val="nil"/>
              <w:left w:val="nil"/>
              <w:bottom w:val="nil"/>
              <w:right w:val="single" w:sz="4" w:space="0" w:color="auto"/>
            </w:tcBorders>
            <w:noWrap/>
            <w:vAlign w:val="bottom"/>
            <w:hideMark/>
          </w:tcPr>
          <w:p w14:paraId="286D3BF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2DA2B52" w14:textId="77777777" w:rsidTr="00CA749B">
        <w:trPr>
          <w:trHeight w:val="300"/>
          <w:jc w:val="center"/>
        </w:trPr>
        <w:tc>
          <w:tcPr>
            <w:tcW w:w="0" w:type="auto"/>
            <w:tcBorders>
              <w:top w:val="nil"/>
              <w:left w:val="single" w:sz="4" w:space="0" w:color="auto"/>
              <w:bottom w:val="nil"/>
              <w:right w:val="nil"/>
            </w:tcBorders>
            <w:noWrap/>
            <w:vAlign w:val="bottom"/>
            <w:hideMark/>
          </w:tcPr>
          <w:p w14:paraId="5A9FB39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AIDIPSOS </w:t>
            </w:r>
          </w:p>
        </w:tc>
        <w:tc>
          <w:tcPr>
            <w:tcW w:w="0" w:type="auto"/>
            <w:tcBorders>
              <w:top w:val="nil"/>
              <w:left w:val="nil"/>
              <w:bottom w:val="nil"/>
              <w:right w:val="single" w:sz="4" w:space="0" w:color="auto"/>
            </w:tcBorders>
            <w:noWrap/>
            <w:vAlign w:val="bottom"/>
            <w:hideMark/>
          </w:tcPr>
          <w:p w14:paraId="3BB8FD4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7DA33106" w14:textId="77777777" w:rsidTr="00CA749B">
        <w:trPr>
          <w:trHeight w:val="300"/>
          <w:jc w:val="center"/>
        </w:trPr>
        <w:tc>
          <w:tcPr>
            <w:tcW w:w="0" w:type="auto"/>
            <w:tcBorders>
              <w:top w:val="nil"/>
              <w:left w:val="single" w:sz="4" w:space="0" w:color="auto"/>
              <w:bottom w:val="nil"/>
              <w:right w:val="nil"/>
            </w:tcBorders>
            <w:noWrap/>
            <w:vAlign w:val="bottom"/>
            <w:hideMark/>
          </w:tcPr>
          <w:p w14:paraId="46BCB30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AIGIALI AMORGOU</w:t>
            </w:r>
          </w:p>
        </w:tc>
        <w:tc>
          <w:tcPr>
            <w:tcW w:w="0" w:type="auto"/>
            <w:tcBorders>
              <w:top w:val="nil"/>
              <w:left w:val="nil"/>
              <w:bottom w:val="nil"/>
              <w:right w:val="single" w:sz="4" w:space="0" w:color="auto"/>
            </w:tcBorders>
            <w:noWrap/>
            <w:vAlign w:val="bottom"/>
            <w:hideMark/>
          </w:tcPr>
          <w:p w14:paraId="502D870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0620397" w14:textId="77777777" w:rsidTr="00CA749B">
        <w:trPr>
          <w:trHeight w:val="300"/>
          <w:jc w:val="center"/>
        </w:trPr>
        <w:tc>
          <w:tcPr>
            <w:tcW w:w="0" w:type="auto"/>
            <w:tcBorders>
              <w:top w:val="nil"/>
              <w:left w:val="single" w:sz="4" w:space="0" w:color="auto"/>
              <w:bottom w:val="nil"/>
              <w:right w:val="nil"/>
            </w:tcBorders>
            <w:noWrap/>
            <w:vAlign w:val="bottom"/>
            <w:hideMark/>
          </w:tcPr>
          <w:p w14:paraId="789CA69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AIGINA </w:t>
            </w:r>
          </w:p>
        </w:tc>
        <w:tc>
          <w:tcPr>
            <w:tcW w:w="0" w:type="auto"/>
            <w:tcBorders>
              <w:top w:val="nil"/>
              <w:left w:val="nil"/>
              <w:bottom w:val="nil"/>
              <w:right w:val="single" w:sz="4" w:space="0" w:color="auto"/>
            </w:tcBorders>
            <w:noWrap/>
            <w:vAlign w:val="bottom"/>
            <w:hideMark/>
          </w:tcPr>
          <w:p w14:paraId="2CAEFE6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0FC39DF0" w14:textId="77777777" w:rsidTr="00CA749B">
        <w:trPr>
          <w:trHeight w:val="300"/>
          <w:jc w:val="center"/>
        </w:trPr>
        <w:tc>
          <w:tcPr>
            <w:tcW w:w="0" w:type="auto"/>
            <w:tcBorders>
              <w:top w:val="nil"/>
              <w:left w:val="single" w:sz="4" w:space="0" w:color="auto"/>
              <w:bottom w:val="nil"/>
              <w:right w:val="nil"/>
            </w:tcBorders>
            <w:noWrap/>
            <w:vAlign w:val="bottom"/>
            <w:hideMark/>
          </w:tcPr>
          <w:p w14:paraId="5B3099B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AIGIO </w:t>
            </w:r>
          </w:p>
        </w:tc>
        <w:tc>
          <w:tcPr>
            <w:tcW w:w="0" w:type="auto"/>
            <w:tcBorders>
              <w:top w:val="nil"/>
              <w:left w:val="nil"/>
              <w:bottom w:val="nil"/>
              <w:right w:val="single" w:sz="4" w:space="0" w:color="auto"/>
            </w:tcBorders>
            <w:noWrap/>
            <w:vAlign w:val="bottom"/>
            <w:hideMark/>
          </w:tcPr>
          <w:p w14:paraId="7285BD7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700B85C8" w14:textId="77777777" w:rsidTr="00CA749B">
        <w:trPr>
          <w:trHeight w:val="300"/>
          <w:jc w:val="center"/>
        </w:trPr>
        <w:tc>
          <w:tcPr>
            <w:tcW w:w="0" w:type="auto"/>
            <w:tcBorders>
              <w:top w:val="nil"/>
              <w:left w:val="single" w:sz="4" w:space="0" w:color="auto"/>
              <w:bottom w:val="nil"/>
              <w:right w:val="nil"/>
            </w:tcBorders>
            <w:noWrap/>
            <w:vAlign w:val="bottom"/>
            <w:hideMark/>
          </w:tcPr>
          <w:p w14:paraId="5E8EA9C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ALEXANDROUPOLI </w:t>
            </w:r>
          </w:p>
        </w:tc>
        <w:tc>
          <w:tcPr>
            <w:tcW w:w="0" w:type="auto"/>
            <w:tcBorders>
              <w:top w:val="nil"/>
              <w:left w:val="nil"/>
              <w:bottom w:val="nil"/>
              <w:right w:val="single" w:sz="4" w:space="0" w:color="auto"/>
            </w:tcBorders>
            <w:noWrap/>
            <w:vAlign w:val="bottom"/>
            <w:hideMark/>
          </w:tcPr>
          <w:p w14:paraId="2213E38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263AA1BD" w14:textId="77777777" w:rsidTr="00CA749B">
        <w:trPr>
          <w:trHeight w:val="300"/>
          <w:jc w:val="center"/>
        </w:trPr>
        <w:tc>
          <w:tcPr>
            <w:tcW w:w="0" w:type="auto"/>
            <w:tcBorders>
              <w:top w:val="nil"/>
              <w:left w:val="single" w:sz="4" w:space="0" w:color="auto"/>
              <w:bottom w:val="nil"/>
              <w:right w:val="nil"/>
            </w:tcBorders>
            <w:noWrap/>
            <w:vAlign w:val="bottom"/>
            <w:hideMark/>
          </w:tcPr>
          <w:p w14:paraId="05183329"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ALIVERI </w:t>
            </w:r>
          </w:p>
        </w:tc>
        <w:tc>
          <w:tcPr>
            <w:tcW w:w="0" w:type="auto"/>
            <w:tcBorders>
              <w:top w:val="nil"/>
              <w:left w:val="nil"/>
              <w:bottom w:val="nil"/>
              <w:right w:val="single" w:sz="4" w:space="0" w:color="auto"/>
            </w:tcBorders>
            <w:noWrap/>
            <w:vAlign w:val="bottom"/>
            <w:hideMark/>
          </w:tcPr>
          <w:p w14:paraId="0C6F55C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994B506" w14:textId="77777777" w:rsidTr="00CA749B">
        <w:trPr>
          <w:trHeight w:val="300"/>
          <w:jc w:val="center"/>
        </w:trPr>
        <w:tc>
          <w:tcPr>
            <w:tcW w:w="0" w:type="auto"/>
            <w:tcBorders>
              <w:top w:val="nil"/>
              <w:left w:val="single" w:sz="4" w:space="0" w:color="auto"/>
              <w:bottom w:val="nil"/>
              <w:right w:val="nil"/>
            </w:tcBorders>
            <w:noWrap/>
            <w:vAlign w:val="bottom"/>
            <w:hideMark/>
          </w:tcPr>
          <w:p w14:paraId="325B9F76"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ALYKES ACHAIAS</w:t>
            </w:r>
          </w:p>
        </w:tc>
        <w:tc>
          <w:tcPr>
            <w:tcW w:w="0" w:type="auto"/>
            <w:tcBorders>
              <w:top w:val="nil"/>
              <w:left w:val="nil"/>
              <w:bottom w:val="nil"/>
              <w:right w:val="single" w:sz="4" w:space="0" w:color="auto"/>
            </w:tcBorders>
            <w:noWrap/>
            <w:vAlign w:val="bottom"/>
            <w:hideMark/>
          </w:tcPr>
          <w:p w14:paraId="0001368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E3EA31E" w14:textId="77777777" w:rsidTr="00CA749B">
        <w:trPr>
          <w:trHeight w:val="300"/>
          <w:jc w:val="center"/>
        </w:trPr>
        <w:tc>
          <w:tcPr>
            <w:tcW w:w="0" w:type="auto"/>
            <w:tcBorders>
              <w:top w:val="nil"/>
              <w:left w:val="single" w:sz="4" w:space="0" w:color="auto"/>
              <w:bottom w:val="nil"/>
              <w:right w:val="nil"/>
            </w:tcBorders>
            <w:noWrap/>
            <w:vAlign w:val="bottom"/>
            <w:hideMark/>
          </w:tcPr>
          <w:p w14:paraId="68F18FE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ALYKES PAROU</w:t>
            </w:r>
          </w:p>
        </w:tc>
        <w:tc>
          <w:tcPr>
            <w:tcW w:w="0" w:type="auto"/>
            <w:tcBorders>
              <w:top w:val="nil"/>
              <w:left w:val="nil"/>
              <w:bottom w:val="nil"/>
              <w:right w:val="single" w:sz="4" w:space="0" w:color="auto"/>
            </w:tcBorders>
            <w:noWrap/>
            <w:vAlign w:val="bottom"/>
            <w:hideMark/>
          </w:tcPr>
          <w:p w14:paraId="162B829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7CFB847" w14:textId="77777777" w:rsidTr="00CA749B">
        <w:trPr>
          <w:trHeight w:val="300"/>
          <w:jc w:val="center"/>
        </w:trPr>
        <w:tc>
          <w:tcPr>
            <w:tcW w:w="0" w:type="auto"/>
            <w:tcBorders>
              <w:top w:val="nil"/>
              <w:left w:val="single" w:sz="4" w:space="0" w:color="auto"/>
              <w:bottom w:val="nil"/>
              <w:right w:val="nil"/>
            </w:tcBorders>
            <w:noWrap/>
            <w:vAlign w:val="bottom"/>
            <w:hideMark/>
          </w:tcPr>
          <w:p w14:paraId="640486D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ALYPA (PALAIOKASTRITSAS) </w:t>
            </w:r>
          </w:p>
        </w:tc>
        <w:tc>
          <w:tcPr>
            <w:tcW w:w="0" w:type="auto"/>
            <w:tcBorders>
              <w:top w:val="nil"/>
              <w:left w:val="nil"/>
              <w:bottom w:val="nil"/>
              <w:right w:val="single" w:sz="4" w:space="0" w:color="auto"/>
            </w:tcBorders>
            <w:noWrap/>
            <w:vAlign w:val="bottom"/>
            <w:hideMark/>
          </w:tcPr>
          <w:p w14:paraId="1CB506B9"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710B91C" w14:textId="77777777" w:rsidTr="00CA749B">
        <w:trPr>
          <w:trHeight w:val="300"/>
          <w:jc w:val="center"/>
        </w:trPr>
        <w:tc>
          <w:tcPr>
            <w:tcW w:w="0" w:type="auto"/>
            <w:tcBorders>
              <w:top w:val="nil"/>
              <w:left w:val="single" w:sz="4" w:space="0" w:color="auto"/>
              <w:bottom w:val="nil"/>
              <w:right w:val="nil"/>
            </w:tcBorders>
            <w:noWrap/>
            <w:vAlign w:val="bottom"/>
            <w:hideMark/>
          </w:tcPr>
          <w:p w14:paraId="26DD6A2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AMALIAPOLI </w:t>
            </w:r>
          </w:p>
        </w:tc>
        <w:tc>
          <w:tcPr>
            <w:tcW w:w="0" w:type="auto"/>
            <w:tcBorders>
              <w:top w:val="nil"/>
              <w:left w:val="nil"/>
              <w:bottom w:val="nil"/>
              <w:right w:val="single" w:sz="4" w:space="0" w:color="auto"/>
            </w:tcBorders>
            <w:noWrap/>
            <w:vAlign w:val="bottom"/>
            <w:hideMark/>
          </w:tcPr>
          <w:p w14:paraId="173E961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6B6D059" w14:textId="77777777" w:rsidTr="00CA749B">
        <w:trPr>
          <w:trHeight w:val="300"/>
          <w:jc w:val="center"/>
        </w:trPr>
        <w:tc>
          <w:tcPr>
            <w:tcW w:w="0" w:type="auto"/>
            <w:tcBorders>
              <w:top w:val="nil"/>
              <w:left w:val="single" w:sz="4" w:space="0" w:color="auto"/>
              <w:bottom w:val="nil"/>
              <w:right w:val="nil"/>
            </w:tcBorders>
            <w:noWrap/>
            <w:vAlign w:val="bottom"/>
            <w:hideMark/>
          </w:tcPr>
          <w:p w14:paraId="379A4F5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AMFILOCHIA </w:t>
            </w:r>
          </w:p>
        </w:tc>
        <w:tc>
          <w:tcPr>
            <w:tcW w:w="0" w:type="auto"/>
            <w:tcBorders>
              <w:top w:val="nil"/>
              <w:left w:val="nil"/>
              <w:bottom w:val="nil"/>
              <w:right w:val="single" w:sz="4" w:space="0" w:color="auto"/>
            </w:tcBorders>
            <w:noWrap/>
            <w:vAlign w:val="bottom"/>
            <w:hideMark/>
          </w:tcPr>
          <w:p w14:paraId="35E1E91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63E43EA" w14:textId="77777777" w:rsidTr="00CA749B">
        <w:trPr>
          <w:trHeight w:val="300"/>
          <w:jc w:val="center"/>
        </w:trPr>
        <w:tc>
          <w:tcPr>
            <w:tcW w:w="0" w:type="auto"/>
            <w:tcBorders>
              <w:top w:val="nil"/>
              <w:left w:val="single" w:sz="4" w:space="0" w:color="auto"/>
              <w:bottom w:val="nil"/>
              <w:right w:val="nil"/>
            </w:tcBorders>
            <w:noWrap/>
            <w:vAlign w:val="bottom"/>
            <w:hideMark/>
          </w:tcPr>
          <w:p w14:paraId="1E63AF6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AMMOUDIA PREVEZAS</w:t>
            </w:r>
          </w:p>
        </w:tc>
        <w:tc>
          <w:tcPr>
            <w:tcW w:w="0" w:type="auto"/>
            <w:tcBorders>
              <w:top w:val="nil"/>
              <w:left w:val="nil"/>
              <w:bottom w:val="nil"/>
              <w:right w:val="single" w:sz="4" w:space="0" w:color="auto"/>
            </w:tcBorders>
            <w:noWrap/>
            <w:vAlign w:val="bottom"/>
            <w:hideMark/>
          </w:tcPr>
          <w:p w14:paraId="714C469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F890C97" w14:textId="77777777" w:rsidTr="00CA749B">
        <w:trPr>
          <w:trHeight w:val="300"/>
          <w:jc w:val="center"/>
        </w:trPr>
        <w:tc>
          <w:tcPr>
            <w:tcW w:w="0" w:type="auto"/>
            <w:tcBorders>
              <w:top w:val="nil"/>
              <w:left w:val="single" w:sz="4" w:space="0" w:color="auto"/>
              <w:bottom w:val="nil"/>
              <w:right w:val="nil"/>
            </w:tcBorders>
            <w:noWrap/>
            <w:vAlign w:val="bottom"/>
            <w:hideMark/>
          </w:tcPr>
          <w:p w14:paraId="6DC02F1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AMMOULIANI ALIEFTIKO KATAFYGIO - GRASTRI </w:t>
            </w:r>
          </w:p>
        </w:tc>
        <w:tc>
          <w:tcPr>
            <w:tcW w:w="0" w:type="auto"/>
            <w:tcBorders>
              <w:top w:val="nil"/>
              <w:left w:val="nil"/>
              <w:bottom w:val="nil"/>
              <w:right w:val="single" w:sz="4" w:space="0" w:color="auto"/>
            </w:tcBorders>
            <w:noWrap/>
            <w:vAlign w:val="bottom"/>
            <w:hideMark/>
          </w:tcPr>
          <w:p w14:paraId="00DC53D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10E2C79" w14:textId="77777777" w:rsidTr="00CA749B">
        <w:trPr>
          <w:trHeight w:val="300"/>
          <w:jc w:val="center"/>
        </w:trPr>
        <w:tc>
          <w:tcPr>
            <w:tcW w:w="0" w:type="auto"/>
            <w:tcBorders>
              <w:top w:val="nil"/>
              <w:left w:val="single" w:sz="4" w:space="0" w:color="auto"/>
              <w:bottom w:val="nil"/>
              <w:right w:val="nil"/>
            </w:tcBorders>
            <w:noWrap/>
            <w:vAlign w:val="bottom"/>
            <w:hideMark/>
          </w:tcPr>
          <w:p w14:paraId="67B4BA2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ANDROS </w:t>
            </w:r>
          </w:p>
        </w:tc>
        <w:tc>
          <w:tcPr>
            <w:tcW w:w="0" w:type="auto"/>
            <w:tcBorders>
              <w:top w:val="nil"/>
              <w:left w:val="nil"/>
              <w:bottom w:val="nil"/>
              <w:right w:val="single" w:sz="4" w:space="0" w:color="auto"/>
            </w:tcBorders>
            <w:noWrap/>
            <w:vAlign w:val="bottom"/>
            <w:hideMark/>
          </w:tcPr>
          <w:p w14:paraId="1B56191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75327AF" w14:textId="77777777" w:rsidTr="00CA749B">
        <w:trPr>
          <w:trHeight w:val="300"/>
          <w:jc w:val="center"/>
        </w:trPr>
        <w:tc>
          <w:tcPr>
            <w:tcW w:w="0" w:type="auto"/>
            <w:tcBorders>
              <w:top w:val="nil"/>
              <w:left w:val="single" w:sz="4" w:space="0" w:color="auto"/>
              <w:bottom w:val="nil"/>
              <w:right w:val="nil"/>
            </w:tcBorders>
            <w:noWrap/>
            <w:vAlign w:val="bottom"/>
            <w:hideMark/>
          </w:tcPr>
          <w:p w14:paraId="27CD0DF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ANTIKYRA </w:t>
            </w:r>
          </w:p>
        </w:tc>
        <w:tc>
          <w:tcPr>
            <w:tcW w:w="0" w:type="auto"/>
            <w:tcBorders>
              <w:top w:val="nil"/>
              <w:left w:val="nil"/>
              <w:bottom w:val="nil"/>
              <w:right w:val="single" w:sz="4" w:space="0" w:color="auto"/>
            </w:tcBorders>
            <w:noWrap/>
            <w:vAlign w:val="bottom"/>
            <w:hideMark/>
          </w:tcPr>
          <w:p w14:paraId="009DF88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2CB45563" w14:textId="77777777" w:rsidTr="00CA749B">
        <w:trPr>
          <w:trHeight w:val="300"/>
          <w:jc w:val="center"/>
        </w:trPr>
        <w:tc>
          <w:tcPr>
            <w:tcW w:w="0" w:type="auto"/>
            <w:tcBorders>
              <w:top w:val="nil"/>
              <w:left w:val="single" w:sz="4" w:space="0" w:color="auto"/>
              <w:bottom w:val="nil"/>
              <w:right w:val="nil"/>
            </w:tcBorders>
            <w:noWrap/>
            <w:vAlign w:val="bottom"/>
            <w:hideMark/>
          </w:tcPr>
          <w:p w14:paraId="5C262E9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ARGOSTOLI </w:t>
            </w:r>
          </w:p>
        </w:tc>
        <w:tc>
          <w:tcPr>
            <w:tcW w:w="0" w:type="auto"/>
            <w:tcBorders>
              <w:top w:val="nil"/>
              <w:left w:val="nil"/>
              <w:bottom w:val="nil"/>
              <w:right w:val="single" w:sz="4" w:space="0" w:color="auto"/>
            </w:tcBorders>
            <w:noWrap/>
            <w:vAlign w:val="bottom"/>
            <w:hideMark/>
          </w:tcPr>
          <w:p w14:paraId="3FD6C0E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627D2755" w14:textId="77777777" w:rsidTr="00CA749B">
        <w:trPr>
          <w:trHeight w:val="300"/>
          <w:jc w:val="center"/>
        </w:trPr>
        <w:tc>
          <w:tcPr>
            <w:tcW w:w="0" w:type="auto"/>
            <w:tcBorders>
              <w:top w:val="nil"/>
              <w:left w:val="single" w:sz="4" w:space="0" w:color="auto"/>
              <w:bottom w:val="nil"/>
              <w:right w:val="nil"/>
            </w:tcBorders>
            <w:noWrap/>
            <w:vAlign w:val="bottom"/>
            <w:hideMark/>
          </w:tcPr>
          <w:p w14:paraId="1D3C7229"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ARILLAS PERDIKAS</w:t>
            </w:r>
          </w:p>
        </w:tc>
        <w:tc>
          <w:tcPr>
            <w:tcW w:w="0" w:type="auto"/>
            <w:tcBorders>
              <w:top w:val="nil"/>
              <w:left w:val="nil"/>
              <w:bottom w:val="nil"/>
              <w:right w:val="single" w:sz="4" w:space="0" w:color="auto"/>
            </w:tcBorders>
            <w:noWrap/>
            <w:vAlign w:val="bottom"/>
            <w:hideMark/>
          </w:tcPr>
          <w:p w14:paraId="32F4556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7686721" w14:textId="77777777" w:rsidTr="00CA749B">
        <w:trPr>
          <w:trHeight w:val="300"/>
          <w:jc w:val="center"/>
        </w:trPr>
        <w:tc>
          <w:tcPr>
            <w:tcW w:w="0" w:type="auto"/>
            <w:tcBorders>
              <w:top w:val="nil"/>
              <w:left w:val="single" w:sz="4" w:space="0" w:color="auto"/>
              <w:bottom w:val="nil"/>
              <w:right w:val="nil"/>
            </w:tcBorders>
            <w:noWrap/>
            <w:vAlign w:val="bottom"/>
            <w:hideMark/>
          </w:tcPr>
          <w:p w14:paraId="765ADCB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ARKITSA </w:t>
            </w:r>
          </w:p>
        </w:tc>
        <w:tc>
          <w:tcPr>
            <w:tcW w:w="0" w:type="auto"/>
            <w:tcBorders>
              <w:top w:val="nil"/>
              <w:left w:val="nil"/>
              <w:bottom w:val="nil"/>
              <w:right w:val="single" w:sz="4" w:space="0" w:color="auto"/>
            </w:tcBorders>
            <w:noWrap/>
            <w:vAlign w:val="bottom"/>
            <w:hideMark/>
          </w:tcPr>
          <w:p w14:paraId="16D152F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4F20E2E3" w14:textId="77777777" w:rsidTr="00CA749B">
        <w:trPr>
          <w:trHeight w:val="300"/>
          <w:jc w:val="center"/>
        </w:trPr>
        <w:tc>
          <w:tcPr>
            <w:tcW w:w="0" w:type="auto"/>
            <w:tcBorders>
              <w:top w:val="nil"/>
              <w:left w:val="single" w:sz="4" w:space="0" w:color="auto"/>
              <w:bottom w:val="nil"/>
              <w:right w:val="nil"/>
            </w:tcBorders>
            <w:noWrap/>
            <w:vAlign w:val="bottom"/>
            <w:hideMark/>
          </w:tcPr>
          <w:p w14:paraId="7B494CE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ARTAKI EVVOIAS</w:t>
            </w:r>
          </w:p>
        </w:tc>
        <w:tc>
          <w:tcPr>
            <w:tcW w:w="0" w:type="auto"/>
            <w:tcBorders>
              <w:top w:val="nil"/>
              <w:left w:val="nil"/>
              <w:bottom w:val="nil"/>
              <w:right w:val="single" w:sz="4" w:space="0" w:color="auto"/>
            </w:tcBorders>
            <w:noWrap/>
            <w:vAlign w:val="bottom"/>
            <w:hideMark/>
          </w:tcPr>
          <w:p w14:paraId="46192EB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AE47F9C" w14:textId="77777777" w:rsidTr="00CA749B">
        <w:trPr>
          <w:trHeight w:val="300"/>
          <w:jc w:val="center"/>
        </w:trPr>
        <w:tc>
          <w:tcPr>
            <w:tcW w:w="0" w:type="auto"/>
            <w:tcBorders>
              <w:top w:val="nil"/>
              <w:left w:val="single" w:sz="4" w:space="0" w:color="auto"/>
              <w:bottom w:val="nil"/>
              <w:right w:val="nil"/>
            </w:tcBorders>
            <w:noWrap/>
            <w:vAlign w:val="bottom"/>
            <w:hideMark/>
          </w:tcPr>
          <w:p w14:paraId="3BAD0D3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ASTAKOS </w:t>
            </w:r>
          </w:p>
        </w:tc>
        <w:tc>
          <w:tcPr>
            <w:tcW w:w="0" w:type="auto"/>
            <w:tcBorders>
              <w:top w:val="nil"/>
              <w:left w:val="nil"/>
              <w:bottom w:val="nil"/>
              <w:right w:val="single" w:sz="4" w:space="0" w:color="auto"/>
            </w:tcBorders>
            <w:noWrap/>
            <w:vAlign w:val="bottom"/>
            <w:hideMark/>
          </w:tcPr>
          <w:p w14:paraId="78E095E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1D4E081D" w14:textId="77777777" w:rsidTr="00CA749B">
        <w:trPr>
          <w:trHeight w:val="300"/>
          <w:jc w:val="center"/>
        </w:trPr>
        <w:tc>
          <w:tcPr>
            <w:tcW w:w="0" w:type="auto"/>
            <w:tcBorders>
              <w:top w:val="nil"/>
              <w:left w:val="single" w:sz="4" w:space="0" w:color="auto"/>
              <w:bottom w:val="nil"/>
              <w:right w:val="nil"/>
            </w:tcBorders>
            <w:noWrap/>
            <w:vAlign w:val="bottom"/>
            <w:hideMark/>
          </w:tcPr>
          <w:p w14:paraId="0B006DB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ASTYPALAIA </w:t>
            </w:r>
          </w:p>
        </w:tc>
        <w:tc>
          <w:tcPr>
            <w:tcW w:w="0" w:type="auto"/>
            <w:tcBorders>
              <w:top w:val="nil"/>
              <w:left w:val="nil"/>
              <w:bottom w:val="nil"/>
              <w:right w:val="single" w:sz="4" w:space="0" w:color="auto"/>
            </w:tcBorders>
            <w:noWrap/>
            <w:vAlign w:val="bottom"/>
            <w:hideMark/>
          </w:tcPr>
          <w:p w14:paraId="2A7D205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39B12F13" w14:textId="77777777" w:rsidTr="00CA749B">
        <w:trPr>
          <w:trHeight w:val="300"/>
          <w:jc w:val="center"/>
        </w:trPr>
        <w:tc>
          <w:tcPr>
            <w:tcW w:w="0" w:type="auto"/>
            <w:tcBorders>
              <w:top w:val="nil"/>
              <w:left w:val="single" w:sz="4" w:space="0" w:color="auto"/>
              <w:bottom w:val="nil"/>
              <w:right w:val="nil"/>
            </w:tcBorders>
            <w:noWrap/>
            <w:vAlign w:val="bottom"/>
            <w:hideMark/>
          </w:tcPr>
          <w:p w14:paraId="559A12F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ATALANTI </w:t>
            </w:r>
          </w:p>
        </w:tc>
        <w:tc>
          <w:tcPr>
            <w:tcW w:w="0" w:type="auto"/>
            <w:tcBorders>
              <w:top w:val="nil"/>
              <w:left w:val="nil"/>
              <w:bottom w:val="nil"/>
              <w:right w:val="single" w:sz="4" w:space="0" w:color="auto"/>
            </w:tcBorders>
            <w:noWrap/>
            <w:vAlign w:val="bottom"/>
            <w:hideMark/>
          </w:tcPr>
          <w:p w14:paraId="12D6135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6190025" w14:textId="77777777" w:rsidTr="00CA749B">
        <w:trPr>
          <w:trHeight w:val="300"/>
          <w:jc w:val="center"/>
        </w:trPr>
        <w:tc>
          <w:tcPr>
            <w:tcW w:w="0" w:type="auto"/>
            <w:tcBorders>
              <w:top w:val="nil"/>
              <w:left w:val="single" w:sz="4" w:space="0" w:color="auto"/>
              <w:bottom w:val="nil"/>
              <w:right w:val="nil"/>
            </w:tcBorders>
            <w:noWrap/>
            <w:vAlign w:val="bottom"/>
            <w:hideMark/>
          </w:tcPr>
          <w:p w14:paraId="5D67BB66"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ATHERINOLAKKOS </w:t>
            </w:r>
          </w:p>
        </w:tc>
        <w:tc>
          <w:tcPr>
            <w:tcW w:w="0" w:type="auto"/>
            <w:tcBorders>
              <w:top w:val="nil"/>
              <w:left w:val="nil"/>
              <w:bottom w:val="nil"/>
              <w:right w:val="single" w:sz="4" w:space="0" w:color="auto"/>
            </w:tcBorders>
            <w:noWrap/>
            <w:vAlign w:val="bottom"/>
            <w:hideMark/>
          </w:tcPr>
          <w:p w14:paraId="6F8D2D8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7EFE6B5" w14:textId="77777777" w:rsidTr="00CA749B">
        <w:trPr>
          <w:trHeight w:val="300"/>
          <w:jc w:val="center"/>
        </w:trPr>
        <w:tc>
          <w:tcPr>
            <w:tcW w:w="0" w:type="auto"/>
            <w:tcBorders>
              <w:top w:val="nil"/>
              <w:left w:val="single" w:sz="4" w:space="0" w:color="auto"/>
              <w:bottom w:val="nil"/>
              <w:right w:val="nil"/>
            </w:tcBorders>
            <w:noWrap/>
            <w:vAlign w:val="bottom"/>
            <w:hideMark/>
          </w:tcPr>
          <w:p w14:paraId="58274C6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ATHINIOS THIRAS</w:t>
            </w:r>
          </w:p>
        </w:tc>
        <w:tc>
          <w:tcPr>
            <w:tcW w:w="0" w:type="auto"/>
            <w:tcBorders>
              <w:top w:val="nil"/>
              <w:left w:val="nil"/>
              <w:bottom w:val="nil"/>
              <w:right w:val="single" w:sz="4" w:space="0" w:color="auto"/>
            </w:tcBorders>
            <w:noWrap/>
            <w:vAlign w:val="bottom"/>
            <w:hideMark/>
          </w:tcPr>
          <w:p w14:paraId="76AAF7C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0CD3D9E" w14:textId="77777777" w:rsidTr="00CA749B">
        <w:trPr>
          <w:trHeight w:val="300"/>
          <w:jc w:val="center"/>
        </w:trPr>
        <w:tc>
          <w:tcPr>
            <w:tcW w:w="0" w:type="auto"/>
            <w:tcBorders>
              <w:top w:val="nil"/>
              <w:left w:val="single" w:sz="4" w:space="0" w:color="auto"/>
              <w:bottom w:val="nil"/>
              <w:right w:val="nil"/>
            </w:tcBorders>
            <w:noWrap/>
            <w:vAlign w:val="bottom"/>
            <w:hideMark/>
          </w:tcPr>
          <w:p w14:paraId="697272C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BATSI ANDROU</w:t>
            </w:r>
          </w:p>
        </w:tc>
        <w:tc>
          <w:tcPr>
            <w:tcW w:w="0" w:type="auto"/>
            <w:tcBorders>
              <w:top w:val="nil"/>
              <w:left w:val="nil"/>
              <w:bottom w:val="nil"/>
              <w:right w:val="single" w:sz="4" w:space="0" w:color="auto"/>
            </w:tcBorders>
            <w:noWrap/>
            <w:vAlign w:val="bottom"/>
            <w:hideMark/>
          </w:tcPr>
          <w:p w14:paraId="66A987D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A3A74BC" w14:textId="77777777" w:rsidTr="00CA749B">
        <w:trPr>
          <w:trHeight w:val="300"/>
          <w:jc w:val="center"/>
        </w:trPr>
        <w:tc>
          <w:tcPr>
            <w:tcW w:w="0" w:type="auto"/>
            <w:tcBorders>
              <w:top w:val="nil"/>
              <w:left w:val="single" w:sz="4" w:space="0" w:color="auto"/>
              <w:bottom w:val="nil"/>
              <w:right w:val="nil"/>
            </w:tcBorders>
            <w:noWrap/>
            <w:vAlign w:val="bottom"/>
            <w:hideMark/>
          </w:tcPr>
          <w:p w14:paraId="2CC1893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CHALASTRA THESSALONIKIS</w:t>
            </w:r>
          </w:p>
        </w:tc>
        <w:tc>
          <w:tcPr>
            <w:tcW w:w="0" w:type="auto"/>
            <w:tcBorders>
              <w:top w:val="nil"/>
              <w:left w:val="nil"/>
              <w:bottom w:val="nil"/>
              <w:right w:val="single" w:sz="4" w:space="0" w:color="auto"/>
            </w:tcBorders>
            <w:noWrap/>
            <w:vAlign w:val="bottom"/>
            <w:hideMark/>
          </w:tcPr>
          <w:p w14:paraId="17B9493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870BF5E" w14:textId="77777777" w:rsidTr="00CA749B">
        <w:trPr>
          <w:trHeight w:val="300"/>
          <w:jc w:val="center"/>
        </w:trPr>
        <w:tc>
          <w:tcPr>
            <w:tcW w:w="0" w:type="auto"/>
            <w:tcBorders>
              <w:top w:val="nil"/>
              <w:left w:val="single" w:sz="4" w:space="0" w:color="auto"/>
              <w:bottom w:val="nil"/>
              <w:right w:val="nil"/>
            </w:tcBorders>
            <w:noWrap/>
            <w:vAlign w:val="bottom"/>
            <w:hideMark/>
          </w:tcPr>
          <w:p w14:paraId="6F9D1B2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CHALKIDA </w:t>
            </w:r>
          </w:p>
        </w:tc>
        <w:tc>
          <w:tcPr>
            <w:tcW w:w="0" w:type="auto"/>
            <w:tcBorders>
              <w:top w:val="nil"/>
              <w:left w:val="nil"/>
              <w:bottom w:val="nil"/>
              <w:right w:val="single" w:sz="4" w:space="0" w:color="auto"/>
            </w:tcBorders>
            <w:noWrap/>
            <w:vAlign w:val="bottom"/>
            <w:hideMark/>
          </w:tcPr>
          <w:p w14:paraId="79276C4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0895504A" w14:textId="77777777" w:rsidTr="00CA749B">
        <w:trPr>
          <w:trHeight w:val="300"/>
          <w:jc w:val="center"/>
        </w:trPr>
        <w:tc>
          <w:tcPr>
            <w:tcW w:w="0" w:type="auto"/>
            <w:tcBorders>
              <w:top w:val="nil"/>
              <w:left w:val="single" w:sz="4" w:space="0" w:color="auto"/>
              <w:bottom w:val="nil"/>
              <w:right w:val="nil"/>
            </w:tcBorders>
            <w:noWrap/>
            <w:vAlign w:val="bottom"/>
            <w:hideMark/>
          </w:tcPr>
          <w:p w14:paraId="186A7D8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CHANIA </w:t>
            </w:r>
          </w:p>
        </w:tc>
        <w:tc>
          <w:tcPr>
            <w:tcW w:w="0" w:type="auto"/>
            <w:tcBorders>
              <w:top w:val="nil"/>
              <w:left w:val="nil"/>
              <w:bottom w:val="nil"/>
              <w:right w:val="single" w:sz="4" w:space="0" w:color="auto"/>
            </w:tcBorders>
            <w:noWrap/>
            <w:vAlign w:val="bottom"/>
            <w:hideMark/>
          </w:tcPr>
          <w:p w14:paraId="485F3C3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B37DF74" w14:textId="77777777" w:rsidTr="00CA749B">
        <w:trPr>
          <w:trHeight w:val="300"/>
          <w:jc w:val="center"/>
        </w:trPr>
        <w:tc>
          <w:tcPr>
            <w:tcW w:w="0" w:type="auto"/>
            <w:tcBorders>
              <w:top w:val="nil"/>
              <w:left w:val="single" w:sz="4" w:space="0" w:color="auto"/>
              <w:bottom w:val="nil"/>
              <w:right w:val="nil"/>
            </w:tcBorders>
            <w:noWrap/>
            <w:vAlign w:val="bottom"/>
            <w:hideMark/>
          </w:tcPr>
          <w:p w14:paraId="6335DF9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CHERSONISOS IRAKLEIOU</w:t>
            </w:r>
          </w:p>
        </w:tc>
        <w:tc>
          <w:tcPr>
            <w:tcW w:w="0" w:type="auto"/>
            <w:tcBorders>
              <w:top w:val="nil"/>
              <w:left w:val="nil"/>
              <w:bottom w:val="nil"/>
              <w:right w:val="single" w:sz="4" w:space="0" w:color="auto"/>
            </w:tcBorders>
            <w:noWrap/>
            <w:vAlign w:val="bottom"/>
            <w:hideMark/>
          </w:tcPr>
          <w:p w14:paraId="24D0040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510F7A0" w14:textId="77777777" w:rsidTr="00CA749B">
        <w:trPr>
          <w:trHeight w:val="300"/>
          <w:jc w:val="center"/>
        </w:trPr>
        <w:tc>
          <w:tcPr>
            <w:tcW w:w="0" w:type="auto"/>
            <w:tcBorders>
              <w:top w:val="nil"/>
              <w:left w:val="single" w:sz="4" w:space="0" w:color="auto"/>
              <w:bottom w:val="nil"/>
              <w:right w:val="nil"/>
            </w:tcBorders>
            <w:noWrap/>
            <w:vAlign w:val="bottom"/>
            <w:hideMark/>
          </w:tcPr>
          <w:p w14:paraId="09844D9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CHIOS </w:t>
            </w:r>
          </w:p>
        </w:tc>
        <w:tc>
          <w:tcPr>
            <w:tcW w:w="0" w:type="auto"/>
            <w:tcBorders>
              <w:top w:val="nil"/>
              <w:left w:val="nil"/>
              <w:bottom w:val="nil"/>
              <w:right w:val="single" w:sz="4" w:space="0" w:color="auto"/>
            </w:tcBorders>
            <w:noWrap/>
            <w:vAlign w:val="bottom"/>
            <w:hideMark/>
          </w:tcPr>
          <w:p w14:paraId="33A17BA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7A898E21" w14:textId="77777777" w:rsidTr="00CA749B">
        <w:trPr>
          <w:trHeight w:val="300"/>
          <w:jc w:val="center"/>
        </w:trPr>
        <w:tc>
          <w:tcPr>
            <w:tcW w:w="0" w:type="auto"/>
            <w:tcBorders>
              <w:top w:val="nil"/>
              <w:left w:val="single" w:sz="4" w:space="0" w:color="auto"/>
              <w:bottom w:val="nil"/>
              <w:right w:val="nil"/>
            </w:tcBorders>
            <w:noWrap/>
            <w:vAlign w:val="bottom"/>
            <w:hideMark/>
          </w:tcPr>
          <w:p w14:paraId="06F8A60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CHORA SFAKION </w:t>
            </w:r>
          </w:p>
        </w:tc>
        <w:tc>
          <w:tcPr>
            <w:tcW w:w="0" w:type="auto"/>
            <w:tcBorders>
              <w:top w:val="nil"/>
              <w:left w:val="nil"/>
              <w:bottom w:val="nil"/>
              <w:right w:val="single" w:sz="4" w:space="0" w:color="auto"/>
            </w:tcBorders>
            <w:noWrap/>
            <w:vAlign w:val="bottom"/>
            <w:hideMark/>
          </w:tcPr>
          <w:p w14:paraId="0C06C39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86032DB" w14:textId="77777777" w:rsidTr="00CA749B">
        <w:trPr>
          <w:trHeight w:val="300"/>
          <w:jc w:val="center"/>
        </w:trPr>
        <w:tc>
          <w:tcPr>
            <w:tcW w:w="0" w:type="auto"/>
            <w:tcBorders>
              <w:top w:val="nil"/>
              <w:left w:val="single" w:sz="4" w:space="0" w:color="auto"/>
              <w:bottom w:val="nil"/>
              <w:right w:val="nil"/>
            </w:tcBorders>
            <w:noWrap/>
            <w:vAlign w:val="bottom"/>
            <w:hideMark/>
          </w:tcPr>
          <w:p w14:paraId="0A1E7CE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DIAPORI LIMNOU</w:t>
            </w:r>
          </w:p>
        </w:tc>
        <w:tc>
          <w:tcPr>
            <w:tcW w:w="0" w:type="auto"/>
            <w:tcBorders>
              <w:top w:val="nil"/>
              <w:left w:val="nil"/>
              <w:bottom w:val="nil"/>
              <w:right w:val="single" w:sz="4" w:space="0" w:color="auto"/>
            </w:tcBorders>
            <w:noWrap/>
            <w:vAlign w:val="bottom"/>
            <w:hideMark/>
          </w:tcPr>
          <w:p w14:paraId="4EA9850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5A08F7E" w14:textId="77777777" w:rsidTr="00CA749B">
        <w:trPr>
          <w:trHeight w:val="300"/>
          <w:jc w:val="center"/>
        </w:trPr>
        <w:tc>
          <w:tcPr>
            <w:tcW w:w="0" w:type="auto"/>
            <w:tcBorders>
              <w:top w:val="nil"/>
              <w:left w:val="single" w:sz="4" w:space="0" w:color="auto"/>
              <w:bottom w:val="nil"/>
              <w:right w:val="nil"/>
            </w:tcBorders>
            <w:noWrap/>
            <w:vAlign w:val="bottom"/>
            <w:hideMark/>
          </w:tcPr>
          <w:p w14:paraId="7D8BDDF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DONOUSA </w:t>
            </w:r>
          </w:p>
        </w:tc>
        <w:tc>
          <w:tcPr>
            <w:tcW w:w="0" w:type="auto"/>
            <w:tcBorders>
              <w:top w:val="nil"/>
              <w:left w:val="nil"/>
              <w:bottom w:val="nil"/>
              <w:right w:val="single" w:sz="4" w:space="0" w:color="auto"/>
            </w:tcBorders>
            <w:noWrap/>
            <w:vAlign w:val="bottom"/>
            <w:hideMark/>
          </w:tcPr>
          <w:p w14:paraId="79CE2CF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5AE8187" w14:textId="77777777" w:rsidTr="00CA749B">
        <w:trPr>
          <w:trHeight w:val="300"/>
          <w:jc w:val="center"/>
        </w:trPr>
        <w:tc>
          <w:tcPr>
            <w:tcW w:w="0" w:type="auto"/>
            <w:tcBorders>
              <w:top w:val="nil"/>
              <w:left w:val="single" w:sz="4" w:space="0" w:color="auto"/>
              <w:bottom w:val="nil"/>
              <w:right w:val="nil"/>
            </w:tcBorders>
            <w:noWrap/>
            <w:vAlign w:val="bottom"/>
            <w:hideMark/>
          </w:tcPr>
          <w:p w14:paraId="2BADCDC9"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ELEFSINA </w:t>
            </w:r>
          </w:p>
        </w:tc>
        <w:tc>
          <w:tcPr>
            <w:tcW w:w="0" w:type="auto"/>
            <w:tcBorders>
              <w:top w:val="nil"/>
              <w:left w:val="nil"/>
              <w:bottom w:val="nil"/>
              <w:right w:val="single" w:sz="4" w:space="0" w:color="auto"/>
            </w:tcBorders>
            <w:noWrap/>
            <w:vAlign w:val="bottom"/>
            <w:hideMark/>
          </w:tcPr>
          <w:p w14:paraId="45BC58F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1E578CE" w14:textId="77777777" w:rsidTr="00CA749B">
        <w:trPr>
          <w:trHeight w:val="300"/>
          <w:jc w:val="center"/>
        </w:trPr>
        <w:tc>
          <w:tcPr>
            <w:tcW w:w="0" w:type="auto"/>
            <w:tcBorders>
              <w:top w:val="nil"/>
              <w:left w:val="single" w:sz="4" w:space="0" w:color="auto"/>
              <w:bottom w:val="nil"/>
              <w:right w:val="nil"/>
            </w:tcBorders>
            <w:noWrap/>
            <w:vAlign w:val="bottom"/>
            <w:hideMark/>
          </w:tcPr>
          <w:p w14:paraId="72AC0AE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ELEFTHERES KAVALAS</w:t>
            </w:r>
          </w:p>
        </w:tc>
        <w:tc>
          <w:tcPr>
            <w:tcW w:w="0" w:type="auto"/>
            <w:tcBorders>
              <w:top w:val="nil"/>
              <w:left w:val="nil"/>
              <w:bottom w:val="nil"/>
              <w:right w:val="single" w:sz="4" w:space="0" w:color="auto"/>
            </w:tcBorders>
            <w:noWrap/>
            <w:vAlign w:val="bottom"/>
            <w:hideMark/>
          </w:tcPr>
          <w:p w14:paraId="4D2B519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B3425FC" w14:textId="77777777" w:rsidTr="00CA749B">
        <w:trPr>
          <w:trHeight w:val="300"/>
          <w:jc w:val="center"/>
        </w:trPr>
        <w:tc>
          <w:tcPr>
            <w:tcW w:w="0" w:type="auto"/>
            <w:tcBorders>
              <w:top w:val="nil"/>
              <w:left w:val="single" w:sz="4" w:space="0" w:color="auto"/>
              <w:bottom w:val="nil"/>
              <w:right w:val="nil"/>
            </w:tcBorders>
            <w:noWrap/>
            <w:vAlign w:val="bottom"/>
            <w:hideMark/>
          </w:tcPr>
          <w:p w14:paraId="2B5828B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EPIDAVROS </w:t>
            </w:r>
          </w:p>
        </w:tc>
        <w:tc>
          <w:tcPr>
            <w:tcW w:w="0" w:type="auto"/>
            <w:tcBorders>
              <w:top w:val="nil"/>
              <w:left w:val="nil"/>
              <w:bottom w:val="nil"/>
              <w:right w:val="single" w:sz="4" w:space="0" w:color="auto"/>
            </w:tcBorders>
            <w:noWrap/>
            <w:vAlign w:val="bottom"/>
            <w:hideMark/>
          </w:tcPr>
          <w:p w14:paraId="701FB37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F0A6408" w14:textId="77777777" w:rsidTr="00CA749B">
        <w:trPr>
          <w:trHeight w:val="300"/>
          <w:jc w:val="center"/>
        </w:trPr>
        <w:tc>
          <w:tcPr>
            <w:tcW w:w="0" w:type="auto"/>
            <w:tcBorders>
              <w:top w:val="nil"/>
              <w:left w:val="single" w:sz="4" w:space="0" w:color="auto"/>
              <w:bottom w:val="nil"/>
              <w:right w:val="nil"/>
            </w:tcBorders>
            <w:noWrap/>
            <w:vAlign w:val="bottom"/>
            <w:hideMark/>
          </w:tcPr>
          <w:p w14:paraId="6AA1FAE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ERATEINI </w:t>
            </w:r>
          </w:p>
        </w:tc>
        <w:tc>
          <w:tcPr>
            <w:tcW w:w="0" w:type="auto"/>
            <w:tcBorders>
              <w:top w:val="nil"/>
              <w:left w:val="nil"/>
              <w:bottom w:val="nil"/>
              <w:right w:val="single" w:sz="4" w:space="0" w:color="auto"/>
            </w:tcBorders>
            <w:noWrap/>
            <w:vAlign w:val="bottom"/>
            <w:hideMark/>
          </w:tcPr>
          <w:p w14:paraId="63235F4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A6206FB" w14:textId="77777777" w:rsidTr="00CA749B">
        <w:trPr>
          <w:trHeight w:val="300"/>
          <w:jc w:val="center"/>
        </w:trPr>
        <w:tc>
          <w:tcPr>
            <w:tcW w:w="0" w:type="auto"/>
            <w:tcBorders>
              <w:top w:val="nil"/>
              <w:left w:val="single" w:sz="4" w:space="0" w:color="auto"/>
              <w:bottom w:val="nil"/>
              <w:right w:val="nil"/>
            </w:tcBorders>
            <w:noWrap/>
            <w:vAlign w:val="bottom"/>
            <w:hideMark/>
          </w:tcPr>
          <w:p w14:paraId="2CAC66D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EREIKOUSA KERKYRAS</w:t>
            </w:r>
          </w:p>
        </w:tc>
        <w:tc>
          <w:tcPr>
            <w:tcW w:w="0" w:type="auto"/>
            <w:tcBorders>
              <w:top w:val="nil"/>
              <w:left w:val="nil"/>
              <w:bottom w:val="nil"/>
              <w:right w:val="single" w:sz="4" w:space="0" w:color="auto"/>
            </w:tcBorders>
            <w:noWrap/>
            <w:vAlign w:val="bottom"/>
            <w:hideMark/>
          </w:tcPr>
          <w:p w14:paraId="6CF1269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5BAA8E7" w14:textId="77777777" w:rsidTr="00CA749B">
        <w:trPr>
          <w:trHeight w:val="300"/>
          <w:jc w:val="center"/>
        </w:trPr>
        <w:tc>
          <w:tcPr>
            <w:tcW w:w="0" w:type="auto"/>
            <w:tcBorders>
              <w:top w:val="nil"/>
              <w:left w:val="single" w:sz="4" w:space="0" w:color="auto"/>
              <w:bottom w:val="nil"/>
              <w:right w:val="nil"/>
            </w:tcBorders>
            <w:noWrap/>
            <w:vAlign w:val="bottom"/>
            <w:hideMark/>
          </w:tcPr>
          <w:p w14:paraId="1DB2B7E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ERETRIA </w:t>
            </w:r>
          </w:p>
        </w:tc>
        <w:tc>
          <w:tcPr>
            <w:tcW w:w="0" w:type="auto"/>
            <w:tcBorders>
              <w:top w:val="nil"/>
              <w:left w:val="nil"/>
              <w:bottom w:val="nil"/>
              <w:right w:val="single" w:sz="4" w:space="0" w:color="auto"/>
            </w:tcBorders>
            <w:noWrap/>
            <w:vAlign w:val="bottom"/>
            <w:hideMark/>
          </w:tcPr>
          <w:p w14:paraId="6C46085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4DAAB48" w14:textId="77777777" w:rsidTr="00CA749B">
        <w:trPr>
          <w:trHeight w:val="300"/>
          <w:jc w:val="center"/>
        </w:trPr>
        <w:tc>
          <w:tcPr>
            <w:tcW w:w="0" w:type="auto"/>
            <w:tcBorders>
              <w:top w:val="nil"/>
              <w:left w:val="single" w:sz="4" w:space="0" w:color="auto"/>
              <w:bottom w:val="nil"/>
              <w:right w:val="nil"/>
            </w:tcBorders>
            <w:noWrap/>
            <w:vAlign w:val="bottom"/>
            <w:hideMark/>
          </w:tcPr>
          <w:p w14:paraId="74EE81D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ERMIONI </w:t>
            </w:r>
          </w:p>
        </w:tc>
        <w:tc>
          <w:tcPr>
            <w:tcW w:w="0" w:type="auto"/>
            <w:tcBorders>
              <w:top w:val="nil"/>
              <w:left w:val="nil"/>
              <w:bottom w:val="nil"/>
              <w:right w:val="single" w:sz="4" w:space="0" w:color="auto"/>
            </w:tcBorders>
            <w:noWrap/>
            <w:vAlign w:val="bottom"/>
            <w:hideMark/>
          </w:tcPr>
          <w:p w14:paraId="7CF8838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3BE50F49" w14:textId="77777777" w:rsidTr="00CA749B">
        <w:trPr>
          <w:trHeight w:val="300"/>
          <w:jc w:val="center"/>
        </w:trPr>
        <w:tc>
          <w:tcPr>
            <w:tcW w:w="0" w:type="auto"/>
            <w:tcBorders>
              <w:top w:val="nil"/>
              <w:left w:val="single" w:sz="4" w:space="0" w:color="auto"/>
              <w:bottom w:val="nil"/>
              <w:right w:val="nil"/>
            </w:tcBorders>
            <w:noWrap/>
            <w:vAlign w:val="bottom"/>
            <w:hideMark/>
          </w:tcPr>
          <w:p w14:paraId="33E9CFE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ERMOUPOLI </w:t>
            </w:r>
            <w:r w:rsidRPr="00F0379B">
              <w:rPr>
                <w:rFonts w:ascii="Cambria" w:eastAsiaTheme="minorEastAsia" w:hAnsi="Cambria" w:cs="Times New Roman"/>
                <w:color w:val="000000"/>
                <w:sz w:val="20"/>
                <w:szCs w:val="20"/>
                <w:lang w:val="en-GB" w:eastAsia="en-GB"/>
                <w14:ligatures w14:val="standardContextual"/>
              </w:rPr>
              <w:t>SYROU</w:t>
            </w:r>
          </w:p>
        </w:tc>
        <w:tc>
          <w:tcPr>
            <w:tcW w:w="0" w:type="auto"/>
            <w:tcBorders>
              <w:top w:val="nil"/>
              <w:left w:val="nil"/>
              <w:bottom w:val="nil"/>
              <w:right w:val="single" w:sz="4" w:space="0" w:color="auto"/>
            </w:tcBorders>
            <w:noWrap/>
            <w:vAlign w:val="bottom"/>
            <w:hideMark/>
          </w:tcPr>
          <w:p w14:paraId="2BD8EC1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04FFB2FE" w14:textId="77777777" w:rsidTr="00CA749B">
        <w:trPr>
          <w:trHeight w:val="300"/>
          <w:jc w:val="center"/>
        </w:trPr>
        <w:tc>
          <w:tcPr>
            <w:tcW w:w="0" w:type="auto"/>
            <w:tcBorders>
              <w:top w:val="nil"/>
              <w:left w:val="single" w:sz="4" w:space="0" w:color="auto"/>
              <w:bottom w:val="nil"/>
              <w:right w:val="nil"/>
            </w:tcBorders>
            <w:noWrap/>
            <w:vAlign w:val="bottom"/>
            <w:hideMark/>
          </w:tcPr>
          <w:p w14:paraId="5D88257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EVDILOS IKARIAS</w:t>
            </w:r>
          </w:p>
        </w:tc>
        <w:tc>
          <w:tcPr>
            <w:tcW w:w="0" w:type="auto"/>
            <w:tcBorders>
              <w:top w:val="nil"/>
              <w:left w:val="nil"/>
              <w:bottom w:val="nil"/>
              <w:right w:val="single" w:sz="4" w:space="0" w:color="auto"/>
            </w:tcBorders>
            <w:noWrap/>
            <w:vAlign w:val="bottom"/>
            <w:hideMark/>
          </w:tcPr>
          <w:p w14:paraId="4B11CD59"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AA6F405" w14:textId="77777777" w:rsidTr="00CA749B">
        <w:trPr>
          <w:trHeight w:val="300"/>
          <w:jc w:val="center"/>
        </w:trPr>
        <w:tc>
          <w:tcPr>
            <w:tcW w:w="0" w:type="auto"/>
            <w:tcBorders>
              <w:top w:val="nil"/>
              <w:left w:val="single" w:sz="4" w:space="0" w:color="auto"/>
              <w:bottom w:val="nil"/>
              <w:right w:val="nil"/>
            </w:tcBorders>
            <w:noWrap/>
            <w:vAlign w:val="bottom"/>
            <w:hideMark/>
          </w:tcPr>
          <w:p w14:paraId="60825DB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FANARI </w:t>
            </w:r>
            <w:r w:rsidRPr="00F0379B">
              <w:rPr>
                <w:rFonts w:ascii="Cambria" w:eastAsiaTheme="minorEastAsia" w:hAnsi="Cambria" w:cs="Times New Roman"/>
                <w:color w:val="000000"/>
                <w:sz w:val="20"/>
                <w:szCs w:val="20"/>
                <w:lang w:val="en-GB" w:eastAsia="en-GB"/>
                <w14:ligatures w14:val="standardContextual"/>
              </w:rPr>
              <w:t>RODOPIS</w:t>
            </w:r>
          </w:p>
        </w:tc>
        <w:tc>
          <w:tcPr>
            <w:tcW w:w="0" w:type="auto"/>
            <w:tcBorders>
              <w:top w:val="nil"/>
              <w:left w:val="nil"/>
              <w:bottom w:val="nil"/>
              <w:right w:val="single" w:sz="4" w:space="0" w:color="auto"/>
            </w:tcBorders>
            <w:noWrap/>
            <w:vAlign w:val="bottom"/>
            <w:hideMark/>
          </w:tcPr>
          <w:p w14:paraId="04520C1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1B8A1C7" w14:textId="77777777" w:rsidTr="00CA749B">
        <w:trPr>
          <w:trHeight w:val="300"/>
          <w:jc w:val="center"/>
        </w:trPr>
        <w:tc>
          <w:tcPr>
            <w:tcW w:w="0" w:type="auto"/>
            <w:tcBorders>
              <w:top w:val="nil"/>
              <w:left w:val="single" w:sz="4" w:space="0" w:color="auto"/>
              <w:bottom w:val="nil"/>
              <w:right w:val="nil"/>
            </w:tcBorders>
            <w:noWrap/>
            <w:vAlign w:val="bottom"/>
            <w:hideMark/>
          </w:tcPr>
          <w:p w14:paraId="51EC54F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FISKARDO </w:t>
            </w:r>
          </w:p>
        </w:tc>
        <w:tc>
          <w:tcPr>
            <w:tcW w:w="0" w:type="auto"/>
            <w:tcBorders>
              <w:top w:val="nil"/>
              <w:left w:val="nil"/>
              <w:bottom w:val="nil"/>
              <w:right w:val="single" w:sz="4" w:space="0" w:color="auto"/>
            </w:tcBorders>
            <w:noWrap/>
            <w:vAlign w:val="bottom"/>
            <w:hideMark/>
          </w:tcPr>
          <w:p w14:paraId="72841F7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6C3B171" w14:textId="77777777" w:rsidTr="00CA749B">
        <w:trPr>
          <w:trHeight w:val="300"/>
          <w:jc w:val="center"/>
        </w:trPr>
        <w:tc>
          <w:tcPr>
            <w:tcW w:w="0" w:type="auto"/>
            <w:tcBorders>
              <w:top w:val="nil"/>
              <w:left w:val="single" w:sz="4" w:space="0" w:color="auto"/>
              <w:bottom w:val="nil"/>
              <w:right w:val="nil"/>
            </w:tcBorders>
            <w:noWrap/>
            <w:vAlign w:val="bottom"/>
            <w:hideMark/>
          </w:tcPr>
          <w:p w14:paraId="33231EF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FOLEGANDROS </w:t>
            </w:r>
          </w:p>
        </w:tc>
        <w:tc>
          <w:tcPr>
            <w:tcW w:w="0" w:type="auto"/>
            <w:tcBorders>
              <w:top w:val="nil"/>
              <w:left w:val="nil"/>
              <w:bottom w:val="nil"/>
              <w:right w:val="single" w:sz="4" w:space="0" w:color="auto"/>
            </w:tcBorders>
            <w:noWrap/>
            <w:vAlign w:val="bottom"/>
            <w:hideMark/>
          </w:tcPr>
          <w:p w14:paraId="6566E09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27E67635" w14:textId="77777777" w:rsidTr="00CA749B">
        <w:trPr>
          <w:trHeight w:val="300"/>
          <w:jc w:val="center"/>
        </w:trPr>
        <w:tc>
          <w:tcPr>
            <w:tcW w:w="0" w:type="auto"/>
            <w:tcBorders>
              <w:top w:val="nil"/>
              <w:left w:val="single" w:sz="4" w:space="0" w:color="auto"/>
              <w:bottom w:val="nil"/>
              <w:right w:val="nil"/>
            </w:tcBorders>
            <w:noWrap/>
            <w:vAlign w:val="bottom"/>
            <w:hideMark/>
          </w:tcPr>
          <w:p w14:paraId="0C7AFDB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FOURNOI </w:t>
            </w:r>
            <w:r w:rsidRPr="00F0379B">
              <w:rPr>
                <w:rFonts w:ascii="Cambria" w:eastAsiaTheme="minorEastAsia" w:hAnsi="Cambria" w:cs="Times New Roman"/>
                <w:color w:val="000000"/>
                <w:sz w:val="20"/>
                <w:szCs w:val="20"/>
                <w:lang w:val="en-GB" w:eastAsia="en-GB"/>
                <w14:ligatures w14:val="standardContextual"/>
              </w:rPr>
              <w:t>IKARIAS</w:t>
            </w:r>
          </w:p>
        </w:tc>
        <w:tc>
          <w:tcPr>
            <w:tcW w:w="0" w:type="auto"/>
            <w:tcBorders>
              <w:top w:val="nil"/>
              <w:left w:val="nil"/>
              <w:bottom w:val="nil"/>
              <w:right w:val="single" w:sz="4" w:space="0" w:color="auto"/>
            </w:tcBorders>
            <w:noWrap/>
            <w:vAlign w:val="bottom"/>
            <w:hideMark/>
          </w:tcPr>
          <w:p w14:paraId="6563274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3B543E4E" w14:textId="77777777" w:rsidTr="00CA749B">
        <w:trPr>
          <w:trHeight w:val="300"/>
          <w:jc w:val="center"/>
        </w:trPr>
        <w:tc>
          <w:tcPr>
            <w:tcW w:w="0" w:type="auto"/>
            <w:tcBorders>
              <w:top w:val="nil"/>
              <w:left w:val="single" w:sz="4" w:space="0" w:color="auto"/>
              <w:bottom w:val="nil"/>
              <w:right w:val="nil"/>
            </w:tcBorders>
            <w:noWrap/>
            <w:vAlign w:val="bottom"/>
            <w:hideMark/>
          </w:tcPr>
          <w:p w14:paraId="4F51978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Theme="minorEastAsia" w:hAnsi="Cambria" w:cs="Times New Roman"/>
                <w:color w:val="000000"/>
                <w:sz w:val="20"/>
                <w:szCs w:val="20"/>
                <w:lang w:val="en-GB" w:eastAsia="en-GB"/>
                <w14:ligatures w14:val="standardContextual"/>
              </w:rPr>
              <w:t>FRY KASOU</w:t>
            </w:r>
          </w:p>
        </w:tc>
        <w:tc>
          <w:tcPr>
            <w:tcW w:w="0" w:type="auto"/>
            <w:tcBorders>
              <w:top w:val="nil"/>
              <w:left w:val="nil"/>
              <w:bottom w:val="nil"/>
              <w:right w:val="single" w:sz="4" w:space="0" w:color="auto"/>
            </w:tcBorders>
            <w:noWrap/>
            <w:vAlign w:val="bottom"/>
            <w:hideMark/>
          </w:tcPr>
          <w:p w14:paraId="08302DA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1CF9F81E" w14:textId="77777777" w:rsidTr="00CA749B">
        <w:trPr>
          <w:trHeight w:val="300"/>
          <w:jc w:val="center"/>
        </w:trPr>
        <w:tc>
          <w:tcPr>
            <w:tcW w:w="0" w:type="auto"/>
            <w:tcBorders>
              <w:top w:val="nil"/>
              <w:left w:val="single" w:sz="4" w:space="0" w:color="auto"/>
              <w:bottom w:val="nil"/>
              <w:right w:val="nil"/>
            </w:tcBorders>
            <w:noWrap/>
            <w:vAlign w:val="bottom"/>
            <w:hideMark/>
          </w:tcPr>
          <w:p w14:paraId="29E6F9A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GAIOS </w:t>
            </w:r>
          </w:p>
        </w:tc>
        <w:tc>
          <w:tcPr>
            <w:tcW w:w="0" w:type="auto"/>
            <w:tcBorders>
              <w:top w:val="nil"/>
              <w:left w:val="nil"/>
              <w:bottom w:val="nil"/>
              <w:right w:val="single" w:sz="4" w:space="0" w:color="auto"/>
            </w:tcBorders>
            <w:noWrap/>
            <w:vAlign w:val="bottom"/>
            <w:hideMark/>
          </w:tcPr>
          <w:p w14:paraId="1D0326F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23804FD4" w14:textId="77777777" w:rsidTr="00CA749B">
        <w:trPr>
          <w:trHeight w:val="300"/>
          <w:jc w:val="center"/>
        </w:trPr>
        <w:tc>
          <w:tcPr>
            <w:tcW w:w="0" w:type="auto"/>
            <w:tcBorders>
              <w:top w:val="nil"/>
              <w:left w:val="single" w:sz="4" w:space="0" w:color="auto"/>
              <w:bottom w:val="nil"/>
              <w:right w:val="nil"/>
            </w:tcBorders>
            <w:noWrap/>
            <w:vAlign w:val="bottom"/>
            <w:hideMark/>
          </w:tcPr>
          <w:p w14:paraId="3CB0677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GALAXIDI </w:t>
            </w:r>
          </w:p>
        </w:tc>
        <w:tc>
          <w:tcPr>
            <w:tcW w:w="0" w:type="auto"/>
            <w:tcBorders>
              <w:top w:val="nil"/>
              <w:left w:val="nil"/>
              <w:bottom w:val="nil"/>
              <w:right w:val="single" w:sz="4" w:space="0" w:color="auto"/>
            </w:tcBorders>
            <w:noWrap/>
            <w:vAlign w:val="bottom"/>
            <w:hideMark/>
          </w:tcPr>
          <w:p w14:paraId="567D645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2B6CB795" w14:textId="77777777" w:rsidTr="00CA749B">
        <w:trPr>
          <w:trHeight w:val="300"/>
          <w:jc w:val="center"/>
        </w:trPr>
        <w:tc>
          <w:tcPr>
            <w:tcW w:w="0" w:type="auto"/>
            <w:tcBorders>
              <w:top w:val="nil"/>
              <w:left w:val="single" w:sz="4" w:space="0" w:color="auto"/>
              <w:bottom w:val="nil"/>
              <w:right w:val="nil"/>
            </w:tcBorders>
            <w:noWrap/>
            <w:vAlign w:val="bottom"/>
            <w:hideMark/>
          </w:tcPr>
          <w:p w14:paraId="0C833E2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GAVRIO </w:t>
            </w:r>
            <w:r w:rsidRPr="00F0379B">
              <w:rPr>
                <w:rFonts w:ascii="Cambria" w:eastAsiaTheme="minorEastAsia" w:hAnsi="Cambria" w:cs="Times New Roman"/>
                <w:color w:val="000000"/>
                <w:sz w:val="20"/>
                <w:szCs w:val="20"/>
                <w:lang w:val="en-GB" w:eastAsia="en-GB"/>
                <w14:ligatures w14:val="standardContextual"/>
              </w:rPr>
              <w:t>ANDROU</w:t>
            </w:r>
          </w:p>
        </w:tc>
        <w:tc>
          <w:tcPr>
            <w:tcW w:w="0" w:type="auto"/>
            <w:tcBorders>
              <w:top w:val="nil"/>
              <w:left w:val="nil"/>
              <w:bottom w:val="nil"/>
              <w:right w:val="single" w:sz="4" w:space="0" w:color="auto"/>
            </w:tcBorders>
            <w:noWrap/>
            <w:vAlign w:val="bottom"/>
            <w:hideMark/>
          </w:tcPr>
          <w:p w14:paraId="21F4123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3FD6D45B" w14:textId="77777777" w:rsidTr="00CA749B">
        <w:trPr>
          <w:trHeight w:val="300"/>
          <w:jc w:val="center"/>
        </w:trPr>
        <w:tc>
          <w:tcPr>
            <w:tcW w:w="0" w:type="auto"/>
            <w:tcBorders>
              <w:top w:val="nil"/>
              <w:left w:val="single" w:sz="4" w:space="0" w:color="auto"/>
              <w:bottom w:val="nil"/>
              <w:right w:val="nil"/>
            </w:tcBorders>
            <w:noWrap/>
            <w:vAlign w:val="bottom"/>
            <w:hideMark/>
          </w:tcPr>
          <w:p w14:paraId="04CB878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GEORGIOUPOLI </w:t>
            </w:r>
          </w:p>
        </w:tc>
        <w:tc>
          <w:tcPr>
            <w:tcW w:w="0" w:type="auto"/>
            <w:tcBorders>
              <w:top w:val="nil"/>
              <w:left w:val="nil"/>
              <w:bottom w:val="nil"/>
              <w:right w:val="single" w:sz="4" w:space="0" w:color="auto"/>
            </w:tcBorders>
            <w:noWrap/>
            <w:vAlign w:val="bottom"/>
            <w:hideMark/>
          </w:tcPr>
          <w:p w14:paraId="0F1BFD7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C64F254" w14:textId="77777777" w:rsidTr="00CA749B">
        <w:trPr>
          <w:trHeight w:val="300"/>
          <w:jc w:val="center"/>
        </w:trPr>
        <w:tc>
          <w:tcPr>
            <w:tcW w:w="0" w:type="auto"/>
            <w:tcBorders>
              <w:top w:val="nil"/>
              <w:left w:val="single" w:sz="4" w:space="0" w:color="auto"/>
              <w:bottom w:val="nil"/>
              <w:right w:val="nil"/>
            </w:tcBorders>
            <w:noWrap/>
            <w:vAlign w:val="bottom"/>
            <w:hideMark/>
          </w:tcPr>
          <w:p w14:paraId="2F9D8E0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GLOSSA </w:t>
            </w:r>
            <w:r w:rsidRPr="00F0379B">
              <w:rPr>
                <w:rFonts w:ascii="Cambria" w:eastAsiaTheme="minorEastAsia" w:hAnsi="Cambria" w:cs="Times New Roman"/>
                <w:color w:val="000000"/>
                <w:sz w:val="20"/>
                <w:szCs w:val="20"/>
                <w:lang w:val="en-GB" w:eastAsia="en-GB"/>
                <w14:ligatures w14:val="standardContextual"/>
              </w:rPr>
              <w:t>SKOPELOU</w:t>
            </w:r>
          </w:p>
        </w:tc>
        <w:tc>
          <w:tcPr>
            <w:tcW w:w="0" w:type="auto"/>
            <w:tcBorders>
              <w:top w:val="nil"/>
              <w:left w:val="nil"/>
              <w:bottom w:val="nil"/>
              <w:right w:val="single" w:sz="4" w:space="0" w:color="auto"/>
            </w:tcBorders>
            <w:noWrap/>
            <w:vAlign w:val="bottom"/>
            <w:hideMark/>
          </w:tcPr>
          <w:p w14:paraId="4A5DD29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1D10EE90" w14:textId="77777777" w:rsidTr="00CA749B">
        <w:trPr>
          <w:trHeight w:val="300"/>
          <w:jc w:val="center"/>
        </w:trPr>
        <w:tc>
          <w:tcPr>
            <w:tcW w:w="0" w:type="auto"/>
            <w:tcBorders>
              <w:top w:val="nil"/>
              <w:left w:val="single" w:sz="4" w:space="0" w:color="auto"/>
              <w:bottom w:val="nil"/>
              <w:right w:val="nil"/>
            </w:tcBorders>
            <w:noWrap/>
            <w:vAlign w:val="bottom"/>
            <w:hideMark/>
          </w:tcPr>
          <w:p w14:paraId="17B1439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GLYFA </w:t>
            </w:r>
          </w:p>
        </w:tc>
        <w:tc>
          <w:tcPr>
            <w:tcW w:w="0" w:type="auto"/>
            <w:tcBorders>
              <w:top w:val="nil"/>
              <w:left w:val="nil"/>
              <w:bottom w:val="nil"/>
              <w:right w:val="single" w:sz="4" w:space="0" w:color="auto"/>
            </w:tcBorders>
            <w:noWrap/>
            <w:vAlign w:val="bottom"/>
            <w:hideMark/>
          </w:tcPr>
          <w:p w14:paraId="067A4E0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651FBB2" w14:textId="77777777" w:rsidTr="00CA749B">
        <w:trPr>
          <w:trHeight w:val="300"/>
          <w:jc w:val="center"/>
        </w:trPr>
        <w:tc>
          <w:tcPr>
            <w:tcW w:w="0" w:type="auto"/>
            <w:tcBorders>
              <w:top w:val="nil"/>
              <w:left w:val="single" w:sz="4" w:space="0" w:color="auto"/>
              <w:bottom w:val="nil"/>
              <w:right w:val="nil"/>
            </w:tcBorders>
            <w:noWrap/>
            <w:vAlign w:val="bottom"/>
            <w:hideMark/>
          </w:tcPr>
          <w:p w14:paraId="2D9CD9B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GRITSA PIERIAS</w:t>
            </w:r>
          </w:p>
        </w:tc>
        <w:tc>
          <w:tcPr>
            <w:tcW w:w="0" w:type="auto"/>
            <w:tcBorders>
              <w:top w:val="nil"/>
              <w:left w:val="nil"/>
              <w:bottom w:val="nil"/>
              <w:right w:val="single" w:sz="4" w:space="0" w:color="auto"/>
            </w:tcBorders>
            <w:noWrap/>
            <w:vAlign w:val="bottom"/>
            <w:hideMark/>
          </w:tcPr>
          <w:p w14:paraId="7559EFD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5B050E5" w14:textId="77777777" w:rsidTr="00CA749B">
        <w:trPr>
          <w:trHeight w:val="300"/>
          <w:jc w:val="center"/>
        </w:trPr>
        <w:tc>
          <w:tcPr>
            <w:tcW w:w="0" w:type="auto"/>
            <w:tcBorders>
              <w:top w:val="nil"/>
              <w:left w:val="single" w:sz="4" w:space="0" w:color="auto"/>
              <w:bottom w:val="nil"/>
              <w:right w:val="nil"/>
            </w:tcBorders>
            <w:noWrap/>
            <w:vAlign w:val="bottom"/>
            <w:hideMark/>
          </w:tcPr>
          <w:p w14:paraId="62319C5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GYTHEIO </w:t>
            </w:r>
          </w:p>
        </w:tc>
        <w:tc>
          <w:tcPr>
            <w:tcW w:w="0" w:type="auto"/>
            <w:tcBorders>
              <w:top w:val="nil"/>
              <w:left w:val="nil"/>
              <w:bottom w:val="nil"/>
              <w:right w:val="single" w:sz="4" w:space="0" w:color="auto"/>
            </w:tcBorders>
            <w:noWrap/>
            <w:vAlign w:val="bottom"/>
            <w:hideMark/>
          </w:tcPr>
          <w:p w14:paraId="244712F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F21E8DD" w14:textId="77777777" w:rsidTr="00CA749B">
        <w:trPr>
          <w:trHeight w:val="300"/>
          <w:jc w:val="center"/>
        </w:trPr>
        <w:tc>
          <w:tcPr>
            <w:tcW w:w="0" w:type="auto"/>
            <w:tcBorders>
              <w:top w:val="nil"/>
              <w:left w:val="single" w:sz="4" w:space="0" w:color="auto"/>
              <w:bottom w:val="nil"/>
              <w:right w:val="nil"/>
            </w:tcBorders>
            <w:noWrap/>
            <w:vAlign w:val="bottom"/>
            <w:hideMark/>
          </w:tcPr>
          <w:p w14:paraId="681C4AF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IERAPETRA </w:t>
            </w:r>
          </w:p>
        </w:tc>
        <w:tc>
          <w:tcPr>
            <w:tcW w:w="0" w:type="auto"/>
            <w:tcBorders>
              <w:top w:val="nil"/>
              <w:left w:val="nil"/>
              <w:bottom w:val="nil"/>
              <w:right w:val="single" w:sz="4" w:space="0" w:color="auto"/>
            </w:tcBorders>
            <w:noWrap/>
            <w:vAlign w:val="bottom"/>
            <w:hideMark/>
          </w:tcPr>
          <w:p w14:paraId="2075B80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F5E267B" w14:textId="77777777" w:rsidTr="00CA749B">
        <w:trPr>
          <w:trHeight w:val="300"/>
          <w:jc w:val="center"/>
        </w:trPr>
        <w:tc>
          <w:tcPr>
            <w:tcW w:w="0" w:type="auto"/>
            <w:tcBorders>
              <w:top w:val="nil"/>
              <w:left w:val="single" w:sz="4" w:space="0" w:color="auto"/>
              <w:bottom w:val="nil"/>
              <w:right w:val="nil"/>
            </w:tcBorders>
            <w:noWrap/>
            <w:vAlign w:val="bottom"/>
            <w:hideMark/>
          </w:tcPr>
          <w:p w14:paraId="32EF5DF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IERISSOS </w:t>
            </w:r>
          </w:p>
        </w:tc>
        <w:tc>
          <w:tcPr>
            <w:tcW w:w="0" w:type="auto"/>
            <w:tcBorders>
              <w:top w:val="nil"/>
              <w:left w:val="nil"/>
              <w:bottom w:val="nil"/>
              <w:right w:val="single" w:sz="4" w:space="0" w:color="auto"/>
            </w:tcBorders>
            <w:noWrap/>
            <w:vAlign w:val="bottom"/>
            <w:hideMark/>
          </w:tcPr>
          <w:p w14:paraId="23F3E9D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7CADD764" w14:textId="77777777" w:rsidTr="00CA749B">
        <w:trPr>
          <w:trHeight w:val="300"/>
          <w:jc w:val="center"/>
        </w:trPr>
        <w:tc>
          <w:tcPr>
            <w:tcW w:w="0" w:type="auto"/>
            <w:tcBorders>
              <w:top w:val="nil"/>
              <w:left w:val="single" w:sz="4" w:space="0" w:color="auto"/>
              <w:bottom w:val="nil"/>
              <w:right w:val="nil"/>
            </w:tcBorders>
            <w:noWrap/>
            <w:vAlign w:val="bottom"/>
            <w:hideMark/>
          </w:tcPr>
          <w:p w14:paraId="39F72CE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IGOUMENITSA </w:t>
            </w:r>
          </w:p>
        </w:tc>
        <w:tc>
          <w:tcPr>
            <w:tcW w:w="0" w:type="auto"/>
            <w:tcBorders>
              <w:top w:val="nil"/>
              <w:left w:val="nil"/>
              <w:bottom w:val="nil"/>
              <w:right w:val="single" w:sz="4" w:space="0" w:color="auto"/>
            </w:tcBorders>
            <w:noWrap/>
            <w:vAlign w:val="bottom"/>
            <w:hideMark/>
          </w:tcPr>
          <w:p w14:paraId="5A835DA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02D3BF4" w14:textId="77777777" w:rsidTr="00CA749B">
        <w:trPr>
          <w:trHeight w:val="300"/>
          <w:jc w:val="center"/>
        </w:trPr>
        <w:tc>
          <w:tcPr>
            <w:tcW w:w="0" w:type="auto"/>
            <w:tcBorders>
              <w:top w:val="nil"/>
              <w:left w:val="single" w:sz="4" w:space="0" w:color="auto"/>
              <w:bottom w:val="nil"/>
              <w:right w:val="nil"/>
            </w:tcBorders>
            <w:noWrap/>
            <w:vAlign w:val="bottom"/>
            <w:hideMark/>
          </w:tcPr>
          <w:p w14:paraId="342D08D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ILIA EVVOIAS</w:t>
            </w:r>
          </w:p>
        </w:tc>
        <w:tc>
          <w:tcPr>
            <w:tcW w:w="0" w:type="auto"/>
            <w:tcBorders>
              <w:top w:val="nil"/>
              <w:left w:val="nil"/>
              <w:bottom w:val="nil"/>
              <w:right w:val="single" w:sz="4" w:space="0" w:color="auto"/>
            </w:tcBorders>
            <w:noWrap/>
            <w:vAlign w:val="bottom"/>
            <w:hideMark/>
          </w:tcPr>
          <w:p w14:paraId="3EB9278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7283B9E" w14:textId="77777777" w:rsidTr="00CA749B">
        <w:trPr>
          <w:trHeight w:val="300"/>
          <w:jc w:val="center"/>
        </w:trPr>
        <w:tc>
          <w:tcPr>
            <w:tcW w:w="0" w:type="auto"/>
            <w:tcBorders>
              <w:top w:val="nil"/>
              <w:left w:val="single" w:sz="4" w:space="0" w:color="auto"/>
              <w:bottom w:val="nil"/>
              <w:right w:val="nil"/>
            </w:tcBorders>
            <w:noWrap/>
            <w:vAlign w:val="bottom"/>
            <w:hideMark/>
          </w:tcPr>
          <w:p w14:paraId="4261F36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IMEROLIA (KASSIOPIS) </w:t>
            </w:r>
          </w:p>
        </w:tc>
        <w:tc>
          <w:tcPr>
            <w:tcW w:w="0" w:type="auto"/>
            <w:tcBorders>
              <w:top w:val="nil"/>
              <w:left w:val="nil"/>
              <w:bottom w:val="nil"/>
              <w:right w:val="single" w:sz="4" w:space="0" w:color="auto"/>
            </w:tcBorders>
            <w:noWrap/>
            <w:vAlign w:val="bottom"/>
            <w:hideMark/>
          </w:tcPr>
          <w:p w14:paraId="42C3A89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4790D82" w14:textId="77777777" w:rsidTr="00CA749B">
        <w:trPr>
          <w:trHeight w:val="300"/>
          <w:jc w:val="center"/>
        </w:trPr>
        <w:tc>
          <w:tcPr>
            <w:tcW w:w="0" w:type="auto"/>
            <w:tcBorders>
              <w:top w:val="nil"/>
              <w:left w:val="single" w:sz="4" w:space="0" w:color="auto"/>
              <w:bottom w:val="nil"/>
              <w:right w:val="nil"/>
            </w:tcBorders>
            <w:noWrap/>
            <w:vAlign w:val="bottom"/>
            <w:hideMark/>
          </w:tcPr>
          <w:p w14:paraId="0D83F92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IMEROS RODOPIS</w:t>
            </w:r>
          </w:p>
        </w:tc>
        <w:tc>
          <w:tcPr>
            <w:tcW w:w="0" w:type="auto"/>
            <w:tcBorders>
              <w:top w:val="nil"/>
              <w:left w:val="nil"/>
              <w:bottom w:val="nil"/>
              <w:right w:val="single" w:sz="4" w:space="0" w:color="auto"/>
            </w:tcBorders>
            <w:noWrap/>
            <w:vAlign w:val="bottom"/>
            <w:hideMark/>
          </w:tcPr>
          <w:p w14:paraId="1AFA6EC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2B65E8D5" w14:textId="77777777" w:rsidTr="00CA749B">
        <w:trPr>
          <w:trHeight w:val="300"/>
          <w:jc w:val="center"/>
        </w:trPr>
        <w:tc>
          <w:tcPr>
            <w:tcW w:w="0" w:type="auto"/>
            <w:tcBorders>
              <w:top w:val="nil"/>
              <w:left w:val="single" w:sz="4" w:space="0" w:color="auto"/>
              <w:bottom w:val="nil"/>
              <w:right w:val="nil"/>
            </w:tcBorders>
            <w:noWrap/>
            <w:vAlign w:val="bottom"/>
            <w:hideMark/>
          </w:tcPr>
          <w:p w14:paraId="0307EAB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IOS </w:t>
            </w:r>
          </w:p>
        </w:tc>
        <w:tc>
          <w:tcPr>
            <w:tcW w:w="0" w:type="auto"/>
            <w:tcBorders>
              <w:top w:val="nil"/>
              <w:left w:val="nil"/>
              <w:bottom w:val="nil"/>
              <w:right w:val="single" w:sz="4" w:space="0" w:color="auto"/>
            </w:tcBorders>
            <w:noWrap/>
            <w:vAlign w:val="bottom"/>
            <w:hideMark/>
          </w:tcPr>
          <w:p w14:paraId="61C3B0E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899177D" w14:textId="77777777" w:rsidTr="00CA749B">
        <w:trPr>
          <w:trHeight w:val="300"/>
          <w:jc w:val="center"/>
        </w:trPr>
        <w:tc>
          <w:tcPr>
            <w:tcW w:w="0" w:type="auto"/>
            <w:tcBorders>
              <w:top w:val="nil"/>
              <w:left w:val="single" w:sz="4" w:space="0" w:color="auto"/>
              <w:bottom w:val="nil"/>
              <w:right w:val="nil"/>
            </w:tcBorders>
            <w:noWrap/>
            <w:vAlign w:val="bottom"/>
            <w:hideMark/>
          </w:tcPr>
          <w:p w14:paraId="7FA2013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IRAKLEIA </w:t>
            </w:r>
          </w:p>
        </w:tc>
        <w:tc>
          <w:tcPr>
            <w:tcW w:w="0" w:type="auto"/>
            <w:tcBorders>
              <w:top w:val="nil"/>
              <w:left w:val="nil"/>
              <w:bottom w:val="nil"/>
              <w:right w:val="single" w:sz="4" w:space="0" w:color="auto"/>
            </w:tcBorders>
            <w:noWrap/>
            <w:vAlign w:val="bottom"/>
            <w:hideMark/>
          </w:tcPr>
          <w:p w14:paraId="051603B6"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2D6213A" w14:textId="77777777" w:rsidTr="00CA749B">
        <w:trPr>
          <w:trHeight w:val="300"/>
          <w:jc w:val="center"/>
        </w:trPr>
        <w:tc>
          <w:tcPr>
            <w:tcW w:w="0" w:type="auto"/>
            <w:tcBorders>
              <w:top w:val="nil"/>
              <w:left w:val="single" w:sz="4" w:space="0" w:color="auto"/>
              <w:bottom w:val="nil"/>
              <w:right w:val="nil"/>
            </w:tcBorders>
            <w:noWrap/>
            <w:vAlign w:val="bottom"/>
            <w:hideMark/>
          </w:tcPr>
          <w:p w14:paraId="6426DCF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IRAKLEIO </w:t>
            </w:r>
          </w:p>
        </w:tc>
        <w:tc>
          <w:tcPr>
            <w:tcW w:w="0" w:type="auto"/>
            <w:tcBorders>
              <w:top w:val="nil"/>
              <w:left w:val="nil"/>
              <w:bottom w:val="nil"/>
              <w:right w:val="single" w:sz="4" w:space="0" w:color="auto"/>
            </w:tcBorders>
            <w:noWrap/>
            <w:vAlign w:val="bottom"/>
            <w:hideMark/>
          </w:tcPr>
          <w:p w14:paraId="41F8DA2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0AAE4C61" w14:textId="77777777" w:rsidTr="00CA749B">
        <w:trPr>
          <w:trHeight w:val="300"/>
          <w:jc w:val="center"/>
        </w:trPr>
        <w:tc>
          <w:tcPr>
            <w:tcW w:w="0" w:type="auto"/>
            <w:tcBorders>
              <w:top w:val="nil"/>
              <w:left w:val="single" w:sz="4" w:space="0" w:color="auto"/>
              <w:bottom w:val="nil"/>
              <w:right w:val="nil"/>
            </w:tcBorders>
            <w:noWrap/>
            <w:vAlign w:val="bottom"/>
            <w:hideMark/>
          </w:tcPr>
          <w:p w14:paraId="6BC568B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ITEAS</w:t>
            </w:r>
          </w:p>
        </w:tc>
        <w:tc>
          <w:tcPr>
            <w:tcW w:w="0" w:type="auto"/>
            <w:tcBorders>
              <w:top w:val="nil"/>
              <w:left w:val="nil"/>
              <w:bottom w:val="nil"/>
              <w:right w:val="single" w:sz="4" w:space="0" w:color="auto"/>
            </w:tcBorders>
            <w:noWrap/>
            <w:vAlign w:val="bottom"/>
            <w:hideMark/>
          </w:tcPr>
          <w:p w14:paraId="0F4FFD1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E0BA916" w14:textId="77777777" w:rsidTr="00CA749B">
        <w:trPr>
          <w:trHeight w:val="300"/>
          <w:jc w:val="center"/>
        </w:trPr>
        <w:tc>
          <w:tcPr>
            <w:tcW w:w="0" w:type="auto"/>
            <w:tcBorders>
              <w:top w:val="nil"/>
              <w:left w:val="single" w:sz="4" w:space="0" w:color="auto"/>
              <w:bottom w:val="nil"/>
              <w:right w:val="nil"/>
            </w:tcBorders>
            <w:noWrap/>
            <w:vAlign w:val="bottom"/>
            <w:hideMark/>
          </w:tcPr>
          <w:p w14:paraId="5BB4EEF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KALAMARIA </w:t>
            </w:r>
          </w:p>
        </w:tc>
        <w:tc>
          <w:tcPr>
            <w:tcW w:w="0" w:type="auto"/>
            <w:tcBorders>
              <w:top w:val="nil"/>
              <w:left w:val="nil"/>
              <w:bottom w:val="nil"/>
              <w:right w:val="single" w:sz="4" w:space="0" w:color="auto"/>
            </w:tcBorders>
            <w:noWrap/>
            <w:vAlign w:val="bottom"/>
            <w:hideMark/>
          </w:tcPr>
          <w:p w14:paraId="47406FB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4F499A2" w14:textId="77777777" w:rsidTr="00CA749B">
        <w:trPr>
          <w:trHeight w:val="300"/>
          <w:jc w:val="center"/>
        </w:trPr>
        <w:tc>
          <w:tcPr>
            <w:tcW w:w="0" w:type="auto"/>
            <w:tcBorders>
              <w:top w:val="nil"/>
              <w:left w:val="single" w:sz="4" w:space="0" w:color="auto"/>
              <w:bottom w:val="nil"/>
              <w:right w:val="nil"/>
            </w:tcBorders>
            <w:noWrap/>
            <w:vAlign w:val="bottom"/>
            <w:hideMark/>
          </w:tcPr>
          <w:p w14:paraId="70627B6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KALAMATA </w:t>
            </w:r>
          </w:p>
        </w:tc>
        <w:tc>
          <w:tcPr>
            <w:tcW w:w="0" w:type="auto"/>
            <w:tcBorders>
              <w:top w:val="nil"/>
              <w:left w:val="nil"/>
              <w:bottom w:val="nil"/>
              <w:right w:val="single" w:sz="4" w:space="0" w:color="auto"/>
            </w:tcBorders>
            <w:noWrap/>
            <w:vAlign w:val="bottom"/>
            <w:hideMark/>
          </w:tcPr>
          <w:p w14:paraId="0D24B9B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6071177" w14:textId="77777777" w:rsidTr="00CA749B">
        <w:trPr>
          <w:trHeight w:val="300"/>
          <w:jc w:val="center"/>
        </w:trPr>
        <w:tc>
          <w:tcPr>
            <w:tcW w:w="0" w:type="auto"/>
            <w:tcBorders>
              <w:top w:val="nil"/>
              <w:left w:val="single" w:sz="4" w:space="0" w:color="auto"/>
              <w:bottom w:val="nil"/>
              <w:right w:val="nil"/>
            </w:tcBorders>
            <w:noWrap/>
            <w:vAlign w:val="bottom"/>
            <w:hideMark/>
          </w:tcPr>
          <w:p w14:paraId="46B6CFF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KALANTOS NAXOU</w:t>
            </w:r>
          </w:p>
        </w:tc>
        <w:tc>
          <w:tcPr>
            <w:tcW w:w="0" w:type="auto"/>
            <w:tcBorders>
              <w:top w:val="nil"/>
              <w:left w:val="nil"/>
              <w:bottom w:val="nil"/>
              <w:right w:val="single" w:sz="4" w:space="0" w:color="auto"/>
            </w:tcBorders>
            <w:noWrap/>
            <w:vAlign w:val="bottom"/>
            <w:hideMark/>
          </w:tcPr>
          <w:p w14:paraId="6E560B9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576C1E6" w14:textId="77777777" w:rsidTr="00CA749B">
        <w:trPr>
          <w:trHeight w:val="300"/>
          <w:jc w:val="center"/>
        </w:trPr>
        <w:tc>
          <w:tcPr>
            <w:tcW w:w="0" w:type="auto"/>
            <w:tcBorders>
              <w:top w:val="nil"/>
              <w:left w:val="single" w:sz="4" w:space="0" w:color="auto"/>
              <w:bottom w:val="nil"/>
              <w:right w:val="nil"/>
            </w:tcBorders>
            <w:noWrap/>
            <w:vAlign w:val="bottom"/>
            <w:hideMark/>
          </w:tcPr>
          <w:p w14:paraId="0836073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KALLIRACHI THASOU</w:t>
            </w:r>
          </w:p>
        </w:tc>
        <w:tc>
          <w:tcPr>
            <w:tcW w:w="0" w:type="auto"/>
            <w:tcBorders>
              <w:top w:val="nil"/>
              <w:left w:val="nil"/>
              <w:bottom w:val="nil"/>
              <w:right w:val="single" w:sz="4" w:space="0" w:color="auto"/>
            </w:tcBorders>
            <w:noWrap/>
            <w:vAlign w:val="bottom"/>
            <w:hideMark/>
          </w:tcPr>
          <w:p w14:paraId="1BC025C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7C94B26" w14:textId="77777777" w:rsidTr="00CA749B">
        <w:trPr>
          <w:trHeight w:val="300"/>
          <w:jc w:val="center"/>
        </w:trPr>
        <w:tc>
          <w:tcPr>
            <w:tcW w:w="0" w:type="auto"/>
            <w:tcBorders>
              <w:top w:val="nil"/>
              <w:left w:val="single" w:sz="4" w:space="0" w:color="auto"/>
              <w:bottom w:val="nil"/>
              <w:right w:val="nil"/>
            </w:tcBorders>
            <w:noWrap/>
            <w:vAlign w:val="bottom"/>
            <w:hideMark/>
          </w:tcPr>
          <w:p w14:paraId="27F976A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KALOI LIMENES IRAKLEIOU</w:t>
            </w:r>
          </w:p>
        </w:tc>
        <w:tc>
          <w:tcPr>
            <w:tcW w:w="0" w:type="auto"/>
            <w:tcBorders>
              <w:top w:val="nil"/>
              <w:left w:val="nil"/>
              <w:bottom w:val="nil"/>
              <w:right w:val="single" w:sz="4" w:space="0" w:color="auto"/>
            </w:tcBorders>
            <w:noWrap/>
            <w:vAlign w:val="bottom"/>
            <w:hideMark/>
          </w:tcPr>
          <w:p w14:paraId="28491C2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5F01437" w14:textId="77777777" w:rsidTr="00CA749B">
        <w:trPr>
          <w:trHeight w:val="300"/>
          <w:jc w:val="center"/>
        </w:trPr>
        <w:tc>
          <w:tcPr>
            <w:tcW w:w="0" w:type="auto"/>
            <w:tcBorders>
              <w:top w:val="nil"/>
              <w:left w:val="single" w:sz="4" w:space="0" w:color="auto"/>
              <w:bottom w:val="nil"/>
              <w:right w:val="nil"/>
            </w:tcBorders>
            <w:noWrap/>
            <w:vAlign w:val="bottom"/>
            <w:hideMark/>
          </w:tcPr>
          <w:p w14:paraId="2054C1E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KALYMNOS </w:t>
            </w:r>
          </w:p>
        </w:tc>
        <w:tc>
          <w:tcPr>
            <w:tcW w:w="0" w:type="auto"/>
            <w:tcBorders>
              <w:top w:val="nil"/>
              <w:left w:val="nil"/>
              <w:bottom w:val="nil"/>
              <w:right w:val="single" w:sz="4" w:space="0" w:color="auto"/>
            </w:tcBorders>
            <w:noWrap/>
            <w:vAlign w:val="bottom"/>
            <w:hideMark/>
          </w:tcPr>
          <w:p w14:paraId="6E9E9CB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1B1627DB" w14:textId="77777777" w:rsidTr="00CA749B">
        <w:trPr>
          <w:trHeight w:val="300"/>
          <w:jc w:val="center"/>
        </w:trPr>
        <w:tc>
          <w:tcPr>
            <w:tcW w:w="0" w:type="auto"/>
            <w:tcBorders>
              <w:top w:val="nil"/>
              <w:left w:val="single" w:sz="4" w:space="0" w:color="auto"/>
              <w:bottom w:val="nil"/>
              <w:right w:val="nil"/>
            </w:tcBorders>
            <w:noWrap/>
            <w:vAlign w:val="bottom"/>
            <w:hideMark/>
          </w:tcPr>
          <w:p w14:paraId="7644711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KAMARES </w:t>
            </w:r>
            <w:r w:rsidRPr="00F0379B">
              <w:rPr>
                <w:rFonts w:ascii="Cambria" w:eastAsiaTheme="minorEastAsia" w:hAnsi="Cambria" w:cs="Times New Roman"/>
                <w:color w:val="000000"/>
                <w:sz w:val="20"/>
                <w:szCs w:val="20"/>
                <w:lang w:val="en-GB" w:eastAsia="en-GB"/>
                <w14:ligatures w14:val="standardContextual"/>
              </w:rPr>
              <w:t>SIFNOU</w:t>
            </w:r>
          </w:p>
        </w:tc>
        <w:tc>
          <w:tcPr>
            <w:tcW w:w="0" w:type="auto"/>
            <w:tcBorders>
              <w:top w:val="nil"/>
              <w:left w:val="nil"/>
              <w:bottom w:val="nil"/>
              <w:right w:val="single" w:sz="4" w:space="0" w:color="auto"/>
            </w:tcBorders>
            <w:noWrap/>
            <w:vAlign w:val="bottom"/>
            <w:hideMark/>
          </w:tcPr>
          <w:p w14:paraId="3AB3B43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20DA0841" w14:textId="77777777" w:rsidTr="00CA749B">
        <w:trPr>
          <w:trHeight w:val="300"/>
          <w:jc w:val="center"/>
        </w:trPr>
        <w:tc>
          <w:tcPr>
            <w:tcW w:w="0" w:type="auto"/>
            <w:tcBorders>
              <w:top w:val="nil"/>
              <w:left w:val="single" w:sz="4" w:space="0" w:color="auto"/>
              <w:bottom w:val="nil"/>
              <w:right w:val="nil"/>
            </w:tcBorders>
            <w:noWrap/>
            <w:vAlign w:val="bottom"/>
            <w:hideMark/>
          </w:tcPr>
          <w:p w14:paraId="3C03D00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KAMARIOTISSA SAMOTHRAKIS</w:t>
            </w:r>
          </w:p>
        </w:tc>
        <w:tc>
          <w:tcPr>
            <w:tcW w:w="0" w:type="auto"/>
            <w:tcBorders>
              <w:top w:val="nil"/>
              <w:left w:val="nil"/>
              <w:bottom w:val="nil"/>
              <w:right w:val="single" w:sz="4" w:space="0" w:color="auto"/>
            </w:tcBorders>
            <w:noWrap/>
            <w:vAlign w:val="bottom"/>
            <w:hideMark/>
          </w:tcPr>
          <w:p w14:paraId="795083B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3BC2263" w14:textId="77777777" w:rsidTr="00CA749B">
        <w:trPr>
          <w:trHeight w:val="300"/>
          <w:jc w:val="center"/>
        </w:trPr>
        <w:tc>
          <w:tcPr>
            <w:tcW w:w="0" w:type="auto"/>
            <w:tcBorders>
              <w:top w:val="nil"/>
              <w:left w:val="single" w:sz="4" w:space="0" w:color="auto"/>
              <w:bottom w:val="nil"/>
              <w:right w:val="nil"/>
            </w:tcBorders>
            <w:noWrap/>
            <w:vAlign w:val="bottom"/>
            <w:hideMark/>
          </w:tcPr>
          <w:p w14:paraId="677B7A5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KAPSALI </w:t>
            </w:r>
          </w:p>
        </w:tc>
        <w:tc>
          <w:tcPr>
            <w:tcW w:w="0" w:type="auto"/>
            <w:tcBorders>
              <w:top w:val="nil"/>
              <w:left w:val="nil"/>
              <w:bottom w:val="nil"/>
              <w:right w:val="single" w:sz="4" w:space="0" w:color="auto"/>
            </w:tcBorders>
            <w:noWrap/>
            <w:vAlign w:val="bottom"/>
            <w:hideMark/>
          </w:tcPr>
          <w:p w14:paraId="0711DF9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5F85DD5" w14:textId="77777777" w:rsidTr="00CA749B">
        <w:trPr>
          <w:trHeight w:val="300"/>
          <w:jc w:val="center"/>
        </w:trPr>
        <w:tc>
          <w:tcPr>
            <w:tcW w:w="0" w:type="auto"/>
            <w:tcBorders>
              <w:top w:val="nil"/>
              <w:left w:val="single" w:sz="4" w:space="0" w:color="auto"/>
              <w:bottom w:val="nil"/>
              <w:right w:val="nil"/>
            </w:tcBorders>
            <w:noWrap/>
            <w:vAlign w:val="bottom"/>
            <w:hideMark/>
          </w:tcPr>
          <w:p w14:paraId="73800B1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KARDAMAINA </w:t>
            </w:r>
            <w:r w:rsidRPr="00F0379B">
              <w:rPr>
                <w:rFonts w:ascii="Cambria" w:eastAsiaTheme="minorEastAsia" w:hAnsi="Cambria" w:cs="Times New Roman"/>
                <w:color w:val="000000"/>
                <w:sz w:val="20"/>
                <w:szCs w:val="20"/>
                <w:lang w:val="en-GB" w:eastAsia="en-GB"/>
                <w14:ligatures w14:val="standardContextual"/>
              </w:rPr>
              <w:t>(KOS)</w:t>
            </w:r>
          </w:p>
        </w:tc>
        <w:tc>
          <w:tcPr>
            <w:tcW w:w="0" w:type="auto"/>
            <w:tcBorders>
              <w:top w:val="nil"/>
              <w:left w:val="nil"/>
              <w:bottom w:val="nil"/>
              <w:right w:val="single" w:sz="4" w:space="0" w:color="auto"/>
            </w:tcBorders>
            <w:noWrap/>
            <w:vAlign w:val="bottom"/>
            <w:hideMark/>
          </w:tcPr>
          <w:p w14:paraId="1235D35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1C331255" w14:textId="77777777" w:rsidTr="00CA749B">
        <w:trPr>
          <w:trHeight w:val="300"/>
          <w:jc w:val="center"/>
        </w:trPr>
        <w:tc>
          <w:tcPr>
            <w:tcW w:w="0" w:type="auto"/>
            <w:tcBorders>
              <w:top w:val="nil"/>
              <w:left w:val="single" w:sz="4" w:space="0" w:color="auto"/>
              <w:bottom w:val="nil"/>
              <w:right w:val="nil"/>
            </w:tcBorders>
            <w:noWrap/>
            <w:vAlign w:val="bottom"/>
            <w:hideMark/>
          </w:tcPr>
          <w:p w14:paraId="14348FF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KARDAMYLA </w:t>
            </w:r>
          </w:p>
        </w:tc>
        <w:tc>
          <w:tcPr>
            <w:tcW w:w="0" w:type="auto"/>
            <w:tcBorders>
              <w:top w:val="nil"/>
              <w:left w:val="nil"/>
              <w:bottom w:val="nil"/>
              <w:right w:val="single" w:sz="4" w:space="0" w:color="auto"/>
            </w:tcBorders>
            <w:noWrap/>
            <w:vAlign w:val="bottom"/>
            <w:hideMark/>
          </w:tcPr>
          <w:p w14:paraId="3F82E90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0DB4C1DA" w14:textId="77777777" w:rsidTr="00CA749B">
        <w:trPr>
          <w:trHeight w:val="300"/>
          <w:jc w:val="center"/>
        </w:trPr>
        <w:tc>
          <w:tcPr>
            <w:tcW w:w="0" w:type="auto"/>
            <w:tcBorders>
              <w:top w:val="nil"/>
              <w:left w:val="single" w:sz="4" w:space="0" w:color="auto"/>
              <w:bottom w:val="nil"/>
              <w:right w:val="nil"/>
            </w:tcBorders>
            <w:noWrap/>
            <w:vAlign w:val="bottom"/>
            <w:hideMark/>
          </w:tcPr>
          <w:p w14:paraId="6E52F75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KARLOVASI </w:t>
            </w:r>
          </w:p>
        </w:tc>
        <w:tc>
          <w:tcPr>
            <w:tcW w:w="0" w:type="auto"/>
            <w:tcBorders>
              <w:top w:val="nil"/>
              <w:left w:val="nil"/>
              <w:bottom w:val="nil"/>
              <w:right w:val="single" w:sz="4" w:space="0" w:color="auto"/>
            </w:tcBorders>
            <w:noWrap/>
            <w:vAlign w:val="bottom"/>
            <w:hideMark/>
          </w:tcPr>
          <w:p w14:paraId="7FE84BE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9C7254A" w14:textId="77777777" w:rsidTr="00CA749B">
        <w:trPr>
          <w:trHeight w:val="300"/>
          <w:jc w:val="center"/>
        </w:trPr>
        <w:tc>
          <w:tcPr>
            <w:tcW w:w="0" w:type="auto"/>
            <w:tcBorders>
              <w:top w:val="nil"/>
              <w:left w:val="single" w:sz="4" w:space="0" w:color="auto"/>
              <w:bottom w:val="nil"/>
              <w:right w:val="nil"/>
            </w:tcBorders>
            <w:noWrap/>
            <w:vAlign w:val="bottom"/>
            <w:hideMark/>
          </w:tcPr>
          <w:p w14:paraId="6A7D6F1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KARPATHOS </w:t>
            </w:r>
          </w:p>
        </w:tc>
        <w:tc>
          <w:tcPr>
            <w:tcW w:w="0" w:type="auto"/>
            <w:tcBorders>
              <w:top w:val="nil"/>
              <w:left w:val="nil"/>
              <w:bottom w:val="nil"/>
              <w:right w:val="single" w:sz="4" w:space="0" w:color="auto"/>
            </w:tcBorders>
            <w:noWrap/>
            <w:vAlign w:val="bottom"/>
            <w:hideMark/>
          </w:tcPr>
          <w:p w14:paraId="691B5CE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225DAF5" w14:textId="77777777" w:rsidTr="00CA749B">
        <w:trPr>
          <w:trHeight w:val="300"/>
          <w:jc w:val="center"/>
        </w:trPr>
        <w:tc>
          <w:tcPr>
            <w:tcW w:w="0" w:type="auto"/>
            <w:tcBorders>
              <w:top w:val="nil"/>
              <w:left w:val="single" w:sz="4" w:space="0" w:color="auto"/>
              <w:bottom w:val="nil"/>
              <w:right w:val="nil"/>
            </w:tcBorders>
            <w:noWrap/>
            <w:vAlign w:val="bottom"/>
            <w:hideMark/>
          </w:tcPr>
          <w:p w14:paraId="47EE63E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KARYANI</w:t>
            </w:r>
          </w:p>
        </w:tc>
        <w:tc>
          <w:tcPr>
            <w:tcW w:w="0" w:type="auto"/>
            <w:tcBorders>
              <w:top w:val="nil"/>
              <w:left w:val="nil"/>
              <w:bottom w:val="nil"/>
              <w:right w:val="single" w:sz="4" w:space="0" w:color="auto"/>
            </w:tcBorders>
            <w:noWrap/>
            <w:vAlign w:val="bottom"/>
            <w:hideMark/>
          </w:tcPr>
          <w:p w14:paraId="1F7B242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D23DD90" w14:textId="77777777" w:rsidTr="00CA749B">
        <w:trPr>
          <w:trHeight w:val="300"/>
          <w:jc w:val="center"/>
        </w:trPr>
        <w:tc>
          <w:tcPr>
            <w:tcW w:w="0" w:type="auto"/>
            <w:tcBorders>
              <w:top w:val="nil"/>
              <w:left w:val="single" w:sz="4" w:space="0" w:color="auto"/>
              <w:bottom w:val="nil"/>
              <w:right w:val="nil"/>
            </w:tcBorders>
            <w:noWrap/>
            <w:vAlign w:val="bottom"/>
            <w:hideMark/>
          </w:tcPr>
          <w:p w14:paraId="114DC21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KARYSTOS </w:t>
            </w:r>
          </w:p>
        </w:tc>
        <w:tc>
          <w:tcPr>
            <w:tcW w:w="0" w:type="auto"/>
            <w:tcBorders>
              <w:top w:val="nil"/>
              <w:left w:val="nil"/>
              <w:bottom w:val="nil"/>
              <w:right w:val="single" w:sz="4" w:space="0" w:color="auto"/>
            </w:tcBorders>
            <w:noWrap/>
            <w:vAlign w:val="bottom"/>
            <w:hideMark/>
          </w:tcPr>
          <w:p w14:paraId="6F1BEB6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E87C3CC" w14:textId="77777777" w:rsidTr="00CA749B">
        <w:trPr>
          <w:trHeight w:val="300"/>
          <w:jc w:val="center"/>
        </w:trPr>
        <w:tc>
          <w:tcPr>
            <w:tcW w:w="0" w:type="auto"/>
            <w:tcBorders>
              <w:top w:val="nil"/>
              <w:left w:val="single" w:sz="4" w:space="0" w:color="auto"/>
              <w:bottom w:val="nil"/>
              <w:right w:val="nil"/>
            </w:tcBorders>
            <w:noWrap/>
            <w:vAlign w:val="bottom"/>
            <w:hideMark/>
          </w:tcPr>
          <w:p w14:paraId="03F7A7D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KATAKOLO </w:t>
            </w:r>
          </w:p>
        </w:tc>
        <w:tc>
          <w:tcPr>
            <w:tcW w:w="0" w:type="auto"/>
            <w:tcBorders>
              <w:top w:val="nil"/>
              <w:left w:val="nil"/>
              <w:bottom w:val="nil"/>
              <w:right w:val="single" w:sz="4" w:space="0" w:color="auto"/>
            </w:tcBorders>
            <w:noWrap/>
            <w:vAlign w:val="bottom"/>
            <w:hideMark/>
          </w:tcPr>
          <w:p w14:paraId="4EEFBF3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2635D733" w14:textId="77777777" w:rsidTr="00CA749B">
        <w:trPr>
          <w:trHeight w:val="300"/>
          <w:jc w:val="center"/>
        </w:trPr>
        <w:tc>
          <w:tcPr>
            <w:tcW w:w="0" w:type="auto"/>
            <w:tcBorders>
              <w:top w:val="nil"/>
              <w:left w:val="single" w:sz="4" w:space="0" w:color="auto"/>
              <w:bottom w:val="nil"/>
              <w:right w:val="nil"/>
            </w:tcBorders>
            <w:noWrap/>
            <w:vAlign w:val="bottom"/>
            <w:hideMark/>
          </w:tcPr>
          <w:p w14:paraId="196F5E0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KATAPOLA </w:t>
            </w:r>
          </w:p>
        </w:tc>
        <w:tc>
          <w:tcPr>
            <w:tcW w:w="0" w:type="auto"/>
            <w:tcBorders>
              <w:top w:val="nil"/>
              <w:left w:val="nil"/>
              <w:bottom w:val="nil"/>
              <w:right w:val="single" w:sz="4" w:space="0" w:color="auto"/>
            </w:tcBorders>
            <w:noWrap/>
            <w:vAlign w:val="bottom"/>
            <w:hideMark/>
          </w:tcPr>
          <w:p w14:paraId="6075E74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AE5BD31" w14:textId="77777777" w:rsidTr="00CA749B">
        <w:trPr>
          <w:trHeight w:val="300"/>
          <w:jc w:val="center"/>
        </w:trPr>
        <w:tc>
          <w:tcPr>
            <w:tcW w:w="0" w:type="auto"/>
            <w:tcBorders>
              <w:top w:val="nil"/>
              <w:left w:val="single" w:sz="4" w:space="0" w:color="auto"/>
              <w:bottom w:val="nil"/>
              <w:right w:val="nil"/>
            </w:tcBorders>
            <w:noWrap/>
            <w:vAlign w:val="bottom"/>
            <w:hideMark/>
          </w:tcPr>
          <w:p w14:paraId="7A8D7B8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KAVALA </w:t>
            </w:r>
          </w:p>
        </w:tc>
        <w:tc>
          <w:tcPr>
            <w:tcW w:w="0" w:type="auto"/>
            <w:tcBorders>
              <w:top w:val="nil"/>
              <w:left w:val="nil"/>
              <w:bottom w:val="nil"/>
              <w:right w:val="single" w:sz="4" w:space="0" w:color="auto"/>
            </w:tcBorders>
            <w:noWrap/>
            <w:vAlign w:val="bottom"/>
            <w:hideMark/>
          </w:tcPr>
          <w:p w14:paraId="20C9704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C01B401" w14:textId="77777777" w:rsidTr="00CA749B">
        <w:trPr>
          <w:trHeight w:val="300"/>
          <w:jc w:val="center"/>
        </w:trPr>
        <w:tc>
          <w:tcPr>
            <w:tcW w:w="0" w:type="auto"/>
            <w:tcBorders>
              <w:top w:val="nil"/>
              <w:left w:val="single" w:sz="4" w:space="0" w:color="auto"/>
              <w:bottom w:val="nil"/>
              <w:right w:val="nil"/>
            </w:tcBorders>
            <w:noWrap/>
            <w:vAlign w:val="bottom"/>
            <w:hideMark/>
          </w:tcPr>
          <w:p w14:paraId="0A97F9B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KEFALOS KOS</w:t>
            </w:r>
          </w:p>
        </w:tc>
        <w:tc>
          <w:tcPr>
            <w:tcW w:w="0" w:type="auto"/>
            <w:tcBorders>
              <w:top w:val="nil"/>
              <w:left w:val="nil"/>
              <w:bottom w:val="nil"/>
              <w:right w:val="single" w:sz="4" w:space="0" w:color="auto"/>
            </w:tcBorders>
            <w:noWrap/>
            <w:vAlign w:val="bottom"/>
            <w:hideMark/>
          </w:tcPr>
          <w:p w14:paraId="035481B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E746C0A" w14:textId="77777777" w:rsidTr="00CA749B">
        <w:trPr>
          <w:trHeight w:val="300"/>
          <w:jc w:val="center"/>
        </w:trPr>
        <w:tc>
          <w:tcPr>
            <w:tcW w:w="0" w:type="auto"/>
            <w:tcBorders>
              <w:top w:val="nil"/>
              <w:left w:val="single" w:sz="4" w:space="0" w:color="auto"/>
              <w:bottom w:val="nil"/>
              <w:right w:val="nil"/>
            </w:tcBorders>
            <w:noWrap/>
            <w:vAlign w:val="bottom"/>
            <w:hideMark/>
          </w:tcPr>
          <w:p w14:paraId="486378B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KERAMIDI</w:t>
            </w:r>
          </w:p>
        </w:tc>
        <w:tc>
          <w:tcPr>
            <w:tcW w:w="0" w:type="auto"/>
            <w:tcBorders>
              <w:top w:val="nil"/>
              <w:left w:val="nil"/>
              <w:bottom w:val="nil"/>
              <w:right w:val="single" w:sz="4" w:space="0" w:color="auto"/>
            </w:tcBorders>
            <w:noWrap/>
            <w:vAlign w:val="bottom"/>
            <w:hideMark/>
          </w:tcPr>
          <w:p w14:paraId="2B1BA42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EA3CBCB" w14:textId="77777777" w:rsidTr="00CA749B">
        <w:trPr>
          <w:trHeight w:val="300"/>
          <w:jc w:val="center"/>
        </w:trPr>
        <w:tc>
          <w:tcPr>
            <w:tcW w:w="0" w:type="auto"/>
            <w:tcBorders>
              <w:top w:val="nil"/>
              <w:left w:val="single" w:sz="4" w:space="0" w:color="auto"/>
              <w:bottom w:val="nil"/>
              <w:right w:val="nil"/>
            </w:tcBorders>
            <w:noWrap/>
            <w:vAlign w:val="bottom"/>
            <w:hideMark/>
          </w:tcPr>
          <w:p w14:paraId="3361A49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KERAMOTI </w:t>
            </w:r>
          </w:p>
        </w:tc>
        <w:tc>
          <w:tcPr>
            <w:tcW w:w="0" w:type="auto"/>
            <w:tcBorders>
              <w:top w:val="nil"/>
              <w:left w:val="nil"/>
              <w:bottom w:val="nil"/>
              <w:right w:val="single" w:sz="4" w:space="0" w:color="auto"/>
            </w:tcBorders>
            <w:noWrap/>
            <w:vAlign w:val="bottom"/>
            <w:hideMark/>
          </w:tcPr>
          <w:p w14:paraId="43F4BA8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A66FD21" w14:textId="77777777" w:rsidTr="00CA749B">
        <w:trPr>
          <w:trHeight w:val="300"/>
          <w:jc w:val="center"/>
        </w:trPr>
        <w:tc>
          <w:tcPr>
            <w:tcW w:w="0" w:type="auto"/>
            <w:tcBorders>
              <w:top w:val="nil"/>
              <w:left w:val="single" w:sz="4" w:space="0" w:color="auto"/>
              <w:bottom w:val="nil"/>
              <w:right w:val="nil"/>
            </w:tcBorders>
            <w:noWrap/>
            <w:vAlign w:val="bottom"/>
            <w:hideMark/>
          </w:tcPr>
          <w:p w14:paraId="0CCDF7E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KERATSINI </w:t>
            </w:r>
          </w:p>
        </w:tc>
        <w:tc>
          <w:tcPr>
            <w:tcW w:w="0" w:type="auto"/>
            <w:tcBorders>
              <w:top w:val="nil"/>
              <w:left w:val="nil"/>
              <w:bottom w:val="nil"/>
              <w:right w:val="single" w:sz="4" w:space="0" w:color="auto"/>
            </w:tcBorders>
            <w:noWrap/>
            <w:vAlign w:val="bottom"/>
            <w:hideMark/>
          </w:tcPr>
          <w:p w14:paraId="54ACF60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6BE630AE" w14:textId="77777777" w:rsidTr="00CA749B">
        <w:trPr>
          <w:trHeight w:val="300"/>
          <w:jc w:val="center"/>
        </w:trPr>
        <w:tc>
          <w:tcPr>
            <w:tcW w:w="0" w:type="auto"/>
            <w:tcBorders>
              <w:top w:val="nil"/>
              <w:left w:val="single" w:sz="4" w:space="0" w:color="auto"/>
              <w:bottom w:val="nil"/>
              <w:right w:val="nil"/>
            </w:tcBorders>
            <w:noWrap/>
            <w:vAlign w:val="bottom"/>
            <w:hideMark/>
          </w:tcPr>
          <w:p w14:paraId="2C09904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KERKYRA </w:t>
            </w:r>
          </w:p>
        </w:tc>
        <w:tc>
          <w:tcPr>
            <w:tcW w:w="0" w:type="auto"/>
            <w:tcBorders>
              <w:top w:val="nil"/>
              <w:left w:val="nil"/>
              <w:bottom w:val="nil"/>
              <w:right w:val="single" w:sz="4" w:space="0" w:color="auto"/>
            </w:tcBorders>
            <w:noWrap/>
            <w:vAlign w:val="bottom"/>
            <w:hideMark/>
          </w:tcPr>
          <w:p w14:paraId="05F039C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7C4C8300" w14:textId="77777777" w:rsidTr="00CA749B">
        <w:trPr>
          <w:trHeight w:val="300"/>
          <w:jc w:val="center"/>
        </w:trPr>
        <w:tc>
          <w:tcPr>
            <w:tcW w:w="0" w:type="auto"/>
            <w:tcBorders>
              <w:top w:val="nil"/>
              <w:left w:val="single" w:sz="4" w:space="0" w:color="auto"/>
              <w:bottom w:val="nil"/>
              <w:right w:val="nil"/>
            </w:tcBorders>
            <w:noWrap/>
            <w:vAlign w:val="bottom"/>
            <w:hideMark/>
          </w:tcPr>
          <w:p w14:paraId="78E680C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KIATO </w:t>
            </w:r>
          </w:p>
        </w:tc>
        <w:tc>
          <w:tcPr>
            <w:tcW w:w="0" w:type="auto"/>
            <w:tcBorders>
              <w:top w:val="nil"/>
              <w:left w:val="nil"/>
              <w:bottom w:val="nil"/>
              <w:right w:val="single" w:sz="4" w:space="0" w:color="auto"/>
            </w:tcBorders>
            <w:noWrap/>
            <w:vAlign w:val="bottom"/>
            <w:hideMark/>
          </w:tcPr>
          <w:p w14:paraId="3DE7AFB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CA8605B" w14:textId="77777777" w:rsidTr="00CA749B">
        <w:trPr>
          <w:trHeight w:val="300"/>
          <w:jc w:val="center"/>
        </w:trPr>
        <w:tc>
          <w:tcPr>
            <w:tcW w:w="0" w:type="auto"/>
            <w:tcBorders>
              <w:top w:val="nil"/>
              <w:left w:val="single" w:sz="4" w:space="0" w:color="auto"/>
              <w:bottom w:val="nil"/>
              <w:right w:val="nil"/>
            </w:tcBorders>
            <w:noWrap/>
            <w:vAlign w:val="bottom"/>
            <w:hideMark/>
          </w:tcPr>
          <w:p w14:paraId="1E4A857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KIMOLOS </w:t>
            </w:r>
          </w:p>
        </w:tc>
        <w:tc>
          <w:tcPr>
            <w:tcW w:w="0" w:type="auto"/>
            <w:tcBorders>
              <w:top w:val="nil"/>
              <w:left w:val="nil"/>
              <w:bottom w:val="nil"/>
              <w:right w:val="single" w:sz="4" w:space="0" w:color="auto"/>
            </w:tcBorders>
            <w:noWrap/>
            <w:vAlign w:val="bottom"/>
            <w:hideMark/>
          </w:tcPr>
          <w:p w14:paraId="2BEE365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2F64BDEE" w14:textId="77777777" w:rsidTr="00CA749B">
        <w:trPr>
          <w:trHeight w:val="300"/>
          <w:jc w:val="center"/>
        </w:trPr>
        <w:tc>
          <w:tcPr>
            <w:tcW w:w="0" w:type="auto"/>
            <w:tcBorders>
              <w:top w:val="nil"/>
              <w:left w:val="single" w:sz="4" w:space="0" w:color="auto"/>
              <w:bottom w:val="nil"/>
              <w:right w:val="nil"/>
            </w:tcBorders>
            <w:noWrap/>
            <w:vAlign w:val="bottom"/>
            <w:hideMark/>
          </w:tcPr>
          <w:p w14:paraId="1285635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KISSAMOS </w:t>
            </w:r>
          </w:p>
        </w:tc>
        <w:tc>
          <w:tcPr>
            <w:tcW w:w="0" w:type="auto"/>
            <w:tcBorders>
              <w:top w:val="nil"/>
              <w:left w:val="nil"/>
              <w:bottom w:val="nil"/>
              <w:right w:val="single" w:sz="4" w:space="0" w:color="auto"/>
            </w:tcBorders>
            <w:noWrap/>
            <w:vAlign w:val="bottom"/>
            <w:hideMark/>
          </w:tcPr>
          <w:p w14:paraId="2240EA2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65B2F42" w14:textId="77777777" w:rsidTr="00CA749B">
        <w:trPr>
          <w:trHeight w:val="300"/>
          <w:jc w:val="center"/>
        </w:trPr>
        <w:tc>
          <w:tcPr>
            <w:tcW w:w="0" w:type="auto"/>
            <w:tcBorders>
              <w:top w:val="nil"/>
              <w:left w:val="single" w:sz="4" w:space="0" w:color="auto"/>
              <w:bottom w:val="nil"/>
              <w:right w:val="nil"/>
            </w:tcBorders>
            <w:noWrap/>
            <w:vAlign w:val="bottom"/>
            <w:hideMark/>
          </w:tcPr>
          <w:p w14:paraId="46D7176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KITROS </w:t>
            </w:r>
            <w:r w:rsidRPr="00F0379B">
              <w:rPr>
                <w:rFonts w:ascii="Cambria" w:eastAsiaTheme="minorEastAsia" w:hAnsi="Cambria" w:cs="Times New Roman"/>
                <w:color w:val="000000"/>
                <w:sz w:val="20"/>
                <w:szCs w:val="20"/>
                <w:lang w:val="en-GB" w:eastAsia="en-GB"/>
                <w14:ligatures w14:val="standardContextual"/>
              </w:rPr>
              <w:t>(PINDA) PIERIAS</w:t>
            </w:r>
          </w:p>
        </w:tc>
        <w:tc>
          <w:tcPr>
            <w:tcW w:w="0" w:type="auto"/>
            <w:tcBorders>
              <w:top w:val="nil"/>
              <w:left w:val="nil"/>
              <w:bottom w:val="nil"/>
              <w:right w:val="single" w:sz="4" w:space="0" w:color="auto"/>
            </w:tcBorders>
            <w:noWrap/>
            <w:vAlign w:val="bottom"/>
            <w:hideMark/>
          </w:tcPr>
          <w:p w14:paraId="44AA5A6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3A87209D" w14:textId="77777777" w:rsidTr="00CA749B">
        <w:trPr>
          <w:trHeight w:val="300"/>
          <w:jc w:val="center"/>
        </w:trPr>
        <w:tc>
          <w:tcPr>
            <w:tcW w:w="0" w:type="auto"/>
            <w:tcBorders>
              <w:top w:val="nil"/>
              <w:left w:val="single" w:sz="4" w:space="0" w:color="auto"/>
              <w:bottom w:val="nil"/>
              <w:right w:val="nil"/>
            </w:tcBorders>
            <w:noWrap/>
            <w:vAlign w:val="bottom"/>
            <w:hideMark/>
          </w:tcPr>
          <w:p w14:paraId="0330CAE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KOILADA </w:t>
            </w:r>
          </w:p>
        </w:tc>
        <w:tc>
          <w:tcPr>
            <w:tcW w:w="0" w:type="auto"/>
            <w:tcBorders>
              <w:top w:val="nil"/>
              <w:left w:val="nil"/>
              <w:bottom w:val="nil"/>
              <w:right w:val="single" w:sz="4" w:space="0" w:color="auto"/>
            </w:tcBorders>
            <w:noWrap/>
            <w:vAlign w:val="bottom"/>
            <w:hideMark/>
          </w:tcPr>
          <w:p w14:paraId="01E49DD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09F228CD" w14:textId="77777777" w:rsidTr="00CA749B">
        <w:trPr>
          <w:trHeight w:val="300"/>
          <w:jc w:val="center"/>
        </w:trPr>
        <w:tc>
          <w:tcPr>
            <w:tcW w:w="0" w:type="auto"/>
            <w:tcBorders>
              <w:top w:val="nil"/>
              <w:left w:val="single" w:sz="4" w:space="0" w:color="auto"/>
              <w:bottom w:val="nil"/>
              <w:right w:val="nil"/>
            </w:tcBorders>
            <w:noWrap/>
            <w:vAlign w:val="bottom"/>
            <w:hideMark/>
          </w:tcPr>
          <w:p w14:paraId="6CFAEEA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KOKKINOS PYRGOS </w:t>
            </w:r>
          </w:p>
        </w:tc>
        <w:tc>
          <w:tcPr>
            <w:tcW w:w="0" w:type="auto"/>
            <w:tcBorders>
              <w:top w:val="nil"/>
              <w:left w:val="nil"/>
              <w:bottom w:val="nil"/>
              <w:right w:val="single" w:sz="4" w:space="0" w:color="auto"/>
            </w:tcBorders>
            <w:noWrap/>
            <w:vAlign w:val="bottom"/>
            <w:hideMark/>
          </w:tcPr>
          <w:p w14:paraId="71A2B47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615CEFA5" w14:textId="77777777" w:rsidTr="00CA749B">
        <w:trPr>
          <w:trHeight w:val="300"/>
          <w:jc w:val="center"/>
        </w:trPr>
        <w:tc>
          <w:tcPr>
            <w:tcW w:w="0" w:type="auto"/>
            <w:tcBorders>
              <w:top w:val="nil"/>
              <w:left w:val="single" w:sz="4" w:space="0" w:color="auto"/>
              <w:bottom w:val="nil"/>
              <w:right w:val="nil"/>
            </w:tcBorders>
            <w:noWrap/>
            <w:vAlign w:val="bottom"/>
            <w:hideMark/>
          </w:tcPr>
          <w:p w14:paraId="2A1405C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KOLYMPARI CHANION</w:t>
            </w:r>
          </w:p>
        </w:tc>
        <w:tc>
          <w:tcPr>
            <w:tcW w:w="0" w:type="auto"/>
            <w:tcBorders>
              <w:top w:val="nil"/>
              <w:left w:val="nil"/>
              <w:bottom w:val="nil"/>
              <w:right w:val="single" w:sz="4" w:space="0" w:color="auto"/>
            </w:tcBorders>
            <w:noWrap/>
            <w:vAlign w:val="bottom"/>
            <w:hideMark/>
          </w:tcPr>
          <w:p w14:paraId="5D2EA42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A3774B4" w14:textId="77777777" w:rsidTr="00CA749B">
        <w:trPr>
          <w:trHeight w:val="300"/>
          <w:jc w:val="center"/>
        </w:trPr>
        <w:tc>
          <w:tcPr>
            <w:tcW w:w="0" w:type="auto"/>
            <w:tcBorders>
              <w:top w:val="nil"/>
              <w:left w:val="single" w:sz="4" w:space="0" w:color="auto"/>
              <w:bottom w:val="nil"/>
              <w:right w:val="nil"/>
            </w:tcBorders>
            <w:noWrap/>
            <w:vAlign w:val="bottom"/>
            <w:hideMark/>
          </w:tcPr>
          <w:p w14:paraId="4562679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KORINTHOS </w:t>
            </w:r>
          </w:p>
        </w:tc>
        <w:tc>
          <w:tcPr>
            <w:tcW w:w="0" w:type="auto"/>
            <w:tcBorders>
              <w:top w:val="nil"/>
              <w:left w:val="nil"/>
              <w:bottom w:val="nil"/>
              <w:right w:val="single" w:sz="4" w:space="0" w:color="auto"/>
            </w:tcBorders>
            <w:noWrap/>
            <w:vAlign w:val="bottom"/>
            <w:hideMark/>
          </w:tcPr>
          <w:p w14:paraId="6B2D76E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1D44DC22" w14:textId="77777777" w:rsidTr="00CA749B">
        <w:trPr>
          <w:trHeight w:val="300"/>
          <w:jc w:val="center"/>
        </w:trPr>
        <w:tc>
          <w:tcPr>
            <w:tcW w:w="0" w:type="auto"/>
            <w:tcBorders>
              <w:top w:val="nil"/>
              <w:left w:val="single" w:sz="4" w:space="0" w:color="auto"/>
              <w:bottom w:val="nil"/>
              <w:right w:val="nil"/>
            </w:tcBorders>
            <w:noWrap/>
            <w:vAlign w:val="bottom"/>
            <w:hideMark/>
          </w:tcPr>
          <w:p w14:paraId="4C84EFB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KORISSIA </w:t>
            </w:r>
          </w:p>
        </w:tc>
        <w:tc>
          <w:tcPr>
            <w:tcW w:w="0" w:type="auto"/>
            <w:tcBorders>
              <w:top w:val="nil"/>
              <w:left w:val="nil"/>
              <w:bottom w:val="nil"/>
              <w:right w:val="single" w:sz="4" w:space="0" w:color="auto"/>
            </w:tcBorders>
            <w:noWrap/>
            <w:vAlign w:val="bottom"/>
            <w:hideMark/>
          </w:tcPr>
          <w:p w14:paraId="22EDF10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72C080F" w14:textId="77777777" w:rsidTr="00CA749B">
        <w:trPr>
          <w:trHeight w:val="300"/>
          <w:jc w:val="center"/>
        </w:trPr>
        <w:tc>
          <w:tcPr>
            <w:tcW w:w="0" w:type="auto"/>
            <w:tcBorders>
              <w:top w:val="nil"/>
              <w:left w:val="single" w:sz="4" w:space="0" w:color="auto"/>
              <w:bottom w:val="nil"/>
              <w:right w:val="nil"/>
            </w:tcBorders>
            <w:noWrap/>
            <w:vAlign w:val="bottom"/>
            <w:hideMark/>
          </w:tcPr>
          <w:p w14:paraId="75BDD379"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KORONI </w:t>
            </w:r>
          </w:p>
        </w:tc>
        <w:tc>
          <w:tcPr>
            <w:tcW w:w="0" w:type="auto"/>
            <w:tcBorders>
              <w:top w:val="nil"/>
              <w:left w:val="nil"/>
              <w:bottom w:val="nil"/>
              <w:right w:val="single" w:sz="4" w:space="0" w:color="auto"/>
            </w:tcBorders>
            <w:noWrap/>
            <w:vAlign w:val="bottom"/>
            <w:hideMark/>
          </w:tcPr>
          <w:p w14:paraId="0E66C1F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5C994F3" w14:textId="77777777" w:rsidTr="00CA749B">
        <w:trPr>
          <w:trHeight w:val="300"/>
          <w:jc w:val="center"/>
        </w:trPr>
        <w:tc>
          <w:tcPr>
            <w:tcW w:w="0" w:type="auto"/>
            <w:tcBorders>
              <w:top w:val="nil"/>
              <w:left w:val="single" w:sz="4" w:space="0" w:color="auto"/>
              <w:bottom w:val="nil"/>
              <w:right w:val="nil"/>
            </w:tcBorders>
            <w:noWrap/>
            <w:vAlign w:val="bottom"/>
            <w:hideMark/>
          </w:tcPr>
          <w:p w14:paraId="0F3DED7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Theme="minorEastAsia" w:hAnsi="Cambria" w:cs="Times New Roman"/>
                <w:color w:val="000000"/>
                <w:sz w:val="20"/>
                <w:szCs w:val="20"/>
                <w:lang w:val="en-GB" w:eastAsia="en-GB"/>
                <w14:ligatures w14:val="standardContextual"/>
              </w:rPr>
              <w:t>KORTHIOU</w:t>
            </w:r>
            <w:r w:rsidRPr="00F0379B">
              <w:rPr>
                <w:rFonts w:ascii="Cambria" w:eastAsia="MS Gothic" w:hAnsi="Cambria" w:cs="Times New Roman"/>
                <w:color w:val="000000"/>
                <w:sz w:val="20"/>
                <w:szCs w:val="20"/>
                <w:lang w:val="en-GB" w:eastAsia="fr-FR" w:bidi="fr-FR"/>
                <w14:ligatures w14:val="standardContextual"/>
              </w:rPr>
              <w:t xml:space="preserve"> ANDROU</w:t>
            </w:r>
          </w:p>
        </w:tc>
        <w:tc>
          <w:tcPr>
            <w:tcW w:w="0" w:type="auto"/>
            <w:tcBorders>
              <w:top w:val="nil"/>
              <w:left w:val="nil"/>
              <w:bottom w:val="nil"/>
              <w:right w:val="single" w:sz="4" w:space="0" w:color="auto"/>
            </w:tcBorders>
            <w:noWrap/>
            <w:vAlign w:val="bottom"/>
            <w:hideMark/>
          </w:tcPr>
          <w:p w14:paraId="55CA87D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3B263C4E" w14:textId="77777777" w:rsidTr="00CA749B">
        <w:trPr>
          <w:trHeight w:val="300"/>
          <w:jc w:val="center"/>
        </w:trPr>
        <w:tc>
          <w:tcPr>
            <w:tcW w:w="0" w:type="auto"/>
            <w:tcBorders>
              <w:top w:val="nil"/>
              <w:left w:val="single" w:sz="4" w:space="0" w:color="auto"/>
              <w:bottom w:val="nil"/>
              <w:right w:val="nil"/>
            </w:tcBorders>
            <w:noWrap/>
            <w:vAlign w:val="bottom"/>
            <w:hideMark/>
          </w:tcPr>
          <w:p w14:paraId="31640C5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KOS </w:t>
            </w:r>
          </w:p>
        </w:tc>
        <w:tc>
          <w:tcPr>
            <w:tcW w:w="0" w:type="auto"/>
            <w:tcBorders>
              <w:top w:val="nil"/>
              <w:left w:val="nil"/>
              <w:bottom w:val="nil"/>
              <w:right w:val="single" w:sz="4" w:space="0" w:color="auto"/>
            </w:tcBorders>
            <w:noWrap/>
            <w:vAlign w:val="bottom"/>
            <w:hideMark/>
          </w:tcPr>
          <w:p w14:paraId="6639315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5B0238B" w14:textId="77777777" w:rsidTr="00CA749B">
        <w:trPr>
          <w:trHeight w:val="300"/>
          <w:jc w:val="center"/>
        </w:trPr>
        <w:tc>
          <w:tcPr>
            <w:tcW w:w="0" w:type="auto"/>
            <w:tcBorders>
              <w:top w:val="nil"/>
              <w:left w:val="single" w:sz="4" w:space="0" w:color="auto"/>
              <w:bottom w:val="nil"/>
              <w:right w:val="nil"/>
            </w:tcBorders>
            <w:noWrap/>
            <w:vAlign w:val="bottom"/>
            <w:hideMark/>
          </w:tcPr>
          <w:p w14:paraId="44E45F8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KOTSINAS LIMNOU</w:t>
            </w:r>
          </w:p>
        </w:tc>
        <w:tc>
          <w:tcPr>
            <w:tcW w:w="0" w:type="auto"/>
            <w:tcBorders>
              <w:top w:val="nil"/>
              <w:left w:val="nil"/>
              <w:bottom w:val="nil"/>
              <w:right w:val="single" w:sz="4" w:space="0" w:color="auto"/>
            </w:tcBorders>
            <w:noWrap/>
            <w:vAlign w:val="bottom"/>
            <w:hideMark/>
          </w:tcPr>
          <w:p w14:paraId="08321DD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2D8D73F9" w14:textId="77777777" w:rsidTr="00CA749B">
        <w:trPr>
          <w:trHeight w:val="300"/>
          <w:jc w:val="center"/>
        </w:trPr>
        <w:tc>
          <w:tcPr>
            <w:tcW w:w="0" w:type="auto"/>
            <w:tcBorders>
              <w:top w:val="nil"/>
              <w:left w:val="single" w:sz="4" w:space="0" w:color="auto"/>
              <w:bottom w:val="nil"/>
              <w:right w:val="nil"/>
            </w:tcBorders>
            <w:noWrap/>
            <w:vAlign w:val="bottom"/>
            <w:hideMark/>
          </w:tcPr>
          <w:p w14:paraId="51503BD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KOUFONISI </w:t>
            </w:r>
          </w:p>
        </w:tc>
        <w:tc>
          <w:tcPr>
            <w:tcW w:w="0" w:type="auto"/>
            <w:tcBorders>
              <w:top w:val="nil"/>
              <w:left w:val="nil"/>
              <w:bottom w:val="nil"/>
              <w:right w:val="single" w:sz="4" w:space="0" w:color="auto"/>
            </w:tcBorders>
            <w:noWrap/>
            <w:vAlign w:val="bottom"/>
            <w:hideMark/>
          </w:tcPr>
          <w:p w14:paraId="0E13ED9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85C2374" w14:textId="77777777" w:rsidTr="00CA749B">
        <w:trPr>
          <w:trHeight w:val="300"/>
          <w:jc w:val="center"/>
        </w:trPr>
        <w:tc>
          <w:tcPr>
            <w:tcW w:w="0" w:type="auto"/>
            <w:tcBorders>
              <w:top w:val="nil"/>
              <w:left w:val="single" w:sz="4" w:space="0" w:color="auto"/>
              <w:bottom w:val="nil"/>
              <w:right w:val="nil"/>
            </w:tcBorders>
            <w:noWrap/>
            <w:vAlign w:val="bottom"/>
            <w:hideMark/>
          </w:tcPr>
          <w:p w14:paraId="26A6D5F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KOUREMENOS </w:t>
            </w:r>
          </w:p>
        </w:tc>
        <w:tc>
          <w:tcPr>
            <w:tcW w:w="0" w:type="auto"/>
            <w:tcBorders>
              <w:top w:val="nil"/>
              <w:left w:val="nil"/>
              <w:bottom w:val="nil"/>
              <w:right w:val="single" w:sz="4" w:space="0" w:color="auto"/>
            </w:tcBorders>
            <w:noWrap/>
            <w:vAlign w:val="bottom"/>
            <w:hideMark/>
          </w:tcPr>
          <w:p w14:paraId="696A917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2F7C383" w14:textId="77777777" w:rsidTr="00CA749B">
        <w:trPr>
          <w:trHeight w:val="300"/>
          <w:jc w:val="center"/>
        </w:trPr>
        <w:tc>
          <w:tcPr>
            <w:tcW w:w="0" w:type="auto"/>
            <w:tcBorders>
              <w:top w:val="nil"/>
              <w:left w:val="single" w:sz="4" w:space="0" w:color="auto"/>
              <w:bottom w:val="nil"/>
              <w:right w:val="nil"/>
            </w:tcBorders>
            <w:noWrap/>
            <w:vAlign w:val="bottom"/>
            <w:hideMark/>
          </w:tcPr>
          <w:p w14:paraId="41C8F81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KYLLINI </w:t>
            </w:r>
          </w:p>
        </w:tc>
        <w:tc>
          <w:tcPr>
            <w:tcW w:w="0" w:type="auto"/>
            <w:tcBorders>
              <w:top w:val="nil"/>
              <w:left w:val="nil"/>
              <w:bottom w:val="nil"/>
              <w:right w:val="single" w:sz="4" w:space="0" w:color="auto"/>
            </w:tcBorders>
            <w:noWrap/>
            <w:vAlign w:val="bottom"/>
            <w:hideMark/>
          </w:tcPr>
          <w:p w14:paraId="55E1D00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73990103" w14:textId="77777777" w:rsidTr="00CA749B">
        <w:trPr>
          <w:trHeight w:val="300"/>
          <w:jc w:val="center"/>
        </w:trPr>
        <w:tc>
          <w:tcPr>
            <w:tcW w:w="0" w:type="auto"/>
            <w:tcBorders>
              <w:top w:val="nil"/>
              <w:left w:val="single" w:sz="4" w:space="0" w:color="auto"/>
              <w:bottom w:val="nil"/>
              <w:right w:val="nil"/>
            </w:tcBorders>
            <w:noWrap/>
            <w:vAlign w:val="bottom"/>
            <w:hideMark/>
          </w:tcPr>
          <w:p w14:paraId="0614604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KYMI </w:t>
            </w:r>
          </w:p>
        </w:tc>
        <w:tc>
          <w:tcPr>
            <w:tcW w:w="0" w:type="auto"/>
            <w:tcBorders>
              <w:top w:val="nil"/>
              <w:left w:val="nil"/>
              <w:bottom w:val="nil"/>
              <w:right w:val="single" w:sz="4" w:space="0" w:color="auto"/>
            </w:tcBorders>
            <w:noWrap/>
            <w:vAlign w:val="bottom"/>
            <w:hideMark/>
          </w:tcPr>
          <w:p w14:paraId="56BEDFB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31624667" w14:textId="77777777" w:rsidTr="00CA749B">
        <w:trPr>
          <w:trHeight w:val="300"/>
          <w:jc w:val="center"/>
        </w:trPr>
        <w:tc>
          <w:tcPr>
            <w:tcW w:w="0" w:type="auto"/>
            <w:tcBorders>
              <w:top w:val="nil"/>
              <w:left w:val="single" w:sz="4" w:space="0" w:color="auto"/>
              <w:bottom w:val="nil"/>
              <w:right w:val="nil"/>
            </w:tcBorders>
            <w:noWrap/>
            <w:vAlign w:val="bottom"/>
            <w:hideMark/>
          </w:tcPr>
          <w:p w14:paraId="4FC8BD4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KYPARISSIA </w:t>
            </w:r>
          </w:p>
        </w:tc>
        <w:tc>
          <w:tcPr>
            <w:tcW w:w="0" w:type="auto"/>
            <w:tcBorders>
              <w:top w:val="nil"/>
              <w:left w:val="nil"/>
              <w:bottom w:val="nil"/>
              <w:right w:val="single" w:sz="4" w:space="0" w:color="auto"/>
            </w:tcBorders>
            <w:noWrap/>
            <w:vAlign w:val="bottom"/>
            <w:hideMark/>
          </w:tcPr>
          <w:p w14:paraId="63117FD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2605393" w14:textId="77777777" w:rsidTr="00CA749B">
        <w:trPr>
          <w:trHeight w:val="300"/>
          <w:jc w:val="center"/>
        </w:trPr>
        <w:tc>
          <w:tcPr>
            <w:tcW w:w="0" w:type="auto"/>
            <w:tcBorders>
              <w:top w:val="nil"/>
              <w:left w:val="single" w:sz="4" w:space="0" w:color="auto"/>
              <w:bottom w:val="nil"/>
              <w:right w:val="nil"/>
            </w:tcBorders>
            <w:noWrap/>
            <w:vAlign w:val="bottom"/>
            <w:hideMark/>
          </w:tcPr>
          <w:p w14:paraId="2233BB7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LARDOU</w:t>
            </w:r>
          </w:p>
        </w:tc>
        <w:tc>
          <w:tcPr>
            <w:tcW w:w="0" w:type="auto"/>
            <w:tcBorders>
              <w:top w:val="nil"/>
              <w:left w:val="nil"/>
              <w:bottom w:val="nil"/>
              <w:right w:val="single" w:sz="4" w:space="0" w:color="auto"/>
            </w:tcBorders>
            <w:noWrap/>
            <w:vAlign w:val="bottom"/>
            <w:hideMark/>
          </w:tcPr>
          <w:p w14:paraId="35AB296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290BCEDF" w14:textId="77777777" w:rsidTr="00CA749B">
        <w:trPr>
          <w:trHeight w:val="300"/>
          <w:jc w:val="center"/>
        </w:trPr>
        <w:tc>
          <w:tcPr>
            <w:tcW w:w="0" w:type="auto"/>
            <w:tcBorders>
              <w:top w:val="nil"/>
              <w:left w:val="single" w:sz="4" w:space="0" w:color="auto"/>
              <w:bottom w:val="nil"/>
              <w:right w:val="nil"/>
            </w:tcBorders>
            <w:noWrap/>
            <w:vAlign w:val="bottom"/>
            <w:hideMark/>
          </w:tcPr>
          <w:p w14:paraId="4472EB3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LAVRIO </w:t>
            </w:r>
          </w:p>
        </w:tc>
        <w:tc>
          <w:tcPr>
            <w:tcW w:w="0" w:type="auto"/>
            <w:tcBorders>
              <w:top w:val="nil"/>
              <w:left w:val="nil"/>
              <w:bottom w:val="nil"/>
              <w:right w:val="single" w:sz="4" w:space="0" w:color="auto"/>
            </w:tcBorders>
            <w:noWrap/>
            <w:vAlign w:val="bottom"/>
            <w:hideMark/>
          </w:tcPr>
          <w:p w14:paraId="07B7964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0FF927DD" w14:textId="77777777" w:rsidTr="00CA749B">
        <w:trPr>
          <w:trHeight w:val="300"/>
          <w:jc w:val="center"/>
        </w:trPr>
        <w:tc>
          <w:tcPr>
            <w:tcW w:w="0" w:type="auto"/>
            <w:tcBorders>
              <w:top w:val="nil"/>
              <w:left w:val="single" w:sz="4" w:space="0" w:color="auto"/>
              <w:bottom w:val="nil"/>
              <w:right w:val="nil"/>
            </w:tcBorders>
            <w:noWrap/>
            <w:vAlign w:val="bottom"/>
            <w:hideMark/>
          </w:tcPr>
          <w:p w14:paraId="450C0EA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LEFKADA </w:t>
            </w:r>
          </w:p>
        </w:tc>
        <w:tc>
          <w:tcPr>
            <w:tcW w:w="0" w:type="auto"/>
            <w:tcBorders>
              <w:top w:val="nil"/>
              <w:left w:val="nil"/>
              <w:bottom w:val="nil"/>
              <w:right w:val="single" w:sz="4" w:space="0" w:color="auto"/>
            </w:tcBorders>
            <w:noWrap/>
            <w:vAlign w:val="bottom"/>
            <w:hideMark/>
          </w:tcPr>
          <w:p w14:paraId="7A9A63F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0AE522DC" w14:textId="77777777" w:rsidTr="00CA749B">
        <w:trPr>
          <w:trHeight w:val="300"/>
          <w:jc w:val="center"/>
        </w:trPr>
        <w:tc>
          <w:tcPr>
            <w:tcW w:w="0" w:type="auto"/>
            <w:tcBorders>
              <w:top w:val="nil"/>
              <w:left w:val="single" w:sz="4" w:space="0" w:color="auto"/>
              <w:bottom w:val="nil"/>
              <w:right w:val="nil"/>
            </w:tcBorders>
            <w:noWrap/>
            <w:vAlign w:val="bottom"/>
            <w:hideMark/>
          </w:tcPr>
          <w:p w14:paraId="647B00F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LEFKIMMI </w:t>
            </w:r>
          </w:p>
        </w:tc>
        <w:tc>
          <w:tcPr>
            <w:tcW w:w="0" w:type="auto"/>
            <w:tcBorders>
              <w:top w:val="nil"/>
              <w:left w:val="nil"/>
              <w:bottom w:val="nil"/>
              <w:right w:val="single" w:sz="4" w:space="0" w:color="auto"/>
            </w:tcBorders>
            <w:noWrap/>
            <w:vAlign w:val="bottom"/>
            <w:hideMark/>
          </w:tcPr>
          <w:p w14:paraId="5DE08F4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ABFCC4B" w14:textId="77777777" w:rsidTr="00CA749B">
        <w:trPr>
          <w:trHeight w:val="300"/>
          <w:jc w:val="center"/>
        </w:trPr>
        <w:tc>
          <w:tcPr>
            <w:tcW w:w="0" w:type="auto"/>
            <w:tcBorders>
              <w:top w:val="nil"/>
              <w:left w:val="single" w:sz="4" w:space="0" w:color="auto"/>
              <w:bottom w:val="nil"/>
              <w:right w:val="nil"/>
            </w:tcBorders>
            <w:noWrap/>
            <w:vAlign w:val="bottom"/>
            <w:hideMark/>
          </w:tcPr>
          <w:p w14:paraId="13770EC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LEONIDIO </w:t>
            </w:r>
          </w:p>
        </w:tc>
        <w:tc>
          <w:tcPr>
            <w:tcW w:w="0" w:type="auto"/>
            <w:tcBorders>
              <w:top w:val="nil"/>
              <w:left w:val="nil"/>
              <w:bottom w:val="nil"/>
              <w:right w:val="single" w:sz="4" w:space="0" w:color="auto"/>
            </w:tcBorders>
            <w:noWrap/>
            <w:vAlign w:val="bottom"/>
            <w:hideMark/>
          </w:tcPr>
          <w:p w14:paraId="597E3B8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5C587BE" w14:textId="77777777" w:rsidTr="00CA749B">
        <w:trPr>
          <w:trHeight w:val="300"/>
          <w:jc w:val="center"/>
        </w:trPr>
        <w:tc>
          <w:tcPr>
            <w:tcW w:w="0" w:type="auto"/>
            <w:tcBorders>
              <w:top w:val="nil"/>
              <w:left w:val="single" w:sz="4" w:space="0" w:color="auto"/>
              <w:bottom w:val="nil"/>
              <w:right w:val="nil"/>
            </w:tcBorders>
            <w:noWrap/>
            <w:vAlign w:val="bottom"/>
            <w:hideMark/>
          </w:tcPr>
          <w:p w14:paraId="0B0D2FF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LIMENARIA THASOU</w:t>
            </w:r>
          </w:p>
        </w:tc>
        <w:tc>
          <w:tcPr>
            <w:tcW w:w="0" w:type="auto"/>
            <w:tcBorders>
              <w:top w:val="nil"/>
              <w:left w:val="nil"/>
              <w:bottom w:val="nil"/>
              <w:right w:val="single" w:sz="4" w:space="0" w:color="auto"/>
            </w:tcBorders>
            <w:noWrap/>
            <w:vAlign w:val="bottom"/>
            <w:hideMark/>
          </w:tcPr>
          <w:p w14:paraId="13F4EA19"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8456E61" w14:textId="77777777" w:rsidTr="00CA749B">
        <w:trPr>
          <w:trHeight w:val="300"/>
          <w:jc w:val="center"/>
        </w:trPr>
        <w:tc>
          <w:tcPr>
            <w:tcW w:w="0" w:type="auto"/>
            <w:tcBorders>
              <w:top w:val="nil"/>
              <w:left w:val="single" w:sz="4" w:space="0" w:color="auto"/>
              <w:bottom w:val="nil"/>
              <w:right w:val="nil"/>
            </w:tcBorders>
            <w:noWrap/>
            <w:vAlign w:val="bottom"/>
            <w:hideMark/>
          </w:tcPr>
          <w:p w14:paraId="75F5428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LIMNI EVVOIAS </w:t>
            </w:r>
          </w:p>
        </w:tc>
        <w:tc>
          <w:tcPr>
            <w:tcW w:w="0" w:type="auto"/>
            <w:tcBorders>
              <w:top w:val="nil"/>
              <w:left w:val="nil"/>
              <w:bottom w:val="nil"/>
              <w:right w:val="single" w:sz="4" w:space="0" w:color="auto"/>
            </w:tcBorders>
            <w:noWrap/>
            <w:vAlign w:val="bottom"/>
            <w:hideMark/>
          </w:tcPr>
          <w:p w14:paraId="5D058829"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52711F4" w14:textId="77777777" w:rsidTr="00CA749B">
        <w:trPr>
          <w:trHeight w:val="300"/>
          <w:jc w:val="center"/>
        </w:trPr>
        <w:tc>
          <w:tcPr>
            <w:tcW w:w="0" w:type="auto"/>
            <w:tcBorders>
              <w:top w:val="nil"/>
              <w:left w:val="single" w:sz="4" w:space="0" w:color="auto"/>
              <w:bottom w:val="nil"/>
              <w:right w:val="nil"/>
            </w:tcBorders>
            <w:noWrap/>
            <w:vAlign w:val="bottom"/>
            <w:hideMark/>
          </w:tcPr>
          <w:p w14:paraId="5AA83EC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LINOPERAMATA (RODIA) IRAKLEIOU</w:t>
            </w:r>
          </w:p>
        </w:tc>
        <w:tc>
          <w:tcPr>
            <w:tcW w:w="0" w:type="auto"/>
            <w:tcBorders>
              <w:top w:val="nil"/>
              <w:left w:val="nil"/>
              <w:bottom w:val="nil"/>
              <w:right w:val="single" w:sz="4" w:space="0" w:color="auto"/>
            </w:tcBorders>
            <w:noWrap/>
            <w:vAlign w:val="bottom"/>
            <w:hideMark/>
          </w:tcPr>
          <w:p w14:paraId="037D3356"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806404E" w14:textId="77777777" w:rsidTr="00CA749B">
        <w:trPr>
          <w:trHeight w:val="300"/>
          <w:jc w:val="center"/>
        </w:trPr>
        <w:tc>
          <w:tcPr>
            <w:tcW w:w="0" w:type="auto"/>
            <w:tcBorders>
              <w:top w:val="nil"/>
              <w:left w:val="single" w:sz="4" w:space="0" w:color="auto"/>
              <w:bottom w:val="nil"/>
              <w:right w:val="nil"/>
            </w:tcBorders>
            <w:noWrap/>
            <w:vAlign w:val="bottom"/>
            <w:hideMark/>
          </w:tcPr>
          <w:p w14:paraId="76E8A1D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LITHI CHIOU</w:t>
            </w:r>
          </w:p>
        </w:tc>
        <w:tc>
          <w:tcPr>
            <w:tcW w:w="0" w:type="auto"/>
            <w:tcBorders>
              <w:top w:val="nil"/>
              <w:left w:val="nil"/>
              <w:bottom w:val="nil"/>
              <w:right w:val="single" w:sz="4" w:space="0" w:color="auto"/>
            </w:tcBorders>
            <w:noWrap/>
            <w:vAlign w:val="bottom"/>
            <w:hideMark/>
          </w:tcPr>
          <w:p w14:paraId="5594C99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395BE8A" w14:textId="77777777" w:rsidTr="00CA749B">
        <w:trPr>
          <w:trHeight w:val="300"/>
          <w:jc w:val="center"/>
        </w:trPr>
        <w:tc>
          <w:tcPr>
            <w:tcW w:w="0" w:type="auto"/>
            <w:tcBorders>
              <w:top w:val="nil"/>
              <w:left w:val="single" w:sz="4" w:space="0" w:color="auto"/>
              <w:bottom w:val="nil"/>
              <w:right w:val="nil"/>
            </w:tcBorders>
            <w:noWrap/>
            <w:vAlign w:val="bottom"/>
            <w:hideMark/>
          </w:tcPr>
          <w:p w14:paraId="32DDCEB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LIVADI </w:t>
            </w:r>
            <w:r w:rsidRPr="00F0379B">
              <w:rPr>
                <w:rFonts w:ascii="Cambria" w:eastAsiaTheme="minorEastAsia" w:hAnsi="Cambria" w:cs="Times New Roman"/>
                <w:color w:val="000000"/>
                <w:sz w:val="20"/>
                <w:szCs w:val="20"/>
                <w:lang w:val="en-GB" w:eastAsia="en-GB"/>
                <w14:ligatures w14:val="standardContextual"/>
              </w:rPr>
              <w:t>SERIFOU</w:t>
            </w:r>
          </w:p>
        </w:tc>
        <w:tc>
          <w:tcPr>
            <w:tcW w:w="0" w:type="auto"/>
            <w:tcBorders>
              <w:top w:val="nil"/>
              <w:left w:val="nil"/>
              <w:bottom w:val="nil"/>
              <w:right w:val="single" w:sz="4" w:space="0" w:color="auto"/>
            </w:tcBorders>
            <w:noWrap/>
            <w:vAlign w:val="bottom"/>
            <w:hideMark/>
          </w:tcPr>
          <w:p w14:paraId="02514A2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708F3A47" w14:textId="77777777" w:rsidTr="00CA749B">
        <w:trPr>
          <w:trHeight w:val="300"/>
          <w:jc w:val="center"/>
        </w:trPr>
        <w:tc>
          <w:tcPr>
            <w:tcW w:w="0" w:type="auto"/>
            <w:tcBorders>
              <w:top w:val="nil"/>
              <w:left w:val="single" w:sz="4" w:space="0" w:color="auto"/>
              <w:bottom w:val="nil"/>
              <w:right w:val="nil"/>
            </w:tcBorders>
            <w:noWrap/>
            <w:vAlign w:val="bottom"/>
            <w:hideMark/>
          </w:tcPr>
          <w:p w14:paraId="22BB72D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LIXOURI </w:t>
            </w:r>
          </w:p>
        </w:tc>
        <w:tc>
          <w:tcPr>
            <w:tcW w:w="0" w:type="auto"/>
            <w:tcBorders>
              <w:top w:val="nil"/>
              <w:left w:val="nil"/>
              <w:bottom w:val="nil"/>
              <w:right w:val="single" w:sz="4" w:space="0" w:color="auto"/>
            </w:tcBorders>
            <w:noWrap/>
            <w:vAlign w:val="bottom"/>
            <w:hideMark/>
          </w:tcPr>
          <w:p w14:paraId="0C31E0F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B5DC9B6" w14:textId="77777777" w:rsidTr="00CA749B">
        <w:trPr>
          <w:trHeight w:val="300"/>
          <w:jc w:val="center"/>
        </w:trPr>
        <w:tc>
          <w:tcPr>
            <w:tcW w:w="0" w:type="auto"/>
            <w:tcBorders>
              <w:top w:val="nil"/>
              <w:left w:val="single" w:sz="4" w:space="0" w:color="auto"/>
              <w:bottom w:val="nil"/>
              <w:right w:val="nil"/>
            </w:tcBorders>
            <w:noWrap/>
            <w:vAlign w:val="bottom"/>
            <w:hideMark/>
          </w:tcPr>
          <w:p w14:paraId="41BBAB3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LYGIA LEFKADAS </w:t>
            </w:r>
          </w:p>
        </w:tc>
        <w:tc>
          <w:tcPr>
            <w:tcW w:w="0" w:type="auto"/>
            <w:tcBorders>
              <w:top w:val="nil"/>
              <w:left w:val="nil"/>
              <w:bottom w:val="nil"/>
              <w:right w:val="single" w:sz="4" w:space="0" w:color="auto"/>
            </w:tcBorders>
            <w:noWrap/>
            <w:vAlign w:val="bottom"/>
            <w:hideMark/>
          </w:tcPr>
          <w:p w14:paraId="57A54BE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721D808F" w14:textId="77777777" w:rsidTr="00CA749B">
        <w:trPr>
          <w:trHeight w:val="300"/>
          <w:jc w:val="center"/>
        </w:trPr>
        <w:tc>
          <w:tcPr>
            <w:tcW w:w="0" w:type="auto"/>
            <w:tcBorders>
              <w:top w:val="nil"/>
              <w:left w:val="single" w:sz="4" w:space="0" w:color="auto"/>
              <w:bottom w:val="nil"/>
              <w:right w:val="nil"/>
            </w:tcBorders>
            <w:noWrap/>
            <w:vAlign w:val="bottom"/>
            <w:hideMark/>
          </w:tcPr>
          <w:p w14:paraId="5810416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LYGIA PREVEZAS </w:t>
            </w:r>
          </w:p>
        </w:tc>
        <w:tc>
          <w:tcPr>
            <w:tcW w:w="0" w:type="auto"/>
            <w:tcBorders>
              <w:top w:val="nil"/>
              <w:left w:val="nil"/>
              <w:bottom w:val="nil"/>
              <w:right w:val="single" w:sz="4" w:space="0" w:color="auto"/>
            </w:tcBorders>
            <w:noWrap/>
            <w:vAlign w:val="bottom"/>
            <w:hideMark/>
          </w:tcPr>
          <w:p w14:paraId="02AAEB9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14D6B803" w14:textId="77777777" w:rsidTr="00CA749B">
        <w:trPr>
          <w:trHeight w:val="300"/>
          <w:jc w:val="center"/>
        </w:trPr>
        <w:tc>
          <w:tcPr>
            <w:tcW w:w="0" w:type="auto"/>
            <w:tcBorders>
              <w:top w:val="nil"/>
              <w:left w:val="single" w:sz="4" w:space="0" w:color="auto"/>
              <w:bottom w:val="nil"/>
              <w:right w:val="nil"/>
            </w:tcBorders>
            <w:noWrap/>
            <w:vAlign w:val="bottom"/>
            <w:hideMark/>
          </w:tcPr>
          <w:p w14:paraId="70D9D35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MAISTROS EVROU</w:t>
            </w:r>
          </w:p>
        </w:tc>
        <w:tc>
          <w:tcPr>
            <w:tcW w:w="0" w:type="auto"/>
            <w:tcBorders>
              <w:top w:val="nil"/>
              <w:left w:val="nil"/>
              <w:bottom w:val="nil"/>
              <w:right w:val="single" w:sz="4" w:space="0" w:color="auto"/>
            </w:tcBorders>
            <w:noWrap/>
            <w:vAlign w:val="bottom"/>
            <w:hideMark/>
          </w:tcPr>
          <w:p w14:paraId="6F8D252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CF782FB" w14:textId="77777777" w:rsidTr="00CA749B">
        <w:trPr>
          <w:trHeight w:val="300"/>
          <w:jc w:val="center"/>
        </w:trPr>
        <w:tc>
          <w:tcPr>
            <w:tcW w:w="0" w:type="auto"/>
            <w:tcBorders>
              <w:top w:val="nil"/>
              <w:left w:val="single" w:sz="4" w:space="0" w:color="auto"/>
              <w:bottom w:val="nil"/>
              <w:right w:val="nil"/>
            </w:tcBorders>
            <w:noWrap/>
            <w:vAlign w:val="bottom"/>
            <w:hideMark/>
          </w:tcPr>
          <w:p w14:paraId="0C5E0E2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MAKRI EVROU</w:t>
            </w:r>
          </w:p>
        </w:tc>
        <w:tc>
          <w:tcPr>
            <w:tcW w:w="0" w:type="auto"/>
            <w:tcBorders>
              <w:top w:val="nil"/>
              <w:left w:val="nil"/>
              <w:bottom w:val="nil"/>
              <w:right w:val="single" w:sz="4" w:space="0" w:color="auto"/>
            </w:tcBorders>
            <w:noWrap/>
            <w:vAlign w:val="bottom"/>
            <w:hideMark/>
          </w:tcPr>
          <w:p w14:paraId="0F51B77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1F779C9" w14:textId="77777777" w:rsidTr="00CA749B">
        <w:trPr>
          <w:trHeight w:val="300"/>
          <w:jc w:val="center"/>
        </w:trPr>
        <w:tc>
          <w:tcPr>
            <w:tcW w:w="0" w:type="auto"/>
            <w:tcBorders>
              <w:top w:val="nil"/>
              <w:left w:val="single" w:sz="4" w:space="0" w:color="auto"/>
              <w:bottom w:val="nil"/>
              <w:right w:val="nil"/>
            </w:tcBorders>
            <w:noWrap/>
            <w:vAlign w:val="bottom"/>
            <w:hideMark/>
          </w:tcPr>
          <w:p w14:paraId="4E68A69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MANTOUDI </w:t>
            </w:r>
          </w:p>
        </w:tc>
        <w:tc>
          <w:tcPr>
            <w:tcW w:w="0" w:type="auto"/>
            <w:tcBorders>
              <w:top w:val="nil"/>
              <w:left w:val="nil"/>
              <w:bottom w:val="nil"/>
              <w:right w:val="single" w:sz="4" w:space="0" w:color="auto"/>
            </w:tcBorders>
            <w:noWrap/>
            <w:vAlign w:val="bottom"/>
            <w:hideMark/>
          </w:tcPr>
          <w:p w14:paraId="1FCC76D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ED60291" w14:textId="77777777" w:rsidTr="00CA749B">
        <w:trPr>
          <w:trHeight w:val="300"/>
          <w:jc w:val="center"/>
        </w:trPr>
        <w:tc>
          <w:tcPr>
            <w:tcW w:w="0" w:type="auto"/>
            <w:tcBorders>
              <w:top w:val="nil"/>
              <w:left w:val="single" w:sz="4" w:space="0" w:color="auto"/>
              <w:bottom w:val="nil"/>
              <w:right w:val="nil"/>
            </w:tcBorders>
            <w:noWrap/>
            <w:vAlign w:val="bottom"/>
            <w:hideMark/>
          </w:tcPr>
          <w:p w14:paraId="0E07D489"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MARMARI EVVOIAS</w:t>
            </w:r>
          </w:p>
        </w:tc>
        <w:tc>
          <w:tcPr>
            <w:tcW w:w="0" w:type="auto"/>
            <w:tcBorders>
              <w:top w:val="nil"/>
              <w:left w:val="nil"/>
              <w:bottom w:val="nil"/>
              <w:right w:val="single" w:sz="4" w:space="0" w:color="auto"/>
            </w:tcBorders>
            <w:noWrap/>
            <w:vAlign w:val="bottom"/>
            <w:hideMark/>
          </w:tcPr>
          <w:p w14:paraId="5D714E4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268918D" w14:textId="77777777" w:rsidTr="00CA749B">
        <w:trPr>
          <w:trHeight w:val="300"/>
          <w:jc w:val="center"/>
        </w:trPr>
        <w:tc>
          <w:tcPr>
            <w:tcW w:w="0" w:type="auto"/>
            <w:tcBorders>
              <w:top w:val="nil"/>
              <w:left w:val="single" w:sz="4" w:space="0" w:color="auto"/>
              <w:bottom w:val="nil"/>
              <w:right w:val="nil"/>
            </w:tcBorders>
            <w:noWrap/>
            <w:vAlign w:val="bottom"/>
            <w:hideMark/>
          </w:tcPr>
          <w:p w14:paraId="532D54A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MARONEIA </w:t>
            </w:r>
            <w:r w:rsidRPr="00F0379B">
              <w:rPr>
                <w:rFonts w:ascii="Cambria" w:eastAsiaTheme="minorEastAsia" w:hAnsi="Cambria" w:cs="Times New Roman"/>
                <w:color w:val="000000"/>
                <w:sz w:val="20"/>
                <w:szCs w:val="20"/>
                <w:lang w:val="en-GB" w:eastAsia="en-GB"/>
                <w14:ligatures w14:val="standardContextual"/>
              </w:rPr>
              <w:t>RODOPIS</w:t>
            </w:r>
          </w:p>
        </w:tc>
        <w:tc>
          <w:tcPr>
            <w:tcW w:w="0" w:type="auto"/>
            <w:tcBorders>
              <w:top w:val="nil"/>
              <w:left w:val="nil"/>
              <w:bottom w:val="nil"/>
              <w:right w:val="single" w:sz="4" w:space="0" w:color="auto"/>
            </w:tcBorders>
            <w:noWrap/>
            <w:vAlign w:val="bottom"/>
            <w:hideMark/>
          </w:tcPr>
          <w:p w14:paraId="0D15A50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36700389" w14:textId="77777777" w:rsidTr="00CA749B">
        <w:trPr>
          <w:trHeight w:val="300"/>
          <w:jc w:val="center"/>
        </w:trPr>
        <w:tc>
          <w:tcPr>
            <w:tcW w:w="0" w:type="auto"/>
            <w:tcBorders>
              <w:top w:val="nil"/>
              <w:left w:val="single" w:sz="4" w:space="0" w:color="auto"/>
              <w:bottom w:val="nil"/>
              <w:right w:val="nil"/>
            </w:tcBorders>
            <w:noWrap/>
            <w:vAlign w:val="bottom"/>
            <w:hideMark/>
          </w:tcPr>
          <w:p w14:paraId="50A494C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MASTICHARI KOS</w:t>
            </w:r>
          </w:p>
        </w:tc>
        <w:tc>
          <w:tcPr>
            <w:tcW w:w="0" w:type="auto"/>
            <w:tcBorders>
              <w:top w:val="nil"/>
              <w:left w:val="nil"/>
              <w:bottom w:val="nil"/>
              <w:right w:val="single" w:sz="4" w:space="0" w:color="auto"/>
            </w:tcBorders>
            <w:noWrap/>
            <w:vAlign w:val="bottom"/>
            <w:hideMark/>
          </w:tcPr>
          <w:p w14:paraId="54ED80B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D6E20DE" w14:textId="77777777" w:rsidTr="00CA749B">
        <w:trPr>
          <w:trHeight w:val="300"/>
          <w:jc w:val="center"/>
        </w:trPr>
        <w:tc>
          <w:tcPr>
            <w:tcW w:w="0" w:type="auto"/>
            <w:tcBorders>
              <w:top w:val="nil"/>
              <w:left w:val="single" w:sz="4" w:space="0" w:color="auto"/>
              <w:bottom w:val="nil"/>
              <w:right w:val="nil"/>
            </w:tcBorders>
            <w:noWrap/>
            <w:vAlign w:val="bottom"/>
            <w:hideMark/>
          </w:tcPr>
          <w:p w14:paraId="02447FC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MATHRAKI KERKYRAS</w:t>
            </w:r>
          </w:p>
        </w:tc>
        <w:tc>
          <w:tcPr>
            <w:tcW w:w="0" w:type="auto"/>
            <w:tcBorders>
              <w:top w:val="nil"/>
              <w:left w:val="nil"/>
              <w:bottom w:val="nil"/>
              <w:right w:val="single" w:sz="4" w:space="0" w:color="auto"/>
            </w:tcBorders>
            <w:noWrap/>
            <w:vAlign w:val="bottom"/>
            <w:hideMark/>
          </w:tcPr>
          <w:p w14:paraId="18E7BDE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A2440E1" w14:textId="77777777" w:rsidTr="00CA749B">
        <w:trPr>
          <w:trHeight w:val="300"/>
          <w:jc w:val="center"/>
        </w:trPr>
        <w:tc>
          <w:tcPr>
            <w:tcW w:w="0" w:type="auto"/>
            <w:tcBorders>
              <w:top w:val="nil"/>
              <w:left w:val="single" w:sz="4" w:space="0" w:color="auto"/>
              <w:bottom w:val="nil"/>
              <w:right w:val="nil"/>
            </w:tcBorders>
            <w:noWrap/>
            <w:vAlign w:val="bottom"/>
            <w:hideMark/>
          </w:tcPr>
          <w:p w14:paraId="54EFA11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MAVRA LITHARIA KORINTHIAS</w:t>
            </w:r>
          </w:p>
        </w:tc>
        <w:tc>
          <w:tcPr>
            <w:tcW w:w="0" w:type="auto"/>
            <w:tcBorders>
              <w:top w:val="nil"/>
              <w:left w:val="nil"/>
              <w:bottom w:val="nil"/>
              <w:right w:val="single" w:sz="4" w:space="0" w:color="auto"/>
            </w:tcBorders>
            <w:noWrap/>
            <w:vAlign w:val="bottom"/>
            <w:hideMark/>
          </w:tcPr>
          <w:p w14:paraId="0804C5C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892A766" w14:textId="77777777" w:rsidTr="00CA749B">
        <w:trPr>
          <w:trHeight w:val="300"/>
          <w:jc w:val="center"/>
        </w:trPr>
        <w:tc>
          <w:tcPr>
            <w:tcW w:w="0" w:type="auto"/>
            <w:tcBorders>
              <w:top w:val="nil"/>
              <w:left w:val="single" w:sz="4" w:space="0" w:color="auto"/>
              <w:bottom w:val="nil"/>
              <w:right w:val="nil"/>
            </w:tcBorders>
            <w:noWrap/>
            <w:vAlign w:val="bottom"/>
            <w:hideMark/>
          </w:tcPr>
          <w:p w14:paraId="1BD9CC8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MAVROLIMNI </w:t>
            </w:r>
            <w:r w:rsidRPr="00F0379B">
              <w:rPr>
                <w:rFonts w:ascii="Cambria" w:eastAsiaTheme="minorEastAsia" w:hAnsi="Cambria" w:cs="Times New Roman"/>
                <w:color w:val="000000"/>
                <w:sz w:val="20"/>
                <w:szCs w:val="20"/>
                <w:lang w:val="en-GB" w:eastAsia="en-GB"/>
                <w14:ligatures w14:val="standardContextual"/>
              </w:rPr>
              <w:t>KORINTHIAS</w:t>
            </w:r>
          </w:p>
        </w:tc>
        <w:tc>
          <w:tcPr>
            <w:tcW w:w="0" w:type="auto"/>
            <w:tcBorders>
              <w:top w:val="nil"/>
              <w:left w:val="nil"/>
              <w:bottom w:val="nil"/>
              <w:right w:val="single" w:sz="4" w:space="0" w:color="auto"/>
            </w:tcBorders>
            <w:noWrap/>
            <w:vAlign w:val="bottom"/>
            <w:hideMark/>
          </w:tcPr>
          <w:p w14:paraId="0D89551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2FC0284A" w14:textId="77777777" w:rsidTr="00CA749B">
        <w:trPr>
          <w:trHeight w:val="300"/>
          <w:jc w:val="center"/>
        </w:trPr>
        <w:tc>
          <w:tcPr>
            <w:tcW w:w="0" w:type="auto"/>
            <w:tcBorders>
              <w:top w:val="nil"/>
              <w:left w:val="single" w:sz="4" w:space="0" w:color="auto"/>
              <w:bottom w:val="nil"/>
              <w:right w:val="nil"/>
            </w:tcBorders>
            <w:noWrap/>
            <w:vAlign w:val="bottom"/>
            <w:hideMark/>
          </w:tcPr>
          <w:p w14:paraId="5D2CF5E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MEGISTI </w:t>
            </w:r>
          </w:p>
        </w:tc>
        <w:tc>
          <w:tcPr>
            <w:tcW w:w="0" w:type="auto"/>
            <w:tcBorders>
              <w:top w:val="nil"/>
              <w:left w:val="nil"/>
              <w:bottom w:val="nil"/>
              <w:right w:val="single" w:sz="4" w:space="0" w:color="auto"/>
            </w:tcBorders>
            <w:noWrap/>
            <w:vAlign w:val="bottom"/>
            <w:hideMark/>
          </w:tcPr>
          <w:p w14:paraId="20E296C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23004E20" w14:textId="77777777" w:rsidTr="00CA749B">
        <w:trPr>
          <w:trHeight w:val="300"/>
          <w:jc w:val="center"/>
        </w:trPr>
        <w:tc>
          <w:tcPr>
            <w:tcW w:w="0" w:type="auto"/>
            <w:tcBorders>
              <w:top w:val="nil"/>
              <w:left w:val="single" w:sz="4" w:space="0" w:color="auto"/>
              <w:bottom w:val="nil"/>
              <w:right w:val="nil"/>
            </w:tcBorders>
            <w:noWrap/>
            <w:vAlign w:val="bottom"/>
            <w:hideMark/>
          </w:tcPr>
          <w:p w14:paraId="79D6755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MERICHAS </w:t>
            </w:r>
            <w:r w:rsidRPr="00F0379B">
              <w:rPr>
                <w:rFonts w:ascii="Cambria" w:eastAsiaTheme="minorEastAsia" w:hAnsi="Cambria" w:cs="Times New Roman"/>
                <w:color w:val="000000"/>
                <w:sz w:val="20"/>
                <w:szCs w:val="20"/>
                <w:lang w:val="en-GB" w:eastAsia="en-GB"/>
                <w14:ligatures w14:val="standardContextual"/>
              </w:rPr>
              <w:t>KYTHNOU</w:t>
            </w:r>
          </w:p>
        </w:tc>
        <w:tc>
          <w:tcPr>
            <w:tcW w:w="0" w:type="auto"/>
            <w:tcBorders>
              <w:top w:val="nil"/>
              <w:left w:val="nil"/>
              <w:bottom w:val="nil"/>
              <w:right w:val="single" w:sz="4" w:space="0" w:color="auto"/>
            </w:tcBorders>
            <w:noWrap/>
            <w:vAlign w:val="bottom"/>
            <w:hideMark/>
          </w:tcPr>
          <w:p w14:paraId="3360C8B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79A221AF" w14:textId="77777777" w:rsidTr="00CA749B">
        <w:trPr>
          <w:trHeight w:val="300"/>
          <w:jc w:val="center"/>
        </w:trPr>
        <w:tc>
          <w:tcPr>
            <w:tcW w:w="0" w:type="auto"/>
            <w:tcBorders>
              <w:top w:val="nil"/>
              <w:left w:val="single" w:sz="4" w:space="0" w:color="auto"/>
              <w:bottom w:val="nil"/>
              <w:right w:val="nil"/>
            </w:tcBorders>
            <w:noWrap/>
            <w:vAlign w:val="bottom"/>
            <w:hideMark/>
          </w:tcPr>
          <w:p w14:paraId="5DC1E5F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MESOLONGI </w:t>
            </w:r>
          </w:p>
        </w:tc>
        <w:tc>
          <w:tcPr>
            <w:tcW w:w="0" w:type="auto"/>
            <w:tcBorders>
              <w:top w:val="nil"/>
              <w:left w:val="nil"/>
              <w:bottom w:val="nil"/>
              <w:right w:val="single" w:sz="4" w:space="0" w:color="auto"/>
            </w:tcBorders>
            <w:noWrap/>
            <w:vAlign w:val="bottom"/>
            <w:hideMark/>
          </w:tcPr>
          <w:p w14:paraId="729FDB0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7269D7AC" w14:textId="77777777" w:rsidTr="00CA749B">
        <w:trPr>
          <w:trHeight w:val="300"/>
          <w:jc w:val="center"/>
        </w:trPr>
        <w:tc>
          <w:tcPr>
            <w:tcW w:w="0" w:type="auto"/>
            <w:tcBorders>
              <w:top w:val="nil"/>
              <w:left w:val="single" w:sz="4" w:space="0" w:color="auto"/>
              <w:bottom w:val="nil"/>
              <w:right w:val="nil"/>
            </w:tcBorders>
            <w:noWrap/>
            <w:vAlign w:val="bottom"/>
            <w:hideMark/>
          </w:tcPr>
          <w:p w14:paraId="5BF332E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MESTA </w:t>
            </w:r>
          </w:p>
        </w:tc>
        <w:tc>
          <w:tcPr>
            <w:tcW w:w="0" w:type="auto"/>
            <w:tcBorders>
              <w:top w:val="nil"/>
              <w:left w:val="nil"/>
              <w:bottom w:val="nil"/>
              <w:right w:val="single" w:sz="4" w:space="0" w:color="auto"/>
            </w:tcBorders>
            <w:noWrap/>
            <w:vAlign w:val="bottom"/>
            <w:hideMark/>
          </w:tcPr>
          <w:p w14:paraId="1BF3C8C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2DDFEF57" w14:textId="77777777" w:rsidTr="00CA749B">
        <w:trPr>
          <w:trHeight w:val="300"/>
          <w:jc w:val="center"/>
        </w:trPr>
        <w:tc>
          <w:tcPr>
            <w:tcW w:w="0" w:type="auto"/>
            <w:tcBorders>
              <w:top w:val="nil"/>
              <w:left w:val="single" w:sz="4" w:space="0" w:color="auto"/>
              <w:bottom w:val="nil"/>
              <w:right w:val="nil"/>
            </w:tcBorders>
            <w:noWrap/>
            <w:vAlign w:val="bottom"/>
            <w:hideMark/>
          </w:tcPr>
          <w:p w14:paraId="6183E4D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METHANA TROIZINIAS</w:t>
            </w:r>
          </w:p>
        </w:tc>
        <w:tc>
          <w:tcPr>
            <w:tcW w:w="0" w:type="auto"/>
            <w:tcBorders>
              <w:top w:val="nil"/>
              <w:left w:val="nil"/>
              <w:bottom w:val="nil"/>
              <w:right w:val="single" w:sz="4" w:space="0" w:color="auto"/>
            </w:tcBorders>
            <w:noWrap/>
            <w:vAlign w:val="bottom"/>
            <w:hideMark/>
          </w:tcPr>
          <w:p w14:paraId="1BEEA94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B38F661" w14:textId="77777777" w:rsidTr="00CA749B">
        <w:trPr>
          <w:trHeight w:val="300"/>
          <w:jc w:val="center"/>
        </w:trPr>
        <w:tc>
          <w:tcPr>
            <w:tcW w:w="0" w:type="auto"/>
            <w:tcBorders>
              <w:top w:val="nil"/>
              <w:left w:val="single" w:sz="4" w:space="0" w:color="auto"/>
              <w:bottom w:val="nil"/>
              <w:right w:val="nil"/>
            </w:tcBorders>
            <w:noWrap/>
            <w:vAlign w:val="bottom"/>
            <w:hideMark/>
          </w:tcPr>
          <w:p w14:paraId="02EDB67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MONEMVASIA </w:t>
            </w:r>
          </w:p>
        </w:tc>
        <w:tc>
          <w:tcPr>
            <w:tcW w:w="0" w:type="auto"/>
            <w:tcBorders>
              <w:top w:val="nil"/>
              <w:left w:val="nil"/>
              <w:bottom w:val="nil"/>
              <w:right w:val="single" w:sz="4" w:space="0" w:color="auto"/>
            </w:tcBorders>
            <w:noWrap/>
            <w:vAlign w:val="bottom"/>
            <w:hideMark/>
          </w:tcPr>
          <w:p w14:paraId="747D051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75970D9" w14:textId="77777777" w:rsidTr="00CA749B">
        <w:trPr>
          <w:trHeight w:val="300"/>
          <w:jc w:val="center"/>
        </w:trPr>
        <w:tc>
          <w:tcPr>
            <w:tcW w:w="0" w:type="auto"/>
            <w:tcBorders>
              <w:top w:val="nil"/>
              <w:left w:val="single" w:sz="4" w:space="0" w:color="auto"/>
              <w:bottom w:val="nil"/>
              <w:right w:val="nil"/>
            </w:tcBorders>
            <w:noWrap/>
            <w:vAlign w:val="bottom"/>
            <w:hideMark/>
          </w:tcPr>
          <w:p w14:paraId="5350F2D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MOUDROS </w:t>
            </w:r>
          </w:p>
        </w:tc>
        <w:tc>
          <w:tcPr>
            <w:tcW w:w="0" w:type="auto"/>
            <w:tcBorders>
              <w:top w:val="nil"/>
              <w:left w:val="nil"/>
              <w:bottom w:val="nil"/>
              <w:right w:val="single" w:sz="4" w:space="0" w:color="auto"/>
            </w:tcBorders>
            <w:noWrap/>
            <w:vAlign w:val="bottom"/>
            <w:hideMark/>
          </w:tcPr>
          <w:p w14:paraId="6380982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C5FC5C3" w14:textId="77777777" w:rsidTr="00CA749B">
        <w:trPr>
          <w:trHeight w:val="300"/>
          <w:jc w:val="center"/>
        </w:trPr>
        <w:tc>
          <w:tcPr>
            <w:tcW w:w="0" w:type="auto"/>
            <w:tcBorders>
              <w:top w:val="nil"/>
              <w:left w:val="single" w:sz="4" w:space="0" w:color="auto"/>
              <w:bottom w:val="nil"/>
              <w:right w:val="nil"/>
            </w:tcBorders>
            <w:noWrap/>
            <w:vAlign w:val="bottom"/>
            <w:hideMark/>
          </w:tcPr>
          <w:p w14:paraId="1D4B118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MOUTSOUNA NAXOU</w:t>
            </w:r>
          </w:p>
        </w:tc>
        <w:tc>
          <w:tcPr>
            <w:tcW w:w="0" w:type="auto"/>
            <w:tcBorders>
              <w:top w:val="nil"/>
              <w:left w:val="nil"/>
              <w:bottom w:val="nil"/>
              <w:right w:val="single" w:sz="4" w:space="0" w:color="auto"/>
            </w:tcBorders>
            <w:noWrap/>
            <w:vAlign w:val="bottom"/>
            <w:hideMark/>
          </w:tcPr>
          <w:p w14:paraId="63EBE93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EBA886C" w14:textId="77777777" w:rsidTr="00CA749B">
        <w:trPr>
          <w:trHeight w:val="300"/>
          <w:jc w:val="center"/>
        </w:trPr>
        <w:tc>
          <w:tcPr>
            <w:tcW w:w="0" w:type="auto"/>
            <w:tcBorders>
              <w:top w:val="nil"/>
              <w:left w:val="single" w:sz="4" w:space="0" w:color="auto"/>
              <w:bottom w:val="nil"/>
              <w:right w:val="nil"/>
            </w:tcBorders>
            <w:noWrap/>
            <w:vAlign w:val="bottom"/>
            <w:hideMark/>
          </w:tcPr>
          <w:p w14:paraId="3132CCA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MYKONOS </w:t>
            </w:r>
          </w:p>
        </w:tc>
        <w:tc>
          <w:tcPr>
            <w:tcW w:w="0" w:type="auto"/>
            <w:tcBorders>
              <w:top w:val="nil"/>
              <w:left w:val="nil"/>
              <w:bottom w:val="nil"/>
              <w:right w:val="single" w:sz="4" w:space="0" w:color="auto"/>
            </w:tcBorders>
            <w:noWrap/>
            <w:vAlign w:val="bottom"/>
            <w:hideMark/>
          </w:tcPr>
          <w:p w14:paraId="04E2754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77AC986" w14:textId="77777777" w:rsidTr="00CA749B">
        <w:trPr>
          <w:trHeight w:val="300"/>
          <w:jc w:val="center"/>
        </w:trPr>
        <w:tc>
          <w:tcPr>
            <w:tcW w:w="0" w:type="auto"/>
            <w:tcBorders>
              <w:top w:val="nil"/>
              <w:left w:val="single" w:sz="4" w:space="0" w:color="auto"/>
              <w:bottom w:val="nil"/>
              <w:right w:val="nil"/>
            </w:tcBorders>
            <w:noWrap/>
            <w:vAlign w:val="bottom"/>
            <w:hideMark/>
          </w:tcPr>
          <w:p w14:paraId="551090B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MYRINA </w:t>
            </w:r>
            <w:r w:rsidRPr="00F0379B">
              <w:rPr>
                <w:rFonts w:ascii="Cambria" w:eastAsiaTheme="minorEastAsia" w:hAnsi="Cambria" w:cs="Times New Roman"/>
                <w:color w:val="000000"/>
                <w:sz w:val="20"/>
                <w:szCs w:val="20"/>
                <w:lang w:val="en-GB" w:eastAsia="en-GB"/>
                <w14:ligatures w14:val="standardContextual"/>
              </w:rPr>
              <w:t>LIMNOU</w:t>
            </w:r>
          </w:p>
        </w:tc>
        <w:tc>
          <w:tcPr>
            <w:tcW w:w="0" w:type="auto"/>
            <w:tcBorders>
              <w:top w:val="nil"/>
              <w:left w:val="nil"/>
              <w:bottom w:val="nil"/>
              <w:right w:val="single" w:sz="4" w:space="0" w:color="auto"/>
            </w:tcBorders>
            <w:noWrap/>
            <w:vAlign w:val="bottom"/>
            <w:hideMark/>
          </w:tcPr>
          <w:p w14:paraId="778BC11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3DBBB97B" w14:textId="77777777" w:rsidTr="00CA749B">
        <w:trPr>
          <w:trHeight w:val="300"/>
          <w:jc w:val="center"/>
        </w:trPr>
        <w:tc>
          <w:tcPr>
            <w:tcW w:w="0" w:type="auto"/>
            <w:tcBorders>
              <w:top w:val="nil"/>
              <w:left w:val="single" w:sz="4" w:space="0" w:color="auto"/>
              <w:bottom w:val="nil"/>
              <w:right w:val="nil"/>
            </w:tcBorders>
            <w:noWrap/>
            <w:vAlign w:val="bottom"/>
            <w:hideMark/>
          </w:tcPr>
          <w:p w14:paraId="4C91E86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MYTIKAS </w:t>
            </w:r>
          </w:p>
        </w:tc>
        <w:tc>
          <w:tcPr>
            <w:tcW w:w="0" w:type="auto"/>
            <w:tcBorders>
              <w:top w:val="nil"/>
              <w:left w:val="nil"/>
              <w:bottom w:val="nil"/>
              <w:right w:val="single" w:sz="4" w:space="0" w:color="auto"/>
            </w:tcBorders>
            <w:noWrap/>
            <w:vAlign w:val="bottom"/>
            <w:hideMark/>
          </w:tcPr>
          <w:p w14:paraId="148E9A2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D9764FB" w14:textId="77777777" w:rsidTr="00CA749B">
        <w:trPr>
          <w:trHeight w:val="300"/>
          <w:jc w:val="center"/>
        </w:trPr>
        <w:tc>
          <w:tcPr>
            <w:tcW w:w="0" w:type="auto"/>
            <w:tcBorders>
              <w:top w:val="nil"/>
              <w:left w:val="single" w:sz="4" w:space="0" w:color="auto"/>
              <w:bottom w:val="nil"/>
              <w:right w:val="nil"/>
            </w:tcBorders>
            <w:noWrap/>
            <w:vAlign w:val="bottom"/>
            <w:hideMark/>
          </w:tcPr>
          <w:p w14:paraId="65C7873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MYTILINI </w:t>
            </w:r>
          </w:p>
        </w:tc>
        <w:tc>
          <w:tcPr>
            <w:tcW w:w="0" w:type="auto"/>
            <w:tcBorders>
              <w:top w:val="nil"/>
              <w:left w:val="nil"/>
              <w:bottom w:val="nil"/>
              <w:right w:val="single" w:sz="4" w:space="0" w:color="auto"/>
            </w:tcBorders>
            <w:noWrap/>
            <w:vAlign w:val="bottom"/>
            <w:hideMark/>
          </w:tcPr>
          <w:p w14:paraId="329A1EA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69D548FD" w14:textId="77777777" w:rsidTr="00CA749B">
        <w:trPr>
          <w:trHeight w:val="300"/>
          <w:jc w:val="center"/>
        </w:trPr>
        <w:tc>
          <w:tcPr>
            <w:tcW w:w="0" w:type="auto"/>
            <w:tcBorders>
              <w:top w:val="nil"/>
              <w:left w:val="single" w:sz="4" w:space="0" w:color="auto"/>
              <w:bottom w:val="nil"/>
              <w:right w:val="nil"/>
            </w:tcBorders>
            <w:noWrap/>
            <w:vAlign w:val="bottom"/>
            <w:hideMark/>
          </w:tcPr>
          <w:p w14:paraId="1409C96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NAFPAKTOS </w:t>
            </w:r>
          </w:p>
        </w:tc>
        <w:tc>
          <w:tcPr>
            <w:tcW w:w="0" w:type="auto"/>
            <w:tcBorders>
              <w:top w:val="nil"/>
              <w:left w:val="nil"/>
              <w:bottom w:val="nil"/>
              <w:right w:val="single" w:sz="4" w:space="0" w:color="auto"/>
            </w:tcBorders>
            <w:noWrap/>
            <w:vAlign w:val="bottom"/>
            <w:hideMark/>
          </w:tcPr>
          <w:p w14:paraId="567F39B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6CF919E" w14:textId="77777777" w:rsidTr="00CA749B">
        <w:trPr>
          <w:trHeight w:val="300"/>
          <w:jc w:val="center"/>
        </w:trPr>
        <w:tc>
          <w:tcPr>
            <w:tcW w:w="0" w:type="auto"/>
            <w:tcBorders>
              <w:top w:val="nil"/>
              <w:left w:val="single" w:sz="4" w:space="0" w:color="auto"/>
              <w:bottom w:val="nil"/>
              <w:right w:val="nil"/>
            </w:tcBorders>
            <w:noWrap/>
            <w:vAlign w:val="bottom"/>
            <w:hideMark/>
          </w:tcPr>
          <w:p w14:paraId="365DFE4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NAOUSA PAROU</w:t>
            </w:r>
          </w:p>
        </w:tc>
        <w:tc>
          <w:tcPr>
            <w:tcW w:w="0" w:type="auto"/>
            <w:tcBorders>
              <w:top w:val="nil"/>
              <w:left w:val="nil"/>
              <w:bottom w:val="nil"/>
              <w:right w:val="single" w:sz="4" w:space="0" w:color="auto"/>
            </w:tcBorders>
            <w:noWrap/>
            <w:vAlign w:val="bottom"/>
            <w:hideMark/>
          </w:tcPr>
          <w:p w14:paraId="4EEFF67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29AC3A6" w14:textId="77777777" w:rsidTr="00CA749B">
        <w:trPr>
          <w:trHeight w:val="300"/>
          <w:jc w:val="center"/>
        </w:trPr>
        <w:tc>
          <w:tcPr>
            <w:tcW w:w="0" w:type="auto"/>
            <w:tcBorders>
              <w:top w:val="nil"/>
              <w:left w:val="single" w:sz="4" w:space="0" w:color="auto"/>
              <w:bottom w:val="nil"/>
              <w:right w:val="nil"/>
            </w:tcBorders>
            <w:noWrap/>
            <w:vAlign w:val="bottom"/>
            <w:hideMark/>
          </w:tcPr>
          <w:p w14:paraId="4412386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NAXOS </w:t>
            </w:r>
          </w:p>
        </w:tc>
        <w:tc>
          <w:tcPr>
            <w:tcW w:w="0" w:type="auto"/>
            <w:tcBorders>
              <w:top w:val="nil"/>
              <w:left w:val="nil"/>
              <w:bottom w:val="nil"/>
              <w:right w:val="single" w:sz="4" w:space="0" w:color="auto"/>
            </w:tcBorders>
            <w:noWrap/>
            <w:vAlign w:val="bottom"/>
            <w:hideMark/>
          </w:tcPr>
          <w:p w14:paraId="0A0BD29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1567D73C" w14:textId="77777777" w:rsidTr="00CA749B">
        <w:trPr>
          <w:trHeight w:val="300"/>
          <w:jc w:val="center"/>
        </w:trPr>
        <w:tc>
          <w:tcPr>
            <w:tcW w:w="0" w:type="auto"/>
            <w:tcBorders>
              <w:top w:val="nil"/>
              <w:left w:val="single" w:sz="4" w:space="0" w:color="auto"/>
              <w:bottom w:val="nil"/>
              <w:right w:val="nil"/>
            </w:tcBorders>
            <w:noWrap/>
            <w:vAlign w:val="bottom"/>
            <w:hideMark/>
          </w:tcPr>
          <w:p w14:paraId="06507426"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NEA FOKAIA CHALKIDIKIS</w:t>
            </w:r>
          </w:p>
        </w:tc>
        <w:tc>
          <w:tcPr>
            <w:tcW w:w="0" w:type="auto"/>
            <w:tcBorders>
              <w:top w:val="nil"/>
              <w:left w:val="nil"/>
              <w:bottom w:val="nil"/>
              <w:right w:val="single" w:sz="4" w:space="0" w:color="auto"/>
            </w:tcBorders>
            <w:noWrap/>
            <w:vAlign w:val="bottom"/>
            <w:hideMark/>
          </w:tcPr>
          <w:p w14:paraId="57849C2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4D897FA" w14:textId="77777777" w:rsidTr="00CA749B">
        <w:trPr>
          <w:trHeight w:val="300"/>
          <w:jc w:val="center"/>
        </w:trPr>
        <w:tc>
          <w:tcPr>
            <w:tcW w:w="0" w:type="auto"/>
            <w:tcBorders>
              <w:top w:val="nil"/>
              <w:left w:val="single" w:sz="4" w:space="0" w:color="auto"/>
              <w:bottom w:val="nil"/>
              <w:right w:val="nil"/>
            </w:tcBorders>
            <w:noWrap/>
            <w:vAlign w:val="bottom"/>
            <w:hideMark/>
          </w:tcPr>
          <w:p w14:paraId="4BB8D72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NEA KALLIKRATEIA </w:t>
            </w:r>
          </w:p>
        </w:tc>
        <w:tc>
          <w:tcPr>
            <w:tcW w:w="0" w:type="auto"/>
            <w:tcBorders>
              <w:top w:val="nil"/>
              <w:left w:val="nil"/>
              <w:bottom w:val="nil"/>
              <w:right w:val="single" w:sz="4" w:space="0" w:color="auto"/>
            </w:tcBorders>
            <w:noWrap/>
            <w:vAlign w:val="bottom"/>
            <w:hideMark/>
          </w:tcPr>
          <w:p w14:paraId="0D22385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4CF73F1D" w14:textId="77777777" w:rsidTr="00CA749B">
        <w:trPr>
          <w:trHeight w:val="300"/>
          <w:jc w:val="center"/>
        </w:trPr>
        <w:tc>
          <w:tcPr>
            <w:tcW w:w="0" w:type="auto"/>
            <w:tcBorders>
              <w:top w:val="nil"/>
              <w:left w:val="single" w:sz="4" w:space="0" w:color="auto"/>
              <w:bottom w:val="nil"/>
              <w:right w:val="nil"/>
            </w:tcBorders>
            <w:noWrap/>
            <w:vAlign w:val="bottom"/>
            <w:hideMark/>
          </w:tcPr>
          <w:p w14:paraId="344B565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NEA MICHANIONA </w:t>
            </w:r>
          </w:p>
        </w:tc>
        <w:tc>
          <w:tcPr>
            <w:tcW w:w="0" w:type="auto"/>
            <w:tcBorders>
              <w:top w:val="nil"/>
              <w:left w:val="nil"/>
              <w:bottom w:val="nil"/>
              <w:right w:val="single" w:sz="4" w:space="0" w:color="auto"/>
            </w:tcBorders>
            <w:noWrap/>
            <w:vAlign w:val="bottom"/>
            <w:hideMark/>
          </w:tcPr>
          <w:p w14:paraId="493D3A6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4B334C80" w14:textId="77777777" w:rsidTr="00CA749B">
        <w:trPr>
          <w:trHeight w:val="300"/>
          <w:jc w:val="center"/>
        </w:trPr>
        <w:tc>
          <w:tcPr>
            <w:tcW w:w="0" w:type="auto"/>
            <w:tcBorders>
              <w:top w:val="nil"/>
              <w:left w:val="single" w:sz="4" w:space="0" w:color="auto"/>
              <w:bottom w:val="nil"/>
              <w:right w:val="nil"/>
            </w:tcBorders>
            <w:noWrap/>
            <w:vAlign w:val="bottom"/>
            <w:hideMark/>
          </w:tcPr>
          <w:p w14:paraId="443D1B5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NEA MOUDANIA </w:t>
            </w:r>
          </w:p>
        </w:tc>
        <w:tc>
          <w:tcPr>
            <w:tcW w:w="0" w:type="auto"/>
            <w:tcBorders>
              <w:top w:val="nil"/>
              <w:left w:val="nil"/>
              <w:bottom w:val="nil"/>
              <w:right w:val="single" w:sz="4" w:space="0" w:color="auto"/>
            </w:tcBorders>
            <w:noWrap/>
            <w:vAlign w:val="bottom"/>
            <w:hideMark/>
          </w:tcPr>
          <w:p w14:paraId="774FCB3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B169149" w14:textId="77777777" w:rsidTr="00CA749B">
        <w:trPr>
          <w:trHeight w:val="300"/>
          <w:jc w:val="center"/>
        </w:trPr>
        <w:tc>
          <w:tcPr>
            <w:tcW w:w="0" w:type="auto"/>
            <w:tcBorders>
              <w:top w:val="nil"/>
              <w:left w:val="single" w:sz="4" w:space="0" w:color="auto"/>
              <w:bottom w:val="nil"/>
              <w:right w:val="nil"/>
            </w:tcBorders>
            <w:noWrap/>
            <w:vAlign w:val="bottom"/>
            <w:hideMark/>
          </w:tcPr>
          <w:p w14:paraId="0A0AB6C6"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NEA PERAMOS ATTIKIS</w:t>
            </w:r>
          </w:p>
        </w:tc>
        <w:tc>
          <w:tcPr>
            <w:tcW w:w="0" w:type="auto"/>
            <w:tcBorders>
              <w:top w:val="nil"/>
              <w:left w:val="nil"/>
              <w:bottom w:val="nil"/>
              <w:right w:val="single" w:sz="4" w:space="0" w:color="auto"/>
            </w:tcBorders>
            <w:noWrap/>
            <w:vAlign w:val="bottom"/>
            <w:hideMark/>
          </w:tcPr>
          <w:p w14:paraId="58128F76"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64C4888" w14:textId="77777777" w:rsidTr="00CA749B">
        <w:trPr>
          <w:trHeight w:val="300"/>
          <w:jc w:val="center"/>
        </w:trPr>
        <w:tc>
          <w:tcPr>
            <w:tcW w:w="0" w:type="auto"/>
            <w:tcBorders>
              <w:top w:val="nil"/>
              <w:left w:val="single" w:sz="4" w:space="0" w:color="auto"/>
              <w:bottom w:val="nil"/>
              <w:right w:val="nil"/>
            </w:tcBorders>
            <w:noWrap/>
            <w:vAlign w:val="bottom"/>
            <w:hideMark/>
          </w:tcPr>
          <w:p w14:paraId="0BD07B2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NEA POTIDAIA </w:t>
            </w:r>
          </w:p>
        </w:tc>
        <w:tc>
          <w:tcPr>
            <w:tcW w:w="0" w:type="auto"/>
            <w:tcBorders>
              <w:top w:val="nil"/>
              <w:left w:val="nil"/>
              <w:bottom w:val="nil"/>
              <w:right w:val="single" w:sz="4" w:space="0" w:color="auto"/>
            </w:tcBorders>
            <w:noWrap/>
            <w:vAlign w:val="bottom"/>
            <w:hideMark/>
          </w:tcPr>
          <w:p w14:paraId="58126F7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DE95968" w14:textId="77777777" w:rsidTr="00CA749B">
        <w:trPr>
          <w:trHeight w:val="300"/>
          <w:jc w:val="center"/>
        </w:trPr>
        <w:tc>
          <w:tcPr>
            <w:tcW w:w="0" w:type="auto"/>
            <w:tcBorders>
              <w:top w:val="nil"/>
              <w:left w:val="single" w:sz="4" w:space="0" w:color="auto"/>
              <w:bottom w:val="nil"/>
              <w:right w:val="nil"/>
            </w:tcBorders>
            <w:noWrap/>
            <w:vAlign w:val="bottom"/>
            <w:hideMark/>
          </w:tcPr>
          <w:p w14:paraId="47876AB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NEA RODA CHALKIDIKIS</w:t>
            </w:r>
          </w:p>
        </w:tc>
        <w:tc>
          <w:tcPr>
            <w:tcW w:w="0" w:type="auto"/>
            <w:tcBorders>
              <w:top w:val="nil"/>
              <w:left w:val="nil"/>
              <w:bottom w:val="nil"/>
              <w:right w:val="single" w:sz="4" w:space="0" w:color="auto"/>
            </w:tcBorders>
            <w:noWrap/>
            <w:vAlign w:val="bottom"/>
            <w:hideMark/>
          </w:tcPr>
          <w:p w14:paraId="3116ACA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E593CF9" w14:textId="77777777" w:rsidTr="00CA749B">
        <w:trPr>
          <w:trHeight w:val="300"/>
          <w:jc w:val="center"/>
        </w:trPr>
        <w:tc>
          <w:tcPr>
            <w:tcW w:w="0" w:type="auto"/>
            <w:tcBorders>
              <w:top w:val="nil"/>
              <w:left w:val="single" w:sz="4" w:space="0" w:color="auto"/>
              <w:bottom w:val="nil"/>
              <w:right w:val="nil"/>
            </w:tcBorders>
            <w:noWrap/>
            <w:vAlign w:val="bottom"/>
            <w:hideMark/>
          </w:tcPr>
          <w:p w14:paraId="0C17B81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NEA SKIONI CHALKIDIKIS</w:t>
            </w:r>
          </w:p>
        </w:tc>
        <w:tc>
          <w:tcPr>
            <w:tcW w:w="0" w:type="auto"/>
            <w:tcBorders>
              <w:top w:val="nil"/>
              <w:left w:val="nil"/>
              <w:bottom w:val="nil"/>
              <w:right w:val="single" w:sz="4" w:space="0" w:color="auto"/>
            </w:tcBorders>
            <w:noWrap/>
            <w:vAlign w:val="bottom"/>
            <w:hideMark/>
          </w:tcPr>
          <w:p w14:paraId="04FECF09"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C1E1AD4" w14:textId="77777777" w:rsidTr="00CA749B">
        <w:trPr>
          <w:trHeight w:val="300"/>
          <w:jc w:val="center"/>
        </w:trPr>
        <w:tc>
          <w:tcPr>
            <w:tcW w:w="0" w:type="auto"/>
            <w:tcBorders>
              <w:top w:val="nil"/>
              <w:left w:val="single" w:sz="4" w:space="0" w:color="auto"/>
              <w:bottom w:val="nil"/>
              <w:right w:val="nil"/>
            </w:tcBorders>
            <w:noWrap/>
            <w:vAlign w:val="bottom"/>
            <w:hideMark/>
          </w:tcPr>
          <w:p w14:paraId="0084F8D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NEA STYRA </w:t>
            </w:r>
          </w:p>
        </w:tc>
        <w:tc>
          <w:tcPr>
            <w:tcW w:w="0" w:type="auto"/>
            <w:tcBorders>
              <w:top w:val="nil"/>
              <w:left w:val="nil"/>
              <w:bottom w:val="nil"/>
              <w:right w:val="single" w:sz="4" w:space="0" w:color="auto"/>
            </w:tcBorders>
            <w:noWrap/>
            <w:vAlign w:val="bottom"/>
            <w:hideMark/>
          </w:tcPr>
          <w:p w14:paraId="084B4EE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6DC7BA76" w14:textId="77777777" w:rsidTr="00CA749B">
        <w:trPr>
          <w:trHeight w:val="300"/>
          <w:jc w:val="center"/>
        </w:trPr>
        <w:tc>
          <w:tcPr>
            <w:tcW w:w="0" w:type="auto"/>
            <w:tcBorders>
              <w:top w:val="nil"/>
              <w:left w:val="single" w:sz="4" w:space="0" w:color="auto"/>
              <w:bottom w:val="nil"/>
              <w:right w:val="nil"/>
            </w:tcBorders>
            <w:noWrap/>
            <w:vAlign w:val="bottom"/>
            <w:hideMark/>
          </w:tcPr>
          <w:p w14:paraId="39F81D7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NEAPOLI</w:t>
            </w:r>
          </w:p>
        </w:tc>
        <w:tc>
          <w:tcPr>
            <w:tcW w:w="0" w:type="auto"/>
            <w:tcBorders>
              <w:top w:val="nil"/>
              <w:left w:val="nil"/>
              <w:bottom w:val="nil"/>
              <w:right w:val="single" w:sz="4" w:space="0" w:color="auto"/>
            </w:tcBorders>
            <w:noWrap/>
            <w:vAlign w:val="bottom"/>
            <w:hideMark/>
          </w:tcPr>
          <w:p w14:paraId="7E8FCD6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6864B90" w14:textId="77777777" w:rsidTr="00CA749B">
        <w:trPr>
          <w:trHeight w:val="300"/>
          <w:jc w:val="center"/>
        </w:trPr>
        <w:tc>
          <w:tcPr>
            <w:tcW w:w="0" w:type="auto"/>
            <w:tcBorders>
              <w:top w:val="nil"/>
              <w:left w:val="single" w:sz="4" w:space="0" w:color="auto"/>
              <w:bottom w:val="nil"/>
              <w:right w:val="nil"/>
            </w:tcBorders>
            <w:noWrap/>
            <w:vAlign w:val="bottom"/>
            <w:hideMark/>
          </w:tcPr>
          <w:p w14:paraId="22493D2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NEOS MARMARAS </w:t>
            </w:r>
          </w:p>
        </w:tc>
        <w:tc>
          <w:tcPr>
            <w:tcW w:w="0" w:type="auto"/>
            <w:tcBorders>
              <w:top w:val="nil"/>
              <w:left w:val="nil"/>
              <w:bottom w:val="nil"/>
              <w:right w:val="single" w:sz="4" w:space="0" w:color="auto"/>
            </w:tcBorders>
            <w:noWrap/>
            <w:vAlign w:val="bottom"/>
            <w:hideMark/>
          </w:tcPr>
          <w:p w14:paraId="6EBCA80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619A7ED5" w14:textId="77777777" w:rsidTr="00CA749B">
        <w:trPr>
          <w:trHeight w:val="300"/>
          <w:jc w:val="center"/>
        </w:trPr>
        <w:tc>
          <w:tcPr>
            <w:tcW w:w="0" w:type="auto"/>
            <w:tcBorders>
              <w:top w:val="nil"/>
              <w:left w:val="single" w:sz="4" w:space="0" w:color="auto"/>
              <w:bottom w:val="nil"/>
              <w:right w:val="nil"/>
            </w:tcBorders>
            <w:noWrap/>
            <w:vAlign w:val="bottom"/>
            <w:hideMark/>
          </w:tcPr>
          <w:p w14:paraId="790DB07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OLYMPIADA CHALKIDIKIS</w:t>
            </w:r>
          </w:p>
        </w:tc>
        <w:tc>
          <w:tcPr>
            <w:tcW w:w="0" w:type="auto"/>
            <w:tcBorders>
              <w:top w:val="nil"/>
              <w:left w:val="nil"/>
              <w:bottom w:val="nil"/>
              <w:right w:val="single" w:sz="4" w:space="0" w:color="auto"/>
            </w:tcBorders>
            <w:noWrap/>
            <w:vAlign w:val="bottom"/>
            <w:hideMark/>
          </w:tcPr>
          <w:p w14:paraId="1D36FD2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9DC067A" w14:textId="77777777" w:rsidTr="00CA749B">
        <w:trPr>
          <w:trHeight w:val="300"/>
          <w:jc w:val="center"/>
        </w:trPr>
        <w:tc>
          <w:tcPr>
            <w:tcW w:w="0" w:type="auto"/>
            <w:tcBorders>
              <w:top w:val="nil"/>
              <w:left w:val="single" w:sz="4" w:space="0" w:color="auto"/>
              <w:bottom w:val="nil"/>
              <w:right w:val="nil"/>
            </w:tcBorders>
            <w:noWrap/>
            <w:vAlign w:val="bottom"/>
            <w:hideMark/>
          </w:tcPr>
          <w:p w14:paraId="7F009E0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OREOI </w:t>
            </w:r>
          </w:p>
        </w:tc>
        <w:tc>
          <w:tcPr>
            <w:tcW w:w="0" w:type="auto"/>
            <w:tcBorders>
              <w:top w:val="nil"/>
              <w:left w:val="nil"/>
              <w:bottom w:val="nil"/>
              <w:right w:val="single" w:sz="4" w:space="0" w:color="auto"/>
            </w:tcBorders>
            <w:noWrap/>
            <w:vAlign w:val="bottom"/>
            <w:hideMark/>
          </w:tcPr>
          <w:p w14:paraId="55BB348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2EB9E192" w14:textId="77777777" w:rsidTr="00CA749B">
        <w:trPr>
          <w:trHeight w:val="300"/>
          <w:jc w:val="center"/>
        </w:trPr>
        <w:tc>
          <w:tcPr>
            <w:tcW w:w="0" w:type="auto"/>
            <w:tcBorders>
              <w:top w:val="nil"/>
              <w:left w:val="single" w:sz="4" w:space="0" w:color="auto"/>
              <w:bottom w:val="nil"/>
              <w:right w:val="nil"/>
            </w:tcBorders>
            <w:noWrap/>
            <w:vAlign w:val="bottom"/>
            <w:hideMark/>
          </w:tcPr>
          <w:p w14:paraId="58F1367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ORMOS MARATHOKAMPOU</w:t>
            </w:r>
          </w:p>
        </w:tc>
        <w:tc>
          <w:tcPr>
            <w:tcW w:w="0" w:type="auto"/>
            <w:tcBorders>
              <w:top w:val="nil"/>
              <w:left w:val="nil"/>
              <w:bottom w:val="nil"/>
              <w:right w:val="single" w:sz="4" w:space="0" w:color="auto"/>
            </w:tcBorders>
            <w:noWrap/>
            <w:vAlign w:val="bottom"/>
            <w:hideMark/>
          </w:tcPr>
          <w:p w14:paraId="38C312E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F7BA20D" w14:textId="77777777" w:rsidTr="00CA749B">
        <w:trPr>
          <w:trHeight w:val="300"/>
          <w:jc w:val="center"/>
        </w:trPr>
        <w:tc>
          <w:tcPr>
            <w:tcW w:w="0" w:type="auto"/>
            <w:tcBorders>
              <w:top w:val="nil"/>
              <w:left w:val="single" w:sz="4" w:space="0" w:color="auto"/>
              <w:bottom w:val="nil"/>
              <w:right w:val="nil"/>
            </w:tcBorders>
            <w:noWrap/>
            <w:vAlign w:val="bottom"/>
            <w:hideMark/>
          </w:tcPr>
          <w:p w14:paraId="2C0F5ED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ORMOS PANAGIAS CHALKIDIKIS</w:t>
            </w:r>
          </w:p>
        </w:tc>
        <w:tc>
          <w:tcPr>
            <w:tcW w:w="0" w:type="auto"/>
            <w:tcBorders>
              <w:top w:val="nil"/>
              <w:left w:val="nil"/>
              <w:bottom w:val="nil"/>
              <w:right w:val="single" w:sz="4" w:space="0" w:color="auto"/>
            </w:tcBorders>
            <w:noWrap/>
            <w:vAlign w:val="bottom"/>
            <w:hideMark/>
          </w:tcPr>
          <w:p w14:paraId="64B6AF9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2A39E18E" w14:textId="77777777" w:rsidTr="00CA749B">
        <w:trPr>
          <w:trHeight w:val="300"/>
          <w:jc w:val="center"/>
        </w:trPr>
        <w:tc>
          <w:tcPr>
            <w:tcW w:w="0" w:type="auto"/>
            <w:tcBorders>
              <w:top w:val="nil"/>
              <w:left w:val="single" w:sz="4" w:space="0" w:color="auto"/>
              <w:bottom w:val="nil"/>
              <w:right w:val="nil"/>
            </w:tcBorders>
            <w:noWrap/>
            <w:vAlign w:val="bottom"/>
            <w:hideMark/>
          </w:tcPr>
          <w:p w14:paraId="5504B74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OROPOS </w:t>
            </w:r>
          </w:p>
        </w:tc>
        <w:tc>
          <w:tcPr>
            <w:tcW w:w="0" w:type="auto"/>
            <w:tcBorders>
              <w:top w:val="nil"/>
              <w:left w:val="nil"/>
              <w:bottom w:val="nil"/>
              <w:right w:val="single" w:sz="4" w:space="0" w:color="auto"/>
            </w:tcBorders>
            <w:noWrap/>
            <w:vAlign w:val="bottom"/>
            <w:hideMark/>
          </w:tcPr>
          <w:p w14:paraId="30F7B72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3F03074" w14:textId="77777777" w:rsidTr="00CA749B">
        <w:trPr>
          <w:trHeight w:val="300"/>
          <w:jc w:val="center"/>
        </w:trPr>
        <w:tc>
          <w:tcPr>
            <w:tcW w:w="0" w:type="auto"/>
            <w:tcBorders>
              <w:top w:val="nil"/>
              <w:left w:val="single" w:sz="4" w:space="0" w:color="auto"/>
              <w:bottom w:val="nil"/>
              <w:right w:val="nil"/>
            </w:tcBorders>
            <w:noWrap/>
            <w:vAlign w:val="bottom"/>
            <w:hideMark/>
          </w:tcPr>
          <w:p w14:paraId="098ED9A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OTHONOI </w:t>
            </w:r>
          </w:p>
        </w:tc>
        <w:tc>
          <w:tcPr>
            <w:tcW w:w="0" w:type="auto"/>
            <w:tcBorders>
              <w:top w:val="nil"/>
              <w:left w:val="nil"/>
              <w:bottom w:val="nil"/>
              <w:right w:val="single" w:sz="4" w:space="0" w:color="auto"/>
            </w:tcBorders>
            <w:noWrap/>
            <w:vAlign w:val="bottom"/>
            <w:hideMark/>
          </w:tcPr>
          <w:p w14:paraId="483FD58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37D31E7" w14:textId="77777777" w:rsidTr="00CA749B">
        <w:trPr>
          <w:trHeight w:val="300"/>
          <w:jc w:val="center"/>
        </w:trPr>
        <w:tc>
          <w:tcPr>
            <w:tcW w:w="0" w:type="auto"/>
            <w:tcBorders>
              <w:top w:val="nil"/>
              <w:left w:val="single" w:sz="4" w:space="0" w:color="auto"/>
              <w:bottom w:val="nil"/>
              <w:right w:val="nil"/>
            </w:tcBorders>
            <w:noWrap/>
            <w:vAlign w:val="bottom"/>
            <w:hideMark/>
          </w:tcPr>
          <w:p w14:paraId="407FAEC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OURANOUPOLI </w:t>
            </w:r>
            <w:r w:rsidRPr="00F0379B">
              <w:rPr>
                <w:rFonts w:ascii="Cambria" w:eastAsiaTheme="minorEastAsia" w:hAnsi="Cambria" w:cs="Times New Roman"/>
                <w:color w:val="000000"/>
                <w:sz w:val="20"/>
                <w:szCs w:val="20"/>
                <w:lang w:val="en-GB" w:eastAsia="en-GB"/>
                <w14:ligatures w14:val="standardContextual"/>
              </w:rPr>
              <w:t>CHALKIDIKIS</w:t>
            </w:r>
          </w:p>
        </w:tc>
        <w:tc>
          <w:tcPr>
            <w:tcW w:w="0" w:type="auto"/>
            <w:tcBorders>
              <w:top w:val="nil"/>
              <w:left w:val="nil"/>
              <w:bottom w:val="nil"/>
              <w:right w:val="single" w:sz="4" w:space="0" w:color="auto"/>
            </w:tcBorders>
            <w:noWrap/>
            <w:vAlign w:val="bottom"/>
            <w:hideMark/>
          </w:tcPr>
          <w:p w14:paraId="7D5FE91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48C8FFB2" w14:textId="77777777" w:rsidTr="00CA749B">
        <w:trPr>
          <w:trHeight w:val="300"/>
          <w:jc w:val="center"/>
        </w:trPr>
        <w:tc>
          <w:tcPr>
            <w:tcW w:w="0" w:type="auto"/>
            <w:tcBorders>
              <w:top w:val="nil"/>
              <w:left w:val="single" w:sz="4" w:space="0" w:color="auto"/>
              <w:bottom w:val="nil"/>
              <w:right w:val="nil"/>
            </w:tcBorders>
            <w:noWrap/>
            <w:vAlign w:val="bottom"/>
            <w:hideMark/>
          </w:tcPr>
          <w:p w14:paraId="54F0472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PACHI MEGARON </w:t>
            </w:r>
          </w:p>
        </w:tc>
        <w:tc>
          <w:tcPr>
            <w:tcW w:w="0" w:type="auto"/>
            <w:tcBorders>
              <w:top w:val="nil"/>
              <w:left w:val="nil"/>
              <w:bottom w:val="nil"/>
              <w:right w:val="single" w:sz="4" w:space="0" w:color="auto"/>
            </w:tcBorders>
            <w:noWrap/>
            <w:vAlign w:val="bottom"/>
            <w:hideMark/>
          </w:tcPr>
          <w:p w14:paraId="20E6940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7CEE719C" w14:textId="77777777" w:rsidTr="00CA749B">
        <w:trPr>
          <w:trHeight w:val="300"/>
          <w:jc w:val="center"/>
        </w:trPr>
        <w:tc>
          <w:tcPr>
            <w:tcW w:w="0" w:type="auto"/>
            <w:tcBorders>
              <w:top w:val="nil"/>
              <w:left w:val="single" w:sz="4" w:space="0" w:color="auto"/>
              <w:bottom w:val="nil"/>
              <w:right w:val="nil"/>
            </w:tcBorders>
            <w:noWrap/>
            <w:vAlign w:val="bottom"/>
            <w:hideMark/>
          </w:tcPr>
          <w:p w14:paraId="620629E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PALAIA FOKAIA </w:t>
            </w:r>
          </w:p>
        </w:tc>
        <w:tc>
          <w:tcPr>
            <w:tcW w:w="0" w:type="auto"/>
            <w:tcBorders>
              <w:top w:val="nil"/>
              <w:left w:val="nil"/>
              <w:bottom w:val="nil"/>
              <w:right w:val="single" w:sz="4" w:space="0" w:color="auto"/>
            </w:tcBorders>
            <w:noWrap/>
            <w:vAlign w:val="bottom"/>
            <w:hideMark/>
          </w:tcPr>
          <w:p w14:paraId="21816AE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043B4BD6" w14:textId="77777777" w:rsidTr="00CA749B">
        <w:trPr>
          <w:trHeight w:val="300"/>
          <w:jc w:val="center"/>
        </w:trPr>
        <w:tc>
          <w:tcPr>
            <w:tcW w:w="0" w:type="auto"/>
            <w:tcBorders>
              <w:top w:val="nil"/>
              <w:left w:val="single" w:sz="4" w:space="0" w:color="auto"/>
              <w:bottom w:val="nil"/>
              <w:right w:val="nil"/>
            </w:tcBorders>
            <w:noWrap/>
            <w:vAlign w:val="bottom"/>
            <w:hideMark/>
          </w:tcPr>
          <w:p w14:paraId="6289642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PALAIOCHORA </w:t>
            </w:r>
            <w:r w:rsidRPr="00F0379B">
              <w:rPr>
                <w:rFonts w:ascii="Cambria" w:eastAsiaTheme="minorEastAsia" w:hAnsi="Cambria" w:cs="Times New Roman"/>
                <w:color w:val="000000"/>
                <w:sz w:val="20"/>
                <w:szCs w:val="20"/>
                <w:lang w:val="en-GB" w:eastAsia="en-GB"/>
                <w14:ligatures w14:val="standardContextual"/>
              </w:rPr>
              <w:t>CHANION</w:t>
            </w:r>
          </w:p>
        </w:tc>
        <w:tc>
          <w:tcPr>
            <w:tcW w:w="0" w:type="auto"/>
            <w:tcBorders>
              <w:top w:val="nil"/>
              <w:left w:val="nil"/>
              <w:bottom w:val="nil"/>
              <w:right w:val="single" w:sz="4" w:space="0" w:color="auto"/>
            </w:tcBorders>
            <w:noWrap/>
            <w:vAlign w:val="bottom"/>
            <w:hideMark/>
          </w:tcPr>
          <w:p w14:paraId="4BD34CE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43A0B0F" w14:textId="77777777" w:rsidTr="00CA749B">
        <w:trPr>
          <w:trHeight w:val="300"/>
          <w:jc w:val="center"/>
        </w:trPr>
        <w:tc>
          <w:tcPr>
            <w:tcW w:w="0" w:type="auto"/>
            <w:tcBorders>
              <w:top w:val="nil"/>
              <w:left w:val="single" w:sz="4" w:space="0" w:color="auto"/>
              <w:bottom w:val="nil"/>
              <w:right w:val="nil"/>
            </w:tcBorders>
            <w:noWrap/>
            <w:vAlign w:val="bottom"/>
            <w:hideMark/>
          </w:tcPr>
          <w:p w14:paraId="71D9108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PALAIROS AITOLOAKARNANIAS</w:t>
            </w:r>
          </w:p>
        </w:tc>
        <w:tc>
          <w:tcPr>
            <w:tcW w:w="0" w:type="auto"/>
            <w:tcBorders>
              <w:top w:val="nil"/>
              <w:left w:val="nil"/>
              <w:bottom w:val="nil"/>
              <w:right w:val="single" w:sz="4" w:space="0" w:color="auto"/>
            </w:tcBorders>
            <w:noWrap/>
            <w:vAlign w:val="bottom"/>
            <w:hideMark/>
          </w:tcPr>
          <w:p w14:paraId="2F5B14C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208979EA" w14:textId="77777777" w:rsidTr="00CA749B">
        <w:trPr>
          <w:trHeight w:val="300"/>
          <w:jc w:val="center"/>
        </w:trPr>
        <w:tc>
          <w:tcPr>
            <w:tcW w:w="0" w:type="auto"/>
            <w:tcBorders>
              <w:top w:val="nil"/>
              <w:left w:val="single" w:sz="4" w:space="0" w:color="auto"/>
              <w:bottom w:val="nil"/>
              <w:right w:val="nil"/>
            </w:tcBorders>
            <w:noWrap/>
            <w:vAlign w:val="bottom"/>
            <w:hideMark/>
          </w:tcPr>
          <w:p w14:paraId="51C731B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PARALIA ASTROUS </w:t>
            </w:r>
          </w:p>
        </w:tc>
        <w:tc>
          <w:tcPr>
            <w:tcW w:w="0" w:type="auto"/>
            <w:tcBorders>
              <w:top w:val="nil"/>
              <w:left w:val="nil"/>
              <w:bottom w:val="nil"/>
              <w:right w:val="single" w:sz="4" w:space="0" w:color="auto"/>
            </w:tcBorders>
            <w:noWrap/>
            <w:vAlign w:val="bottom"/>
            <w:hideMark/>
          </w:tcPr>
          <w:p w14:paraId="61CA14B6"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43A62CB" w14:textId="77777777" w:rsidTr="00CA749B">
        <w:trPr>
          <w:trHeight w:val="300"/>
          <w:jc w:val="center"/>
        </w:trPr>
        <w:tc>
          <w:tcPr>
            <w:tcW w:w="0" w:type="auto"/>
            <w:tcBorders>
              <w:top w:val="nil"/>
              <w:left w:val="single" w:sz="4" w:space="0" w:color="auto"/>
              <w:bottom w:val="nil"/>
              <w:right w:val="nil"/>
            </w:tcBorders>
            <w:noWrap/>
            <w:vAlign w:val="bottom"/>
            <w:hideMark/>
          </w:tcPr>
          <w:p w14:paraId="5516B9C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PARALIA KATERINIS </w:t>
            </w:r>
          </w:p>
        </w:tc>
        <w:tc>
          <w:tcPr>
            <w:tcW w:w="0" w:type="auto"/>
            <w:tcBorders>
              <w:top w:val="nil"/>
              <w:left w:val="nil"/>
              <w:bottom w:val="nil"/>
              <w:right w:val="single" w:sz="4" w:space="0" w:color="auto"/>
            </w:tcBorders>
            <w:noWrap/>
            <w:vAlign w:val="bottom"/>
            <w:hideMark/>
          </w:tcPr>
          <w:p w14:paraId="63E21B3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037DC882" w14:textId="77777777" w:rsidTr="00CA749B">
        <w:trPr>
          <w:trHeight w:val="300"/>
          <w:jc w:val="center"/>
        </w:trPr>
        <w:tc>
          <w:tcPr>
            <w:tcW w:w="0" w:type="auto"/>
            <w:tcBorders>
              <w:top w:val="nil"/>
              <w:left w:val="single" w:sz="4" w:space="0" w:color="auto"/>
              <w:bottom w:val="nil"/>
              <w:right w:val="nil"/>
            </w:tcBorders>
            <w:noWrap/>
            <w:vAlign w:val="bottom"/>
            <w:hideMark/>
          </w:tcPr>
          <w:p w14:paraId="7EECFBD4" w14:textId="77777777" w:rsidR="009123AC" w:rsidRPr="00F0379B" w:rsidRDefault="009123AC" w:rsidP="009123AC">
            <w:pPr>
              <w:spacing w:after="0" w:line="240" w:lineRule="auto"/>
              <w:rPr>
                <w:rFonts w:ascii="Cambria" w:eastAsiaTheme="minorEastAsia" w:hAnsi="Cambria" w:cs="Times New Roman"/>
                <w:color w:val="000000"/>
                <w:sz w:val="20"/>
                <w:szCs w:val="20"/>
                <w:lang w:val="it-IT" w:eastAsia="en-GB"/>
                <w14:ligatures w14:val="standardContextual"/>
              </w:rPr>
            </w:pPr>
            <w:r w:rsidRPr="00F0379B">
              <w:rPr>
                <w:rFonts w:ascii="Cambria" w:eastAsiaTheme="minorEastAsia" w:hAnsi="Cambria" w:cs="Times New Roman"/>
                <w:color w:val="000000"/>
                <w:sz w:val="20"/>
                <w:szCs w:val="20"/>
                <w:lang w:val="it-IT" w:eastAsia="en-GB"/>
                <w14:ligatures w14:val="standardContextual"/>
              </w:rPr>
              <w:t>PARALIA PETRION (AGIOI APOSTOLOI DYSTION)</w:t>
            </w:r>
          </w:p>
        </w:tc>
        <w:tc>
          <w:tcPr>
            <w:tcW w:w="0" w:type="auto"/>
            <w:tcBorders>
              <w:top w:val="nil"/>
              <w:left w:val="nil"/>
              <w:bottom w:val="nil"/>
              <w:right w:val="single" w:sz="4" w:space="0" w:color="auto"/>
            </w:tcBorders>
            <w:noWrap/>
            <w:vAlign w:val="bottom"/>
            <w:hideMark/>
          </w:tcPr>
          <w:p w14:paraId="6485FE6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2B1F2CF" w14:textId="77777777" w:rsidTr="00CA749B">
        <w:trPr>
          <w:trHeight w:val="300"/>
          <w:jc w:val="center"/>
        </w:trPr>
        <w:tc>
          <w:tcPr>
            <w:tcW w:w="0" w:type="auto"/>
            <w:tcBorders>
              <w:top w:val="nil"/>
              <w:left w:val="single" w:sz="4" w:space="0" w:color="auto"/>
              <w:bottom w:val="nil"/>
              <w:right w:val="nil"/>
            </w:tcBorders>
            <w:noWrap/>
            <w:vAlign w:val="bottom"/>
            <w:hideMark/>
          </w:tcPr>
          <w:p w14:paraId="0B81C5D9"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PARGA </w:t>
            </w:r>
          </w:p>
        </w:tc>
        <w:tc>
          <w:tcPr>
            <w:tcW w:w="0" w:type="auto"/>
            <w:tcBorders>
              <w:top w:val="nil"/>
              <w:left w:val="nil"/>
              <w:bottom w:val="nil"/>
              <w:right w:val="single" w:sz="4" w:space="0" w:color="auto"/>
            </w:tcBorders>
            <w:noWrap/>
            <w:vAlign w:val="bottom"/>
            <w:hideMark/>
          </w:tcPr>
          <w:p w14:paraId="0C8FC62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EB332C6" w14:textId="77777777" w:rsidTr="00CA749B">
        <w:trPr>
          <w:trHeight w:val="300"/>
          <w:jc w:val="center"/>
        </w:trPr>
        <w:tc>
          <w:tcPr>
            <w:tcW w:w="0" w:type="auto"/>
            <w:tcBorders>
              <w:top w:val="nil"/>
              <w:left w:val="single" w:sz="4" w:space="0" w:color="auto"/>
              <w:bottom w:val="nil"/>
              <w:right w:val="nil"/>
            </w:tcBorders>
            <w:noWrap/>
            <w:vAlign w:val="bottom"/>
            <w:hideMark/>
          </w:tcPr>
          <w:p w14:paraId="7FBC8F7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PAROIKIA </w:t>
            </w:r>
            <w:r w:rsidRPr="00F0379B">
              <w:rPr>
                <w:rFonts w:ascii="Cambria" w:eastAsiaTheme="minorEastAsia" w:hAnsi="Cambria" w:cs="Times New Roman"/>
                <w:color w:val="000000"/>
                <w:sz w:val="20"/>
                <w:szCs w:val="20"/>
                <w:lang w:val="en-GB" w:eastAsia="en-GB"/>
                <w14:ligatures w14:val="standardContextual"/>
              </w:rPr>
              <w:t>PAROU</w:t>
            </w:r>
          </w:p>
        </w:tc>
        <w:tc>
          <w:tcPr>
            <w:tcW w:w="0" w:type="auto"/>
            <w:tcBorders>
              <w:top w:val="nil"/>
              <w:left w:val="nil"/>
              <w:bottom w:val="nil"/>
              <w:right w:val="single" w:sz="4" w:space="0" w:color="auto"/>
            </w:tcBorders>
            <w:noWrap/>
            <w:vAlign w:val="bottom"/>
            <w:hideMark/>
          </w:tcPr>
          <w:p w14:paraId="7FD9B9A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24DF9B76" w14:textId="77777777" w:rsidTr="00CA749B">
        <w:trPr>
          <w:trHeight w:val="300"/>
          <w:jc w:val="center"/>
        </w:trPr>
        <w:tc>
          <w:tcPr>
            <w:tcW w:w="0" w:type="auto"/>
            <w:tcBorders>
              <w:top w:val="nil"/>
              <w:left w:val="single" w:sz="4" w:space="0" w:color="auto"/>
              <w:bottom w:val="nil"/>
              <w:right w:val="nil"/>
            </w:tcBorders>
            <w:noWrap/>
            <w:vAlign w:val="bottom"/>
            <w:hideMark/>
          </w:tcPr>
          <w:p w14:paraId="1BAFB55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PARTHENI LEROU</w:t>
            </w:r>
          </w:p>
        </w:tc>
        <w:tc>
          <w:tcPr>
            <w:tcW w:w="0" w:type="auto"/>
            <w:tcBorders>
              <w:top w:val="nil"/>
              <w:left w:val="nil"/>
              <w:bottom w:val="nil"/>
              <w:right w:val="single" w:sz="4" w:space="0" w:color="auto"/>
            </w:tcBorders>
            <w:noWrap/>
            <w:vAlign w:val="bottom"/>
            <w:hideMark/>
          </w:tcPr>
          <w:p w14:paraId="3ECBA0A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E8BB175" w14:textId="77777777" w:rsidTr="00CA749B">
        <w:trPr>
          <w:trHeight w:val="300"/>
          <w:jc w:val="center"/>
        </w:trPr>
        <w:tc>
          <w:tcPr>
            <w:tcW w:w="0" w:type="auto"/>
            <w:tcBorders>
              <w:top w:val="nil"/>
              <w:left w:val="single" w:sz="4" w:space="0" w:color="auto"/>
              <w:bottom w:val="nil"/>
              <w:right w:val="nil"/>
            </w:tcBorders>
            <w:noWrap/>
            <w:vAlign w:val="bottom"/>
            <w:hideMark/>
          </w:tcPr>
          <w:p w14:paraId="315BC17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PATITIRI </w:t>
            </w:r>
            <w:r w:rsidRPr="00F0379B">
              <w:rPr>
                <w:rFonts w:ascii="Cambria" w:eastAsiaTheme="minorEastAsia" w:hAnsi="Cambria" w:cs="Times New Roman"/>
                <w:color w:val="000000"/>
                <w:sz w:val="20"/>
                <w:szCs w:val="20"/>
                <w:lang w:val="en-GB" w:eastAsia="en-GB"/>
                <w14:ligatures w14:val="standardContextual"/>
              </w:rPr>
              <w:t>ALONISOU</w:t>
            </w:r>
          </w:p>
        </w:tc>
        <w:tc>
          <w:tcPr>
            <w:tcW w:w="0" w:type="auto"/>
            <w:tcBorders>
              <w:top w:val="nil"/>
              <w:left w:val="nil"/>
              <w:bottom w:val="nil"/>
              <w:right w:val="single" w:sz="4" w:space="0" w:color="auto"/>
            </w:tcBorders>
            <w:noWrap/>
            <w:vAlign w:val="bottom"/>
            <w:hideMark/>
          </w:tcPr>
          <w:p w14:paraId="281952D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1530D43C" w14:textId="77777777" w:rsidTr="00CA749B">
        <w:trPr>
          <w:trHeight w:val="300"/>
          <w:jc w:val="center"/>
        </w:trPr>
        <w:tc>
          <w:tcPr>
            <w:tcW w:w="0" w:type="auto"/>
            <w:tcBorders>
              <w:top w:val="nil"/>
              <w:left w:val="single" w:sz="4" w:space="0" w:color="auto"/>
              <w:bottom w:val="nil"/>
              <w:right w:val="nil"/>
            </w:tcBorders>
            <w:noWrap/>
            <w:vAlign w:val="bottom"/>
            <w:hideMark/>
          </w:tcPr>
          <w:p w14:paraId="0023CDE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PATMOS </w:t>
            </w:r>
          </w:p>
        </w:tc>
        <w:tc>
          <w:tcPr>
            <w:tcW w:w="0" w:type="auto"/>
            <w:tcBorders>
              <w:top w:val="nil"/>
              <w:left w:val="nil"/>
              <w:bottom w:val="nil"/>
              <w:right w:val="single" w:sz="4" w:space="0" w:color="auto"/>
            </w:tcBorders>
            <w:noWrap/>
            <w:vAlign w:val="bottom"/>
            <w:hideMark/>
          </w:tcPr>
          <w:p w14:paraId="789F5FF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764CDAD" w14:textId="77777777" w:rsidTr="00CA749B">
        <w:trPr>
          <w:trHeight w:val="300"/>
          <w:jc w:val="center"/>
        </w:trPr>
        <w:tc>
          <w:tcPr>
            <w:tcW w:w="0" w:type="auto"/>
            <w:tcBorders>
              <w:top w:val="nil"/>
              <w:left w:val="single" w:sz="4" w:space="0" w:color="auto"/>
              <w:bottom w:val="nil"/>
              <w:right w:val="nil"/>
            </w:tcBorders>
            <w:noWrap/>
            <w:vAlign w:val="bottom"/>
            <w:hideMark/>
          </w:tcPr>
          <w:p w14:paraId="0D4AB35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PATRA </w:t>
            </w:r>
          </w:p>
        </w:tc>
        <w:tc>
          <w:tcPr>
            <w:tcW w:w="0" w:type="auto"/>
            <w:tcBorders>
              <w:top w:val="nil"/>
              <w:left w:val="nil"/>
              <w:bottom w:val="nil"/>
              <w:right w:val="single" w:sz="4" w:space="0" w:color="auto"/>
            </w:tcBorders>
            <w:noWrap/>
            <w:vAlign w:val="bottom"/>
            <w:hideMark/>
          </w:tcPr>
          <w:p w14:paraId="05CE537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29D6633E" w14:textId="77777777" w:rsidTr="00CA749B">
        <w:trPr>
          <w:trHeight w:val="300"/>
          <w:jc w:val="center"/>
        </w:trPr>
        <w:tc>
          <w:tcPr>
            <w:tcW w:w="0" w:type="auto"/>
            <w:tcBorders>
              <w:top w:val="nil"/>
              <w:left w:val="single" w:sz="4" w:space="0" w:color="auto"/>
              <w:bottom w:val="nil"/>
              <w:right w:val="nil"/>
            </w:tcBorders>
            <w:noWrap/>
            <w:vAlign w:val="bottom"/>
            <w:hideMark/>
          </w:tcPr>
          <w:p w14:paraId="513350B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PEFKI </w:t>
            </w:r>
            <w:r w:rsidRPr="00F0379B">
              <w:rPr>
                <w:rFonts w:ascii="Cambria" w:eastAsiaTheme="minorEastAsia" w:hAnsi="Cambria" w:cs="Times New Roman"/>
                <w:color w:val="000000"/>
                <w:sz w:val="20"/>
                <w:szCs w:val="20"/>
                <w:lang w:val="en-GB" w:eastAsia="en-GB"/>
                <w14:ligatures w14:val="standardContextual"/>
              </w:rPr>
              <w:t>EVVOIAS</w:t>
            </w:r>
          </w:p>
        </w:tc>
        <w:tc>
          <w:tcPr>
            <w:tcW w:w="0" w:type="auto"/>
            <w:tcBorders>
              <w:top w:val="nil"/>
              <w:left w:val="nil"/>
              <w:bottom w:val="nil"/>
              <w:right w:val="single" w:sz="4" w:space="0" w:color="auto"/>
            </w:tcBorders>
            <w:noWrap/>
            <w:vAlign w:val="bottom"/>
            <w:hideMark/>
          </w:tcPr>
          <w:p w14:paraId="38AB974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8E07EB4" w14:textId="77777777" w:rsidTr="00CA749B">
        <w:trPr>
          <w:trHeight w:val="300"/>
          <w:jc w:val="center"/>
        </w:trPr>
        <w:tc>
          <w:tcPr>
            <w:tcW w:w="0" w:type="auto"/>
            <w:tcBorders>
              <w:top w:val="nil"/>
              <w:left w:val="single" w:sz="4" w:space="0" w:color="auto"/>
              <w:bottom w:val="nil"/>
              <w:right w:val="nil"/>
            </w:tcBorders>
            <w:noWrap/>
            <w:vAlign w:val="bottom"/>
            <w:hideMark/>
          </w:tcPr>
          <w:p w14:paraId="20AA181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PERAMA GERAS </w:t>
            </w:r>
          </w:p>
        </w:tc>
        <w:tc>
          <w:tcPr>
            <w:tcW w:w="0" w:type="auto"/>
            <w:tcBorders>
              <w:top w:val="nil"/>
              <w:left w:val="nil"/>
              <w:bottom w:val="nil"/>
              <w:right w:val="single" w:sz="4" w:space="0" w:color="auto"/>
            </w:tcBorders>
            <w:noWrap/>
            <w:vAlign w:val="bottom"/>
            <w:hideMark/>
          </w:tcPr>
          <w:p w14:paraId="386A1626"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B921638" w14:textId="77777777" w:rsidTr="00CA749B">
        <w:trPr>
          <w:trHeight w:val="300"/>
          <w:jc w:val="center"/>
        </w:trPr>
        <w:tc>
          <w:tcPr>
            <w:tcW w:w="0" w:type="auto"/>
            <w:tcBorders>
              <w:top w:val="nil"/>
              <w:left w:val="single" w:sz="4" w:space="0" w:color="auto"/>
              <w:bottom w:val="nil"/>
              <w:right w:val="nil"/>
            </w:tcBorders>
            <w:noWrap/>
            <w:vAlign w:val="bottom"/>
            <w:hideMark/>
          </w:tcPr>
          <w:p w14:paraId="3769A37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PERAMA PEIRAIA</w:t>
            </w:r>
          </w:p>
        </w:tc>
        <w:tc>
          <w:tcPr>
            <w:tcW w:w="0" w:type="auto"/>
            <w:tcBorders>
              <w:top w:val="nil"/>
              <w:left w:val="nil"/>
              <w:bottom w:val="nil"/>
              <w:right w:val="single" w:sz="4" w:space="0" w:color="auto"/>
            </w:tcBorders>
            <w:noWrap/>
            <w:vAlign w:val="bottom"/>
            <w:hideMark/>
          </w:tcPr>
          <w:p w14:paraId="6AB20C6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679F2D0" w14:textId="77777777" w:rsidTr="00CA749B">
        <w:trPr>
          <w:trHeight w:val="300"/>
          <w:jc w:val="center"/>
        </w:trPr>
        <w:tc>
          <w:tcPr>
            <w:tcW w:w="0" w:type="auto"/>
            <w:tcBorders>
              <w:top w:val="nil"/>
              <w:left w:val="single" w:sz="4" w:space="0" w:color="auto"/>
              <w:bottom w:val="nil"/>
              <w:right w:val="nil"/>
            </w:tcBorders>
            <w:noWrap/>
            <w:vAlign w:val="bottom"/>
            <w:hideMark/>
          </w:tcPr>
          <w:p w14:paraId="3E6B3D8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PERIGIALI LEFKADAS</w:t>
            </w:r>
          </w:p>
        </w:tc>
        <w:tc>
          <w:tcPr>
            <w:tcW w:w="0" w:type="auto"/>
            <w:tcBorders>
              <w:top w:val="nil"/>
              <w:left w:val="nil"/>
              <w:bottom w:val="nil"/>
              <w:right w:val="single" w:sz="4" w:space="0" w:color="auto"/>
            </w:tcBorders>
            <w:noWrap/>
            <w:vAlign w:val="bottom"/>
            <w:hideMark/>
          </w:tcPr>
          <w:p w14:paraId="3324666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4F7E4D5" w14:textId="77777777" w:rsidTr="00CA749B">
        <w:trPr>
          <w:trHeight w:val="300"/>
          <w:jc w:val="center"/>
        </w:trPr>
        <w:tc>
          <w:tcPr>
            <w:tcW w:w="0" w:type="auto"/>
            <w:tcBorders>
              <w:top w:val="nil"/>
              <w:left w:val="single" w:sz="4" w:space="0" w:color="auto"/>
              <w:bottom w:val="nil"/>
              <w:right w:val="nil"/>
            </w:tcBorders>
            <w:noWrap/>
            <w:vAlign w:val="bottom"/>
            <w:hideMark/>
          </w:tcPr>
          <w:p w14:paraId="5F64C42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PETRA LESVOU</w:t>
            </w:r>
          </w:p>
        </w:tc>
        <w:tc>
          <w:tcPr>
            <w:tcW w:w="0" w:type="auto"/>
            <w:tcBorders>
              <w:top w:val="nil"/>
              <w:left w:val="nil"/>
              <w:bottom w:val="nil"/>
              <w:right w:val="single" w:sz="4" w:space="0" w:color="auto"/>
            </w:tcBorders>
            <w:noWrap/>
            <w:vAlign w:val="bottom"/>
            <w:hideMark/>
          </w:tcPr>
          <w:p w14:paraId="37C67EB6"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E226E57" w14:textId="77777777" w:rsidTr="00CA749B">
        <w:trPr>
          <w:trHeight w:val="300"/>
          <w:jc w:val="center"/>
        </w:trPr>
        <w:tc>
          <w:tcPr>
            <w:tcW w:w="0" w:type="auto"/>
            <w:tcBorders>
              <w:top w:val="nil"/>
              <w:left w:val="single" w:sz="4" w:space="0" w:color="auto"/>
              <w:bottom w:val="nil"/>
              <w:right w:val="nil"/>
            </w:tcBorders>
            <w:noWrap/>
            <w:vAlign w:val="bottom"/>
            <w:hideMark/>
          </w:tcPr>
          <w:p w14:paraId="45129B9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PETRITI (KORISSION) KERKYRAS </w:t>
            </w:r>
          </w:p>
        </w:tc>
        <w:tc>
          <w:tcPr>
            <w:tcW w:w="0" w:type="auto"/>
            <w:tcBorders>
              <w:top w:val="nil"/>
              <w:left w:val="nil"/>
              <w:bottom w:val="nil"/>
              <w:right w:val="single" w:sz="4" w:space="0" w:color="auto"/>
            </w:tcBorders>
            <w:noWrap/>
            <w:vAlign w:val="bottom"/>
            <w:hideMark/>
          </w:tcPr>
          <w:p w14:paraId="75E8C6E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F3A949D" w14:textId="77777777" w:rsidTr="00CA749B">
        <w:trPr>
          <w:trHeight w:val="300"/>
          <w:jc w:val="center"/>
        </w:trPr>
        <w:tc>
          <w:tcPr>
            <w:tcW w:w="0" w:type="auto"/>
            <w:tcBorders>
              <w:top w:val="nil"/>
              <w:left w:val="single" w:sz="4" w:space="0" w:color="auto"/>
              <w:bottom w:val="nil"/>
              <w:right w:val="nil"/>
            </w:tcBorders>
            <w:noWrap/>
            <w:vAlign w:val="bottom"/>
            <w:hideMark/>
          </w:tcPr>
          <w:p w14:paraId="09F0004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PIGADI PTELEOU MAGNISIAS</w:t>
            </w:r>
          </w:p>
        </w:tc>
        <w:tc>
          <w:tcPr>
            <w:tcW w:w="0" w:type="auto"/>
            <w:tcBorders>
              <w:top w:val="nil"/>
              <w:left w:val="nil"/>
              <w:bottom w:val="nil"/>
              <w:right w:val="single" w:sz="4" w:space="0" w:color="auto"/>
            </w:tcBorders>
            <w:noWrap/>
            <w:vAlign w:val="bottom"/>
            <w:hideMark/>
          </w:tcPr>
          <w:p w14:paraId="5746B92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7203472" w14:textId="77777777" w:rsidTr="00CA749B">
        <w:trPr>
          <w:trHeight w:val="300"/>
          <w:jc w:val="center"/>
        </w:trPr>
        <w:tc>
          <w:tcPr>
            <w:tcW w:w="0" w:type="auto"/>
            <w:tcBorders>
              <w:top w:val="nil"/>
              <w:left w:val="single" w:sz="4" w:space="0" w:color="auto"/>
              <w:bottom w:val="nil"/>
              <w:right w:val="nil"/>
            </w:tcBorders>
            <w:noWrap/>
            <w:vAlign w:val="bottom"/>
            <w:hideMark/>
          </w:tcPr>
          <w:p w14:paraId="15643DC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PISO LIVADI PAROU</w:t>
            </w:r>
          </w:p>
        </w:tc>
        <w:tc>
          <w:tcPr>
            <w:tcW w:w="0" w:type="auto"/>
            <w:tcBorders>
              <w:top w:val="nil"/>
              <w:left w:val="nil"/>
              <w:bottom w:val="nil"/>
              <w:right w:val="single" w:sz="4" w:space="0" w:color="auto"/>
            </w:tcBorders>
            <w:noWrap/>
            <w:vAlign w:val="bottom"/>
            <w:hideMark/>
          </w:tcPr>
          <w:p w14:paraId="41A1CC1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B055D52" w14:textId="77777777" w:rsidTr="00CA749B">
        <w:trPr>
          <w:trHeight w:val="300"/>
          <w:jc w:val="center"/>
        </w:trPr>
        <w:tc>
          <w:tcPr>
            <w:tcW w:w="0" w:type="auto"/>
            <w:tcBorders>
              <w:top w:val="nil"/>
              <w:left w:val="single" w:sz="4" w:space="0" w:color="auto"/>
              <w:bottom w:val="nil"/>
              <w:right w:val="nil"/>
            </w:tcBorders>
            <w:noWrap/>
            <w:vAlign w:val="bottom"/>
            <w:hideMark/>
          </w:tcPr>
          <w:p w14:paraId="2988F74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PLAKA LIMNOU</w:t>
            </w:r>
          </w:p>
        </w:tc>
        <w:tc>
          <w:tcPr>
            <w:tcW w:w="0" w:type="auto"/>
            <w:tcBorders>
              <w:top w:val="nil"/>
              <w:left w:val="nil"/>
              <w:bottom w:val="nil"/>
              <w:right w:val="single" w:sz="4" w:space="0" w:color="auto"/>
            </w:tcBorders>
            <w:noWrap/>
            <w:vAlign w:val="bottom"/>
            <w:hideMark/>
          </w:tcPr>
          <w:p w14:paraId="0683D81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B7CFA2D" w14:textId="77777777" w:rsidTr="00CA749B">
        <w:trPr>
          <w:trHeight w:val="300"/>
          <w:jc w:val="center"/>
        </w:trPr>
        <w:tc>
          <w:tcPr>
            <w:tcW w:w="0" w:type="auto"/>
            <w:tcBorders>
              <w:top w:val="nil"/>
              <w:left w:val="single" w:sz="4" w:space="0" w:color="auto"/>
              <w:bottom w:val="nil"/>
              <w:right w:val="nil"/>
            </w:tcBorders>
            <w:noWrap/>
            <w:vAlign w:val="bottom"/>
            <w:hideMark/>
          </w:tcPr>
          <w:p w14:paraId="67D9D56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PLATAMONAS </w:t>
            </w:r>
          </w:p>
        </w:tc>
        <w:tc>
          <w:tcPr>
            <w:tcW w:w="0" w:type="auto"/>
            <w:tcBorders>
              <w:top w:val="nil"/>
              <w:left w:val="nil"/>
              <w:bottom w:val="nil"/>
              <w:right w:val="single" w:sz="4" w:space="0" w:color="auto"/>
            </w:tcBorders>
            <w:noWrap/>
            <w:vAlign w:val="bottom"/>
            <w:hideMark/>
          </w:tcPr>
          <w:p w14:paraId="2ADC964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1680FCCE" w14:textId="77777777" w:rsidTr="00CA749B">
        <w:trPr>
          <w:trHeight w:val="300"/>
          <w:jc w:val="center"/>
        </w:trPr>
        <w:tc>
          <w:tcPr>
            <w:tcW w:w="0" w:type="auto"/>
            <w:tcBorders>
              <w:top w:val="nil"/>
              <w:left w:val="single" w:sz="4" w:space="0" w:color="auto"/>
              <w:bottom w:val="nil"/>
              <w:right w:val="nil"/>
            </w:tcBorders>
            <w:noWrap/>
            <w:vAlign w:val="bottom"/>
            <w:hideMark/>
          </w:tcPr>
          <w:p w14:paraId="349683E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PLATANIAS MAGNISIAS</w:t>
            </w:r>
          </w:p>
        </w:tc>
        <w:tc>
          <w:tcPr>
            <w:tcW w:w="0" w:type="auto"/>
            <w:tcBorders>
              <w:top w:val="nil"/>
              <w:left w:val="nil"/>
              <w:bottom w:val="nil"/>
              <w:right w:val="single" w:sz="4" w:space="0" w:color="auto"/>
            </w:tcBorders>
            <w:noWrap/>
            <w:vAlign w:val="bottom"/>
            <w:hideMark/>
          </w:tcPr>
          <w:p w14:paraId="0D4E78E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D7CD716" w14:textId="77777777" w:rsidTr="00CA749B">
        <w:trPr>
          <w:trHeight w:val="300"/>
          <w:jc w:val="center"/>
        </w:trPr>
        <w:tc>
          <w:tcPr>
            <w:tcW w:w="0" w:type="auto"/>
            <w:tcBorders>
              <w:top w:val="nil"/>
              <w:left w:val="single" w:sz="4" w:space="0" w:color="auto"/>
              <w:bottom w:val="nil"/>
              <w:right w:val="nil"/>
            </w:tcBorders>
            <w:noWrap/>
            <w:vAlign w:val="bottom"/>
            <w:hideMark/>
          </w:tcPr>
          <w:p w14:paraId="6D6F17D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PLATARIA THESPROTIAS</w:t>
            </w:r>
          </w:p>
        </w:tc>
        <w:tc>
          <w:tcPr>
            <w:tcW w:w="0" w:type="auto"/>
            <w:tcBorders>
              <w:top w:val="nil"/>
              <w:left w:val="nil"/>
              <w:bottom w:val="nil"/>
              <w:right w:val="single" w:sz="4" w:space="0" w:color="auto"/>
            </w:tcBorders>
            <w:noWrap/>
            <w:vAlign w:val="bottom"/>
            <w:hideMark/>
          </w:tcPr>
          <w:p w14:paraId="59F37FD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F890ADA" w14:textId="77777777" w:rsidTr="00CA749B">
        <w:trPr>
          <w:trHeight w:val="300"/>
          <w:jc w:val="center"/>
        </w:trPr>
        <w:tc>
          <w:tcPr>
            <w:tcW w:w="0" w:type="auto"/>
            <w:tcBorders>
              <w:top w:val="nil"/>
              <w:left w:val="single" w:sz="4" w:space="0" w:color="auto"/>
              <w:bottom w:val="nil"/>
              <w:right w:val="nil"/>
            </w:tcBorders>
            <w:noWrap/>
            <w:vAlign w:val="bottom"/>
            <w:hideMark/>
          </w:tcPr>
          <w:p w14:paraId="695461B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PLATYGIALI</w:t>
            </w:r>
            <w:r w:rsidRPr="00F0379B">
              <w:rPr>
                <w:rFonts w:ascii="Cambria" w:eastAsiaTheme="minorEastAsia" w:hAnsi="Cambria" w:cs="Times New Roman"/>
                <w:color w:val="000000"/>
                <w:sz w:val="20"/>
                <w:szCs w:val="20"/>
                <w:lang w:val="en-GB" w:eastAsia="en-GB"/>
                <w14:ligatures w14:val="standardContextual"/>
              </w:rPr>
              <w:t xml:space="preserve"> ASTAKOU</w:t>
            </w:r>
          </w:p>
        </w:tc>
        <w:tc>
          <w:tcPr>
            <w:tcW w:w="0" w:type="auto"/>
            <w:tcBorders>
              <w:top w:val="nil"/>
              <w:left w:val="nil"/>
              <w:bottom w:val="nil"/>
              <w:right w:val="single" w:sz="4" w:space="0" w:color="auto"/>
            </w:tcBorders>
            <w:noWrap/>
            <w:vAlign w:val="bottom"/>
            <w:hideMark/>
          </w:tcPr>
          <w:p w14:paraId="6535E46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1A5CD0DD" w14:textId="77777777" w:rsidTr="00CA749B">
        <w:trPr>
          <w:trHeight w:val="300"/>
          <w:jc w:val="center"/>
        </w:trPr>
        <w:tc>
          <w:tcPr>
            <w:tcW w:w="0" w:type="auto"/>
            <w:tcBorders>
              <w:top w:val="nil"/>
              <w:left w:val="single" w:sz="4" w:space="0" w:color="auto"/>
              <w:bottom w:val="nil"/>
              <w:right w:val="nil"/>
            </w:tcBorders>
            <w:noWrap/>
            <w:vAlign w:val="bottom"/>
            <w:hideMark/>
          </w:tcPr>
          <w:p w14:paraId="2772448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PLATYS GIALOS SIFNOU</w:t>
            </w:r>
          </w:p>
        </w:tc>
        <w:tc>
          <w:tcPr>
            <w:tcW w:w="0" w:type="auto"/>
            <w:tcBorders>
              <w:top w:val="nil"/>
              <w:left w:val="nil"/>
              <w:bottom w:val="nil"/>
              <w:right w:val="single" w:sz="4" w:space="0" w:color="auto"/>
            </w:tcBorders>
            <w:noWrap/>
            <w:vAlign w:val="bottom"/>
            <w:hideMark/>
          </w:tcPr>
          <w:p w14:paraId="65BCE2F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535AD8C" w14:textId="77777777" w:rsidTr="00CA749B">
        <w:trPr>
          <w:trHeight w:val="300"/>
          <w:jc w:val="center"/>
        </w:trPr>
        <w:tc>
          <w:tcPr>
            <w:tcW w:w="0" w:type="auto"/>
            <w:tcBorders>
              <w:top w:val="nil"/>
              <w:left w:val="single" w:sz="4" w:space="0" w:color="auto"/>
              <w:bottom w:val="nil"/>
              <w:right w:val="nil"/>
            </w:tcBorders>
            <w:noWrap/>
            <w:vAlign w:val="bottom"/>
            <w:hideMark/>
          </w:tcPr>
          <w:p w14:paraId="75C576A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PLIMMYRI RODOU</w:t>
            </w:r>
          </w:p>
        </w:tc>
        <w:tc>
          <w:tcPr>
            <w:tcW w:w="0" w:type="auto"/>
            <w:tcBorders>
              <w:top w:val="nil"/>
              <w:left w:val="nil"/>
              <w:bottom w:val="nil"/>
              <w:right w:val="single" w:sz="4" w:space="0" w:color="auto"/>
            </w:tcBorders>
            <w:noWrap/>
            <w:vAlign w:val="bottom"/>
            <w:hideMark/>
          </w:tcPr>
          <w:p w14:paraId="3366436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92BE5A2" w14:textId="77777777" w:rsidTr="00CA749B">
        <w:trPr>
          <w:trHeight w:val="300"/>
          <w:jc w:val="center"/>
        </w:trPr>
        <w:tc>
          <w:tcPr>
            <w:tcW w:w="0" w:type="auto"/>
            <w:tcBorders>
              <w:top w:val="nil"/>
              <w:left w:val="single" w:sz="4" w:space="0" w:color="auto"/>
              <w:bottom w:val="nil"/>
              <w:right w:val="nil"/>
            </w:tcBorders>
            <w:noWrap/>
            <w:vAlign w:val="bottom"/>
            <w:hideMark/>
          </w:tcPr>
          <w:p w14:paraId="274FC4D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PLOMARI </w:t>
            </w:r>
          </w:p>
        </w:tc>
        <w:tc>
          <w:tcPr>
            <w:tcW w:w="0" w:type="auto"/>
            <w:tcBorders>
              <w:top w:val="nil"/>
              <w:left w:val="nil"/>
              <w:bottom w:val="nil"/>
              <w:right w:val="single" w:sz="4" w:space="0" w:color="auto"/>
            </w:tcBorders>
            <w:noWrap/>
            <w:vAlign w:val="bottom"/>
            <w:hideMark/>
          </w:tcPr>
          <w:p w14:paraId="3A3FB5B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2BC7F9D0" w14:textId="77777777" w:rsidTr="00CA749B">
        <w:trPr>
          <w:trHeight w:val="300"/>
          <w:jc w:val="center"/>
        </w:trPr>
        <w:tc>
          <w:tcPr>
            <w:tcW w:w="0" w:type="auto"/>
            <w:tcBorders>
              <w:top w:val="nil"/>
              <w:left w:val="single" w:sz="4" w:space="0" w:color="auto"/>
              <w:bottom w:val="nil"/>
              <w:right w:val="nil"/>
            </w:tcBorders>
            <w:noWrap/>
            <w:vAlign w:val="bottom"/>
            <w:hideMark/>
          </w:tcPr>
          <w:p w14:paraId="641546C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POLITIKA</w:t>
            </w:r>
          </w:p>
        </w:tc>
        <w:tc>
          <w:tcPr>
            <w:tcW w:w="0" w:type="auto"/>
            <w:tcBorders>
              <w:top w:val="nil"/>
              <w:left w:val="nil"/>
              <w:bottom w:val="nil"/>
              <w:right w:val="single" w:sz="4" w:space="0" w:color="auto"/>
            </w:tcBorders>
            <w:noWrap/>
            <w:vAlign w:val="bottom"/>
            <w:hideMark/>
          </w:tcPr>
          <w:p w14:paraId="1F4817D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A126987" w14:textId="77777777" w:rsidTr="00CA749B">
        <w:trPr>
          <w:trHeight w:val="300"/>
          <w:jc w:val="center"/>
        </w:trPr>
        <w:tc>
          <w:tcPr>
            <w:tcW w:w="0" w:type="auto"/>
            <w:tcBorders>
              <w:top w:val="nil"/>
              <w:left w:val="single" w:sz="4" w:space="0" w:color="auto"/>
              <w:bottom w:val="nil"/>
              <w:right w:val="nil"/>
            </w:tcBorders>
            <w:noWrap/>
            <w:vAlign w:val="bottom"/>
            <w:hideMark/>
          </w:tcPr>
          <w:p w14:paraId="31C75E7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POROS </w:t>
            </w:r>
            <w:r w:rsidRPr="00F0379B">
              <w:rPr>
                <w:rFonts w:ascii="Cambria" w:eastAsiaTheme="minorEastAsia" w:hAnsi="Cambria" w:cs="Times New Roman"/>
                <w:color w:val="000000"/>
                <w:sz w:val="20"/>
                <w:szCs w:val="20"/>
                <w:lang w:val="en-GB" w:eastAsia="en-GB"/>
                <w14:ligatures w14:val="standardContextual"/>
              </w:rPr>
              <w:t>KEFALLINIAS</w:t>
            </w:r>
            <w:r w:rsidRPr="00F0379B">
              <w:rPr>
                <w:rFonts w:ascii="Cambria" w:eastAsia="MS Gothic" w:hAnsi="Cambria" w:cs="Times New Roman"/>
                <w:color w:val="000000"/>
                <w:sz w:val="20"/>
                <w:szCs w:val="20"/>
                <w:lang w:val="en-GB" w:eastAsia="fr-FR" w:bidi="fr-FR"/>
                <w14:ligatures w14:val="standardContextual"/>
              </w:rPr>
              <w:t xml:space="preserve"> </w:t>
            </w:r>
          </w:p>
        </w:tc>
        <w:tc>
          <w:tcPr>
            <w:tcW w:w="0" w:type="auto"/>
            <w:tcBorders>
              <w:top w:val="nil"/>
              <w:left w:val="nil"/>
              <w:bottom w:val="nil"/>
              <w:right w:val="single" w:sz="4" w:space="0" w:color="auto"/>
            </w:tcBorders>
            <w:noWrap/>
            <w:vAlign w:val="bottom"/>
            <w:hideMark/>
          </w:tcPr>
          <w:p w14:paraId="487F635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4CEE6E42" w14:textId="77777777" w:rsidTr="00CA749B">
        <w:trPr>
          <w:trHeight w:val="300"/>
          <w:jc w:val="center"/>
        </w:trPr>
        <w:tc>
          <w:tcPr>
            <w:tcW w:w="0" w:type="auto"/>
            <w:tcBorders>
              <w:top w:val="nil"/>
              <w:left w:val="single" w:sz="4" w:space="0" w:color="auto"/>
              <w:bottom w:val="nil"/>
              <w:right w:val="nil"/>
            </w:tcBorders>
            <w:noWrap/>
            <w:vAlign w:val="bottom"/>
            <w:hideMark/>
          </w:tcPr>
          <w:p w14:paraId="0F673BF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POROS TROIZINIAS</w:t>
            </w:r>
          </w:p>
        </w:tc>
        <w:tc>
          <w:tcPr>
            <w:tcW w:w="0" w:type="auto"/>
            <w:tcBorders>
              <w:top w:val="nil"/>
              <w:left w:val="nil"/>
              <w:bottom w:val="nil"/>
              <w:right w:val="single" w:sz="4" w:space="0" w:color="auto"/>
            </w:tcBorders>
            <w:noWrap/>
            <w:vAlign w:val="bottom"/>
            <w:hideMark/>
          </w:tcPr>
          <w:p w14:paraId="0674E12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339D4B1" w14:textId="77777777" w:rsidTr="00CA749B">
        <w:trPr>
          <w:trHeight w:val="300"/>
          <w:jc w:val="center"/>
        </w:trPr>
        <w:tc>
          <w:tcPr>
            <w:tcW w:w="0" w:type="auto"/>
            <w:tcBorders>
              <w:top w:val="nil"/>
              <w:left w:val="single" w:sz="4" w:space="0" w:color="auto"/>
              <w:bottom w:val="nil"/>
              <w:right w:val="nil"/>
            </w:tcBorders>
            <w:noWrap/>
            <w:vAlign w:val="bottom"/>
            <w:hideMark/>
          </w:tcPr>
          <w:p w14:paraId="7208B2B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PORTO KOUFO </w:t>
            </w:r>
            <w:r w:rsidRPr="00F0379B">
              <w:rPr>
                <w:rFonts w:ascii="Cambria" w:eastAsiaTheme="minorEastAsia" w:hAnsi="Cambria" w:cs="Times New Roman"/>
                <w:color w:val="000000"/>
                <w:sz w:val="20"/>
                <w:szCs w:val="20"/>
                <w:lang w:val="en-GB" w:eastAsia="en-GB"/>
                <w14:ligatures w14:val="standardContextual"/>
              </w:rPr>
              <w:t>CHALKIDIKIS</w:t>
            </w:r>
          </w:p>
        </w:tc>
        <w:tc>
          <w:tcPr>
            <w:tcW w:w="0" w:type="auto"/>
            <w:tcBorders>
              <w:top w:val="nil"/>
              <w:left w:val="nil"/>
              <w:bottom w:val="nil"/>
              <w:right w:val="single" w:sz="4" w:space="0" w:color="auto"/>
            </w:tcBorders>
            <w:noWrap/>
            <w:vAlign w:val="bottom"/>
            <w:hideMark/>
          </w:tcPr>
          <w:p w14:paraId="52BC0C8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61D44E19" w14:textId="77777777" w:rsidTr="00CA749B">
        <w:trPr>
          <w:trHeight w:val="300"/>
          <w:jc w:val="center"/>
        </w:trPr>
        <w:tc>
          <w:tcPr>
            <w:tcW w:w="0" w:type="auto"/>
            <w:tcBorders>
              <w:top w:val="nil"/>
              <w:left w:val="single" w:sz="4" w:space="0" w:color="auto"/>
              <w:bottom w:val="nil"/>
              <w:right w:val="nil"/>
            </w:tcBorders>
            <w:noWrap/>
            <w:vAlign w:val="bottom"/>
            <w:hideMark/>
          </w:tcPr>
          <w:p w14:paraId="2CA1338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PORTO LAGOS </w:t>
            </w:r>
          </w:p>
        </w:tc>
        <w:tc>
          <w:tcPr>
            <w:tcW w:w="0" w:type="auto"/>
            <w:tcBorders>
              <w:top w:val="nil"/>
              <w:left w:val="nil"/>
              <w:bottom w:val="nil"/>
              <w:right w:val="single" w:sz="4" w:space="0" w:color="auto"/>
            </w:tcBorders>
            <w:noWrap/>
            <w:vAlign w:val="bottom"/>
            <w:hideMark/>
          </w:tcPr>
          <w:p w14:paraId="3F41FEA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D887C0D" w14:textId="77777777" w:rsidTr="00CA749B">
        <w:trPr>
          <w:trHeight w:val="300"/>
          <w:jc w:val="center"/>
        </w:trPr>
        <w:tc>
          <w:tcPr>
            <w:tcW w:w="0" w:type="auto"/>
            <w:tcBorders>
              <w:top w:val="nil"/>
              <w:left w:val="single" w:sz="4" w:space="0" w:color="auto"/>
              <w:bottom w:val="nil"/>
              <w:right w:val="nil"/>
            </w:tcBorders>
            <w:noWrap/>
            <w:vAlign w:val="bottom"/>
            <w:hideMark/>
          </w:tcPr>
          <w:p w14:paraId="28C4FCB6"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PORTO RAFTI </w:t>
            </w:r>
          </w:p>
        </w:tc>
        <w:tc>
          <w:tcPr>
            <w:tcW w:w="0" w:type="auto"/>
            <w:tcBorders>
              <w:top w:val="nil"/>
              <w:left w:val="nil"/>
              <w:bottom w:val="nil"/>
              <w:right w:val="single" w:sz="4" w:space="0" w:color="auto"/>
            </w:tcBorders>
            <w:noWrap/>
            <w:vAlign w:val="bottom"/>
            <w:hideMark/>
          </w:tcPr>
          <w:p w14:paraId="281F8D9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50A8C47" w14:textId="77777777" w:rsidTr="00CA749B">
        <w:trPr>
          <w:trHeight w:val="300"/>
          <w:jc w:val="center"/>
        </w:trPr>
        <w:tc>
          <w:tcPr>
            <w:tcW w:w="0" w:type="auto"/>
            <w:tcBorders>
              <w:top w:val="nil"/>
              <w:left w:val="single" w:sz="4" w:space="0" w:color="auto"/>
              <w:bottom w:val="nil"/>
              <w:right w:val="nil"/>
            </w:tcBorders>
            <w:noWrap/>
            <w:vAlign w:val="bottom"/>
            <w:hideMark/>
          </w:tcPr>
          <w:p w14:paraId="580BEB8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PORTOCHELI </w:t>
            </w:r>
          </w:p>
        </w:tc>
        <w:tc>
          <w:tcPr>
            <w:tcW w:w="0" w:type="auto"/>
            <w:tcBorders>
              <w:top w:val="nil"/>
              <w:left w:val="nil"/>
              <w:bottom w:val="nil"/>
              <w:right w:val="single" w:sz="4" w:space="0" w:color="auto"/>
            </w:tcBorders>
            <w:noWrap/>
            <w:vAlign w:val="bottom"/>
            <w:hideMark/>
          </w:tcPr>
          <w:p w14:paraId="5C571D4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24D51A5" w14:textId="77777777" w:rsidTr="00CA749B">
        <w:trPr>
          <w:trHeight w:val="300"/>
          <w:jc w:val="center"/>
        </w:trPr>
        <w:tc>
          <w:tcPr>
            <w:tcW w:w="0" w:type="auto"/>
            <w:tcBorders>
              <w:top w:val="nil"/>
              <w:left w:val="single" w:sz="4" w:space="0" w:color="auto"/>
              <w:bottom w:val="nil"/>
              <w:right w:val="nil"/>
            </w:tcBorders>
            <w:noWrap/>
            <w:vAlign w:val="bottom"/>
            <w:hideMark/>
          </w:tcPr>
          <w:p w14:paraId="50B439B6"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POUNTA PAROU</w:t>
            </w:r>
          </w:p>
        </w:tc>
        <w:tc>
          <w:tcPr>
            <w:tcW w:w="0" w:type="auto"/>
            <w:tcBorders>
              <w:top w:val="nil"/>
              <w:left w:val="nil"/>
              <w:bottom w:val="nil"/>
              <w:right w:val="single" w:sz="4" w:space="0" w:color="auto"/>
            </w:tcBorders>
            <w:noWrap/>
            <w:vAlign w:val="bottom"/>
            <w:hideMark/>
          </w:tcPr>
          <w:p w14:paraId="2D16E49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A1691D7" w14:textId="77777777" w:rsidTr="00CA749B">
        <w:trPr>
          <w:trHeight w:val="300"/>
          <w:jc w:val="center"/>
        </w:trPr>
        <w:tc>
          <w:tcPr>
            <w:tcW w:w="0" w:type="auto"/>
            <w:tcBorders>
              <w:top w:val="nil"/>
              <w:left w:val="single" w:sz="4" w:space="0" w:color="auto"/>
              <w:bottom w:val="nil"/>
              <w:right w:val="nil"/>
            </w:tcBorders>
            <w:noWrap/>
            <w:vAlign w:val="bottom"/>
            <w:hideMark/>
          </w:tcPr>
          <w:p w14:paraId="4B42156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PREVEZA </w:t>
            </w:r>
          </w:p>
        </w:tc>
        <w:tc>
          <w:tcPr>
            <w:tcW w:w="0" w:type="auto"/>
            <w:tcBorders>
              <w:top w:val="nil"/>
              <w:left w:val="nil"/>
              <w:bottom w:val="nil"/>
              <w:right w:val="single" w:sz="4" w:space="0" w:color="auto"/>
            </w:tcBorders>
            <w:noWrap/>
            <w:vAlign w:val="bottom"/>
            <w:hideMark/>
          </w:tcPr>
          <w:p w14:paraId="413B46C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17D36D96" w14:textId="77777777" w:rsidTr="00CA749B">
        <w:trPr>
          <w:trHeight w:val="300"/>
          <w:jc w:val="center"/>
        </w:trPr>
        <w:tc>
          <w:tcPr>
            <w:tcW w:w="0" w:type="auto"/>
            <w:tcBorders>
              <w:top w:val="nil"/>
              <w:left w:val="single" w:sz="4" w:space="0" w:color="auto"/>
              <w:bottom w:val="nil"/>
              <w:right w:val="nil"/>
            </w:tcBorders>
            <w:noWrap/>
            <w:vAlign w:val="bottom"/>
            <w:hideMark/>
          </w:tcPr>
          <w:p w14:paraId="6EE5A74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PSAROPOULI (PARALIA VASILIKON)</w:t>
            </w:r>
          </w:p>
        </w:tc>
        <w:tc>
          <w:tcPr>
            <w:tcW w:w="0" w:type="auto"/>
            <w:tcBorders>
              <w:top w:val="nil"/>
              <w:left w:val="nil"/>
              <w:bottom w:val="nil"/>
              <w:right w:val="single" w:sz="4" w:space="0" w:color="auto"/>
            </w:tcBorders>
            <w:noWrap/>
            <w:vAlign w:val="bottom"/>
            <w:hideMark/>
          </w:tcPr>
          <w:p w14:paraId="7B4EC47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167E6E8" w14:textId="77777777" w:rsidTr="00CA749B">
        <w:trPr>
          <w:trHeight w:val="300"/>
          <w:jc w:val="center"/>
        </w:trPr>
        <w:tc>
          <w:tcPr>
            <w:tcW w:w="0" w:type="auto"/>
            <w:tcBorders>
              <w:top w:val="nil"/>
              <w:left w:val="single" w:sz="4" w:space="0" w:color="auto"/>
              <w:bottom w:val="nil"/>
              <w:right w:val="nil"/>
            </w:tcBorders>
            <w:noWrap/>
            <w:vAlign w:val="bottom"/>
            <w:hideMark/>
          </w:tcPr>
          <w:p w14:paraId="251FC61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PYLOS </w:t>
            </w:r>
          </w:p>
        </w:tc>
        <w:tc>
          <w:tcPr>
            <w:tcW w:w="0" w:type="auto"/>
            <w:tcBorders>
              <w:top w:val="nil"/>
              <w:left w:val="nil"/>
              <w:bottom w:val="nil"/>
              <w:right w:val="single" w:sz="4" w:space="0" w:color="auto"/>
            </w:tcBorders>
            <w:noWrap/>
            <w:vAlign w:val="bottom"/>
            <w:hideMark/>
          </w:tcPr>
          <w:p w14:paraId="4EFE6B5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61AA25B8" w14:textId="77777777" w:rsidTr="00CA749B">
        <w:trPr>
          <w:trHeight w:val="300"/>
          <w:jc w:val="center"/>
        </w:trPr>
        <w:tc>
          <w:tcPr>
            <w:tcW w:w="0" w:type="auto"/>
            <w:tcBorders>
              <w:top w:val="nil"/>
              <w:left w:val="single" w:sz="4" w:space="0" w:color="auto"/>
              <w:bottom w:val="nil"/>
              <w:right w:val="nil"/>
            </w:tcBorders>
            <w:noWrap/>
            <w:vAlign w:val="bottom"/>
            <w:hideMark/>
          </w:tcPr>
          <w:p w14:paraId="5A121C0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PYRGOS PERAMATOS LESVOU</w:t>
            </w:r>
          </w:p>
        </w:tc>
        <w:tc>
          <w:tcPr>
            <w:tcW w:w="0" w:type="auto"/>
            <w:tcBorders>
              <w:top w:val="nil"/>
              <w:left w:val="nil"/>
              <w:bottom w:val="nil"/>
              <w:right w:val="single" w:sz="4" w:space="0" w:color="auto"/>
            </w:tcBorders>
            <w:noWrap/>
            <w:vAlign w:val="bottom"/>
            <w:hideMark/>
          </w:tcPr>
          <w:p w14:paraId="03C96EB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26C560D2" w14:textId="77777777" w:rsidTr="00CA749B">
        <w:trPr>
          <w:trHeight w:val="300"/>
          <w:jc w:val="center"/>
        </w:trPr>
        <w:tc>
          <w:tcPr>
            <w:tcW w:w="0" w:type="auto"/>
            <w:tcBorders>
              <w:top w:val="nil"/>
              <w:left w:val="single" w:sz="4" w:space="0" w:color="auto"/>
              <w:bottom w:val="nil"/>
              <w:right w:val="nil"/>
            </w:tcBorders>
            <w:noWrap/>
            <w:vAlign w:val="bottom"/>
            <w:hideMark/>
          </w:tcPr>
          <w:p w14:paraId="5775F49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PYTHAGOREIO </w:t>
            </w:r>
            <w:r w:rsidRPr="00F0379B">
              <w:rPr>
                <w:rFonts w:ascii="Cambria" w:eastAsiaTheme="minorEastAsia" w:hAnsi="Cambria" w:cs="Times New Roman"/>
                <w:color w:val="000000"/>
                <w:sz w:val="20"/>
                <w:szCs w:val="20"/>
                <w:lang w:val="en-GB" w:eastAsia="en-GB"/>
                <w14:ligatures w14:val="standardContextual"/>
              </w:rPr>
              <w:t>SAMOU</w:t>
            </w:r>
          </w:p>
        </w:tc>
        <w:tc>
          <w:tcPr>
            <w:tcW w:w="0" w:type="auto"/>
            <w:tcBorders>
              <w:top w:val="nil"/>
              <w:left w:val="nil"/>
              <w:bottom w:val="nil"/>
              <w:right w:val="single" w:sz="4" w:space="0" w:color="auto"/>
            </w:tcBorders>
            <w:noWrap/>
            <w:vAlign w:val="bottom"/>
            <w:hideMark/>
          </w:tcPr>
          <w:p w14:paraId="6335ECA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0A74AD77" w14:textId="77777777" w:rsidTr="00CA749B">
        <w:trPr>
          <w:trHeight w:val="300"/>
          <w:jc w:val="center"/>
        </w:trPr>
        <w:tc>
          <w:tcPr>
            <w:tcW w:w="0" w:type="auto"/>
            <w:tcBorders>
              <w:top w:val="nil"/>
              <w:left w:val="single" w:sz="4" w:space="0" w:color="auto"/>
              <w:bottom w:val="nil"/>
              <w:right w:val="nil"/>
            </w:tcBorders>
            <w:noWrap/>
            <w:vAlign w:val="bottom"/>
            <w:hideMark/>
          </w:tcPr>
          <w:p w14:paraId="7D20261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RACHES FTHIOTIDAS </w:t>
            </w:r>
          </w:p>
        </w:tc>
        <w:tc>
          <w:tcPr>
            <w:tcW w:w="0" w:type="auto"/>
            <w:tcBorders>
              <w:top w:val="nil"/>
              <w:left w:val="nil"/>
              <w:bottom w:val="nil"/>
              <w:right w:val="single" w:sz="4" w:space="0" w:color="auto"/>
            </w:tcBorders>
            <w:noWrap/>
            <w:vAlign w:val="bottom"/>
            <w:hideMark/>
          </w:tcPr>
          <w:p w14:paraId="5561227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764D5D2" w14:textId="77777777" w:rsidTr="00CA749B">
        <w:trPr>
          <w:trHeight w:val="300"/>
          <w:jc w:val="center"/>
        </w:trPr>
        <w:tc>
          <w:tcPr>
            <w:tcW w:w="0" w:type="auto"/>
            <w:tcBorders>
              <w:top w:val="nil"/>
              <w:left w:val="single" w:sz="4" w:space="0" w:color="auto"/>
              <w:bottom w:val="nil"/>
              <w:right w:val="nil"/>
            </w:tcBorders>
            <w:noWrap/>
            <w:vAlign w:val="bottom"/>
            <w:hideMark/>
          </w:tcPr>
          <w:p w14:paraId="392F6D7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RAFINA </w:t>
            </w:r>
          </w:p>
        </w:tc>
        <w:tc>
          <w:tcPr>
            <w:tcW w:w="0" w:type="auto"/>
            <w:tcBorders>
              <w:top w:val="nil"/>
              <w:left w:val="nil"/>
              <w:bottom w:val="nil"/>
              <w:right w:val="single" w:sz="4" w:space="0" w:color="auto"/>
            </w:tcBorders>
            <w:noWrap/>
            <w:vAlign w:val="bottom"/>
            <w:hideMark/>
          </w:tcPr>
          <w:p w14:paraId="6B877A1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B4431AB" w14:textId="77777777" w:rsidTr="00CA749B">
        <w:trPr>
          <w:trHeight w:val="300"/>
          <w:jc w:val="center"/>
        </w:trPr>
        <w:tc>
          <w:tcPr>
            <w:tcW w:w="0" w:type="auto"/>
            <w:tcBorders>
              <w:top w:val="nil"/>
              <w:left w:val="single" w:sz="4" w:space="0" w:color="auto"/>
              <w:bottom w:val="nil"/>
              <w:right w:val="nil"/>
            </w:tcBorders>
            <w:noWrap/>
            <w:vAlign w:val="bottom"/>
            <w:hideMark/>
          </w:tcPr>
          <w:p w14:paraId="026BBC2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RETHYMNO </w:t>
            </w:r>
          </w:p>
        </w:tc>
        <w:tc>
          <w:tcPr>
            <w:tcW w:w="0" w:type="auto"/>
            <w:tcBorders>
              <w:top w:val="nil"/>
              <w:left w:val="nil"/>
              <w:bottom w:val="nil"/>
              <w:right w:val="single" w:sz="4" w:space="0" w:color="auto"/>
            </w:tcBorders>
            <w:noWrap/>
            <w:vAlign w:val="bottom"/>
            <w:hideMark/>
          </w:tcPr>
          <w:p w14:paraId="7A1CBB2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026B5FC4" w14:textId="77777777" w:rsidTr="00CA749B">
        <w:trPr>
          <w:trHeight w:val="300"/>
          <w:jc w:val="center"/>
        </w:trPr>
        <w:tc>
          <w:tcPr>
            <w:tcW w:w="0" w:type="auto"/>
            <w:tcBorders>
              <w:top w:val="nil"/>
              <w:left w:val="single" w:sz="4" w:space="0" w:color="auto"/>
              <w:bottom w:val="nil"/>
              <w:right w:val="nil"/>
            </w:tcBorders>
            <w:noWrap/>
            <w:vAlign w:val="bottom"/>
            <w:hideMark/>
          </w:tcPr>
          <w:p w14:paraId="4232329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RODOS</w:t>
            </w:r>
          </w:p>
        </w:tc>
        <w:tc>
          <w:tcPr>
            <w:tcW w:w="0" w:type="auto"/>
            <w:tcBorders>
              <w:top w:val="nil"/>
              <w:left w:val="nil"/>
              <w:bottom w:val="nil"/>
              <w:right w:val="single" w:sz="4" w:space="0" w:color="auto"/>
            </w:tcBorders>
            <w:noWrap/>
            <w:vAlign w:val="bottom"/>
            <w:hideMark/>
          </w:tcPr>
          <w:p w14:paraId="1ACB403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56914F32" w14:textId="77777777" w:rsidTr="00CA749B">
        <w:trPr>
          <w:trHeight w:val="300"/>
          <w:jc w:val="center"/>
        </w:trPr>
        <w:tc>
          <w:tcPr>
            <w:tcW w:w="0" w:type="auto"/>
            <w:tcBorders>
              <w:top w:val="nil"/>
              <w:left w:val="single" w:sz="4" w:space="0" w:color="auto"/>
              <w:bottom w:val="nil"/>
              <w:right w:val="nil"/>
            </w:tcBorders>
            <w:noWrap/>
            <w:vAlign w:val="bottom"/>
            <w:hideMark/>
          </w:tcPr>
          <w:p w14:paraId="6C45974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SAGIADA</w:t>
            </w:r>
          </w:p>
        </w:tc>
        <w:tc>
          <w:tcPr>
            <w:tcW w:w="0" w:type="auto"/>
            <w:tcBorders>
              <w:top w:val="nil"/>
              <w:left w:val="nil"/>
              <w:bottom w:val="nil"/>
              <w:right w:val="single" w:sz="4" w:space="0" w:color="auto"/>
            </w:tcBorders>
            <w:noWrap/>
            <w:vAlign w:val="bottom"/>
            <w:hideMark/>
          </w:tcPr>
          <w:p w14:paraId="44C8632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2DEFA61" w14:textId="77777777" w:rsidTr="00CA749B">
        <w:trPr>
          <w:trHeight w:val="300"/>
          <w:jc w:val="center"/>
        </w:trPr>
        <w:tc>
          <w:tcPr>
            <w:tcW w:w="0" w:type="auto"/>
            <w:tcBorders>
              <w:top w:val="nil"/>
              <w:left w:val="single" w:sz="4" w:space="0" w:color="auto"/>
              <w:bottom w:val="nil"/>
              <w:right w:val="nil"/>
            </w:tcBorders>
            <w:noWrap/>
            <w:vAlign w:val="bottom"/>
            <w:hideMark/>
          </w:tcPr>
          <w:p w14:paraId="1F98248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SALAMINA </w:t>
            </w:r>
          </w:p>
        </w:tc>
        <w:tc>
          <w:tcPr>
            <w:tcW w:w="0" w:type="auto"/>
            <w:tcBorders>
              <w:top w:val="nil"/>
              <w:left w:val="nil"/>
              <w:bottom w:val="nil"/>
              <w:right w:val="single" w:sz="4" w:space="0" w:color="auto"/>
            </w:tcBorders>
            <w:noWrap/>
            <w:vAlign w:val="bottom"/>
            <w:hideMark/>
          </w:tcPr>
          <w:p w14:paraId="2ABF2AF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1181707" w14:textId="77777777" w:rsidTr="00CA749B">
        <w:trPr>
          <w:trHeight w:val="300"/>
          <w:jc w:val="center"/>
        </w:trPr>
        <w:tc>
          <w:tcPr>
            <w:tcW w:w="0" w:type="auto"/>
            <w:tcBorders>
              <w:top w:val="nil"/>
              <w:left w:val="single" w:sz="4" w:space="0" w:color="auto"/>
              <w:bottom w:val="nil"/>
              <w:right w:val="nil"/>
            </w:tcBorders>
            <w:noWrap/>
            <w:vAlign w:val="bottom"/>
            <w:hideMark/>
          </w:tcPr>
          <w:p w14:paraId="3F380FC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SAMI </w:t>
            </w:r>
            <w:r w:rsidRPr="00F0379B">
              <w:rPr>
                <w:rFonts w:ascii="Cambria" w:eastAsiaTheme="minorEastAsia" w:hAnsi="Cambria" w:cs="Times New Roman"/>
                <w:color w:val="000000"/>
                <w:sz w:val="20"/>
                <w:szCs w:val="20"/>
                <w:lang w:val="en-GB" w:eastAsia="en-GB"/>
                <w14:ligatures w14:val="standardContextual"/>
              </w:rPr>
              <w:t>KEFALLINIAS</w:t>
            </w:r>
          </w:p>
        </w:tc>
        <w:tc>
          <w:tcPr>
            <w:tcW w:w="0" w:type="auto"/>
            <w:tcBorders>
              <w:top w:val="nil"/>
              <w:left w:val="nil"/>
              <w:bottom w:val="nil"/>
              <w:right w:val="single" w:sz="4" w:space="0" w:color="auto"/>
            </w:tcBorders>
            <w:noWrap/>
            <w:vAlign w:val="bottom"/>
            <w:hideMark/>
          </w:tcPr>
          <w:p w14:paraId="64C1925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7090AF3B" w14:textId="77777777" w:rsidTr="00CA749B">
        <w:trPr>
          <w:trHeight w:val="300"/>
          <w:jc w:val="center"/>
        </w:trPr>
        <w:tc>
          <w:tcPr>
            <w:tcW w:w="0" w:type="auto"/>
            <w:tcBorders>
              <w:top w:val="nil"/>
              <w:left w:val="single" w:sz="4" w:space="0" w:color="auto"/>
              <w:bottom w:val="nil"/>
              <w:right w:val="nil"/>
            </w:tcBorders>
            <w:noWrap/>
            <w:vAlign w:val="bottom"/>
            <w:hideMark/>
          </w:tcPr>
          <w:p w14:paraId="4438584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SAMOS </w:t>
            </w:r>
            <w:r w:rsidRPr="00F0379B">
              <w:rPr>
                <w:rFonts w:ascii="Cambria" w:eastAsiaTheme="minorEastAsia" w:hAnsi="Cambria" w:cs="Times New Roman"/>
                <w:color w:val="000000"/>
                <w:sz w:val="20"/>
                <w:szCs w:val="20"/>
                <w:lang w:val="en-GB" w:eastAsia="en-GB"/>
                <w14:ligatures w14:val="standardContextual"/>
              </w:rPr>
              <w:t xml:space="preserve">- </w:t>
            </w:r>
            <w:r w:rsidRPr="00F0379B">
              <w:rPr>
                <w:rFonts w:ascii="Cambria" w:eastAsia="MS Gothic" w:hAnsi="Cambria" w:cs="Times New Roman"/>
                <w:color w:val="000000"/>
                <w:sz w:val="20"/>
                <w:szCs w:val="20"/>
                <w:lang w:val="en-GB" w:eastAsia="fr-FR" w:bidi="fr-FR"/>
                <w14:ligatures w14:val="standardContextual"/>
              </w:rPr>
              <w:t xml:space="preserve">VATHY </w:t>
            </w:r>
          </w:p>
        </w:tc>
        <w:tc>
          <w:tcPr>
            <w:tcW w:w="0" w:type="auto"/>
            <w:tcBorders>
              <w:top w:val="nil"/>
              <w:left w:val="nil"/>
              <w:bottom w:val="nil"/>
              <w:right w:val="single" w:sz="4" w:space="0" w:color="auto"/>
            </w:tcBorders>
            <w:noWrap/>
            <w:vAlign w:val="bottom"/>
            <w:hideMark/>
          </w:tcPr>
          <w:p w14:paraId="40A0B6C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38F0256B" w14:textId="77777777" w:rsidTr="00CA749B">
        <w:trPr>
          <w:trHeight w:val="300"/>
          <w:jc w:val="center"/>
        </w:trPr>
        <w:tc>
          <w:tcPr>
            <w:tcW w:w="0" w:type="auto"/>
            <w:tcBorders>
              <w:top w:val="nil"/>
              <w:left w:val="single" w:sz="4" w:space="0" w:color="auto"/>
              <w:bottom w:val="nil"/>
              <w:right w:val="nil"/>
            </w:tcBorders>
            <w:noWrap/>
            <w:vAlign w:val="bottom"/>
            <w:hideMark/>
          </w:tcPr>
          <w:p w14:paraId="799F5A7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SARTI CHALKIDIKIS</w:t>
            </w:r>
          </w:p>
        </w:tc>
        <w:tc>
          <w:tcPr>
            <w:tcW w:w="0" w:type="auto"/>
            <w:tcBorders>
              <w:top w:val="nil"/>
              <w:left w:val="nil"/>
              <w:bottom w:val="nil"/>
              <w:right w:val="single" w:sz="4" w:space="0" w:color="auto"/>
            </w:tcBorders>
            <w:noWrap/>
            <w:vAlign w:val="bottom"/>
            <w:hideMark/>
          </w:tcPr>
          <w:p w14:paraId="715DDCE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7F67FBA" w14:textId="77777777" w:rsidTr="00CA749B">
        <w:trPr>
          <w:trHeight w:val="300"/>
          <w:jc w:val="center"/>
        </w:trPr>
        <w:tc>
          <w:tcPr>
            <w:tcW w:w="0" w:type="auto"/>
            <w:tcBorders>
              <w:top w:val="nil"/>
              <w:left w:val="single" w:sz="4" w:space="0" w:color="auto"/>
              <w:bottom w:val="nil"/>
              <w:right w:val="nil"/>
            </w:tcBorders>
            <w:noWrap/>
            <w:vAlign w:val="bottom"/>
            <w:hideMark/>
          </w:tcPr>
          <w:p w14:paraId="6FD846D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SCHOINOUSA </w:t>
            </w:r>
          </w:p>
        </w:tc>
        <w:tc>
          <w:tcPr>
            <w:tcW w:w="0" w:type="auto"/>
            <w:tcBorders>
              <w:top w:val="nil"/>
              <w:left w:val="nil"/>
              <w:bottom w:val="nil"/>
              <w:right w:val="single" w:sz="4" w:space="0" w:color="auto"/>
            </w:tcBorders>
            <w:noWrap/>
            <w:vAlign w:val="bottom"/>
            <w:hideMark/>
          </w:tcPr>
          <w:p w14:paraId="5721D50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3B2C8FF" w14:textId="77777777" w:rsidTr="00CA749B">
        <w:trPr>
          <w:trHeight w:val="300"/>
          <w:jc w:val="center"/>
        </w:trPr>
        <w:tc>
          <w:tcPr>
            <w:tcW w:w="0" w:type="auto"/>
            <w:tcBorders>
              <w:top w:val="nil"/>
              <w:left w:val="single" w:sz="4" w:space="0" w:color="auto"/>
              <w:bottom w:val="nil"/>
              <w:right w:val="nil"/>
            </w:tcBorders>
            <w:noWrap/>
            <w:vAlign w:val="bottom"/>
            <w:hideMark/>
          </w:tcPr>
          <w:p w14:paraId="568EEB0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SIGRI </w:t>
            </w:r>
            <w:r w:rsidRPr="00F0379B">
              <w:rPr>
                <w:rFonts w:ascii="Cambria" w:eastAsiaTheme="minorEastAsia" w:hAnsi="Cambria" w:cs="Times New Roman"/>
                <w:color w:val="000000"/>
                <w:sz w:val="20"/>
                <w:szCs w:val="20"/>
                <w:lang w:val="en-GB" w:eastAsia="en-GB"/>
                <w14:ligatures w14:val="standardContextual"/>
              </w:rPr>
              <w:t>LESVOU</w:t>
            </w:r>
          </w:p>
        </w:tc>
        <w:tc>
          <w:tcPr>
            <w:tcW w:w="0" w:type="auto"/>
            <w:tcBorders>
              <w:top w:val="nil"/>
              <w:left w:val="nil"/>
              <w:bottom w:val="nil"/>
              <w:right w:val="single" w:sz="4" w:space="0" w:color="auto"/>
            </w:tcBorders>
            <w:noWrap/>
            <w:vAlign w:val="bottom"/>
            <w:hideMark/>
          </w:tcPr>
          <w:p w14:paraId="43DB009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07BE14F9" w14:textId="77777777" w:rsidTr="00CA749B">
        <w:trPr>
          <w:trHeight w:val="300"/>
          <w:jc w:val="center"/>
        </w:trPr>
        <w:tc>
          <w:tcPr>
            <w:tcW w:w="0" w:type="auto"/>
            <w:tcBorders>
              <w:top w:val="nil"/>
              <w:left w:val="single" w:sz="4" w:space="0" w:color="auto"/>
              <w:bottom w:val="nil"/>
              <w:right w:val="nil"/>
            </w:tcBorders>
            <w:noWrap/>
            <w:vAlign w:val="bottom"/>
            <w:hideMark/>
          </w:tcPr>
          <w:p w14:paraId="3CD5A93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SIKINOS </w:t>
            </w:r>
          </w:p>
        </w:tc>
        <w:tc>
          <w:tcPr>
            <w:tcW w:w="0" w:type="auto"/>
            <w:tcBorders>
              <w:top w:val="nil"/>
              <w:left w:val="nil"/>
              <w:bottom w:val="nil"/>
              <w:right w:val="single" w:sz="4" w:space="0" w:color="auto"/>
            </w:tcBorders>
            <w:noWrap/>
            <w:vAlign w:val="bottom"/>
            <w:hideMark/>
          </w:tcPr>
          <w:p w14:paraId="6BC88C5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3C666EED" w14:textId="77777777" w:rsidTr="00CA749B">
        <w:trPr>
          <w:trHeight w:val="300"/>
          <w:jc w:val="center"/>
        </w:trPr>
        <w:tc>
          <w:tcPr>
            <w:tcW w:w="0" w:type="auto"/>
            <w:tcBorders>
              <w:top w:val="nil"/>
              <w:left w:val="single" w:sz="4" w:space="0" w:color="auto"/>
              <w:bottom w:val="nil"/>
              <w:right w:val="nil"/>
            </w:tcBorders>
            <w:noWrap/>
            <w:vAlign w:val="bottom"/>
            <w:hideMark/>
          </w:tcPr>
          <w:p w14:paraId="22373CB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SITEIA </w:t>
            </w:r>
          </w:p>
        </w:tc>
        <w:tc>
          <w:tcPr>
            <w:tcW w:w="0" w:type="auto"/>
            <w:tcBorders>
              <w:top w:val="nil"/>
              <w:left w:val="nil"/>
              <w:bottom w:val="nil"/>
              <w:right w:val="single" w:sz="4" w:space="0" w:color="auto"/>
            </w:tcBorders>
            <w:noWrap/>
            <w:vAlign w:val="bottom"/>
            <w:hideMark/>
          </w:tcPr>
          <w:p w14:paraId="3C2040E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4AE3DD4D" w14:textId="77777777" w:rsidTr="00CA749B">
        <w:trPr>
          <w:trHeight w:val="300"/>
          <w:jc w:val="center"/>
        </w:trPr>
        <w:tc>
          <w:tcPr>
            <w:tcW w:w="0" w:type="auto"/>
            <w:tcBorders>
              <w:top w:val="nil"/>
              <w:left w:val="single" w:sz="4" w:space="0" w:color="auto"/>
              <w:bottom w:val="nil"/>
              <w:right w:val="nil"/>
            </w:tcBorders>
            <w:noWrap/>
            <w:vAlign w:val="bottom"/>
            <w:hideMark/>
          </w:tcPr>
          <w:p w14:paraId="40BA5CD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SKALA KALLONIS LESVOU</w:t>
            </w:r>
          </w:p>
        </w:tc>
        <w:tc>
          <w:tcPr>
            <w:tcW w:w="0" w:type="auto"/>
            <w:tcBorders>
              <w:top w:val="nil"/>
              <w:left w:val="nil"/>
              <w:bottom w:val="nil"/>
              <w:right w:val="single" w:sz="4" w:space="0" w:color="auto"/>
            </w:tcBorders>
            <w:noWrap/>
            <w:vAlign w:val="bottom"/>
            <w:hideMark/>
          </w:tcPr>
          <w:p w14:paraId="4889007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429040F" w14:textId="77777777" w:rsidTr="00CA749B">
        <w:trPr>
          <w:trHeight w:val="300"/>
          <w:jc w:val="center"/>
        </w:trPr>
        <w:tc>
          <w:tcPr>
            <w:tcW w:w="0" w:type="auto"/>
            <w:tcBorders>
              <w:top w:val="nil"/>
              <w:left w:val="single" w:sz="4" w:space="0" w:color="auto"/>
              <w:bottom w:val="nil"/>
              <w:right w:val="nil"/>
            </w:tcBorders>
            <w:noWrap/>
            <w:vAlign w:val="bottom"/>
            <w:hideMark/>
          </w:tcPr>
          <w:p w14:paraId="22ADA76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SKALA KAMEIROU RODOS</w:t>
            </w:r>
          </w:p>
        </w:tc>
        <w:tc>
          <w:tcPr>
            <w:tcW w:w="0" w:type="auto"/>
            <w:tcBorders>
              <w:top w:val="nil"/>
              <w:left w:val="nil"/>
              <w:bottom w:val="nil"/>
              <w:right w:val="single" w:sz="4" w:space="0" w:color="auto"/>
            </w:tcBorders>
            <w:noWrap/>
            <w:vAlign w:val="bottom"/>
            <w:hideMark/>
          </w:tcPr>
          <w:p w14:paraId="7AFC828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9F14A31" w14:textId="77777777" w:rsidTr="00CA749B">
        <w:trPr>
          <w:trHeight w:val="300"/>
          <w:jc w:val="center"/>
        </w:trPr>
        <w:tc>
          <w:tcPr>
            <w:tcW w:w="0" w:type="auto"/>
            <w:tcBorders>
              <w:top w:val="nil"/>
              <w:left w:val="single" w:sz="4" w:space="0" w:color="auto"/>
              <w:bottom w:val="nil"/>
              <w:right w:val="nil"/>
            </w:tcBorders>
            <w:noWrap/>
            <w:vAlign w:val="bottom"/>
            <w:hideMark/>
          </w:tcPr>
          <w:p w14:paraId="748D8D2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SKALA POLICHNITOU </w:t>
            </w:r>
            <w:r w:rsidRPr="00F0379B">
              <w:rPr>
                <w:rFonts w:ascii="Cambria" w:eastAsiaTheme="minorEastAsia" w:hAnsi="Cambria" w:cs="Times New Roman"/>
                <w:color w:val="000000"/>
                <w:sz w:val="20"/>
                <w:szCs w:val="20"/>
                <w:lang w:val="en-GB" w:eastAsia="en-GB"/>
                <w14:ligatures w14:val="standardContextual"/>
              </w:rPr>
              <w:t>LESVOU</w:t>
            </w:r>
          </w:p>
        </w:tc>
        <w:tc>
          <w:tcPr>
            <w:tcW w:w="0" w:type="auto"/>
            <w:tcBorders>
              <w:top w:val="nil"/>
              <w:left w:val="nil"/>
              <w:bottom w:val="nil"/>
              <w:right w:val="single" w:sz="4" w:space="0" w:color="auto"/>
            </w:tcBorders>
            <w:noWrap/>
            <w:vAlign w:val="bottom"/>
            <w:hideMark/>
          </w:tcPr>
          <w:p w14:paraId="756C61C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67EFFE97" w14:textId="77777777" w:rsidTr="00CA749B">
        <w:trPr>
          <w:trHeight w:val="300"/>
          <w:jc w:val="center"/>
        </w:trPr>
        <w:tc>
          <w:tcPr>
            <w:tcW w:w="0" w:type="auto"/>
            <w:tcBorders>
              <w:top w:val="nil"/>
              <w:left w:val="single" w:sz="4" w:space="0" w:color="auto"/>
              <w:bottom w:val="nil"/>
              <w:right w:val="nil"/>
            </w:tcBorders>
            <w:noWrap/>
            <w:vAlign w:val="bottom"/>
            <w:hideMark/>
          </w:tcPr>
          <w:p w14:paraId="18B82DB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SKALA SYKAMINEAS LESVOU</w:t>
            </w:r>
          </w:p>
        </w:tc>
        <w:tc>
          <w:tcPr>
            <w:tcW w:w="0" w:type="auto"/>
            <w:tcBorders>
              <w:top w:val="nil"/>
              <w:left w:val="nil"/>
              <w:bottom w:val="nil"/>
              <w:right w:val="single" w:sz="4" w:space="0" w:color="auto"/>
            </w:tcBorders>
            <w:noWrap/>
            <w:vAlign w:val="bottom"/>
            <w:hideMark/>
          </w:tcPr>
          <w:p w14:paraId="6CBE9F3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4F3F12A" w14:textId="77777777" w:rsidTr="00CA749B">
        <w:trPr>
          <w:trHeight w:val="300"/>
          <w:jc w:val="center"/>
        </w:trPr>
        <w:tc>
          <w:tcPr>
            <w:tcW w:w="0" w:type="auto"/>
            <w:tcBorders>
              <w:top w:val="nil"/>
              <w:left w:val="single" w:sz="4" w:space="0" w:color="auto"/>
              <w:bottom w:val="nil"/>
              <w:right w:val="nil"/>
            </w:tcBorders>
            <w:noWrap/>
            <w:vAlign w:val="bottom"/>
            <w:hideMark/>
          </w:tcPr>
          <w:p w14:paraId="7D06C47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SKIATHOS </w:t>
            </w:r>
          </w:p>
        </w:tc>
        <w:tc>
          <w:tcPr>
            <w:tcW w:w="0" w:type="auto"/>
            <w:tcBorders>
              <w:top w:val="nil"/>
              <w:left w:val="nil"/>
              <w:bottom w:val="nil"/>
              <w:right w:val="single" w:sz="4" w:space="0" w:color="auto"/>
            </w:tcBorders>
            <w:noWrap/>
            <w:vAlign w:val="bottom"/>
            <w:hideMark/>
          </w:tcPr>
          <w:p w14:paraId="07AAF7E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114231D" w14:textId="77777777" w:rsidTr="00CA749B">
        <w:trPr>
          <w:trHeight w:val="300"/>
          <w:jc w:val="center"/>
        </w:trPr>
        <w:tc>
          <w:tcPr>
            <w:tcW w:w="0" w:type="auto"/>
            <w:tcBorders>
              <w:top w:val="nil"/>
              <w:left w:val="single" w:sz="4" w:space="0" w:color="auto"/>
              <w:bottom w:val="nil"/>
              <w:right w:val="nil"/>
            </w:tcBorders>
            <w:noWrap/>
            <w:vAlign w:val="bottom"/>
            <w:hideMark/>
          </w:tcPr>
          <w:p w14:paraId="5D77B93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SKYROS </w:t>
            </w:r>
          </w:p>
        </w:tc>
        <w:tc>
          <w:tcPr>
            <w:tcW w:w="0" w:type="auto"/>
            <w:tcBorders>
              <w:top w:val="nil"/>
              <w:left w:val="nil"/>
              <w:bottom w:val="nil"/>
              <w:right w:val="single" w:sz="4" w:space="0" w:color="auto"/>
            </w:tcBorders>
            <w:noWrap/>
            <w:vAlign w:val="bottom"/>
            <w:hideMark/>
          </w:tcPr>
          <w:p w14:paraId="55094E78"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FE70644" w14:textId="77777777" w:rsidTr="00CA749B">
        <w:trPr>
          <w:trHeight w:val="300"/>
          <w:jc w:val="center"/>
        </w:trPr>
        <w:tc>
          <w:tcPr>
            <w:tcW w:w="0" w:type="auto"/>
            <w:tcBorders>
              <w:top w:val="nil"/>
              <w:left w:val="single" w:sz="4" w:space="0" w:color="auto"/>
              <w:bottom w:val="nil"/>
              <w:right w:val="nil"/>
            </w:tcBorders>
            <w:noWrap/>
            <w:vAlign w:val="bottom"/>
            <w:hideMark/>
          </w:tcPr>
          <w:p w14:paraId="5C94015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SOUDA </w:t>
            </w:r>
          </w:p>
        </w:tc>
        <w:tc>
          <w:tcPr>
            <w:tcW w:w="0" w:type="auto"/>
            <w:tcBorders>
              <w:top w:val="nil"/>
              <w:left w:val="nil"/>
              <w:bottom w:val="nil"/>
              <w:right w:val="single" w:sz="4" w:space="0" w:color="auto"/>
            </w:tcBorders>
            <w:noWrap/>
            <w:vAlign w:val="bottom"/>
            <w:hideMark/>
          </w:tcPr>
          <w:p w14:paraId="3504B02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30C124F1" w14:textId="77777777" w:rsidTr="00CA749B">
        <w:trPr>
          <w:trHeight w:val="300"/>
          <w:jc w:val="center"/>
        </w:trPr>
        <w:tc>
          <w:tcPr>
            <w:tcW w:w="0" w:type="auto"/>
            <w:tcBorders>
              <w:top w:val="nil"/>
              <w:left w:val="single" w:sz="4" w:space="0" w:color="auto"/>
              <w:bottom w:val="nil"/>
              <w:right w:val="nil"/>
            </w:tcBorders>
            <w:noWrap/>
            <w:vAlign w:val="bottom"/>
            <w:hideMark/>
          </w:tcPr>
          <w:p w14:paraId="2CE80B5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STAVROS </w:t>
            </w:r>
            <w:r w:rsidRPr="00F0379B">
              <w:rPr>
                <w:rFonts w:ascii="Cambria" w:eastAsiaTheme="minorEastAsia" w:hAnsi="Cambria" w:cs="Times New Roman"/>
                <w:color w:val="000000"/>
                <w:sz w:val="20"/>
                <w:szCs w:val="20"/>
                <w:lang w:val="en-GB" w:eastAsia="en-GB"/>
                <w14:ligatures w14:val="standardContextual"/>
              </w:rPr>
              <w:t>THESSALONIKIS</w:t>
            </w:r>
          </w:p>
        </w:tc>
        <w:tc>
          <w:tcPr>
            <w:tcW w:w="0" w:type="auto"/>
            <w:tcBorders>
              <w:top w:val="nil"/>
              <w:left w:val="nil"/>
              <w:bottom w:val="nil"/>
              <w:right w:val="single" w:sz="4" w:space="0" w:color="auto"/>
            </w:tcBorders>
            <w:noWrap/>
            <w:vAlign w:val="bottom"/>
            <w:hideMark/>
          </w:tcPr>
          <w:p w14:paraId="5D08AC2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2A78C91B" w14:textId="77777777" w:rsidTr="00CA749B">
        <w:trPr>
          <w:trHeight w:val="300"/>
          <w:jc w:val="center"/>
        </w:trPr>
        <w:tc>
          <w:tcPr>
            <w:tcW w:w="0" w:type="auto"/>
            <w:tcBorders>
              <w:top w:val="nil"/>
              <w:left w:val="single" w:sz="4" w:space="0" w:color="auto"/>
              <w:bottom w:val="nil"/>
              <w:right w:val="nil"/>
            </w:tcBorders>
            <w:noWrap/>
            <w:vAlign w:val="bottom"/>
            <w:hideMark/>
          </w:tcPr>
          <w:p w14:paraId="7CB3040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STOMIO </w:t>
            </w:r>
            <w:r w:rsidRPr="00F0379B">
              <w:rPr>
                <w:rFonts w:ascii="Cambria" w:eastAsiaTheme="minorEastAsia" w:hAnsi="Cambria" w:cs="Times New Roman"/>
                <w:color w:val="000000"/>
                <w:sz w:val="20"/>
                <w:szCs w:val="20"/>
                <w:lang w:val="en-GB" w:eastAsia="en-GB"/>
                <w14:ligatures w14:val="standardContextual"/>
              </w:rPr>
              <w:t>LARISAS</w:t>
            </w:r>
          </w:p>
        </w:tc>
        <w:tc>
          <w:tcPr>
            <w:tcW w:w="0" w:type="auto"/>
            <w:tcBorders>
              <w:top w:val="nil"/>
              <w:left w:val="nil"/>
              <w:bottom w:val="nil"/>
              <w:right w:val="single" w:sz="4" w:space="0" w:color="auto"/>
            </w:tcBorders>
            <w:noWrap/>
            <w:vAlign w:val="bottom"/>
            <w:hideMark/>
          </w:tcPr>
          <w:p w14:paraId="7AAF19A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2493BDCB" w14:textId="77777777" w:rsidTr="00CA749B">
        <w:trPr>
          <w:trHeight w:val="300"/>
          <w:jc w:val="center"/>
        </w:trPr>
        <w:tc>
          <w:tcPr>
            <w:tcW w:w="0" w:type="auto"/>
            <w:tcBorders>
              <w:top w:val="nil"/>
              <w:left w:val="single" w:sz="4" w:space="0" w:color="auto"/>
              <w:bottom w:val="nil"/>
              <w:right w:val="nil"/>
            </w:tcBorders>
            <w:noWrap/>
            <w:vAlign w:val="bottom"/>
            <w:hideMark/>
          </w:tcPr>
          <w:p w14:paraId="76C7E0C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STYLIDA </w:t>
            </w:r>
          </w:p>
        </w:tc>
        <w:tc>
          <w:tcPr>
            <w:tcW w:w="0" w:type="auto"/>
            <w:tcBorders>
              <w:top w:val="nil"/>
              <w:left w:val="nil"/>
              <w:bottom w:val="nil"/>
              <w:right w:val="single" w:sz="4" w:space="0" w:color="auto"/>
            </w:tcBorders>
            <w:noWrap/>
            <w:vAlign w:val="bottom"/>
            <w:hideMark/>
          </w:tcPr>
          <w:p w14:paraId="6D06450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67BAA354" w14:textId="77777777" w:rsidTr="00CA749B">
        <w:trPr>
          <w:trHeight w:val="300"/>
          <w:jc w:val="center"/>
        </w:trPr>
        <w:tc>
          <w:tcPr>
            <w:tcW w:w="0" w:type="auto"/>
            <w:tcBorders>
              <w:top w:val="nil"/>
              <w:left w:val="single" w:sz="4" w:space="0" w:color="auto"/>
              <w:bottom w:val="nil"/>
              <w:right w:val="nil"/>
            </w:tcBorders>
            <w:noWrap/>
            <w:vAlign w:val="bottom"/>
            <w:hideMark/>
          </w:tcPr>
          <w:p w14:paraId="52E4E5E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SYMI </w:t>
            </w:r>
          </w:p>
        </w:tc>
        <w:tc>
          <w:tcPr>
            <w:tcW w:w="0" w:type="auto"/>
            <w:tcBorders>
              <w:top w:val="nil"/>
              <w:left w:val="nil"/>
              <w:bottom w:val="nil"/>
              <w:right w:val="single" w:sz="4" w:space="0" w:color="auto"/>
            </w:tcBorders>
            <w:noWrap/>
            <w:vAlign w:val="bottom"/>
            <w:hideMark/>
          </w:tcPr>
          <w:p w14:paraId="3254512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2C20ACCD" w14:textId="77777777" w:rsidTr="00CA749B">
        <w:trPr>
          <w:trHeight w:val="300"/>
          <w:jc w:val="center"/>
        </w:trPr>
        <w:tc>
          <w:tcPr>
            <w:tcW w:w="0" w:type="auto"/>
            <w:tcBorders>
              <w:top w:val="nil"/>
              <w:left w:val="single" w:sz="4" w:space="0" w:color="auto"/>
              <w:bottom w:val="nil"/>
              <w:right w:val="nil"/>
            </w:tcBorders>
            <w:noWrap/>
            <w:vAlign w:val="bottom"/>
            <w:hideMark/>
          </w:tcPr>
          <w:p w14:paraId="7E18BD0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SYVOTA LEFKADAS</w:t>
            </w:r>
          </w:p>
        </w:tc>
        <w:tc>
          <w:tcPr>
            <w:tcW w:w="0" w:type="auto"/>
            <w:tcBorders>
              <w:top w:val="nil"/>
              <w:left w:val="nil"/>
              <w:bottom w:val="nil"/>
              <w:right w:val="single" w:sz="4" w:space="0" w:color="auto"/>
            </w:tcBorders>
            <w:noWrap/>
            <w:vAlign w:val="bottom"/>
            <w:hideMark/>
          </w:tcPr>
          <w:p w14:paraId="1617DA5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EAD907D" w14:textId="77777777" w:rsidTr="00CA749B">
        <w:trPr>
          <w:trHeight w:val="300"/>
          <w:jc w:val="center"/>
        </w:trPr>
        <w:tc>
          <w:tcPr>
            <w:tcW w:w="0" w:type="auto"/>
            <w:tcBorders>
              <w:top w:val="nil"/>
              <w:left w:val="single" w:sz="4" w:space="0" w:color="auto"/>
              <w:bottom w:val="nil"/>
              <w:right w:val="nil"/>
            </w:tcBorders>
            <w:noWrap/>
            <w:vAlign w:val="bottom"/>
            <w:hideMark/>
          </w:tcPr>
          <w:p w14:paraId="7C9202D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THASOS </w:t>
            </w:r>
          </w:p>
        </w:tc>
        <w:tc>
          <w:tcPr>
            <w:tcW w:w="0" w:type="auto"/>
            <w:tcBorders>
              <w:top w:val="nil"/>
              <w:left w:val="nil"/>
              <w:bottom w:val="nil"/>
              <w:right w:val="single" w:sz="4" w:space="0" w:color="auto"/>
            </w:tcBorders>
            <w:noWrap/>
            <w:vAlign w:val="bottom"/>
            <w:hideMark/>
          </w:tcPr>
          <w:p w14:paraId="0884188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3BA448A9" w14:textId="77777777" w:rsidTr="00CA749B">
        <w:trPr>
          <w:trHeight w:val="300"/>
          <w:jc w:val="center"/>
        </w:trPr>
        <w:tc>
          <w:tcPr>
            <w:tcW w:w="0" w:type="auto"/>
            <w:tcBorders>
              <w:top w:val="nil"/>
              <w:left w:val="single" w:sz="4" w:space="0" w:color="auto"/>
              <w:bottom w:val="nil"/>
              <w:right w:val="nil"/>
            </w:tcBorders>
            <w:noWrap/>
            <w:vAlign w:val="bottom"/>
            <w:hideMark/>
          </w:tcPr>
          <w:p w14:paraId="738CF40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TINOS </w:t>
            </w:r>
          </w:p>
        </w:tc>
        <w:tc>
          <w:tcPr>
            <w:tcW w:w="0" w:type="auto"/>
            <w:tcBorders>
              <w:top w:val="nil"/>
              <w:left w:val="nil"/>
              <w:bottom w:val="nil"/>
              <w:right w:val="single" w:sz="4" w:space="0" w:color="auto"/>
            </w:tcBorders>
            <w:noWrap/>
            <w:vAlign w:val="bottom"/>
            <w:hideMark/>
          </w:tcPr>
          <w:p w14:paraId="0179E073"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1C5CCA3E" w14:textId="77777777" w:rsidTr="00CA749B">
        <w:trPr>
          <w:trHeight w:val="300"/>
          <w:jc w:val="center"/>
        </w:trPr>
        <w:tc>
          <w:tcPr>
            <w:tcW w:w="0" w:type="auto"/>
            <w:tcBorders>
              <w:top w:val="nil"/>
              <w:left w:val="single" w:sz="4" w:space="0" w:color="auto"/>
              <w:bottom w:val="nil"/>
              <w:right w:val="nil"/>
            </w:tcBorders>
            <w:noWrap/>
            <w:vAlign w:val="bottom"/>
            <w:hideMark/>
          </w:tcPr>
          <w:p w14:paraId="28844DA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TOLO ARGOLIDAS</w:t>
            </w:r>
          </w:p>
        </w:tc>
        <w:tc>
          <w:tcPr>
            <w:tcW w:w="0" w:type="auto"/>
            <w:tcBorders>
              <w:top w:val="nil"/>
              <w:left w:val="nil"/>
              <w:bottom w:val="nil"/>
              <w:right w:val="single" w:sz="4" w:space="0" w:color="auto"/>
            </w:tcBorders>
            <w:noWrap/>
            <w:vAlign w:val="bottom"/>
            <w:hideMark/>
          </w:tcPr>
          <w:p w14:paraId="76A468F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0D4DA95A" w14:textId="77777777" w:rsidTr="00CA749B">
        <w:trPr>
          <w:trHeight w:val="300"/>
          <w:jc w:val="center"/>
        </w:trPr>
        <w:tc>
          <w:tcPr>
            <w:tcW w:w="0" w:type="auto"/>
            <w:tcBorders>
              <w:top w:val="nil"/>
              <w:left w:val="single" w:sz="4" w:space="0" w:color="auto"/>
              <w:bottom w:val="nil"/>
              <w:right w:val="nil"/>
            </w:tcBorders>
            <w:noWrap/>
            <w:vAlign w:val="bottom"/>
            <w:hideMark/>
          </w:tcPr>
          <w:p w14:paraId="2EC76AA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TRYPITI CHALKIDIKIS</w:t>
            </w:r>
          </w:p>
        </w:tc>
        <w:tc>
          <w:tcPr>
            <w:tcW w:w="0" w:type="auto"/>
            <w:tcBorders>
              <w:top w:val="nil"/>
              <w:left w:val="nil"/>
              <w:bottom w:val="nil"/>
              <w:right w:val="single" w:sz="4" w:space="0" w:color="auto"/>
            </w:tcBorders>
            <w:noWrap/>
            <w:vAlign w:val="bottom"/>
            <w:hideMark/>
          </w:tcPr>
          <w:p w14:paraId="3352DF4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F28F1CA" w14:textId="77777777" w:rsidTr="00CA749B">
        <w:trPr>
          <w:trHeight w:val="300"/>
          <w:jc w:val="center"/>
        </w:trPr>
        <w:tc>
          <w:tcPr>
            <w:tcW w:w="0" w:type="auto"/>
            <w:tcBorders>
              <w:top w:val="nil"/>
              <w:left w:val="single" w:sz="4" w:space="0" w:color="auto"/>
              <w:bottom w:val="nil"/>
              <w:right w:val="nil"/>
            </w:tcBorders>
            <w:noWrap/>
            <w:vAlign w:val="bottom"/>
            <w:hideMark/>
          </w:tcPr>
          <w:p w14:paraId="7766986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VARKIZA </w:t>
            </w:r>
          </w:p>
        </w:tc>
        <w:tc>
          <w:tcPr>
            <w:tcW w:w="0" w:type="auto"/>
            <w:tcBorders>
              <w:top w:val="nil"/>
              <w:left w:val="nil"/>
              <w:bottom w:val="nil"/>
              <w:right w:val="single" w:sz="4" w:space="0" w:color="auto"/>
            </w:tcBorders>
            <w:noWrap/>
            <w:vAlign w:val="bottom"/>
            <w:hideMark/>
          </w:tcPr>
          <w:p w14:paraId="35F12519"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941EBEA" w14:textId="77777777" w:rsidTr="00CA749B">
        <w:trPr>
          <w:trHeight w:val="300"/>
          <w:jc w:val="center"/>
        </w:trPr>
        <w:tc>
          <w:tcPr>
            <w:tcW w:w="0" w:type="auto"/>
            <w:tcBorders>
              <w:top w:val="nil"/>
              <w:left w:val="single" w:sz="4" w:space="0" w:color="auto"/>
              <w:bottom w:val="nil"/>
              <w:right w:val="nil"/>
            </w:tcBorders>
            <w:noWrap/>
            <w:vAlign w:val="bottom"/>
            <w:hideMark/>
          </w:tcPr>
          <w:p w14:paraId="60D0DE0C"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VASILIKI LEFKADAS</w:t>
            </w:r>
          </w:p>
        </w:tc>
        <w:tc>
          <w:tcPr>
            <w:tcW w:w="0" w:type="auto"/>
            <w:tcBorders>
              <w:top w:val="nil"/>
              <w:left w:val="nil"/>
              <w:bottom w:val="nil"/>
              <w:right w:val="single" w:sz="4" w:space="0" w:color="auto"/>
            </w:tcBorders>
            <w:noWrap/>
            <w:vAlign w:val="bottom"/>
            <w:hideMark/>
          </w:tcPr>
          <w:p w14:paraId="47E36261"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669EE80" w14:textId="77777777" w:rsidTr="00CA749B">
        <w:trPr>
          <w:trHeight w:val="300"/>
          <w:jc w:val="center"/>
        </w:trPr>
        <w:tc>
          <w:tcPr>
            <w:tcW w:w="0" w:type="auto"/>
            <w:tcBorders>
              <w:top w:val="nil"/>
              <w:left w:val="single" w:sz="4" w:space="0" w:color="auto"/>
              <w:bottom w:val="nil"/>
              <w:right w:val="nil"/>
            </w:tcBorders>
            <w:noWrap/>
            <w:vAlign w:val="bottom"/>
            <w:hideMark/>
          </w:tcPr>
          <w:p w14:paraId="7104778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VATHY ITHAKIS </w:t>
            </w:r>
          </w:p>
        </w:tc>
        <w:tc>
          <w:tcPr>
            <w:tcW w:w="0" w:type="auto"/>
            <w:tcBorders>
              <w:top w:val="nil"/>
              <w:left w:val="nil"/>
              <w:bottom w:val="nil"/>
              <w:right w:val="single" w:sz="4" w:space="0" w:color="auto"/>
            </w:tcBorders>
            <w:noWrap/>
            <w:vAlign w:val="bottom"/>
            <w:hideMark/>
          </w:tcPr>
          <w:p w14:paraId="536B4CB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7CA64365" w14:textId="77777777" w:rsidTr="00CA749B">
        <w:trPr>
          <w:trHeight w:val="300"/>
          <w:jc w:val="center"/>
        </w:trPr>
        <w:tc>
          <w:tcPr>
            <w:tcW w:w="0" w:type="auto"/>
            <w:tcBorders>
              <w:top w:val="nil"/>
              <w:left w:val="single" w:sz="4" w:space="0" w:color="auto"/>
              <w:bottom w:val="nil"/>
              <w:right w:val="nil"/>
            </w:tcBorders>
            <w:noWrap/>
            <w:vAlign w:val="bottom"/>
            <w:hideMark/>
          </w:tcPr>
          <w:p w14:paraId="38EF9A4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VLYCHADA </w:t>
            </w:r>
            <w:r w:rsidRPr="00F0379B">
              <w:rPr>
                <w:rFonts w:ascii="Cambria" w:eastAsiaTheme="minorEastAsia" w:hAnsi="Cambria" w:cs="Times New Roman"/>
                <w:color w:val="000000"/>
                <w:sz w:val="20"/>
                <w:szCs w:val="20"/>
                <w:lang w:val="en-GB" w:eastAsia="en-GB"/>
                <w14:ligatures w14:val="standardContextual"/>
              </w:rPr>
              <w:t>THIRAS</w:t>
            </w:r>
          </w:p>
        </w:tc>
        <w:tc>
          <w:tcPr>
            <w:tcW w:w="0" w:type="auto"/>
            <w:tcBorders>
              <w:top w:val="nil"/>
              <w:left w:val="nil"/>
              <w:bottom w:val="nil"/>
              <w:right w:val="single" w:sz="4" w:space="0" w:color="auto"/>
            </w:tcBorders>
            <w:noWrap/>
            <w:vAlign w:val="bottom"/>
            <w:hideMark/>
          </w:tcPr>
          <w:p w14:paraId="5AFED10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67002B85" w14:textId="77777777" w:rsidTr="00CA749B">
        <w:trPr>
          <w:trHeight w:val="300"/>
          <w:jc w:val="center"/>
        </w:trPr>
        <w:tc>
          <w:tcPr>
            <w:tcW w:w="0" w:type="auto"/>
            <w:tcBorders>
              <w:top w:val="nil"/>
              <w:left w:val="single" w:sz="4" w:space="0" w:color="auto"/>
              <w:bottom w:val="nil"/>
              <w:right w:val="nil"/>
            </w:tcBorders>
            <w:noWrap/>
            <w:vAlign w:val="bottom"/>
            <w:hideMark/>
          </w:tcPr>
          <w:p w14:paraId="117486E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VLYCHOS LEFKADAS</w:t>
            </w:r>
          </w:p>
        </w:tc>
        <w:tc>
          <w:tcPr>
            <w:tcW w:w="0" w:type="auto"/>
            <w:tcBorders>
              <w:top w:val="nil"/>
              <w:left w:val="nil"/>
              <w:bottom w:val="nil"/>
              <w:right w:val="single" w:sz="4" w:space="0" w:color="auto"/>
            </w:tcBorders>
            <w:noWrap/>
            <w:vAlign w:val="bottom"/>
            <w:hideMark/>
          </w:tcPr>
          <w:p w14:paraId="3E694170"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A7D4B19" w14:textId="77777777" w:rsidTr="00CA749B">
        <w:trPr>
          <w:trHeight w:val="300"/>
          <w:jc w:val="center"/>
        </w:trPr>
        <w:tc>
          <w:tcPr>
            <w:tcW w:w="0" w:type="auto"/>
            <w:tcBorders>
              <w:top w:val="nil"/>
              <w:left w:val="single" w:sz="4" w:space="0" w:color="auto"/>
              <w:bottom w:val="nil"/>
              <w:right w:val="nil"/>
            </w:tcBorders>
            <w:noWrap/>
            <w:vAlign w:val="bottom"/>
            <w:hideMark/>
          </w:tcPr>
          <w:p w14:paraId="0C92724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VOLAKAS</w:t>
            </w:r>
            <w:r w:rsidRPr="00F0379B">
              <w:rPr>
                <w:rFonts w:ascii="Cambria" w:eastAsiaTheme="minorEastAsia" w:hAnsi="Cambria" w:cs="Times New Roman"/>
                <w:color w:val="000000"/>
                <w:sz w:val="20"/>
                <w:szCs w:val="20"/>
                <w:lang w:val="en-GB" w:eastAsia="en-GB"/>
                <w14:ligatures w14:val="standardContextual"/>
              </w:rPr>
              <w:t xml:space="preserve"> NAXOU</w:t>
            </w:r>
          </w:p>
        </w:tc>
        <w:tc>
          <w:tcPr>
            <w:tcW w:w="0" w:type="auto"/>
            <w:tcBorders>
              <w:top w:val="nil"/>
              <w:left w:val="nil"/>
              <w:bottom w:val="nil"/>
              <w:right w:val="single" w:sz="4" w:space="0" w:color="auto"/>
            </w:tcBorders>
            <w:noWrap/>
            <w:vAlign w:val="bottom"/>
            <w:hideMark/>
          </w:tcPr>
          <w:p w14:paraId="6935A81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24F58331" w14:textId="77777777" w:rsidTr="00CA749B">
        <w:trPr>
          <w:trHeight w:val="300"/>
          <w:jc w:val="center"/>
        </w:trPr>
        <w:tc>
          <w:tcPr>
            <w:tcW w:w="0" w:type="auto"/>
            <w:tcBorders>
              <w:top w:val="nil"/>
              <w:left w:val="single" w:sz="4" w:space="0" w:color="auto"/>
              <w:bottom w:val="nil"/>
              <w:right w:val="nil"/>
            </w:tcBorders>
            <w:noWrap/>
            <w:vAlign w:val="bottom"/>
            <w:hideMark/>
          </w:tcPr>
          <w:p w14:paraId="43B6DD6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VOLOS </w:t>
            </w:r>
          </w:p>
        </w:tc>
        <w:tc>
          <w:tcPr>
            <w:tcW w:w="0" w:type="auto"/>
            <w:tcBorders>
              <w:top w:val="nil"/>
              <w:left w:val="nil"/>
              <w:bottom w:val="nil"/>
              <w:right w:val="single" w:sz="4" w:space="0" w:color="auto"/>
            </w:tcBorders>
            <w:noWrap/>
            <w:vAlign w:val="bottom"/>
            <w:hideMark/>
          </w:tcPr>
          <w:p w14:paraId="595820F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27C43EA9" w14:textId="77777777" w:rsidTr="00CA749B">
        <w:trPr>
          <w:trHeight w:val="300"/>
          <w:jc w:val="center"/>
        </w:trPr>
        <w:tc>
          <w:tcPr>
            <w:tcW w:w="0" w:type="auto"/>
            <w:tcBorders>
              <w:top w:val="nil"/>
              <w:left w:val="single" w:sz="4" w:space="0" w:color="auto"/>
              <w:bottom w:val="nil"/>
              <w:right w:val="nil"/>
            </w:tcBorders>
            <w:noWrap/>
            <w:vAlign w:val="bottom"/>
            <w:hideMark/>
          </w:tcPr>
          <w:p w14:paraId="79B6B202"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VONITSA </w:t>
            </w:r>
          </w:p>
        </w:tc>
        <w:tc>
          <w:tcPr>
            <w:tcW w:w="0" w:type="auto"/>
            <w:tcBorders>
              <w:top w:val="nil"/>
              <w:left w:val="nil"/>
              <w:bottom w:val="nil"/>
              <w:right w:val="single" w:sz="4" w:space="0" w:color="auto"/>
            </w:tcBorders>
            <w:noWrap/>
            <w:vAlign w:val="bottom"/>
            <w:hideMark/>
          </w:tcPr>
          <w:p w14:paraId="70D7F44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5007A0FA" w14:textId="77777777" w:rsidTr="00CA749B">
        <w:trPr>
          <w:trHeight w:val="300"/>
          <w:jc w:val="center"/>
        </w:trPr>
        <w:tc>
          <w:tcPr>
            <w:tcW w:w="0" w:type="auto"/>
            <w:tcBorders>
              <w:top w:val="nil"/>
              <w:left w:val="single" w:sz="4" w:space="0" w:color="auto"/>
              <w:bottom w:val="nil"/>
              <w:right w:val="nil"/>
            </w:tcBorders>
            <w:noWrap/>
            <w:vAlign w:val="bottom"/>
            <w:hideMark/>
          </w:tcPr>
          <w:p w14:paraId="2EA4A9A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 xml:space="preserve">XYLOKASTRO </w:t>
            </w:r>
          </w:p>
        </w:tc>
        <w:tc>
          <w:tcPr>
            <w:tcW w:w="0" w:type="auto"/>
            <w:tcBorders>
              <w:top w:val="nil"/>
              <w:left w:val="nil"/>
              <w:bottom w:val="nil"/>
              <w:right w:val="single" w:sz="4" w:space="0" w:color="auto"/>
            </w:tcBorders>
            <w:noWrap/>
            <w:vAlign w:val="bottom"/>
            <w:hideMark/>
          </w:tcPr>
          <w:p w14:paraId="7E0CE70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EU-Greece</w:t>
            </w:r>
          </w:p>
        </w:tc>
      </w:tr>
      <w:tr w:rsidR="009123AC" w:rsidRPr="00F0379B" w14:paraId="4962E96B" w14:textId="77777777" w:rsidTr="00CA749B">
        <w:trPr>
          <w:trHeight w:val="300"/>
          <w:jc w:val="center"/>
        </w:trPr>
        <w:tc>
          <w:tcPr>
            <w:tcW w:w="0" w:type="auto"/>
            <w:tcBorders>
              <w:top w:val="nil"/>
              <w:left w:val="single" w:sz="4" w:space="0" w:color="auto"/>
              <w:bottom w:val="nil"/>
              <w:right w:val="nil"/>
            </w:tcBorders>
            <w:noWrap/>
            <w:vAlign w:val="bottom"/>
            <w:hideMark/>
          </w:tcPr>
          <w:p w14:paraId="4FB781E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ZAKYNTHOS </w:t>
            </w:r>
          </w:p>
        </w:tc>
        <w:tc>
          <w:tcPr>
            <w:tcW w:w="0" w:type="auto"/>
            <w:tcBorders>
              <w:top w:val="nil"/>
              <w:left w:val="nil"/>
              <w:bottom w:val="nil"/>
              <w:right w:val="single" w:sz="4" w:space="0" w:color="auto"/>
            </w:tcBorders>
            <w:noWrap/>
            <w:vAlign w:val="bottom"/>
            <w:hideMark/>
          </w:tcPr>
          <w:p w14:paraId="4DFEF75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EU-Greece</w:t>
            </w:r>
          </w:p>
        </w:tc>
      </w:tr>
      <w:tr w:rsidR="009123AC" w:rsidRPr="00F0379B" w14:paraId="68A97A04" w14:textId="77777777" w:rsidTr="00CA749B">
        <w:trPr>
          <w:trHeight w:val="300"/>
          <w:jc w:val="center"/>
        </w:trPr>
        <w:tc>
          <w:tcPr>
            <w:tcW w:w="0" w:type="auto"/>
            <w:tcBorders>
              <w:top w:val="nil"/>
              <w:left w:val="single" w:sz="4" w:space="0" w:color="auto"/>
              <w:bottom w:val="nil"/>
              <w:right w:val="nil"/>
            </w:tcBorders>
            <w:noWrap/>
            <w:vAlign w:val="bottom"/>
            <w:hideMark/>
          </w:tcPr>
          <w:p w14:paraId="72A1858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AN DAINGEAN, CO. KERRY</w:t>
            </w:r>
          </w:p>
        </w:tc>
        <w:tc>
          <w:tcPr>
            <w:tcW w:w="0" w:type="auto"/>
            <w:tcBorders>
              <w:top w:val="nil"/>
              <w:left w:val="nil"/>
              <w:bottom w:val="nil"/>
              <w:right w:val="single" w:sz="4" w:space="0" w:color="auto"/>
            </w:tcBorders>
            <w:noWrap/>
            <w:vAlign w:val="bottom"/>
            <w:hideMark/>
          </w:tcPr>
          <w:p w14:paraId="398CC68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EU-Ireland</w:t>
            </w:r>
          </w:p>
        </w:tc>
      </w:tr>
      <w:tr w:rsidR="009123AC" w:rsidRPr="00F0379B" w14:paraId="5FFAFC69" w14:textId="77777777" w:rsidTr="00CA749B">
        <w:trPr>
          <w:trHeight w:val="300"/>
          <w:jc w:val="center"/>
        </w:trPr>
        <w:tc>
          <w:tcPr>
            <w:tcW w:w="0" w:type="auto"/>
            <w:tcBorders>
              <w:top w:val="nil"/>
              <w:left w:val="single" w:sz="4" w:space="0" w:color="auto"/>
              <w:bottom w:val="nil"/>
              <w:right w:val="nil"/>
            </w:tcBorders>
            <w:noWrap/>
            <w:vAlign w:val="bottom"/>
            <w:hideMark/>
          </w:tcPr>
          <w:p w14:paraId="48BADC2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BALTIMORE, CO. CORK</w:t>
            </w:r>
          </w:p>
        </w:tc>
        <w:tc>
          <w:tcPr>
            <w:tcW w:w="0" w:type="auto"/>
            <w:tcBorders>
              <w:top w:val="nil"/>
              <w:left w:val="nil"/>
              <w:bottom w:val="nil"/>
              <w:right w:val="single" w:sz="4" w:space="0" w:color="auto"/>
            </w:tcBorders>
            <w:noWrap/>
            <w:vAlign w:val="bottom"/>
            <w:hideMark/>
          </w:tcPr>
          <w:p w14:paraId="439C587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EU-Ireland</w:t>
            </w:r>
          </w:p>
        </w:tc>
      </w:tr>
      <w:tr w:rsidR="009123AC" w:rsidRPr="00F0379B" w14:paraId="40F765E7" w14:textId="77777777" w:rsidTr="00CA749B">
        <w:trPr>
          <w:trHeight w:val="300"/>
          <w:jc w:val="center"/>
        </w:trPr>
        <w:tc>
          <w:tcPr>
            <w:tcW w:w="0" w:type="auto"/>
            <w:tcBorders>
              <w:top w:val="nil"/>
              <w:left w:val="single" w:sz="4" w:space="0" w:color="auto"/>
              <w:bottom w:val="nil"/>
              <w:right w:val="nil"/>
            </w:tcBorders>
            <w:noWrap/>
            <w:vAlign w:val="bottom"/>
            <w:hideMark/>
          </w:tcPr>
          <w:p w14:paraId="3AB23BE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CASTLETOWNBERE, CO. CORK</w:t>
            </w:r>
          </w:p>
        </w:tc>
        <w:tc>
          <w:tcPr>
            <w:tcW w:w="0" w:type="auto"/>
            <w:tcBorders>
              <w:top w:val="nil"/>
              <w:left w:val="nil"/>
              <w:bottom w:val="nil"/>
              <w:right w:val="single" w:sz="4" w:space="0" w:color="auto"/>
            </w:tcBorders>
            <w:noWrap/>
            <w:vAlign w:val="bottom"/>
            <w:hideMark/>
          </w:tcPr>
          <w:p w14:paraId="62B1257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EU-Ireland</w:t>
            </w:r>
          </w:p>
        </w:tc>
      </w:tr>
      <w:tr w:rsidR="009123AC" w:rsidRPr="00F0379B" w14:paraId="74B8E901" w14:textId="77777777" w:rsidTr="00CA749B">
        <w:trPr>
          <w:trHeight w:val="300"/>
          <w:jc w:val="center"/>
        </w:trPr>
        <w:tc>
          <w:tcPr>
            <w:tcW w:w="0" w:type="auto"/>
            <w:tcBorders>
              <w:top w:val="nil"/>
              <w:left w:val="single" w:sz="4" w:space="0" w:color="auto"/>
              <w:bottom w:val="nil"/>
              <w:right w:val="nil"/>
            </w:tcBorders>
            <w:noWrap/>
            <w:vAlign w:val="bottom"/>
            <w:hideMark/>
          </w:tcPr>
          <w:p w14:paraId="6E0D2BA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CLOGHERHEAD, CO. LOUTH</w:t>
            </w:r>
          </w:p>
        </w:tc>
        <w:tc>
          <w:tcPr>
            <w:tcW w:w="0" w:type="auto"/>
            <w:tcBorders>
              <w:top w:val="nil"/>
              <w:left w:val="nil"/>
              <w:bottom w:val="nil"/>
              <w:right w:val="single" w:sz="4" w:space="0" w:color="auto"/>
            </w:tcBorders>
            <w:noWrap/>
            <w:vAlign w:val="bottom"/>
            <w:hideMark/>
          </w:tcPr>
          <w:p w14:paraId="0A51871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EU-Ireland</w:t>
            </w:r>
          </w:p>
        </w:tc>
      </w:tr>
      <w:tr w:rsidR="009123AC" w:rsidRPr="00F0379B" w14:paraId="6A35AA3C" w14:textId="77777777" w:rsidTr="00CA749B">
        <w:trPr>
          <w:trHeight w:val="300"/>
          <w:jc w:val="center"/>
        </w:trPr>
        <w:tc>
          <w:tcPr>
            <w:tcW w:w="0" w:type="auto"/>
            <w:tcBorders>
              <w:top w:val="nil"/>
              <w:left w:val="single" w:sz="4" w:space="0" w:color="auto"/>
              <w:bottom w:val="nil"/>
              <w:right w:val="nil"/>
            </w:tcBorders>
            <w:noWrap/>
            <w:vAlign w:val="bottom"/>
            <w:hideMark/>
          </w:tcPr>
          <w:p w14:paraId="74CFAF2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DUNMORE EAST, CO. WATERFORD</w:t>
            </w:r>
          </w:p>
        </w:tc>
        <w:tc>
          <w:tcPr>
            <w:tcW w:w="0" w:type="auto"/>
            <w:tcBorders>
              <w:top w:val="nil"/>
              <w:left w:val="nil"/>
              <w:bottom w:val="nil"/>
              <w:right w:val="single" w:sz="4" w:space="0" w:color="auto"/>
            </w:tcBorders>
            <w:noWrap/>
            <w:vAlign w:val="bottom"/>
            <w:hideMark/>
          </w:tcPr>
          <w:p w14:paraId="5E7FDC5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EU-Ireland</w:t>
            </w:r>
          </w:p>
        </w:tc>
      </w:tr>
      <w:tr w:rsidR="009123AC" w:rsidRPr="00F0379B" w14:paraId="1CAF28E8" w14:textId="77777777" w:rsidTr="00CA749B">
        <w:trPr>
          <w:trHeight w:val="300"/>
          <w:jc w:val="center"/>
        </w:trPr>
        <w:tc>
          <w:tcPr>
            <w:tcW w:w="0" w:type="auto"/>
            <w:tcBorders>
              <w:top w:val="nil"/>
              <w:left w:val="single" w:sz="4" w:space="0" w:color="auto"/>
              <w:bottom w:val="nil"/>
              <w:right w:val="nil"/>
            </w:tcBorders>
            <w:noWrap/>
            <w:vAlign w:val="bottom"/>
            <w:hideMark/>
          </w:tcPr>
          <w:p w14:paraId="27D0A07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HOWTH, CO. DUBLIN</w:t>
            </w:r>
          </w:p>
        </w:tc>
        <w:tc>
          <w:tcPr>
            <w:tcW w:w="0" w:type="auto"/>
            <w:tcBorders>
              <w:top w:val="nil"/>
              <w:left w:val="nil"/>
              <w:bottom w:val="nil"/>
              <w:right w:val="single" w:sz="4" w:space="0" w:color="auto"/>
            </w:tcBorders>
            <w:noWrap/>
            <w:vAlign w:val="bottom"/>
            <w:hideMark/>
          </w:tcPr>
          <w:p w14:paraId="09A8681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EU-Ireland</w:t>
            </w:r>
          </w:p>
        </w:tc>
      </w:tr>
      <w:tr w:rsidR="009123AC" w:rsidRPr="00F0379B" w14:paraId="7671AD64" w14:textId="77777777" w:rsidTr="00CA749B">
        <w:trPr>
          <w:trHeight w:val="300"/>
          <w:jc w:val="center"/>
        </w:trPr>
        <w:tc>
          <w:tcPr>
            <w:tcW w:w="0" w:type="auto"/>
            <w:tcBorders>
              <w:top w:val="nil"/>
              <w:left w:val="single" w:sz="4" w:space="0" w:color="auto"/>
              <w:bottom w:val="nil"/>
              <w:right w:val="nil"/>
            </w:tcBorders>
            <w:noWrap/>
            <w:vAlign w:val="bottom"/>
            <w:hideMark/>
          </w:tcPr>
          <w:p w14:paraId="06C1163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KILLYBEGS, CO. DONEGAL</w:t>
            </w:r>
          </w:p>
        </w:tc>
        <w:tc>
          <w:tcPr>
            <w:tcW w:w="0" w:type="auto"/>
            <w:tcBorders>
              <w:top w:val="nil"/>
              <w:left w:val="nil"/>
              <w:bottom w:val="nil"/>
              <w:right w:val="single" w:sz="4" w:space="0" w:color="auto"/>
            </w:tcBorders>
            <w:noWrap/>
            <w:vAlign w:val="bottom"/>
            <w:hideMark/>
          </w:tcPr>
          <w:p w14:paraId="387EE05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EU-Ireland</w:t>
            </w:r>
          </w:p>
        </w:tc>
      </w:tr>
      <w:tr w:rsidR="009123AC" w:rsidRPr="00F0379B" w14:paraId="498D9B8A" w14:textId="77777777" w:rsidTr="00CA749B">
        <w:trPr>
          <w:trHeight w:val="300"/>
          <w:jc w:val="center"/>
        </w:trPr>
        <w:tc>
          <w:tcPr>
            <w:tcW w:w="0" w:type="auto"/>
            <w:tcBorders>
              <w:top w:val="nil"/>
              <w:left w:val="single" w:sz="4" w:space="0" w:color="auto"/>
              <w:bottom w:val="nil"/>
              <w:right w:val="nil"/>
            </w:tcBorders>
            <w:noWrap/>
            <w:vAlign w:val="bottom"/>
            <w:hideMark/>
          </w:tcPr>
          <w:p w14:paraId="0215C73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PORT OF CORK, </w:t>
            </w:r>
            <w:proofErr w:type="gramStart"/>
            <w:r w:rsidRPr="00F0379B">
              <w:rPr>
                <w:rFonts w:ascii="Cambria" w:eastAsiaTheme="minorEastAsia" w:hAnsi="Cambria" w:cs="Times New Roman"/>
                <w:color w:val="000000"/>
                <w:sz w:val="20"/>
                <w:szCs w:val="20"/>
                <w:lang w:val="en-GB" w:eastAsia="en-GB"/>
                <w14:ligatures w14:val="standardContextual"/>
              </w:rPr>
              <w:t>CO.</w:t>
            </w:r>
            <w:r w:rsidRPr="00F0379B">
              <w:rPr>
                <w:rFonts w:ascii="Cambria" w:eastAsia="MS Gothic" w:hAnsi="Cambria" w:cs="Times New Roman"/>
                <w:color w:val="000000"/>
                <w:sz w:val="20"/>
                <w:szCs w:val="20"/>
                <w:lang w:val="en-GB" w:eastAsia="fr-FR" w:bidi="fr-FR"/>
                <w14:ligatures w14:val="standardContextual"/>
              </w:rPr>
              <w:t>CORK</w:t>
            </w:r>
            <w:proofErr w:type="gramEnd"/>
          </w:p>
        </w:tc>
        <w:tc>
          <w:tcPr>
            <w:tcW w:w="0" w:type="auto"/>
            <w:tcBorders>
              <w:top w:val="nil"/>
              <w:left w:val="nil"/>
              <w:bottom w:val="nil"/>
              <w:right w:val="single" w:sz="4" w:space="0" w:color="auto"/>
            </w:tcBorders>
            <w:noWrap/>
            <w:vAlign w:val="bottom"/>
            <w:hideMark/>
          </w:tcPr>
          <w:p w14:paraId="18888CC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EU-Ireland</w:t>
            </w:r>
          </w:p>
        </w:tc>
      </w:tr>
      <w:tr w:rsidR="009123AC" w:rsidRPr="00F0379B" w14:paraId="38F79537" w14:textId="77777777" w:rsidTr="00CA749B">
        <w:trPr>
          <w:trHeight w:val="300"/>
          <w:jc w:val="center"/>
        </w:trPr>
        <w:tc>
          <w:tcPr>
            <w:tcW w:w="0" w:type="auto"/>
            <w:tcBorders>
              <w:top w:val="nil"/>
              <w:left w:val="single" w:sz="4" w:space="0" w:color="auto"/>
              <w:bottom w:val="nil"/>
              <w:right w:val="nil"/>
            </w:tcBorders>
            <w:noWrap/>
            <w:vAlign w:val="bottom"/>
            <w:hideMark/>
          </w:tcPr>
          <w:p w14:paraId="5894E78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ROS A MHIL, CO. GALWAY</w:t>
            </w:r>
          </w:p>
        </w:tc>
        <w:tc>
          <w:tcPr>
            <w:tcW w:w="0" w:type="auto"/>
            <w:tcBorders>
              <w:top w:val="nil"/>
              <w:left w:val="nil"/>
              <w:bottom w:val="nil"/>
              <w:right w:val="single" w:sz="4" w:space="0" w:color="auto"/>
            </w:tcBorders>
            <w:noWrap/>
            <w:vAlign w:val="bottom"/>
            <w:hideMark/>
          </w:tcPr>
          <w:p w14:paraId="6383238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EU-Ireland</w:t>
            </w:r>
          </w:p>
        </w:tc>
      </w:tr>
      <w:tr w:rsidR="009123AC" w:rsidRPr="00F0379B" w14:paraId="038B97DA" w14:textId="77777777" w:rsidTr="00CA749B">
        <w:trPr>
          <w:trHeight w:val="300"/>
          <w:jc w:val="center"/>
        </w:trPr>
        <w:tc>
          <w:tcPr>
            <w:tcW w:w="0" w:type="auto"/>
            <w:tcBorders>
              <w:top w:val="nil"/>
              <w:left w:val="single" w:sz="4" w:space="0" w:color="auto"/>
              <w:bottom w:val="nil"/>
              <w:right w:val="nil"/>
            </w:tcBorders>
            <w:noWrap/>
            <w:vAlign w:val="bottom"/>
            <w:hideMark/>
          </w:tcPr>
          <w:p w14:paraId="0D24334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UNION HALL, CO. CORK</w:t>
            </w:r>
          </w:p>
        </w:tc>
        <w:tc>
          <w:tcPr>
            <w:tcW w:w="0" w:type="auto"/>
            <w:tcBorders>
              <w:top w:val="nil"/>
              <w:left w:val="nil"/>
              <w:bottom w:val="nil"/>
              <w:right w:val="single" w:sz="4" w:space="0" w:color="auto"/>
            </w:tcBorders>
            <w:noWrap/>
            <w:vAlign w:val="bottom"/>
            <w:hideMark/>
          </w:tcPr>
          <w:p w14:paraId="40CFEB8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EU-Ireland</w:t>
            </w:r>
          </w:p>
        </w:tc>
      </w:tr>
      <w:tr w:rsidR="009123AC" w:rsidRPr="00F0379B" w14:paraId="24CB7058" w14:textId="77777777" w:rsidTr="00CA749B">
        <w:trPr>
          <w:trHeight w:val="300"/>
          <w:jc w:val="center"/>
        </w:trPr>
        <w:tc>
          <w:tcPr>
            <w:tcW w:w="0" w:type="auto"/>
            <w:tcBorders>
              <w:top w:val="nil"/>
              <w:left w:val="single" w:sz="4" w:space="0" w:color="auto"/>
              <w:bottom w:val="nil"/>
              <w:right w:val="nil"/>
            </w:tcBorders>
            <w:noWrap/>
            <w:vAlign w:val="bottom"/>
            <w:hideMark/>
          </w:tcPr>
          <w:p w14:paraId="1D4D38B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ACCIAROLI</w:t>
            </w:r>
          </w:p>
        </w:tc>
        <w:tc>
          <w:tcPr>
            <w:tcW w:w="0" w:type="auto"/>
            <w:tcBorders>
              <w:top w:val="nil"/>
              <w:left w:val="nil"/>
              <w:bottom w:val="nil"/>
              <w:right w:val="single" w:sz="4" w:space="0" w:color="auto"/>
            </w:tcBorders>
            <w:noWrap/>
            <w:vAlign w:val="bottom"/>
            <w:hideMark/>
          </w:tcPr>
          <w:p w14:paraId="3684EED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5EB4374" w14:textId="77777777" w:rsidTr="00CA749B">
        <w:trPr>
          <w:trHeight w:val="300"/>
          <w:jc w:val="center"/>
        </w:trPr>
        <w:tc>
          <w:tcPr>
            <w:tcW w:w="0" w:type="auto"/>
            <w:tcBorders>
              <w:top w:val="nil"/>
              <w:left w:val="single" w:sz="4" w:space="0" w:color="auto"/>
              <w:bottom w:val="nil"/>
              <w:right w:val="nil"/>
            </w:tcBorders>
            <w:noWrap/>
            <w:vAlign w:val="bottom"/>
            <w:hideMark/>
          </w:tcPr>
          <w:p w14:paraId="2BA1A95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AGROPOLI</w:t>
            </w:r>
          </w:p>
        </w:tc>
        <w:tc>
          <w:tcPr>
            <w:tcW w:w="0" w:type="auto"/>
            <w:tcBorders>
              <w:top w:val="nil"/>
              <w:left w:val="nil"/>
              <w:bottom w:val="nil"/>
              <w:right w:val="single" w:sz="4" w:space="0" w:color="auto"/>
            </w:tcBorders>
            <w:noWrap/>
            <w:vAlign w:val="bottom"/>
            <w:hideMark/>
          </w:tcPr>
          <w:p w14:paraId="73E9A85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169FE81E" w14:textId="77777777" w:rsidTr="00CA749B">
        <w:trPr>
          <w:trHeight w:val="300"/>
          <w:jc w:val="center"/>
        </w:trPr>
        <w:tc>
          <w:tcPr>
            <w:tcW w:w="0" w:type="auto"/>
            <w:tcBorders>
              <w:top w:val="nil"/>
              <w:left w:val="single" w:sz="4" w:space="0" w:color="auto"/>
              <w:bottom w:val="nil"/>
              <w:right w:val="nil"/>
            </w:tcBorders>
            <w:noWrap/>
            <w:vAlign w:val="bottom"/>
            <w:hideMark/>
          </w:tcPr>
          <w:p w14:paraId="0D87A81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ALASSIO</w:t>
            </w:r>
          </w:p>
        </w:tc>
        <w:tc>
          <w:tcPr>
            <w:tcW w:w="0" w:type="auto"/>
            <w:tcBorders>
              <w:top w:val="nil"/>
              <w:left w:val="nil"/>
              <w:bottom w:val="nil"/>
              <w:right w:val="single" w:sz="4" w:space="0" w:color="auto"/>
            </w:tcBorders>
            <w:noWrap/>
            <w:vAlign w:val="bottom"/>
            <w:hideMark/>
          </w:tcPr>
          <w:p w14:paraId="2849146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60F0EFE" w14:textId="77777777" w:rsidTr="00CA749B">
        <w:trPr>
          <w:trHeight w:val="300"/>
          <w:jc w:val="center"/>
        </w:trPr>
        <w:tc>
          <w:tcPr>
            <w:tcW w:w="0" w:type="auto"/>
            <w:tcBorders>
              <w:top w:val="nil"/>
              <w:left w:val="single" w:sz="4" w:space="0" w:color="auto"/>
              <w:bottom w:val="nil"/>
              <w:right w:val="nil"/>
            </w:tcBorders>
            <w:noWrap/>
            <w:vAlign w:val="bottom"/>
            <w:hideMark/>
          </w:tcPr>
          <w:p w14:paraId="0F988BB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ALGHERO</w:t>
            </w:r>
          </w:p>
        </w:tc>
        <w:tc>
          <w:tcPr>
            <w:tcW w:w="0" w:type="auto"/>
            <w:tcBorders>
              <w:top w:val="nil"/>
              <w:left w:val="nil"/>
              <w:bottom w:val="nil"/>
              <w:right w:val="single" w:sz="4" w:space="0" w:color="auto"/>
            </w:tcBorders>
            <w:noWrap/>
            <w:vAlign w:val="bottom"/>
            <w:hideMark/>
          </w:tcPr>
          <w:p w14:paraId="6A3388A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8EA1F45" w14:textId="77777777" w:rsidTr="00CA749B">
        <w:trPr>
          <w:trHeight w:val="300"/>
          <w:jc w:val="center"/>
        </w:trPr>
        <w:tc>
          <w:tcPr>
            <w:tcW w:w="0" w:type="auto"/>
            <w:tcBorders>
              <w:top w:val="nil"/>
              <w:left w:val="single" w:sz="4" w:space="0" w:color="auto"/>
              <w:bottom w:val="nil"/>
              <w:right w:val="nil"/>
            </w:tcBorders>
            <w:noWrap/>
            <w:vAlign w:val="bottom"/>
            <w:hideMark/>
          </w:tcPr>
          <w:p w14:paraId="1ABEFE5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AMANTEA</w:t>
            </w:r>
          </w:p>
        </w:tc>
        <w:tc>
          <w:tcPr>
            <w:tcW w:w="0" w:type="auto"/>
            <w:tcBorders>
              <w:top w:val="nil"/>
              <w:left w:val="nil"/>
              <w:bottom w:val="nil"/>
              <w:right w:val="single" w:sz="4" w:space="0" w:color="auto"/>
            </w:tcBorders>
            <w:noWrap/>
            <w:vAlign w:val="bottom"/>
            <w:hideMark/>
          </w:tcPr>
          <w:p w14:paraId="2C2F2D5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0B64161A" w14:textId="77777777" w:rsidTr="00CA749B">
        <w:trPr>
          <w:trHeight w:val="300"/>
          <w:jc w:val="center"/>
        </w:trPr>
        <w:tc>
          <w:tcPr>
            <w:tcW w:w="0" w:type="auto"/>
            <w:tcBorders>
              <w:top w:val="nil"/>
              <w:left w:val="single" w:sz="4" w:space="0" w:color="auto"/>
              <w:bottom w:val="nil"/>
              <w:right w:val="nil"/>
            </w:tcBorders>
            <w:noWrap/>
            <w:vAlign w:val="bottom"/>
            <w:hideMark/>
          </w:tcPr>
          <w:p w14:paraId="38BE5F4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ANCONA</w:t>
            </w:r>
          </w:p>
        </w:tc>
        <w:tc>
          <w:tcPr>
            <w:tcW w:w="0" w:type="auto"/>
            <w:tcBorders>
              <w:top w:val="nil"/>
              <w:left w:val="nil"/>
              <w:bottom w:val="nil"/>
              <w:right w:val="single" w:sz="4" w:space="0" w:color="auto"/>
            </w:tcBorders>
            <w:noWrap/>
            <w:vAlign w:val="bottom"/>
            <w:hideMark/>
          </w:tcPr>
          <w:p w14:paraId="7A5AE08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092E974D" w14:textId="77777777" w:rsidTr="00CA749B">
        <w:trPr>
          <w:trHeight w:val="300"/>
          <w:jc w:val="center"/>
        </w:trPr>
        <w:tc>
          <w:tcPr>
            <w:tcW w:w="0" w:type="auto"/>
            <w:tcBorders>
              <w:top w:val="nil"/>
              <w:left w:val="single" w:sz="4" w:space="0" w:color="auto"/>
              <w:bottom w:val="nil"/>
              <w:right w:val="nil"/>
            </w:tcBorders>
            <w:noWrap/>
            <w:vAlign w:val="bottom"/>
            <w:hideMark/>
          </w:tcPr>
          <w:p w14:paraId="19B0978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ANDORRA</w:t>
            </w:r>
          </w:p>
        </w:tc>
        <w:tc>
          <w:tcPr>
            <w:tcW w:w="0" w:type="auto"/>
            <w:tcBorders>
              <w:top w:val="nil"/>
              <w:left w:val="nil"/>
              <w:bottom w:val="nil"/>
              <w:right w:val="single" w:sz="4" w:space="0" w:color="auto"/>
            </w:tcBorders>
            <w:noWrap/>
            <w:vAlign w:val="bottom"/>
            <w:hideMark/>
          </w:tcPr>
          <w:p w14:paraId="26B1AC6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184714BE" w14:textId="77777777" w:rsidTr="00CA749B">
        <w:trPr>
          <w:trHeight w:val="300"/>
          <w:jc w:val="center"/>
        </w:trPr>
        <w:tc>
          <w:tcPr>
            <w:tcW w:w="0" w:type="auto"/>
            <w:tcBorders>
              <w:top w:val="nil"/>
              <w:left w:val="single" w:sz="4" w:space="0" w:color="auto"/>
              <w:bottom w:val="nil"/>
              <w:right w:val="nil"/>
            </w:tcBorders>
            <w:noWrap/>
            <w:vAlign w:val="bottom"/>
            <w:hideMark/>
          </w:tcPr>
          <w:p w14:paraId="5B6F0FD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ARBATAX</w:t>
            </w:r>
          </w:p>
        </w:tc>
        <w:tc>
          <w:tcPr>
            <w:tcW w:w="0" w:type="auto"/>
            <w:tcBorders>
              <w:top w:val="nil"/>
              <w:left w:val="nil"/>
              <w:bottom w:val="nil"/>
              <w:right w:val="single" w:sz="4" w:space="0" w:color="auto"/>
            </w:tcBorders>
            <w:noWrap/>
            <w:vAlign w:val="bottom"/>
            <w:hideMark/>
          </w:tcPr>
          <w:p w14:paraId="4EBF345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463FD3A" w14:textId="77777777" w:rsidTr="00CA749B">
        <w:trPr>
          <w:trHeight w:val="300"/>
          <w:jc w:val="center"/>
        </w:trPr>
        <w:tc>
          <w:tcPr>
            <w:tcW w:w="0" w:type="auto"/>
            <w:tcBorders>
              <w:top w:val="nil"/>
              <w:left w:val="single" w:sz="4" w:space="0" w:color="auto"/>
              <w:bottom w:val="nil"/>
              <w:right w:val="nil"/>
            </w:tcBorders>
            <w:noWrap/>
            <w:vAlign w:val="bottom"/>
            <w:hideMark/>
          </w:tcPr>
          <w:p w14:paraId="79F3868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ARENZANO</w:t>
            </w:r>
          </w:p>
        </w:tc>
        <w:tc>
          <w:tcPr>
            <w:tcW w:w="0" w:type="auto"/>
            <w:tcBorders>
              <w:top w:val="nil"/>
              <w:left w:val="nil"/>
              <w:bottom w:val="nil"/>
              <w:right w:val="single" w:sz="4" w:space="0" w:color="auto"/>
            </w:tcBorders>
            <w:noWrap/>
            <w:vAlign w:val="bottom"/>
            <w:hideMark/>
          </w:tcPr>
          <w:p w14:paraId="0E7CCA2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6C9F213" w14:textId="77777777" w:rsidTr="00CA749B">
        <w:trPr>
          <w:trHeight w:val="300"/>
          <w:jc w:val="center"/>
        </w:trPr>
        <w:tc>
          <w:tcPr>
            <w:tcW w:w="0" w:type="auto"/>
            <w:tcBorders>
              <w:top w:val="nil"/>
              <w:left w:val="single" w:sz="4" w:space="0" w:color="auto"/>
              <w:bottom w:val="nil"/>
              <w:right w:val="nil"/>
            </w:tcBorders>
            <w:noWrap/>
            <w:vAlign w:val="bottom"/>
            <w:hideMark/>
          </w:tcPr>
          <w:p w14:paraId="6AF689B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ARMA DI TAGGIA</w:t>
            </w:r>
          </w:p>
        </w:tc>
        <w:tc>
          <w:tcPr>
            <w:tcW w:w="0" w:type="auto"/>
            <w:tcBorders>
              <w:top w:val="nil"/>
              <w:left w:val="nil"/>
              <w:bottom w:val="nil"/>
              <w:right w:val="single" w:sz="4" w:space="0" w:color="auto"/>
            </w:tcBorders>
            <w:noWrap/>
            <w:vAlign w:val="bottom"/>
            <w:hideMark/>
          </w:tcPr>
          <w:p w14:paraId="0F0DFDB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18CBDB1" w14:textId="77777777" w:rsidTr="00CA749B">
        <w:trPr>
          <w:trHeight w:val="300"/>
          <w:jc w:val="center"/>
        </w:trPr>
        <w:tc>
          <w:tcPr>
            <w:tcW w:w="0" w:type="auto"/>
            <w:tcBorders>
              <w:top w:val="nil"/>
              <w:left w:val="single" w:sz="4" w:space="0" w:color="auto"/>
              <w:bottom w:val="nil"/>
              <w:right w:val="nil"/>
            </w:tcBorders>
            <w:noWrap/>
            <w:vAlign w:val="bottom"/>
            <w:hideMark/>
          </w:tcPr>
          <w:p w14:paraId="2C58920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AUGUSTA</w:t>
            </w:r>
          </w:p>
        </w:tc>
        <w:tc>
          <w:tcPr>
            <w:tcW w:w="0" w:type="auto"/>
            <w:tcBorders>
              <w:top w:val="nil"/>
              <w:left w:val="nil"/>
              <w:bottom w:val="nil"/>
              <w:right w:val="single" w:sz="4" w:space="0" w:color="auto"/>
            </w:tcBorders>
            <w:noWrap/>
            <w:vAlign w:val="bottom"/>
            <w:hideMark/>
          </w:tcPr>
          <w:p w14:paraId="5CE6E93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4853948" w14:textId="77777777" w:rsidTr="00CA749B">
        <w:trPr>
          <w:trHeight w:val="300"/>
          <w:jc w:val="center"/>
        </w:trPr>
        <w:tc>
          <w:tcPr>
            <w:tcW w:w="0" w:type="auto"/>
            <w:tcBorders>
              <w:top w:val="nil"/>
              <w:left w:val="single" w:sz="4" w:space="0" w:color="auto"/>
              <w:bottom w:val="nil"/>
              <w:right w:val="nil"/>
            </w:tcBorders>
            <w:noWrap/>
            <w:vAlign w:val="bottom"/>
            <w:hideMark/>
          </w:tcPr>
          <w:p w14:paraId="2F55EE5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BAGNARA CALABRA</w:t>
            </w:r>
          </w:p>
        </w:tc>
        <w:tc>
          <w:tcPr>
            <w:tcW w:w="0" w:type="auto"/>
            <w:tcBorders>
              <w:top w:val="nil"/>
              <w:left w:val="nil"/>
              <w:bottom w:val="nil"/>
              <w:right w:val="single" w:sz="4" w:space="0" w:color="auto"/>
            </w:tcBorders>
            <w:noWrap/>
            <w:vAlign w:val="bottom"/>
            <w:hideMark/>
          </w:tcPr>
          <w:p w14:paraId="0EA46A0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7A2F4AD3" w14:textId="77777777" w:rsidTr="00CA749B">
        <w:trPr>
          <w:trHeight w:val="300"/>
          <w:jc w:val="center"/>
        </w:trPr>
        <w:tc>
          <w:tcPr>
            <w:tcW w:w="0" w:type="auto"/>
            <w:tcBorders>
              <w:top w:val="nil"/>
              <w:left w:val="single" w:sz="4" w:space="0" w:color="auto"/>
              <w:bottom w:val="nil"/>
              <w:right w:val="nil"/>
            </w:tcBorders>
            <w:noWrap/>
            <w:vAlign w:val="bottom"/>
            <w:hideMark/>
          </w:tcPr>
          <w:p w14:paraId="15F360B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BARI</w:t>
            </w:r>
          </w:p>
        </w:tc>
        <w:tc>
          <w:tcPr>
            <w:tcW w:w="0" w:type="auto"/>
            <w:tcBorders>
              <w:top w:val="nil"/>
              <w:left w:val="nil"/>
              <w:bottom w:val="nil"/>
              <w:right w:val="single" w:sz="4" w:space="0" w:color="auto"/>
            </w:tcBorders>
            <w:noWrap/>
            <w:vAlign w:val="bottom"/>
            <w:hideMark/>
          </w:tcPr>
          <w:p w14:paraId="34D212F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427A6850" w14:textId="77777777" w:rsidTr="00CA749B">
        <w:trPr>
          <w:trHeight w:val="300"/>
          <w:jc w:val="center"/>
        </w:trPr>
        <w:tc>
          <w:tcPr>
            <w:tcW w:w="0" w:type="auto"/>
            <w:tcBorders>
              <w:top w:val="nil"/>
              <w:left w:val="single" w:sz="4" w:space="0" w:color="auto"/>
              <w:bottom w:val="nil"/>
              <w:right w:val="nil"/>
            </w:tcBorders>
            <w:noWrap/>
            <w:vAlign w:val="bottom"/>
            <w:hideMark/>
          </w:tcPr>
          <w:p w14:paraId="0356757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BISCEGLIE</w:t>
            </w:r>
          </w:p>
        </w:tc>
        <w:tc>
          <w:tcPr>
            <w:tcW w:w="0" w:type="auto"/>
            <w:tcBorders>
              <w:top w:val="nil"/>
              <w:left w:val="nil"/>
              <w:bottom w:val="nil"/>
              <w:right w:val="single" w:sz="4" w:space="0" w:color="auto"/>
            </w:tcBorders>
            <w:noWrap/>
            <w:vAlign w:val="bottom"/>
            <w:hideMark/>
          </w:tcPr>
          <w:p w14:paraId="26E536F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34D53157" w14:textId="77777777" w:rsidTr="00CA749B">
        <w:trPr>
          <w:trHeight w:val="300"/>
          <w:jc w:val="center"/>
        </w:trPr>
        <w:tc>
          <w:tcPr>
            <w:tcW w:w="0" w:type="auto"/>
            <w:tcBorders>
              <w:top w:val="nil"/>
              <w:left w:val="single" w:sz="4" w:space="0" w:color="auto"/>
              <w:bottom w:val="nil"/>
              <w:right w:val="nil"/>
            </w:tcBorders>
            <w:noWrap/>
            <w:vAlign w:val="bottom"/>
            <w:hideMark/>
          </w:tcPr>
          <w:p w14:paraId="6D00A2F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BORDIGHERA</w:t>
            </w:r>
          </w:p>
        </w:tc>
        <w:tc>
          <w:tcPr>
            <w:tcW w:w="0" w:type="auto"/>
            <w:tcBorders>
              <w:top w:val="nil"/>
              <w:left w:val="nil"/>
              <w:bottom w:val="nil"/>
              <w:right w:val="single" w:sz="4" w:space="0" w:color="auto"/>
            </w:tcBorders>
            <w:noWrap/>
            <w:vAlign w:val="bottom"/>
            <w:hideMark/>
          </w:tcPr>
          <w:p w14:paraId="4C780E9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934D1E2" w14:textId="77777777" w:rsidTr="00CA749B">
        <w:trPr>
          <w:trHeight w:val="300"/>
          <w:jc w:val="center"/>
        </w:trPr>
        <w:tc>
          <w:tcPr>
            <w:tcW w:w="0" w:type="auto"/>
            <w:tcBorders>
              <w:top w:val="nil"/>
              <w:left w:val="single" w:sz="4" w:space="0" w:color="auto"/>
              <w:bottom w:val="nil"/>
              <w:right w:val="nil"/>
            </w:tcBorders>
            <w:noWrap/>
            <w:vAlign w:val="bottom"/>
            <w:hideMark/>
          </w:tcPr>
          <w:p w14:paraId="71D2B90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BOSA</w:t>
            </w:r>
          </w:p>
        </w:tc>
        <w:tc>
          <w:tcPr>
            <w:tcW w:w="0" w:type="auto"/>
            <w:tcBorders>
              <w:top w:val="nil"/>
              <w:left w:val="nil"/>
              <w:bottom w:val="nil"/>
              <w:right w:val="single" w:sz="4" w:space="0" w:color="auto"/>
            </w:tcBorders>
            <w:noWrap/>
            <w:vAlign w:val="bottom"/>
            <w:hideMark/>
          </w:tcPr>
          <w:p w14:paraId="3C12683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FB564FC" w14:textId="77777777" w:rsidTr="00CA749B">
        <w:trPr>
          <w:trHeight w:val="300"/>
          <w:jc w:val="center"/>
        </w:trPr>
        <w:tc>
          <w:tcPr>
            <w:tcW w:w="0" w:type="auto"/>
            <w:tcBorders>
              <w:top w:val="nil"/>
              <w:left w:val="single" w:sz="4" w:space="0" w:color="auto"/>
              <w:bottom w:val="nil"/>
              <w:right w:val="nil"/>
            </w:tcBorders>
            <w:noWrap/>
            <w:vAlign w:val="bottom"/>
            <w:hideMark/>
          </w:tcPr>
          <w:p w14:paraId="6A64A50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BRINDISI</w:t>
            </w:r>
          </w:p>
        </w:tc>
        <w:tc>
          <w:tcPr>
            <w:tcW w:w="0" w:type="auto"/>
            <w:tcBorders>
              <w:top w:val="nil"/>
              <w:left w:val="nil"/>
              <w:bottom w:val="nil"/>
              <w:right w:val="single" w:sz="4" w:space="0" w:color="auto"/>
            </w:tcBorders>
            <w:noWrap/>
            <w:vAlign w:val="bottom"/>
            <w:hideMark/>
          </w:tcPr>
          <w:p w14:paraId="321B631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ADDE706" w14:textId="77777777" w:rsidTr="00CA749B">
        <w:trPr>
          <w:trHeight w:val="300"/>
          <w:jc w:val="center"/>
        </w:trPr>
        <w:tc>
          <w:tcPr>
            <w:tcW w:w="0" w:type="auto"/>
            <w:tcBorders>
              <w:top w:val="nil"/>
              <w:left w:val="single" w:sz="4" w:space="0" w:color="auto"/>
              <w:bottom w:val="nil"/>
              <w:right w:val="nil"/>
            </w:tcBorders>
            <w:noWrap/>
            <w:vAlign w:val="bottom"/>
            <w:hideMark/>
          </w:tcPr>
          <w:p w14:paraId="4CF00C8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CAGLIARI</w:t>
            </w:r>
          </w:p>
        </w:tc>
        <w:tc>
          <w:tcPr>
            <w:tcW w:w="0" w:type="auto"/>
            <w:tcBorders>
              <w:top w:val="nil"/>
              <w:left w:val="nil"/>
              <w:bottom w:val="nil"/>
              <w:right w:val="single" w:sz="4" w:space="0" w:color="auto"/>
            </w:tcBorders>
            <w:noWrap/>
            <w:vAlign w:val="bottom"/>
            <w:hideMark/>
          </w:tcPr>
          <w:p w14:paraId="301CC5D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1A7BDC9" w14:textId="77777777" w:rsidTr="00CA749B">
        <w:trPr>
          <w:trHeight w:val="300"/>
          <w:jc w:val="center"/>
        </w:trPr>
        <w:tc>
          <w:tcPr>
            <w:tcW w:w="0" w:type="auto"/>
            <w:tcBorders>
              <w:top w:val="nil"/>
              <w:left w:val="single" w:sz="4" w:space="0" w:color="auto"/>
              <w:bottom w:val="nil"/>
              <w:right w:val="nil"/>
            </w:tcBorders>
            <w:noWrap/>
            <w:vAlign w:val="bottom"/>
            <w:hideMark/>
          </w:tcPr>
          <w:p w14:paraId="0DF4B3F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CALA GONONE</w:t>
            </w:r>
          </w:p>
        </w:tc>
        <w:tc>
          <w:tcPr>
            <w:tcW w:w="0" w:type="auto"/>
            <w:tcBorders>
              <w:top w:val="nil"/>
              <w:left w:val="nil"/>
              <w:bottom w:val="nil"/>
              <w:right w:val="single" w:sz="4" w:space="0" w:color="auto"/>
            </w:tcBorders>
            <w:noWrap/>
            <w:vAlign w:val="bottom"/>
            <w:hideMark/>
          </w:tcPr>
          <w:p w14:paraId="7FA7C11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0650EA7" w14:textId="77777777" w:rsidTr="00CA749B">
        <w:trPr>
          <w:trHeight w:val="300"/>
          <w:jc w:val="center"/>
        </w:trPr>
        <w:tc>
          <w:tcPr>
            <w:tcW w:w="0" w:type="auto"/>
            <w:tcBorders>
              <w:top w:val="nil"/>
              <w:left w:val="single" w:sz="4" w:space="0" w:color="auto"/>
              <w:bottom w:val="nil"/>
              <w:right w:val="nil"/>
            </w:tcBorders>
            <w:noWrap/>
            <w:vAlign w:val="bottom"/>
            <w:hideMark/>
          </w:tcPr>
          <w:p w14:paraId="7B28C2D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CALASETTA</w:t>
            </w:r>
          </w:p>
        </w:tc>
        <w:tc>
          <w:tcPr>
            <w:tcW w:w="0" w:type="auto"/>
            <w:tcBorders>
              <w:top w:val="nil"/>
              <w:left w:val="nil"/>
              <w:bottom w:val="nil"/>
              <w:right w:val="single" w:sz="4" w:space="0" w:color="auto"/>
            </w:tcBorders>
            <w:noWrap/>
            <w:vAlign w:val="bottom"/>
            <w:hideMark/>
          </w:tcPr>
          <w:p w14:paraId="65C70DB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0EBAFCEB" w14:textId="77777777" w:rsidTr="00CA749B">
        <w:trPr>
          <w:trHeight w:val="300"/>
          <w:jc w:val="center"/>
        </w:trPr>
        <w:tc>
          <w:tcPr>
            <w:tcW w:w="0" w:type="auto"/>
            <w:tcBorders>
              <w:top w:val="nil"/>
              <w:left w:val="single" w:sz="4" w:space="0" w:color="auto"/>
              <w:bottom w:val="nil"/>
              <w:right w:val="nil"/>
            </w:tcBorders>
            <w:noWrap/>
            <w:vAlign w:val="bottom"/>
            <w:hideMark/>
          </w:tcPr>
          <w:p w14:paraId="5FEFDDD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CAMOGLI</w:t>
            </w:r>
          </w:p>
        </w:tc>
        <w:tc>
          <w:tcPr>
            <w:tcW w:w="0" w:type="auto"/>
            <w:tcBorders>
              <w:top w:val="nil"/>
              <w:left w:val="nil"/>
              <w:bottom w:val="nil"/>
              <w:right w:val="single" w:sz="4" w:space="0" w:color="auto"/>
            </w:tcBorders>
            <w:noWrap/>
            <w:vAlign w:val="bottom"/>
            <w:hideMark/>
          </w:tcPr>
          <w:p w14:paraId="101EF57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A7AA723" w14:textId="77777777" w:rsidTr="00CA749B">
        <w:trPr>
          <w:trHeight w:val="300"/>
          <w:jc w:val="center"/>
        </w:trPr>
        <w:tc>
          <w:tcPr>
            <w:tcW w:w="0" w:type="auto"/>
            <w:tcBorders>
              <w:top w:val="nil"/>
              <w:left w:val="single" w:sz="4" w:space="0" w:color="auto"/>
              <w:bottom w:val="nil"/>
              <w:right w:val="nil"/>
            </w:tcBorders>
            <w:noWrap/>
            <w:vAlign w:val="bottom"/>
            <w:hideMark/>
          </w:tcPr>
          <w:p w14:paraId="3685896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CAPRAIA ISOLA</w:t>
            </w:r>
          </w:p>
        </w:tc>
        <w:tc>
          <w:tcPr>
            <w:tcW w:w="0" w:type="auto"/>
            <w:tcBorders>
              <w:top w:val="nil"/>
              <w:left w:val="nil"/>
              <w:bottom w:val="nil"/>
              <w:right w:val="single" w:sz="4" w:space="0" w:color="auto"/>
            </w:tcBorders>
            <w:noWrap/>
            <w:vAlign w:val="bottom"/>
            <w:hideMark/>
          </w:tcPr>
          <w:p w14:paraId="3BF6146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EU-Italy</w:t>
            </w:r>
          </w:p>
        </w:tc>
      </w:tr>
      <w:tr w:rsidR="009123AC" w:rsidRPr="00F0379B" w14:paraId="5DC128C5" w14:textId="77777777" w:rsidTr="00CA749B">
        <w:trPr>
          <w:trHeight w:val="300"/>
          <w:jc w:val="center"/>
        </w:trPr>
        <w:tc>
          <w:tcPr>
            <w:tcW w:w="0" w:type="auto"/>
            <w:tcBorders>
              <w:top w:val="nil"/>
              <w:left w:val="single" w:sz="4" w:space="0" w:color="auto"/>
              <w:bottom w:val="nil"/>
              <w:right w:val="nil"/>
            </w:tcBorders>
            <w:noWrap/>
            <w:vAlign w:val="bottom"/>
            <w:hideMark/>
          </w:tcPr>
          <w:p w14:paraId="7E6AC81F"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CARIATI</w:t>
            </w:r>
          </w:p>
        </w:tc>
        <w:tc>
          <w:tcPr>
            <w:tcW w:w="0" w:type="auto"/>
            <w:tcBorders>
              <w:top w:val="nil"/>
              <w:left w:val="nil"/>
              <w:bottom w:val="nil"/>
              <w:right w:val="single" w:sz="4" w:space="0" w:color="auto"/>
            </w:tcBorders>
            <w:noWrap/>
            <w:vAlign w:val="bottom"/>
            <w:hideMark/>
          </w:tcPr>
          <w:p w14:paraId="618C485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EU-Italy</w:t>
            </w:r>
          </w:p>
        </w:tc>
      </w:tr>
      <w:tr w:rsidR="009123AC" w:rsidRPr="00F0379B" w14:paraId="09FD88F7" w14:textId="77777777" w:rsidTr="00CA749B">
        <w:trPr>
          <w:trHeight w:val="300"/>
          <w:jc w:val="center"/>
        </w:trPr>
        <w:tc>
          <w:tcPr>
            <w:tcW w:w="0" w:type="auto"/>
            <w:tcBorders>
              <w:top w:val="nil"/>
              <w:left w:val="single" w:sz="4" w:space="0" w:color="auto"/>
              <w:bottom w:val="nil"/>
              <w:right w:val="nil"/>
            </w:tcBorders>
            <w:noWrap/>
            <w:vAlign w:val="bottom"/>
            <w:hideMark/>
          </w:tcPr>
          <w:p w14:paraId="5645F99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CARLOFORTE</w:t>
            </w:r>
          </w:p>
        </w:tc>
        <w:tc>
          <w:tcPr>
            <w:tcW w:w="0" w:type="auto"/>
            <w:tcBorders>
              <w:top w:val="nil"/>
              <w:left w:val="nil"/>
              <w:bottom w:val="nil"/>
              <w:right w:val="single" w:sz="4" w:space="0" w:color="auto"/>
            </w:tcBorders>
            <w:noWrap/>
            <w:vAlign w:val="bottom"/>
            <w:hideMark/>
          </w:tcPr>
          <w:p w14:paraId="5585D30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7BC5128C" w14:textId="77777777" w:rsidTr="00CA749B">
        <w:trPr>
          <w:trHeight w:val="300"/>
          <w:jc w:val="center"/>
        </w:trPr>
        <w:tc>
          <w:tcPr>
            <w:tcW w:w="0" w:type="auto"/>
            <w:tcBorders>
              <w:top w:val="nil"/>
              <w:left w:val="single" w:sz="4" w:space="0" w:color="auto"/>
              <w:bottom w:val="nil"/>
              <w:right w:val="nil"/>
            </w:tcBorders>
            <w:noWrap/>
            <w:vAlign w:val="bottom"/>
            <w:hideMark/>
          </w:tcPr>
          <w:p w14:paraId="5E7C21E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CASTELLAMMARE DEL GOLFO</w:t>
            </w:r>
          </w:p>
        </w:tc>
        <w:tc>
          <w:tcPr>
            <w:tcW w:w="0" w:type="auto"/>
            <w:tcBorders>
              <w:top w:val="nil"/>
              <w:left w:val="nil"/>
              <w:bottom w:val="nil"/>
              <w:right w:val="single" w:sz="4" w:space="0" w:color="auto"/>
            </w:tcBorders>
            <w:noWrap/>
            <w:vAlign w:val="bottom"/>
            <w:hideMark/>
          </w:tcPr>
          <w:p w14:paraId="5B2D814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6972DB4" w14:textId="77777777" w:rsidTr="00CA749B">
        <w:trPr>
          <w:trHeight w:val="300"/>
          <w:jc w:val="center"/>
        </w:trPr>
        <w:tc>
          <w:tcPr>
            <w:tcW w:w="0" w:type="auto"/>
            <w:tcBorders>
              <w:top w:val="nil"/>
              <w:left w:val="single" w:sz="4" w:space="0" w:color="auto"/>
              <w:bottom w:val="nil"/>
              <w:right w:val="nil"/>
            </w:tcBorders>
            <w:noWrap/>
            <w:vAlign w:val="bottom"/>
            <w:hideMark/>
          </w:tcPr>
          <w:p w14:paraId="526586E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CASTELLAMMARE DI STABIA</w:t>
            </w:r>
          </w:p>
        </w:tc>
        <w:tc>
          <w:tcPr>
            <w:tcW w:w="0" w:type="auto"/>
            <w:tcBorders>
              <w:top w:val="nil"/>
              <w:left w:val="nil"/>
              <w:bottom w:val="nil"/>
              <w:right w:val="single" w:sz="4" w:space="0" w:color="auto"/>
            </w:tcBorders>
            <w:noWrap/>
            <w:vAlign w:val="bottom"/>
            <w:hideMark/>
          </w:tcPr>
          <w:p w14:paraId="1BF6654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45EC6D7B" w14:textId="77777777" w:rsidTr="00CA749B">
        <w:trPr>
          <w:trHeight w:val="300"/>
          <w:jc w:val="center"/>
        </w:trPr>
        <w:tc>
          <w:tcPr>
            <w:tcW w:w="0" w:type="auto"/>
            <w:tcBorders>
              <w:top w:val="nil"/>
              <w:left w:val="single" w:sz="4" w:space="0" w:color="auto"/>
              <w:bottom w:val="nil"/>
              <w:right w:val="nil"/>
            </w:tcBorders>
            <w:noWrap/>
            <w:vAlign w:val="bottom"/>
            <w:hideMark/>
          </w:tcPr>
          <w:p w14:paraId="00C129F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CASTELSARDO</w:t>
            </w:r>
          </w:p>
        </w:tc>
        <w:tc>
          <w:tcPr>
            <w:tcW w:w="0" w:type="auto"/>
            <w:tcBorders>
              <w:top w:val="nil"/>
              <w:left w:val="nil"/>
              <w:bottom w:val="nil"/>
              <w:right w:val="single" w:sz="4" w:space="0" w:color="auto"/>
            </w:tcBorders>
            <w:noWrap/>
            <w:vAlign w:val="bottom"/>
            <w:hideMark/>
          </w:tcPr>
          <w:p w14:paraId="0D7468F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1B0272B7" w14:textId="77777777" w:rsidTr="00CA749B">
        <w:trPr>
          <w:trHeight w:val="300"/>
          <w:jc w:val="center"/>
        </w:trPr>
        <w:tc>
          <w:tcPr>
            <w:tcW w:w="0" w:type="auto"/>
            <w:tcBorders>
              <w:top w:val="nil"/>
              <w:left w:val="single" w:sz="4" w:space="0" w:color="auto"/>
              <w:bottom w:val="nil"/>
              <w:right w:val="nil"/>
            </w:tcBorders>
            <w:noWrap/>
            <w:vAlign w:val="bottom"/>
            <w:hideMark/>
          </w:tcPr>
          <w:p w14:paraId="1A30D62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CASTIGLIONE DELLA PESCAIA</w:t>
            </w:r>
          </w:p>
        </w:tc>
        <w:tc>
          <w:tcPr>
            <w:tcW w:w="0" w:type="auto"/>
            <w:tcBorders>
              <w:top w:val="nil"/>
              <w:left w:val="nil"/>
              <w:bottom w:val="nil"/>
              <w:right w:val="single" w:sz="4" w:space="0" w:color="auto"/>
            </w:tcBorders>
            <w:noWrap/>
            <w:vAlign w:val="bottom"/>
            <w:hideMark/>
          </w:tcPr>
          <w:p w14:paraId="5E9526E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757A220C" w14:textId="77777777" w:rsidTr="00CA749B">
        <w:trPr>
          <w:trHeight w:val="300"/>
          <w:jc w:val="center"/>
        </w:trPr>
        <w:tc>
          <w:tcPr>
            <w:tcW w:w="0" w:type="auto"/>
            <w:tcBorders>
              <w:top w:val="nil"/>
              <w:left w:val="single" w:sz="4" w:space="0" w:color="auto"/>
              <w:bottom w:val="nil"/>
              <w:right w:val="nil"/>
            </w:tcBorders>
            <w:noWrap/>
            <w:vAlign w:val="bottom"/>
            <w:hideMark/>
          </w:tcPr>
          <w:p w14:paraId="47F7A78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CATANIA</w:t>
            </w:r>
          </w:p>
        </w:tc>
        <w:tc>
          <w:tcPr>
            <w:tcW w:w="0" w:type="auto"/>
            <w:tcBorders>
              <w:top w:val="nil"/>
              <w:left w:val="nil"/>
              <w:bottom w:val="nil"/>
              <w:right w:val="single" w:sz="4" w:space="0" w:color="auto"/>
            </w:tcBorders>
            <w:noWrap/>
            <w:vAlign w:val="bottom"/>
            <w:hideMark/>
          </w:tcPr>
          <w:p w14:paraId="02E3BA9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79984D29" w14:textId="77777777" w:rsidTr="00CA749B">
        <w:trPr>
          <w:trHeight w:val="300"/>
          <w:jc w:val="center"/>
        </w:trPr>
        <w:tc>
          <w:tcPr>
            <w:tcW w:w="0" w:type="auto"/>
            <w:tcBorders>
              <w:top w:val="nil"/>
              <w:left w:val="single" w:sz="4" w:space="0" w:color="auto"/>
              <w:bottom w:val="nil"/>
              <w:right w:val="nil"/>
            </w:tcBorders>
            <w:noWrap/>
            <w:vAlign w:val="bottom"/>
            <w:hideMark/>
          </w:tcPr>
          <w:p w14:paraId="6979157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CESENATICO</w:t>
            </w:r>
          </w:p>
        </w:tc>
        <w:tc>
          <w:tcPr>
            <w:tcW w:w="0" w:type="auto"/>
            <w:tcBorders>
              <w:top w:val="nil"/>
              <w:left w:val="nil"/>
              <w:bottom w:val="nil"/>
              <w:right w:val="single" w:sz="4" w:space="0" w:color="auto"/>
            </w:tcBorders>
            <w:noWrap/>
            <w:vAlign w:val="bottom"/>
            <w:hideMark/>
          </w:tcPr>
          <w:p w14:paraId="6539E87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3887F7CD" w14:textId="77777777" w:rsidTr="00CA749B">
        <w:trPr>
          <w:trHeight w:val="300"/>
          <w:jc w:val="center"/>
        </w:trPr>
        <w:tc>
          <w:tcPr>
            <w:tcW w:w="0" w:type="auto"/>
            <w:tcBorders>
              <w:top w:val="nil"/>
              <w:left w:val="single" w:sz="4" w:space="0" w:color="auto"/>
              <w:bottom w:val="nil"/>
              <w:right w:val="nil"/>
            </w:tcBorders>
            <w:noWrap/>
            <w:vAlign w:val="bottom"/>
            <w:hideMark/>
          </w:tcPr>
          <w:p w14:paraId="62D50A9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CETRARO</w:t>
            </w:r>
          </w:p>
        </w:tc>
        <w:tc>
          <w:tcPr>
            <w:tcW w:w="0" w:type="auto"/>
            <w:tcBorders>
              <w:top w:val="nil"/>
              <w:left w:val="nil"/>
              <w:bottom w:val="nil"/>
              <w:right w:val="single" w:sz="4" w:space="0" w:color="auto"/>
            </w:tcBorders>
            <w:noWrap/>
            <w:vAlign w:val="bottom"/>
            <w:hideMark/>
          </w:tcPr>
          <w:p w14:paraId="2205187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B8611D8" w14:textId="77777777" w:rsidTr="00CA749B">
        <w:trPr>
          <w:trHeight w:val="300"/>
          <w:jc w:val="center"/>
        </w:trPr>
        <w:tc>
          <w:tcPr>
            <w:tcW w:w="0" w:type="auto"/>
            <w:tcBorders>
              <w:top w:val="nil"/>
              <w:left w:val="single" w:sz="4" w:space="0" w:color="auto"/>
              <w:bottom w:val="nil"/>
              <w:right w:val="nil"/>
            </w:tcBorders>
            <w:noWrap/>
            <w:vAlign w:val="bottom"/>
            <w:hideMark/>
          </w:tcPr>
          <w:p w14:paraId="533A4F4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CHIOGGIA</w:t>
            </w:r>
          </w:p>
        </w:tc>
        <w:tc>
          <w:tcPr>
            <w:tcW w:w="0" w:type="auto"/>
            <w:tcBorders>
              <w:top w:val="nil"/>
              <w:left w:val="nil"/>
              <w:bottom w:val="nil"/>
              <w:right w:val="single" w:sz="4" w:space="0" w:color="auto"/>
            </w:tcBorders>
            <w:noWrap/>
            <w:vAlign w:val="bottom"/>
            <w:hideMark/>
          </w:tcPr>
          <w:p w14:paraId="7EFF845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0257D86" w14:textId="77777777" w:rsidTr="00CA749B">
        <w:trPr>
          <w:trHeight w:val="300"/>
          <w:jc w:val="center"/>
        </w:trPr>
        <w:tc>
          <w:tcPr>
            <w:tcW w:w="0" w:type="auto"/>
            <w:tcBorders>
              <w:top w:val="nil"/>
              <w:left w:val="single" w:sz="4" w:space="0" w:color="auto"/>
              <w:bottom w:val="nil"/>
              <w:right w:val="nil"/>
            </w:tcBorders>
            <w:noWrap/>
            <w:vAlign w:val="bottom"/>
            <w:hideMark/>
          </w:tcPr>
          <w:p w14:paraId="5167638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CIVITANOVA MARCHE</w:t>
            </w:r>
          </w:p>
        </w:tc>
        <w:tc>
          <w:tcPr>
            <w:tcW w:w="0" w:type="auto"/>
            <w:tcBorders>
              <w:top w:val="nil"/>
              <w:left w:val="nil"/>
              <w:bottom w:val="nil"/>
              <w:right w:val="single" w:sz="4" w:space="0" w:color="auto"/>
            </w:tcBorders>
            <w:noWrap/>
            <w:vAlign w:val="bottom"/>
            <w:hideMark/>
          </w:tcPr>
          <w:p w14:paraId="06615C7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49967D63" w14:textId="77777777" w:rsidTr="00CA749B">
        <w:trPr>
          <w:trHeight w:val="300"/>
          <w:jc w:val="center"/>
        </w:trPr>
        <w:tc>
          <w:tcPr>
            <w:tcW w:w="0" w:type="auto"/>
            <w:tcBorders>
              <w:top w:val="nil"/>
              <w:left w:val="single" w:sz="4" w:space="0" w:color="auto"/>
              <w:bottom w:val="nil"/>
              <w:right w:val="nil"/>
            </w:tcBorders>
            <w:noWrap/>
            <w:vAlign w:val="bottom"/>
            <w:hideMark/>
          </w:tcPr>
          <w:p w14:paraId="194D694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CIVITAVECCHIA</w:t>
            </w:r>
          </w:p>
        </w:tc>
        <w:tc>
          <w:tcPr>
            <w:tcW w:w="0" w:type="auto"/>
            <w:tcBorders>
              <w:top w:val="nil"/>
              <w:left w:val="nil"/>
              <w:bottom w:val="nil"/>
              <w:right w:val="single" w:sz="4" w:space="0" w:color="auto"/>
            </w:tcBorders>
            <w:noWrap/>
            <w:vAlign w:val="bottom"/>
            <w:hideMark/>
          </w:tcPr>
          <w:p w14:paraId="49CC9C5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E4D97F5" w14:textId="77777777" w:rsidTr="00CA749B">
        <w:trPr>
          <w:trHeight w:val="300"/>
          <w:jc w:val="center"/>
        </w:trPr>
        <w:tc>
          <w:tcPr>
            <w:tcW w:w="0" w:type="auto"/>
            <w:tcBorders>
              <w:top w:val="nil"/>
              <w:left w:val="single" w:sz="4" w:space="0" w:color="auto"/>
              <w:bottom w:val="nil"/>
              <w:right w:val="nil"/>
            </w:tcBorders>
            <w:noWrap/>
            <w:vAlign w:val="bottom"/>
            <w:hideMark/>
          </w:tcPr>
          <w:p w14:paraId="2D55194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CORIGLIANO CALABRO</w:t>
            </w:r>
          </w:p>
        </w:tc>
        <w:tc>
          <w:tcPr>
            <w:tcW w:w="0" w:type="auto"/>
            <w:tcBorders>
              <w:top w:val="nil"/>
              <w:left w:val="nil"/>
              <w:bottom w:val="nil"/>
              <w:right w:val="single" w:sz="4" w:space="0" w:color="auto"/>
            </w:tcBorders>
            <w:noWrap/>
            <w:vAlign w:val="bottom"/>
            <w:hideMark/>
          </w:tcPr>
          <w:p w14:paraId="34B6A7B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FC4C528" w14:textId="77777777" w:rsidTr="00CA749B">
        <w:trPr>
          <w:trHeight w:val="300"/>
          <w:jc w:val="center"/>
        </w:trPr>
        <w:tc>
          <w:tcPr>
            <w:tcW w:w="0" w:type="auto"/>
            <w:tcBorders>
              <w:top w:val="nil"/>
              <w:left w:val="single" w:sz="4" w:space="0" w:color="auto"/>
              <w:bottom w:val="nil"/>
              <w:right w:val="nil"/>
            </w:tcBorders>
            <w:noWrap/>
            <w:vAlign w:val="bottom"/>
            <w:hideMark/>
          </w:tcPr>
          <w:p w14:paraId="61CB88D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CROTONE</w:t>
            </w:r>
          </w:p>
        </w:tc>
        <w:tc>
          <w:tcPr>
            <w:tcW w:w="0" w:type="auto"/>
            <w:tcBorders>
              <w:top w:val="nil"/>
              <w:left w:val="nil"/>
              <w:bottom w:val="nil"/>
              <w:right w:val="single" w:sz="4" w:space="0" w:color="auto"/>
            </w:tcBorders>
            <w:noWrap/>
            <w:vAlign w:val="bottom"/>
            <w:hideMark/>
          </w:tcPr>
          <w:p w14:paraId="584D7D1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14890C4" w14:textId="77777777" w:rsidTr="00CA749B">
        <w:trPr>
          <w:trHeight w:val="300"/>
          <w:jc w:val="center"/>
        </w:trPr>
        <w:tc>
          <w:tcPr>
            <w:tcW w:w="0" w:type="auto"/>
            <w:tcBorders>
              <w:top w:val="nil"/>
              <w:left w:val="single" w:sz="4" w:space="0" w:color="auto"/>
              <w:bottom w:val="nil"/>
              <w:right w:val="nil"/>
            </w:tcBorders>
            <w:noWrap/>
            <w:vAlign w:val="bottom"/>
            <w:hideMark/>
          </w:tcPr>
          <w:p w14:paraId="2ACC554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FANO</w:t>
            </w:r>
          </w:p>
        </w:tc>
        <w:tc>
          <w:tcPr>
            <w:tcW w:w="0" w:type="auto"/>
            <w:tcBorders>
              <w:top w:val="nil"/>
              <w:left w:val="nil"/>
              <w:bottom w:val="nil"/>
              <w:right w:val="single" w:sz="4" w:space="0" w:color="auto"/>
            </w:tcBorders>
            <w:noWrap/>
            <w:vAlign w:val="bottom"/>
            <w:hideMark/>
          </w:tcPr>
          <w:p w14:paraId="7BF0D5D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7AC5A4EA" w14:textId="77777777" w:rsidTr="00CA749B">
        <w:trPr>
          <w:trHeight w:val="300"/>
          <w:jc w:val="center"/>
        </w:trPr>
        <w:tc>
          <w:tcPr>
            <w:tcW w:w="0" w:type="auto"/>
            <w:tcBorders>
              <w:top w:val="nil"/>
              <w:left w:val="single" w:sz="4" w:space="0" w:color="auto"/>
              <w:bottom w:val="nil"/>
              <w:right w:val="nil"/>
            </w:tcBorders>
            <w:noWrap/>
            <w:vAlign w:val="bottom"/>
            <w:hideMark/>
          </w:tcPr>
          <w:p w14:paraId="37E68C3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FAVIGNANA</w:t>
            </w:r>
          </w:p>
        </w:tc>
        <w:tc>
          <w:tcPr>
            <w:tcW w:w="0" w:type="auto"/>
            <w:tcBorders>
              <w:top w:val="nil"/>
              <w:left w:val="nil"/>
              <w:bottom w:val="nil"/>
              <w:right w:val="single" w:sz="4" w:space="0" w:color="auto"/>
            </w:tcBorders>
            <w:noWrap/>
            <w:vAlign w:val="bottom"/>
            <w:hideMark/>
          </w:tcPr>
          <w:p w14:paraId="229CF73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3BB3A200" w14:textId="77777777" w:rsidTr="00CA749B">
        <w:trPr>
          <w:trHeight w:val="300"/>
          <w:jc w:val="center"/>
        </w:trPr>
        <w:tc>
          <w:tcPr>
            <w:tcW w:w="0" w:type="auto"/>
            <w:tcBorders>
              <w:top w:val="nil"/>
              <w:left w:val="single" w:sz="4" w:space="0" w:color="auto"/>
              <w:bottom w:val="nil"/>
              <w:right w:val="nil"/>
            </w:tcBorders>
            <w:noWrap/>
            <w:vAlign w:val="bottom"/>
            <w:hideMark/>
          </w:tcPr>
          <w:p w14:paraId="0B54A95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FINALE LIGURE</w:t>
            </w:r>
          </w:p>
        </w:tc>
        <w:tc>
          <w:tcPr>
            <w:tcW w:w="0" w:type="auto"/>
            <w:tcBorders>
              <w:top w:val="nil"/>
              <w:left w:val="nil"/>
              <w:bottom w:val="nil"/>
              <w:right w:val="single" w:sz="4" w:space="0" w:color="auto"/>
            </w:tcBorders>
            <w:noWrap/>
            <w:vAlign w:val="bottom"/>
            <w:hideMark/>
          </w:tcPr>
          <w:p w14:paraId="49F0F35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1FFA9E97" w14:textId="77777777" w:rsidTr="00CA749B">
        <w:trPr>
          <w:trHeight w:val="300"/>
          <w:jc w:val="center"/>
        </w:trPr>
        <w:tc>
          <w:tcPr>
            <w:tcW w:w="0" w:type="auto"/>
            <w:tcBorders>
              <w:top w:val="nil"/>
              <w:left w:val="single" w:sz="4" w:space="0" w:color="auto"/>
              <w:bottom w:val="nil"/>
              <w:right w:val="nil"/>
            </w:tcBorders>
            <w:noWrap/>
            <w:vAlign w:val="bottom"/>
            <w:hideMark/>
          </w:tcPr>
          <w:p w14:paraId="755AB49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FIUMICINO</w:t>
            </w:r>
          </w:p>
        </w:tc>
        <w:tc>
          <w:tcPr>
            <w:tcW w:w="0" w:type="auto"/>
            <w:tcBorders>
              <w:top w:val="nil"/>
              <w:left w:val="nil"/>
              <w:bottom w:val="nil"/>
              <w:right w:val="single" w:sz="4" w:space="0" w:color="auto"/>
            </w:tcBorders>
            <w:noWrap/>
            <w:vAlign w:val="bottom"/>
            <w:hideMark/>
          </w:tcPr>
          <w:p w14:paraId="33CECF7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4586F430" w14:textId="77777777" w:rsidTr="00CA749B">
        <w:trPr>
          <w:trHeight w:val="300"/>
          <w:jc w:val="center"/>
        </w:trPr>
        <w:tc>
          <w:tcPr>
            <w:tcW w:w="0" w:type="auto"/>
            <w:tcBorders>
              <w:top w:val="nil"/>
              <w:left w:val="single" w:sz="4" w:space="0" w:color="auto"/>
              <w:bottom w:val="nil"/>
              <w:right w:val="nil"/>
            </w:tcBorders>
            <w:noWrap/>
            <w:vAlign w:val="bottom"/>
            <w:hideMark/>
          </w:tcPr>
          <w:p w14:paraId="6CA2D8D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FORIO</w:t>
            </w:r>
          </w:p>
        </w:tc>
        <w:tc>
          <w:tcPr>
            <w:tcW w:w="0" w:type="auto"/>
            <w:tcBorders>
              <w:top w:val="nil"/>
              <w:left w:val="nil"/>
              <w:bottom w:val="nil"/>
              <w:right w:val="single" w:sz="4" w:space="0" w:color="auto"/>
            </w:tcBorders>
            <w:noWrap/>
            <w:vAlign w:val="bottom"/>
            <w:hideMark/>
          </w:tcPr>
          <w:p w14:paraId="3E650BE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497F90D2" w14:textId="77777777" w:rsidTr="00CA749B">
        <w:trPr>
          <w:trHeight w:val="300"/>
          <w:jc w:val="center"/>
        </w:trPr>
        <w:tc>
          <w:tcPr>
            <w:tcW w:w="0" w:type="auto"/>
            <w:tcBorders>
              <w:top w:val="nil"/>
              <w:left w:val="single" w:sz="4" w:space="0" w:color="auto"/>
              <w:bottom w:val="nil"/>
              <w:right w:val="nil"/>
            </w:tcBorders>
            <w:noWrap/>
            <w:vAlign w:val="bottom"/>
            <w:hideMark/>
          </w:tcPr>
          <w:p w14:paraId="6552A9A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GAETA</w:t>
            </w:r>
          </w:p>
        </w:tc>
        <w:tc>
          <w:tcPr>
            <w:tcW w:w="0" w:type="auto"/>
            <w:tcBorders>
              <w:top w:val="nil"/>
              <w:left w:val="nil"/>
              <w:bottom w:val="nil"/>
              <w:right w:val="single" w:sz="4" w:space="0" w:color="auto"/>
            </w:tcBorders>
            <w:noWrap/>
            <w:vAlign w:val="bottom"/>
            <w:hideMark/>
          </w:tcPr>
          <w:p w14:paraId="2F43722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6ECC3C0" w14:textId="77777777" w:rsidTr="00CA749B">
        <w:trPr>
          <w:trHeight w:val="300"/>
          <w:jc w:val="center"/>
        </w:trPr>
        <w:tc>
          <w:tcPr>
            <w:tcW w:w="0" w:type="auto"/>
            <w:tcBorders>
              <w:top w:val="nil"/>
              <w:left w:val="single" w:sz="4" w:space="0" w:color="auto"/>
              <w:bottom w:val="nil"/>
              <w:right w:val="nil"/>
            </w:tcBorders>
            <w:noWrap/>
            <w:vAlign w:val="bottom"/>
            <w:hideMark/>
          </w:tcPr>
          <w:p w14:paraId="3DE3A0C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GALLIPOLI </w:t>
            </w:r>
          </w:p>
        </w:tc>
        <w:tc>
          <w:tcPr>
            <w:tcW w:w="0" w:type="auto"/>
            <w:tcBorders>
              <w:top w:val="nil"/>
              <w:left w:val="nil"/>
              <w:bottom w:val="nil"/>
              <w:right w:val="single" w:sz="4" w:space="0" w:color="auto"/>
            </w:tcBorders>
            <w:noWrap/>
            <w:vAlign w:val="bottom"/>
            <w:hideMark/>
          </w:tcPr>
          <w:p w14:paraId="609BDFF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066953D" w14:textId="77777777" w:rsidTr="00CA749B">
        <w:trPr>
          <w:trHeight w:val="300"/>
          <w:jc w:val="center"/>
        </w:trPr>
        <w:tc>
          <w:tcPr>
            <w:tcW w:w="0" w:type="auto"/>
            <w:tcBorders>
              <w:top w:val="nil"/>
              <w:left w:val="single" w:sz="4" w:space="0" w:color="auto"/>
              <w:bottom w:val="nil"/>
              <w:right w:val="nil"/>
            </w:tcBorders>
            <w:noWrap/>
            <w:vAlign w:val="bottom"/>
            <w:hideMark/>
          </w:tcPr>
          <w:p w14:paraId="541E8A9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GELA</w:t>
            </w:r>
          </w:p>
        </w:tc>
        <w:tc>
          <w:tcPr>
            <w:tcW w:w="0" w:type="auto"/>
            <w:tcBorders>
              <w:top w:val="nil"/>
              <w:left w:val="nil"/>
              <w:bottom w:val="nil"/>
              <w:right w:val="single" w:sz="4" w:space="0" w:color="auto"/>
            </w:tcBorders>
            <w:noWrap/>
            <w:vAlign w:val="bottom"/>
            <w:hideMark/>
          </w:tcPr>
          <w:p w14:paraId="32B7CE0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10F06AD2" w14:textId="77777777" w:rsidTr="00CA749B">
        <w:trPr>
          <w:trHeight w:val="300"/>
          <w:jc w:val="center"/>
        </w:trPr>
        <w:tc>
          <w:tcPr>
            <w:tcW w:w="0" w:type="auto"/>
            <w:tcBorders>
              <w:top w:val="nil"/>
              <w:left w:val="single" w:sz="4" w:space="0" w:color="auto"/>
              <w:bottom w:val="nil"/>
              <w:right w:val="nil"/>
            </w:tcBorders>
            <w:noWrap/>
            <w:vAlign w:val="bottom"/>
            <w:hideMark/>
          </w:tcPr>
          <w:p w14:paraId="0A782AB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GENOVA</w:t>
            </w:r>
          </w:p>
        </w:tc>
        <w:tc>
          <w:tcPr>
            <w:tcW w:w="0" w:type="auto"/>
            <w:tcBorders>
              <w:top w:val="nil"/>
              <w:left w:val="nil"/>
              <w:bottom w:val="nil"/>
              <w:right w:val="single" w:sz="4" w:space="0" w:color="auto"/>
            </w:tcBorders>
            <w:noWrap/>
            <w:vAlign w:val="bottom"/>
            <w:hideMark/>
          </w:tcPr>
          <w:p w14:paraId="3F0A807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75A56D7B" w14:textId="77777777" w:rsidTr="00CA749B">
        <w:trPr>
          <w:trHeight w:val="300"/>
          <w:jc w:val="center"/>
        </w:trPr>
        <w:tc>
          <w:tcPr>
            <w:tcW w:w="0" w:type="auto"/>
            <w:tcBorders>
              <w:top w:val="nil"/>
              <w:left w:val="single" w:sz="4" w:space="0" w:color="auto"/>
              <w:bottom w:val="nil"/>
              <w:right w:val="nil"/>
            </w:tcBorders>
            <w:noWrap/>
            <w:vAlign w:val="bottom"/>
            <w:hideMark/>
          </w:tcPr>
          <w:p w14:paraId="723EB63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GIOIA TAURO</w:t>
            </w:r>
          </w:p>
        </w:tc>
        <w:tc>
          <w:tcPr>
            <w:tcW w:w="0" w:type="auto"/>
            <w:tcBorders>
              <w:top w:val="nil"/>
              <w:left w:val="nil"/>
              <w:bottom w:val="nil"/>
              <w:right w:val="single" w:sz="4" w:space="0" w:color="auto"/>
            </w:tcBorders>
            <w:noWrap/>
            <w:vAlign w:val="bottom"/>
            <w:hideMark/>
          </w:tcPr>
          <w:p w14:paraId="6AE1DB4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EEFE5D9" w14:textId="77777777" w:rsidTr="00CA749B">
        <w:trPr>
          <w:trHeight w:val="300"/>
          <w:jc w:val="center"/>
        </w:trPr>
        <w:tc>
          <w:tcPr>
            <w:tcW w:w="0" w:type="auto"/>
            <w:tcBorders>
              <w:top w:val="nil"/>
              <w:left w:val="single" w:sz="4" w:space="0" w:color="auto"/>
              <w:bottom w:val="nil"/>
              <w:right w:val="nil"/>
            </w:tcBorders>
            <w:noWrap/>
            <w:vAlign w:val="bottom"/>
            <w:hideMark/>
          </w:tcPr>
          <w:p w14:paraId="6666074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GIULIANOVA</w:t>
            </w:r>
          </w:p>
        </w:tc>
        <w:tc>
          <w:tcPr>
            <w:tcW w:w="0" w:type="auto"/>
            <w:tcBorders>
              <w:top w:val="nil"/>
              <w:left w:val="nil"/>
              <w:bottom w:val="nil"/>
              <w:right w:val="single" w:sz="4" w:space="0" w:color="auto"/>
            </w:tcBorders>
            <w:noWrap/>
            <w:vAlign w:val="bottom"/>
            <w:hideMark/>
          </w:tcPr>
          <w:p w14:paraId="7332623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36E469ED" w14:textId="77777777" w:rsidTr="00CA749B">
        <w:trPr>
          <w:trHeight w:val="300"/>
          <w:jc w:val="center"/>
        </w:trPr>
        <w:tc>
          <w:tcPr>
            <w:tcW w:w="0" w:type="auto"/>
            <w:tcBorders>
              <w:top w:val="nil"/>
              <w:left w:val="single" w:sz="4" w:space="0" w:color="auto"/>
              <w:bottom w:val="nil"/>
              <w:right w:val="nil"/>
            </w:tcBorders>
            <w:noWrap/>
            <w:vAlign w:val="bottom"/>
            <w:hideMark/>
          </w:tcPr>
          <w:p w14:paraId="0451A37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GOLFO ARANCI</w:t>
            </w:r>
          </w:p>
        </w:tc>
        <w:tc>
          <w:tcPr>
            <w:tcW w:w="0" w:type="auto"/>
            <w:tcBorders>
              <w:top w:val="nil"/>
              <w:left w:val="nil"/>
              <w:bottom w:val="nil"/>
              <w:right w:val="single" w:sz="4" w:space="0" w:color="auto"/>
            </w:tcBorders>
            <w:noWrap/>
            <w:vAlign w:val="bottom"/>
            <w:hideMark/>
          </w:tcPr>
          <w:p w14:paraId="4AF8691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455E1DE9" w14:textId="77777777" w:rsidTr="00CA749B">
        <w:trPr>
          <w:trHeight w:val="300"/>
          <w:jc w:val="center"/>
        </w:trPr>
        <w:tc>
          <w:tcPr>
            <w:tcW w:w="0" w:type="auto"/>
            <w:tcBorders>
              <w:top w:val="nil"/>
              <w:left w:val="single" w:sz="4" w:space="0" w:color="auto"/>
              <w:bottom w:val="nil"/>
              <w:right w:val="nil"/>
            </w:tcBorders>
            <w:noWrap/>
            <w:vAlign w:val="bottom"/>
            <w:hideMark/>
          </w:tcPr>
          <w:p w14:paraId="73C0896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GRADO</w:t>
            </w:r>
          </w:p>
        </w:tc>
        <w:tc>
          <w:tcPr>
            <w:tcW w:w="0" w:type="auto"/>
            <w:tcBorders>
              <w:top w:val="nil"/>
              <w:left w:val="nil"/>
              <w:bottom w:val="nil"/>
              <w:right w:val="single" w:sz="4" w:space="0" w:color="auto"/>
            </w:tcBorders>
            <w:noWrap/>
            <w:vAlign w:val="bottom"/>
            <w:hideMark/>
          </w:tcPr>
          <w:p w14:paraId="3C6337B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837E726" w14:textId="77777777" w:rsidTr="00CA749B">
        <w:trPr>
          <w:trHeight w:val="300"/>
          <w:jc w:val="center"/>
        </w:trPr>
        <w:tc>
          <w:tcPr>
            <w:tcW w:w="0" w:type="auto"/>
            <w:tcBorders>
              <w:top w:val="nil"/>
              <w:left w:val="single" w:sz="4" w:space="0" w:color="auto"/>
              <w:bottom w:val="nil"/>
              <w:right w:val="nil"/>
            </w:tcBorders>
            <w:noWrap/>
            <w:vAlign w:val="bottom"/>
            <w:hideMark/>
          </w:tcPr>
          <w:p w14:paraId="46AE3BB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IMPERIA</w:t>
            </w:r>
          </w:p>
        </w:tc>
        <w:tc>
          <w:tcPr>
            <w:tcW w:w="0" w:type="auto"/>
            <w:tcBorders>
              <w:top w:val="nil"/>
              <w:left w:val="nil"/>
              <w:bottom w:val="nil"/>
              <w:right w:val="single" w:sz="4" w:space="0" w:color="auto"/>
            </w:tcBorders>
            <w:noWrap/>
            <w:vAlign w:val="bottom"/>
            <w:hideMark/>
          </w:tcPr>
          <w:p w14:paraId="25361E5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D3CCFF9" w14:textId="77777777" w:rsidTr="00CA749B">
        <w:trPr>
          <w:trHeight w:val="300"/>
          <w:jc w:val="center"/>
        </w:trPr>
        <w:tc>
          <w:tcPr>
            <w:tcW w:w="0" w:type="auto"/>
            <w:tcBorders>
              <w:top w:val="nil"/>
              <w:left w:val="single" w:sz="4" w:space="0" w:color="auto"/>
              <w:bottom w:val="nil"/>
              <w:right w:val="nil"/>
            </w:tcBorders>
            <w:noWrap/>
            <w:vAlign w:val="bottom"/>
            <w:hideMark/>
          </w:tcPr>
          <w:p w14:paraId="03AB5EF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ISCHIA</w:t>
            </w:r>
          </w:p>
        </w:tc>
        <w:tc>
          <w:tcPr>
            <w:tcW w:w="0" w:type="auto"/>
            <w:tcBorders>
              <w:top w:val="nil"/>
              <w:left w:val="nil"/>
              <w:bottom w:val="nil"/>
              <w:right w:val="single" w:sz="4" w:space="0" w:color="auto"/>
            </w:tcBorders>
            <w:noWrap/>
            <w:vAlign w:val="bottom"/>
            <w:hideMark/>
          </w:tcPr>
          <w:p w14:paraId="6067127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9256152" w14:textId="77777777" w:rsidTr="00CA749B">
        <w:trPr>
          <w:trHeight w:val="300"/>
          <w:jc w:val="center"/>
        </w:trPr>
        <w:tc>
          <w:tcPr>
            <w:tcW w:w="0" w:type="auto"/>
            <w:tcBorders>
              <w:top w:val="nil"/>
              <w:left w:val="single" w:sz="4" w:space="0" w:color="auto"/>
              <w:bottom w:val="nil"/>
              <w:right w:val="nil"/>
            </w:tcBorders>
            <w:noWrap/>
            <w:vAlign w:val="bottom"/>
            <w:hideMark/>
          </w:tcPr>
          <w:p w14:paraId="510374B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LA CALETTA DI SINISCOLA</w:t>
            </w:r>
          </w:p>
        </w:tc>
        <w:tc>
          <w:tcPr>
            <w:tcW w:w="0" w:type="auto"/>
            <w:tcBorders>
              <w:top w:val="nil"/>
              <w:left w:val="nil"/>
              <w:bottom w:val="nil"/>
              <w:right w:val="single" w:sz="4" w:space="0" w:color="auto"/>
            </w:tcBorders>
            <w:noWrap/>
            <w:vAlign w:val="bottom"/>
            <w:hideMark/>
          </w:tcPr>
          <w:p w14:paraId="0CA2B5C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10ACF215" w14:textId="77777777" w:rsidTr="00CA749B">
        <w:trPr>
          <w:trHeight w:val="300"/>
          <w:jc w:val="center"/>
        </w:trPr>
        <w:tc>
          <w:tcPr>
            <w:tcW w:w="0" w:type="auto"/>
            <w:tcBorders>
              <w:top w:val="nil"/>
              <w:left w:val="single" w:sz="4" w:space="0" w:color="auto"/>
              <w:bottom w:val="nil"/>
              <w:right w:val="nil"/>
            </w:tcBorders>
            <w:noWrap/>
            <w:vAlign w:val="bottom"/>
            <w:hideMark/>
          </w:tcPr>
          <w:p w14:paraId="0A137D8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LA MADDALENA</w:t>
            </w:r>
          </w:p>
        </w:tc>
        <w:tc>
          <w:tcPr>
            <w:tcW w:w="0" w:type="auto"/>
            <w:tcBorders>
              <w:top w:val="nil"/>
              <w:left w:val="nil"/>
              <w:bottom w:val="nil"/>
              <w:right w:val="single" w:sz="4" w:space="0" w:color="auto"/>
            </w:tcBorders>
            <w:noWrap/>
            <w:vAlign w:val="bottom"/>
            <w:hideMark/>
          </w:tcPr>
          <w:p w14:paraId="28C4603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4E187F2" w14:textId="77777777" w:rsidTr="00CA749B">
        <w:trPr>
          <w:trHeight w:val="300"/>
          <w:jc w:val="center"/>
        </w:trPr>
        <w:tc>
          <w:tcPr>
            <w:tcW w:w="0" w:type="auto"/>
            <w:tcBorders>
              <w:top w:val="nil"/>
              <w:left w:val="single" w:sz="4" w:space="0" w:color="auto"/>
              <w:bottom w:val="nil"/>
              <w:right w:val="nil"/>
            </w:tcBorders>
            <w:noWrap/>
            <w:vAlign w:val="bottom"/>
            <w:hideMark/>
          </w:tcPr>
          <w:p w14:paraId="55CFD50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LA SPEZIA</w:t>
            </w:r>
          </w:p>
        </w:tc>
        <w:tc>
          <w:tcPr>
            <w:tcW w:w="0" w:type="auto"/>
            <w:tcBorders>
              <w:top w:val="nil"/>
              <w:left w:val="nil"/>
              <w:bottom w:val="nil"/>
              <w:right w:val="single" w:sz="4" w:space="0" w:color="auto"/>
            </w:tcBorders>
            <w:noWrap/>
            <w:vAlign w:val="bottom"/>
            <w:hideMark/>
          </w:tcPr>
          <w:p w14:paraId="212BB59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70CDDFCA" w14:textId="77777777" w:rsidTr="00CA749B">
        <w:trPr>
          <w:trHeight w:val="300"/>
          <w:jc w:val="center"/>
        </w:trPr>
        <w:tc>
          <w:tcPr>
            <w:tcW w:w="0" w:type="auto"/>
            <w:tcBorders>
              <w:top w:val="nil"/>
              <w:left w:val="single" w:sz="4" w:space="0" w:color="auto"/>
              <w:bottom w:val="nil"/>
              <w:right w:val="nil"/>
            </w:tcBorders>
            <w:noWrap/>
            <w:vAlign w:val="bottom"/>
            <w:hideMark/>
          </w:tcPr>
          <w:p w14:paraId="7B29039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LAMPEDUSA</w:t>
            </w:r>
          </w:p>
        </w:tc>
        <w:tc>
          <w:tcPr>
            <w:tcW w:w="0" w:type="auto"/>
            <w:tcBorders>
              <w:top w:val="nil"/>
              <w:left w:val="nil"/>
              <w:bottom w:val="nil"/>
              <w:right w:val="single" w:sz="4" w:space="0" w:color="auto"/>
            </w:tcBorders>
            <w:noWrap/>
            <w:vAlign w:val="bottom"/>
            <w:hideMark/>
          </w:tcPr>
          <w:p w14:paraId="6F7B85E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7F52B440" w14:textId="77777777" w:rsidTr="00CA749B">
        <w:trPr>
          <w:trHeight w:val="300"/>
          <w:jc w:val="center"/>
        </w:trPr>
        <w:tc>
          <w:tcPr>
            <w:tcW w:w="0" w:type="auto"/>
            <w:tcBorders>
              <w:top w:val="nil"/>
              <w:left w:val="single" w:sz="4" w:space="0" w:color="auto"/>
              <w:bottom w:val="nil"/>
              <w:right w:val="nil"/>
            </w:tcBorders>
            <w:noWrap/>
            <w:vAlign w:val="bottom"/>
            <w:hideMark/>
          </w:tcPr>
          <w:p w14:paraId="250F2A9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LICATA</w:t>
            </w:r>
          </w:p>
        </w:tc>
        <w:tc>
          <w:tcPr>
            <w:tcW w:w="0" w:type="auto"/>
            <w:tcBorders>
              <w:top w:val="nil"/>
              <w:left w:val="nil"/>
              <w:bottom w:val="nil"/>
              <w:right w:val="single" w:sz="4" w:space="0" w:color="auto"/>
            </w:tcBorders>
            <w:noWrap/>
            <w:vAlign w:val="bottom"/>
            <w:hideMark/>
          </w:tcPr>
          <w:p w14:paraId="51E2A7F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389F7C89" w14:textId="77777777" w:rsidTr="00CA749B">
        <w:trPr>
          <w:trHeight w:val="300"/>
          <w:jc w:val="center"/>
        </w:trPr>
        <w:tc>
          <w:tcPr>
            <w:tcW w:w="0" w:type="auto"/>
            <w:tcBorders>
              <w:top w:val="nil"/>
              <w:left w:val="single" w:sz="4" w:space="0" w:color="auto"/>
              <w:bottom w:val="nil"/>
              <w:right w:val="nil"/>
            </w:tcBorders>
            <w:noWrap/>
            <w:vAlign w:val="bottom"/>
            <w:hideMark/>
          </w:tcPr>
          <w:p w14:paraId="22D9EF5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LIPARI</w:t>
            </w:r>
          </w:p>
        </w:tc>
        <w:tc>
          <w:tcPr>
            <w:tcW w:w="0" w:type="auto"/>
            <w:tcBorders>
              <w:top w:val="nil"/>
              <w:left w:val="nil"/>
              <w:bottom w:val="nil"/>
              <w:right w:val="single" w:sz="4" w:space="0" w:color="auto"/>
            </w:tcBorders>
            <w:noWrap/>
            <w:vAlign w:val="bottom"/>
            <w:hideMark/>
          </w:tcPr>
          <w:p w14:paraId="1DBEB7D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48956FEC" w14:textId="77777777" w:rsidTr="00CA749B">
        <w:trPr>
          <w:trHeight w:val="300"/>
          <w:jc w:val="center"/>
        </w:trPr>
        <w:tc>
          <w:tcPr>
            <w:tcW w:w="0" w:type="auto"/>
            <w:tcBorders>
              <w:top w:val="nil"/>
              <w:left w:val="single" w:sz="4" w:space="0" w:color="auto"/>
              <w:bottom w:val="nil"/>
              <w:right w:val="nil"/>
            </w:tcBorders>
            <w:noWrap/>
            <w:vAlign w:val="bottom"/>
            <w:hideMark/>
          </w:tcPr>
          <w:p w14:paraId="59796DE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LIVORNO</w:t>
            </w:r>
          </w:p>
        </w:tc>
        <w:tc>
          <w:tcPr>
            <w:tcW w:w="0" w:type="auto"/>
            <w:tcBorders>
              <w:top w:val="nil"/>
              <w:left w:val="nil"/>
              <w:bottom w:val="nil"/>
              <w:right w:val="single" w:sz="4" w:space="0" w:color="auto"/>
            </w:tcBorders>
            <w:noWrap/>
            <w:vAlign w:val="bottom"/>
            <w:hideMark/>
          </w:tcPr>
          <w:p w14:paraId="227A4AD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1CE60A0E" w14:textId="77777777" w:rsidTr="00CA749B">
        <w:trPr>
          <w:trHeight w:val="300"/>
          <w:jc w:val="center"/>
        </w:trPr>
        <w:tc>
          <w:tcPr>
            <w:tcW w:w="0" w:type="auto"/>
            <w:tcBorders>
              <w:top w:val="nil"/>
              <w:left w:val="single" w:sz="4" w:space="0" w:color="auto"/>
              <w:bottom w:val="nil"/>
              <w:right w:val="nil"/>
            </w:tcBorders>
            <w:noWrap/>
            <w:vAlign w:val="bottom"/>
            <w:hideMark/>
          </w:tcPr>
          <w:p w14:paraId="27F3807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LOANO</w:t>
            </w:r>
          </w:p>
        </w:tc>
        <w:tc>
          <w:tcPr>
            <w:tcW w:w="0" w:type="auto"/>
            <w:tcBorders>
              <w:top w:val="nil"/>
              <w:left w:val="nil"/>
              <w:bottom w:val="nil"/>
              <w:right w:val="single" w:sz="4" w:space="0" w:color="auto"/>
            </w:tcBorders>
            <w:noWrap/>
            <w:vAlign w:val="bottom"/>
            <w:hideMark/>
          </w:tcPr>
          <w:p w14:paraId="4393EC8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0893EABB" w14:textId="77777777" w:rsidTr="00CA749B">
        <w:trPr>
          <w:trHeight w:val="300"/>
          <w:jc w:val="center"/>
        </w:trPr>
        <w:tc>
          <w:tcPr>
            <w:tcW w:w="0" w:type="auto"/>
            <w:tcBorders>
              <w:top w:val="nil"/>
              <w:left w:val="single" w:sz="4" w:space="0" w:color="auto"/>
              <w:bottom w:val="nil"/>
              <w:right w:val="nil"/>
            </w:tcBorders>
            <w:noWrap/>
            <w:vAlign w:val="bottom"/>
            <w:hideMark/>
          </w:tcPr>
          <w:p w14:paraId="401C7D1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MANFREDONIA</w:t>
            </w:r>
          </w:p>
        </w:tc>
        <w:tc>
          <w:tcPr>
            <w:tcW w:w="0" w:type="auto"/>
            <w:tcBorders>
              <w:top w:val="nil"/>
              <w:left w:val="nil"/>
              <w:bottom w:val="nil"/>
              <w:right w:val="single" w:sz="4" w:space="0" w:color="auto"/>
            </w:tcBorders>
            <w:noWrap/>
            <w:vAlign w:val="bottom"/>
            <w:hideMark/>
          </w:tcPr>
          <w:p w14:paraId="1FF802E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C3EC42B" w14:textId="77777777" w:rsidTr="00CA749B">
        <w:trPr>
          <w:trHeight w:val="300"/>
          <w:jc w:val="center"/>
        </w:trPr>
        <w:tc>
          <w:tcPr>
            <w:tcW w:w="0" w:type="auto"/>
            <w:tcBorders>
              <w:top w:val="nil"/>
              <w:left w:val="single" w:sz="4" w:space="0" w:color="auto"/>
              <w:bottom w:val="nil"/>
              <w:right w:val="nil"/>
            </w:tcBorders>
            <w:noWrap/>
            <w:vAlign w:val="bottom"/>
            <w:hideMark/>
          </w:tcPr>
          <w:p w14:paraId="2DA0ABC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MARETTIMO</w:t>
            </w:r>
          </w:p>
        </w:tc>
        <w:tc>
          <w:tcPr>
            <w:tcW w:w="0" w:type="auto"/>
            <w:tcBorders>
              <w:top w:val="nil"/>
              <w:left w:val="nil"/>
              <w:bottom w:val="nil"/>
              <w:right w:val="single" w:sz="4" w:space="0" w:color="auto"/>
            </w:tcBorders>
            <w:noWrap/>
            <w:vAlign w:val="bottom"/>
            <w:hideMark/>
          </w:tcPr>
          <w:p w14:paraId="07E9B7D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13ABF1EB" w14:textId="77777777" w:rsidTr="00CA749B">
        <w:trPr>
          <w:trHeight w:val="300"/>
          <w:jc w:val="center"/>
        </w:trPr>
        <w:tc>
          <w:tcPr>
            <w:tcW w:w="0" w:type="auto"/>
            <w:tcBorders>
              <w:top w:val="nil"/>
              <w:left w:val="single" w:sz="4" w:space="0" w:color="auto"/>
              <w:bottom w:val="nil"/>
              <w:right w:val="nil"/>
            </w:tcBorders>
            <w:noWrap/>
            <w:vAlign w:val="bottom"/>
            <w:hideMark/>
          </w:tcPr>
          <w:p w14:paraId="7EF8724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MARINA DI CAMEROTA</w:t>
            </w:r>
          </w:p>
        </w:tc>
        <w:tc>
          <w:tcPr>
            <w:tcW w:w="0" w:type="auto"/>
            <w:tcBorders>
              <w:top w:val="nil"/>
              <w:left w:val="nil"/>
              <w:bottom w:val="nil"/>
              <w:right w:val="single" w:sz="4" w:space="0" w:color="auto"/>
            </w:tcBorders>
            <w:noWrap/>
            <w:vAlign w:val="bottom"/>
            <w:hideMark/>
          </w:tcPr>
          <w:p w14:paraId="1C44BA4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3F833E1E" w14:textId="77777777" w:rsidTr="00CA749B">
        <w:trPr>
          <w:trHeight w:val="300"/>
          <w:jc w:val="center"/>
        </w:trPr>
        <w:tc>
          <w:tcPr>
            <w:tcW w:w="0" w:type="auto"/>
            <w:tcBorders>
              <w:top w:val="nil"/>
              <w:left w:val="single" w:sz="4" w:space="0" w:color="auto"/>
              <w:bottom w:val="nil"/>
              <w:right w:val="nil"/>
            </w:tcBorders>
            <w:noWrap/>
            <w:vAlign w:val="bottom"/>
            <w:hideMark/>
          </w:tcPr>
          <w:p w14:paraId="466C84F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MARSALA</w:t>
            </w:r>
          </w:p>
        </w:tc>
        <w:tc>
          <w:tcPr>
            <w:tcW w:w="0" w:type="auto"/>
            <w:tcBorders>
              <w:top w:val="nil"/>
              <w:left w:val="nil"/>
              <w:bottom w:val="nil"/>
              <w:right w:val="single" w:sz="4" w:space="0" w:color="auto"/>
            </w:tcBorders>
            <w:noWrap/>
            <w:vAlign w:val="bottom"/>
            <w:hideMark/>
          </w:tcPr>
          <w:p w14:paraId="4C359AD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44300187" w14:textId="77777777" w:rsidTr="00CA749B">
        <w:trPr>
          <w:trHeight w:val="300"/>
          <w:jc w:val="center"/>
        </w:trPr>
        <w:tc>
          <w:tcPr>
            <w:tcW w:w="0" w:type="auto"/>
            <w:tcBorders>
              <w:top w:val="nil"/>
              <w:left w:val="single" w:sz="4" w:space="0" w:color="auto"/>
              <w:bottom w:val="nil"/>
              <w:right w:val="nil"/>
            </w:tcBorders>
            <w:noWrap/>
            <w:vAlign w:val="bottom"/>
            <w:hideMark/>
          </w:tcPr>
          <w:p w14:paraId="28F2EE5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MESSINA</w:t>
            </w:r>
          </w:p>
        </w:tc>
        <w:tc>
          <w:tcPr>
            <w:tcW w:w="0" w:type="auto"/>
            <w:tcBorders>
              <w:top w:val="nil"/>
              <w:left w:val="nil"/>
              <w:bottom w:val="nil"/>
              <w:right w:val="single" w:sz="4" w:space="0" w:color="auto"/>
            </w:tcBorders>
            <w:noWrap/>
            <w:vAlign w:val="bottom"/>
            <w:hideMark/>
          </w:tcPr>
          <w:p w14:paraId="0AADAF7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6535284" w14:textId="77777777" w:rsidTr="00CA749B">
        <w:trPr>
          <w:trHeight w:val="300"/>
          <w:jc w:val="center"/>
        </w:trPr>
        <w:tc>
          <w:tcPr>
            <w:tcW w:w="0" w:type="auto"/>
            <w:tcBorders>
              <w:top w:val="nil"/>
              <w:left w:val="single" w:sz="4" w:space="0" w:color="auto"/>
              <w:bottom w:val="nil"/>
              <w:right w:val="nil"/>
            </w:tcBorders>
            <w:noWrap/>
            <w:vAlign w:val="bottom"/>
            <w:hideMark/>
          </w:tcPr>
          <w:p w14:paraId="00B7677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MILAZZO</w:t>
            </w:r>
          </w:p>
        </w:tc>
        <w:tc>
          <w:tcPr>
            <w:tcW w:w="0" w:type="auto"/>
            <w:tcBorders>
              <w:top w:val="nil"/>
              <w:left w:val="nil"/>
              <w:bottom w:val="nil"/>
              <w:right w:val="single" w:sz="4" w:space="0" w:color="auto"/>
            </w:tcBorders>
            <w:noWrap/>
            <w:vAlign w:val="bottom"/>
            <w:hideMark/>
          </w:tcPr>
          <w:p w14:paraId="17092EC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821F563" w14:textId="77777777" w:rsidTr="00CA749B">
        <w:trPr>
          <w:trHeight w:val="300"/>
          <w:jc w:val="center"/>
        </w:trPr>
        <w:tc>
          <w:tcPr>
            <w:tcW w:w="0" w:type="auto"/>
            <w:tcBorders>
              <w:top w:val="nil"/>
              <w:left w:val="single" w:sz="4" w:space="0" w:color="auto"/>
              <w:bottom w:val="nil"/>
              <w:right w:val="nil"/>
            </w:tcBorders>
            <w:noWrap/>
            <w:vAlign w:val="bottom"/>
            <w:hideMark/>
          </w:tcPr>
          <w:p w14:paraId="5591845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MOLA DI BARI </w:t>
            </w:r>
          </w:p>
        </w:tc>
        <w:tc>
          <w:tcPr>
            <w:tcW w:w="0" w:type="auto"/>
            <w:tcBorders>
              <w:top w:val="nil"/>
              <w:left w:val="nil"/>
              <w:bottom w:val="nil"/>
              <w:right w:val="single" w:sz="4" w:space="0" w:color="auto"/>
            </w:tcBorders>
            <w:noWrap/>
            <w:vAlign w:val="bottom"/>
            <w:hideMark/>
          </w:tcPr>
          <w:p w14:paraId="4A8E821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142D77B" w14:textId="77777777" w:rsidTr="00CA749B">
        <w:trPr>
          <w:trHeight w:val="300"/>
          <w:jc w:val="center"/>
        </w:trPr>
        <w:tc>
          <w:tcPr>
            <w:tcW w:w="0" w:type="auto"/>
            <w:tcBorders>
              <w:top w:val="nil"/>
              <w:left w:val="single" w:sz="4" w:space="0" w:color="auto"/>
              <w:bottom w:val="nil"/>
              <w:right w:val="nil"/>
            </w:tcBorders>
            <w:noWrap/>
            <w:vAlign w:val="bottom"/>
            <w:hideMark/>
          </w:tcPr>
          <w:p w14:paraId="29CFBDE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MOLFETTA</w:t>
            </w:r>
          </w:p>
        </w:tc>
        <w:tc>
          <w:tcPr>
            <w:tcW w:w="0" w:type="auto"/>
            <w:tcBorders>
              <w:top w:val="nil"/>
              <w:left w:val="nil"/>
              <w:bottom w:val="nil"/>
              <w:right w:val="single" w:sz="4" w:space="0" w:color="auto"/>
            </w:tcBorders>
            <w:noWrap/>
            <w:vAlign w:val="bottom"/>
            <w:hideMark/>
          </w:tcPr>
          <w:p w14:paraId="21B5A9E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1065A859" w14:textId="77777777" w:rsidTr="00CA749B">
        <w:trPr>
          <w:trHeight w:val="300"/>
          <w:jc w:val="center"/>
        </w:trPr>
        <w:tc>
          <w:tcPr>
            <w:tcW w:w="0" w:type="auto"/>
            <w:tcBorders>
              <w:top w:val="nil"/>
              <w:left w:val="single" w:sz="4" w:space="0" w:color="auto"/>
              <w:bottom w:val="nil"/>
              <w:right w:val="nil"/>
            </w:tcBorders>
            <w:noWrap/>
            <w:vAlign w:val="bottom"/>
            <w:hideMark/>
          </w:tcPr>
          <w:p w14:paraId="0C51731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MONOPOLI</w:t>
            </w:r>
          </w:p>
        </w:tc>
        <w:tc>
          <w:tcPr>
            <w:tcW w:w="0" w:type="auto"/>
            <w:tcBorders>
              <w:top w:val="nil"/>
              <w:left w:val="nil"/>
              <w:bottom w:val="nil"/>
              <w:right w:val="single" w:sz="4" w:space="0" w:color="auto"/>
            </w:tcBorders>
            <w:noWrap/>
            <w:vAlign w:val="bottom"/>
            <w:hideMark/>
          </w:tcPr>
          <w:p w14:paraId="2BB9C27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07F5DC9A" w14:textId="77777777" w:rsidTr="00CA749B">
        <w:trPr>
          <w:trHeight w:val="300"/>
          <w:jc w:val="center"/>
        </w:trPr>
        <w:tc>
          <w:tcPr>
            <w:tcW w:w="0" w:type="auto"/>
            <w:tcBorders>
              <w:top w:val="nil"/>
              <w:left w:val="single" w:sz="4" w:space="0" w:color="auto"/>
              <w:bottom w:val="nil"/>
              <w:right w:val="nil"/>
            </w:tcBorders>
            <w:noWrap/>
            <w:vAlign w:val="bottom"/>
            <w:hideMark/>
          </w:tcPr>
          <w:p w14:paraId="26F8076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MONTEROSSO</w:t>
            </w:r>
          </w:p>
        </w:tc>
        <w:tc>
          <w:tcPr>
            <w:tcW w:w="0" w:type="auto"/>
            <w:tcBorders>
              <w:top w:val="nil"/>
              <w:left w:val="nil"/>
              <w:bottom w:val="nil"/>
              <w:right w:val="single" w:sz="4" w:space="0" w:color="auto"/>
            </w:tcBorders>
            <w:noWrap/>
            <w:vAlign w:val="bottom"/>
            <w:hideMark/>
          </w:tcPr>
          <w:p w14:paraId="144075D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784421A5" w14:textId="77777777" w:rsidTr="00CA749B">
        <w:trPr>
          <w:trHeight w:val="300"/>
          <w:jc w:val="center"/>
        </w:trPr>
        <w:tc>
          <w:tcPr>
            <w:tcW w:w="0" w:type="auto"/>
            <w:tcBorders>
              <w:top w:val="nil"/>
              <w:left w:val="single" w:sz="4" w:space="0" w:color="auto"/>
              <w:bottom w:val="nil"/>
              <w:right w:val="nil"/>
            </w:tcBorders>
            <w:noWrap/>
            <w:vAlign w:val="bottom"/>
            <w:hideMark/>
          </w:tcPr>
          <w:p w14:paraId="7E1CC07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NAPOLI</w:t>
            </w:r>
          </w:p>
        </w:tc>
        <w:tc>
          <w:tcPr>
            <w:tcW w:w="0" w:type="auto"/>
            <w:tcBorders>
              <w:top w:val="nil"/>
              <w:left w:val="nil"/>
              <w:bottom w:val="nil"/>
              <w:right w:val="single" w:sz="4" w:space="0" w:color="auto"/>
            </w:tcBorders>
            <w:noWrap/>
            <w:vAlign w:val="bottom"/>
            <w:hideMark/>
          </w:tcPr>
          <w:p w14:paraId="3010316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46A09973" w14:textId="77777777" w:rsidTr="00CA749B">
        <w:trPr>
          <w:trHeight w:val="300"/>
          <w:jc w:val="center"/>
        </w:trPr>
        <w:tc>
          <w:tcPr>
            <w:tcW w:w="0" w:type="auto"/>
            <w:tcBorders>
              <w:top w:val="nil"/>
              <w:left w:val="single" w:sz="4" w:space="0" w:color="auto"/>
              <w:bottom w:val="nil"/>
              <w:right w:val="nil"/>
            </w:tcBorders>
            <w:noWrap/>
            <w:vAlign w:val="bottom"/>
            <w:hideMark/>
          </w:tcPr>
          <w:p w14:paraId="68CB9FF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OLBIA</w:t>
            </w:r>
          </w:p>
        </w:tc>
        <w:tc>
          <w:tcPr>
            <w:tcW w:w="0" w:type="auto"/>
            <w:tcBorders>
              <w:top w:val="nil"/>
              <w:left w:val="nil"/>
              <w:bottom w:val="nil"/>
              <w:right w:val="single" w:sz="4" w:space="0" w:color="auto"/>
            </w:tcBorders>
            <w:noWrap/>
            <w:vAlign w:val="bottom"/>
            <w:hideMark/>
          </w:tcPr>
          <w:p w14:paraId="66C5A03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066C9AE9" w14:textId="77777777" w:rsidTr="00CA749B">
        <w:trPr>
          <w:trHeight w:val="300"/>
          <w:jc w:val="center"/>
        </w:trPr>
        <w:tc>
          <w:tcPr>
            <w:tcW w:w="0" w:type="auto"/>
            <w:tcBorders>
              <w:top w:val="nil"/>
              <w:left w:val="single" w:sz="4" w:space="0" w:color="auto"/>
              <w:bottom w:val="nil"/>
              <w:right w:val="nil"/>
            </w:tcBorders>
            <w:noWrap/>
            <w:vAlign w:val="bottom"/>
            <w:hideMark/>
          </w:tcPr>
          <w:p w14:paraId="1A2BBC7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ORISTANO</w:t>
            </w:r>
          </w:p>
        </w:tc>
        <w:tc>
          <w:tcPr>
            <w:tcW w:w="0" w:type="auto"/>
            <w:tcBorders>
              <w:top w:val="nil"/>
              <w:left w:val="nil"/>
              <w:bottom w:val="nil"/>
              <w:right w:val="single" w:sz="4" w:space="0" w:color="auto"/>
            </w:tcBorders>
            <w:noWrap/>
            <w:vAlign w:val="bottom"/>
            <w:hideMark/>
          </w:tcPr>
          <w:p w14:paraId="1AE9624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0D8B2504" w14:textId="77777777" w:rsidTr="00CA749B">
        <w:trPr>
          <w:trHeight w:val="300"/>
          <w:jc w:val="center"/>
        </w:trPr>
        <w:tc>
          <w:tcPr>
            <w:tcW w:w="0" w:type="auto"/>
            <w:tcBorders>
              <w:top w:val="nil"/>
              <w:left w:val="single" w:sz="4" w:space="0" w:color="auto"/>
              <w:bottom w:val="nil"/>
              <w:right w:val="nil"/>
            </w:tcBorders>
            <w:noWrap/>
            <w:vAlign w:val="bottom"/>
            <w:hideMark/>
          </w:tcPr>
          <w:p w14:paraId="0F7F90F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ORTONA</w:t>
            </w:r>
          </w:p>
        </w:tc>
        <w:tc>
          <w:tcPr>
            <w:tcW w:w="0" w:type="auto"/>
            <w:tcBorders>
              <w:top w:val="nil"/>
              <w:left w:val="nil"/>
              <w:bottom w:val="nil"/>
              <w:right w:val="single" w:sz="4" w:space="0" w:color="auto"/>
            </w:tcBorders>
            <w:noWrap/>
            <w:vAlign w:val="bottom"/>
            <w:hideMark/>
          </w:tcPr>
          <w:p w14:paraId="2BE8658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4C205AC" w14:textId="77777777" w:rsidTr="00CA749B">
        <w:trPr>
          <w:trHeight w:val="300"/>
          <w:jc w:val="center"/>
        </w:trPr>
        <w:tc>
          <w:tcPr>
            <w:tcW w:w="0" w:type="auto"/>
            <w:tcBorders>
              <w:top w:val="nil"/>
              <w:left w:val="single" w:sz="4" w:space="0" w:color="auto"/>
              <w:bottom w:val="nil"/>
              <w:right w:val="nil"/>
            </w:tcBorders>
            <w:noWrap/>
            <w:vAlign w:val="bottom"/>
            <w:hideMark/>
          </w:tcPr>
          <w:p w14:paraId="2E17B67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OTRANTO</w:t>
            </w:r>
          </w:p>
        </w:tc>
        <w:tc>
          <w:tcPr>
            <w:tcW w:w="0" w:type="auto"/>
            <w:tcBorders>
              <w:top w:val="nil"/>
              <w:left w:val="nil"/>
              <w:bottom w:val="nil"/>
              <w:right w:val="single" w:sz="4" w:space="0" w:color="auto"/>
            </w:tcBorders>
            <w:noWrap/>
            <w:vAlign w:val="bottom"/>
            <w:hideMark/>
          </w:tcPr>
          <w:p w14:paraId="5EBEB21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36A36FB3" w14:textId="77777777" w:rsidTr="00CA749B">
        <w:trPr>
          <w:trHeight w:val="300"/>
          <w:jc w:val="center"/>
        </w:trPr>
        <w:tc>
          <w:tcPr>
            <w:tcW w:w="0" w:type="auto"/>
            <w:tcBorders>
              <w:top w:val="nil"/>
              <w:left w:val="single" w:sz="4" w:space="0" w:color="auto"/>
              <w:bottom w:val="nil"/>
              <w:right w:val="nil"/>
            </w:tcBorders>
            <w:noWrap/>
            <w:vAlign w:val="bottom"/>
            <w:hideMark/>
          </w:tcPr>
          <w:p w14:paraId="32608CF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PALERMO</w:t>
            </w:r>
          </w:p>
        </w:tc>
        <w:tc>
          <w:tcPr>
            <w:tcW w:w="0" w:type="auto"/>
            <w:tcBorders>
              <w:top w:val="nil"/>
              <w:left w:val="nil"/>
              <w:bottom w:val="nil"/>
              <w:right w:val="single" w:sz="4" w:space="0" w:color="auto"/>
            </w:tcBorders>
            <w:noWrap/>
            <w:vAlign w:val="bottom"/>
            <w:hideMark/>
          </w:tcPr>
          <w:p w14:paraId="3D0CFF1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48AE4352" w14:textId="77777777" w:rsidTr="00CA749B">
        <w:trPr>
          <w:trHeight w:val="300"/>
          <w:jc w:val="center"/>
        </w:trPr>
        <w:tc>
          <w:tcPr>
            <w:tcW w:w="0" w:type="auto"/>
            <w:tcBorders>
              <w:top w:val="nil"/>
              <w:left w:val="single" w:sz="4" w:space="0" w:color="auto"/>
              <w:bottom w:val="nil"/>
              <w:right w:val="nil"/>
            </w:tcBorders>
            <w:noWrap/>
            <w:vAlign w:val="bottom"/>
            <w:hideMark/>
          </w:tcPr>
          <w:p w14:paraId="3700E50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PANTELLERIA</w:t>
            </w:r>
          </w:p>
        </w:tc>
        <w:tc>
          <w:tcPr>
            <w:tcW w:w="0" w:type="auto"/>
            <w:tcBorders>
              <w:top w:val="nil"/>
              <w:left w:val="nil"/>
              <w:bottom w:val="nil"/>
              <w:right w:val="single" w:sz="4" w:space="0" w:color="auto"/>
            </w:tcBorders>
            <w:noWrap/>
            <w:vAlign w:val="bottom"/>
            <w:hideMark/>
          </w:tcPr>
          <w:p w14:paraId="385FA79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0D124D07" w14:textId="77777777" w:rsidTr="00CA749B">
        <w:trPr>
          <w:trHeight w:val="300"/>
          <w:jc w:val="center"/>
        </w:trPr>
        <w:tc>
          <w:tcPr>
            <w:tcW w:w="0" w:type="auto"/>
            <w:tcBorders>
              <w:top w:val="nil"/>
              <w:left w:val="single" w:sz="4" w:space="0" w:color="auto"/>
              <w:bottom w:val="nil"/>
              <w:right w:val="nil"/>
            </w:tcBorders>
            <w:noWrap/>
            <w:vAlign w:val="bottom"/>
            <w:hideMark/>
          </w:tcPr>
          <w:p w14:paraId="6059825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PESARO</w:t>
            </w:r>
          </w:p>
        </w:tc>
        <w:tc>
          <w:tcPr>
            <w:tcW w:w="0" w:type="auto"/>
            <w:tcBorders>
              <w:top w:val="nil"/>
              <w:left w:val="nil"/>
              <w:bottom w:val="nil"/>
              <w:right w:val="single" w:sz="4" w:space="0" w:color="auto"/>
            </w:tcBorders>
            <w:noWrap/>
            <w:vAlign w:val="bottom"/>
            <w:hideMark/>
          </w:tcPr>
          <w:p w14:paraId="64EA56D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1D3A36C" w14:textId="77777777" w:rsidTr="00CA749B">
        <w:trPr>
          <w:trHeight w:val="300"/>
          <w:jc w:val="center"/>
        </w:trPr>
        <w:tc>
          <w:tcPr>
            <w:tcW w:w="0" w:type="auto"/>
            <w:tcBorders>
              <w:top w:val="nil"/>
              <w:left w:val="single" w:sz="4" w:space="0" w:color="auto"/>
              <w:bottom w:val="nil"/>
              <w:right w:val="nil"/>
            </w:tcBorders>
            <w:noWrap/>
            <w:vAlign w:val="bottom"/>
            <w:hideMark/>
          </w:tcPr>
          <w:p w14:paraId="1221ADA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PESCARA</w:t>
            </w:r>
          </w:p>
        </w:tc>
        <w:tc>
          <w:tcPr>
            <w:tcW w:w="0" w:type="auto"/>
            <w:tcBorders>
              <w:top w:val="nil"/>
              <w:left w:val="nil"/>
              <w:bottom w:val="nil"/>
              <w:right w:val="single" w:sz="4" w:space="0" w:color="auto"/>
            </w:tcBorders>
            <w:noWrap/>
            <w:vAlign w:val="bottom"/>
            <w:hideMark/>
          </w:tcPr>
          <w:p w14:paraId="310EDA2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742230DA" w14:textId="77777777" w:rsidTr="00CA749B">
        <w:trPr>
          <w:trHeight w:val="300"/>
          <w:jc w:val="center"/>
        </w:trPr>
        <w:tc>
          <w:tcPr>
            <w:tcW w:w="0" w:type="auto"/>
            <w:tcBorders>
              <w:top w:val="nil"/>
              <w:left w:val="single" w:sz="4" w:space="0" w:color="auto"/>
              <w:bottom w:val="nil"/>
              <w:right w:val="nil"/>
            </w:tcBorders>
            <w:noWrap/>
            <w:vAlign w:val="bottom"/>
            <w:hideMark/>
          </w:tcPr>
          <w:p w14:paraId="4F3121E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PILA DI PORTO TOLLE</w:t>
            </w:r>
          </w:p>
        </w:tc>
        <w:tc>
          <w:tcPr>
            <w:tcW w:w="0" w:type="auto"/>
            <w:tcBorders>
              <w:top w:val="nil"/>
              <w:left w:val="nil"/>
              <w:bottom w:val="nil"/>
              <w:right w:val="single" w:sz="4" w:space="0" w:color="auto"/>
            </w:tcBorders>
            <w:noWrap/>
            <w:vAlign w:val="bottom"/>
            <w:hideMark/>
          </w:tcPr>
          <w:p w14:paraId="2AED7EB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3FF3C72B" w14:textId="77777777" w:rsidTr="00CA749B">
        <w:trPr>
          <w:trHeight w:val="300"/>
          <w:jc w:val="center"/>
        </w:trPr>
        <w:tc>
          <w:tcPr>
            <w:tcW w:w="0" w:type="auto"/>
            <w:tcBorders>
              <w:top w:val="nil"/>
              <w:left w:val="single" w:sz="4" w:space="0" w:color="auto"/>
              <w:bottom w:val="nil"/>
              <w:right w:val="nil"/>
            </w:tcBorders>
            <w:noWrap/>
            <w:vAlign w:val="bottom"/>
            <w:hideMark/>
          </w:tcPr>
          <w:p w14:paraId="5EB9124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PONZA</w:t>
            </w:r>
          </w:p>
        </w:tc>
        <w:tc>
          <w:tcPr>
            <w:tcW w:w="0" w:type="auto"/>
            <w:tcBorders>
              <w:top w:val="nil"/>
              <w:left w:val="nil"/>
              <w:bottom w:val="nil"/>
              <w:right w:val="single" w:sz="4" w:space="0" w:color="auto"/>
            </w:tcBorders>
            <w:noWrap/>
            <w:vAlign w:val="bottom"/>
            <w:hideMark/>
          </w:tcPr>
          <w:p w14:paraId="7CFE399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0A122F39" w14:textId="77777777" w:rsidTr="00CA749B">
        <w:trPr>
          <w:trHeight w:val="300"/>
          <w:jc w:val="center"/>
        </w:trPr>
        <w:tc>
          <w:tcPr>
            <w:tcW w:w="0" w:type="auto"/>
            <w:tcBorders>
              <w:top w:val="nil"/>
              <w:left w:val="single" w:sz="4" w:space="0" w:color="auto"/>
              <w:bottom w:val="nil"/>
              <w:right w:val="nil"/>
            </w:tcBorders>
            <w:noWrap/>
            <w:vAlign w:val="bottom"/>
            <w:hideMark/>
          </w:tcPr>
          <w:p w14:paraId="062CA5C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PORTICELLO</w:t>
            </w:r>
          </w:p>
        </w:tc>
        <w:tc>
          <w:tcPr>
            <w:tcW w:w="0" w:type="auto"/>
            <w:tcBorders>
              <w:top w:val="nil"/>
              <w:left w:val="nil"/>
              <w:bottom w:val="nil"/>
              <w:right w:val="single" w:sz="4" w:space="0" w:color="auto"/>
            </w:tcBorders>
            <w:noWrap/>
            <w:vAlign w:val="bottom"/>
            <w:hideMark/>
          </w:tcPr>
          <w:p w14:paraId="79DF642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D19A30E" w14:textId="77777777" w:rsidTr="00CA749B">
        <w:trPr>
          <w:trHeight w:val="300"/>
          <w:jc w:val="center"/>
        </w:trPr>
        <w:tc>
          <w:tcPr>
            <w:tcW w:w="0" w:type="auto"/>
            <w:tcBorders>
              <w:top w:val="nil"/>
              <w:left w:val="single" w:sz="4" w:space="0" w:color="auto"/>
              <w:bottom w:val="nil"/>
              <w:right w:val="nil"/>
            </w:tcBorders>
            <w:noWrap/>
            <w:vAlign w:val="bottom"/>
            <w:hideMark/>
          </w:tcPr>
          <w:p w14:paraId="76AA455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PORTO CESAREO</w:t>
            </w:r>
          </w:p>
        </w:tc>
        <w:tc>
          <w:tcPr>
            <w:tcW w:w="0" w:type="auto"/>
            <w:tcBorders>
              <w:top w:val="nil"/>
              <w:left w:val="nil"/>
              <w:bottom w:val="nil"/>
              <w:right w:val="single" w:sz="4" w:space="0" w:color="auto"/>
            </w:tcBorders>
            <w:noWrap/>
            <w:vAlign w:val="bottom"/>
            <w:hideMark/>
          </w:tcPr>
          <w:p w14:paraId="7D331E2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8C2C031" w14:textId="77777777" w:rsidTr="00CA749B">
        <w:trPr>
          <w:trHeight w:val="300"/>
          <w:jc w:val="center"/>
        </w:trPr>
        <w:tc>
          <w:tcPr>
            <w:tcW w:w="0" w:type="auto"/>
            <w:tcBorders>
              <w:top w:val="nil"/>
              <w:left w:val="single" w:sz="4" w:space="0" w:color="auto"/>
              <w:bottom w:val="nil"/>
              <w:right w:val="nil"/>
            </w:tcBorders>
            <w:noWrap/>
            <w:vAlign w:val="bottom"/>
            <w:hideMark/>
          </w:tcPr>
          <w:p w14:paraId="4B91098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PORTO EMPEDOCLE</w:t>
            </w:r>
          </w:p>
        </w:tc>
        <w:tc>
          <w:tcPr>
            <w:tcW w:w="0" w:type="auto"/>
            <w:tcBorders>
              <w:top w:val="nil"/>
              <w:left w:val="nil"/>
              <w:bottom w:val="nil"/>
              <w:right w:val="single" w:sz="4" w:space="0" w:color="auto"/>
            </w:tcBorders>
            <w:noWrap/>
            <w:vAlign w:val="bottom"/>
            <w:hideMark/>
          </w:tcPr>
          <w:p w14:paraId="162872A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D0EE9D4" w14:textId="77777777" w:rsidTr="00CA749B">
        <w:trPr>
          <w:trHeight w:val="300"/>
          <w:jc w:val="center"/>
        </w:trPr>
        <w:tc>
          <w:tcPr>
            <w:tcW w:w="0" w:type="auto"/>
            <w:tcBorders>
              <w:top w:val="nil"/>
              <w:left w:val="single" w:sz="4" w:space="0" w:color="auto"/>
              <w:bottom w:val="nil"/>
              <w:right w:val="nil"/>
            </w:tcBorders>
            <w:noWrap/>
            <w:vAlign w:val="bottom"/>
            <w:hideMark/>
          </w:tcPr>
          <w:p w14:paraId="5253DDA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PORTO GARIBALDI</w:t>
            </w:r>
          </w:p>
        </w:tc>
        <w:tc>
          <w:tcPr>
            <w:tcW w:w="0" w:type="auto"/>
            <w:tcBorders>
              <w:top w:val="nil"/>
              <w:left w:val="nil"/>
              <w:bottom w:val="nil"/>
              <w:right w:val="single" w:sz="4" w:space="0" w:color="auto"/>
            </w:tcBorders>
            <w:noWrap/>
            <w:vAlign w:val="bottom"/>
            <w:hideMark/>
          </w:tcPr>
          <w:p w14:paraId="766A74C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75E70589" w14:textId="77777777" w:rsidTr="00CA749B">
        <w:trPr>
          <w:trHeight w:val="300"/>
          <w:jc w:val="center"/>
        </w:trPr>
        <w:tc>
          <w:tcPr>
            <w:tcW w:w="0" w:type="auto"/>
            <w:tcBorders>
              <w:top w:val="nil"/>
              <w:left w:val="single" w:sz="4" w:space="0" w:color="auto"/>
              <w:bottom w:val="nil"/>
              <w:right w:val="nil"/>
            </w:tcBorders>
            <w:noWrap/>
            <w:vAlign w:val="bottom"/>
            <w:hideMark/>
          </w:tcPr>
          <w:p w14:paraId="702D6DD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PORTO S. GIORGIO</w:t>
            </w:r>
          </w:p>
        </w:tc>
        <w:tc>
          <w:tcPr>
            <w:tcW w:w="0" w:type="auto"/>
            <w:tcBorders>
              <w:top w:val="nil"/>
              <w:left w:val="nil"/>
              <w:bottom w:val="nil"/>
              <w:right w:val="single" w:sz="4" w:space="0" w:color="auto"/>
            </w:tcBorders>
            <w:noWrap/>
            <w:vAlign w:val="bottom"/>
            <w:hideMark/>
          </w:tcPr>
          <w:p w14:paraId="19DAB1E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1897DDAC" w14:textId="77777777" w:rsidTr="00CA749B">
        <w:trPr>
          <w:trHeight w:val="300"/>
          <w:jc w:val="center"/>
        </w:trPr>
        <w:tc>
          <w:tcPr>
            <w:tcW w:w="0" w:type="auto"/>
            <w:tcBorders>
              <w:top w:val="nil"/>
              <w:left w:val="single" w:sz="4" w:space="0" w:color="auto"/>
              <w:bottom w:val="nil"/>
              <w:right w:val="nil"/>
            </w:tcBorders>
            <w:noWrap/>
            <w:vAlign w:val="bottom"/>
            <w:hideMark/>
          </w:tcPr>
          <w:p w14:paraId="3ACC623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PORTO SANTO STEFANO</w:t>
            </w:r>
          </w:p>
        </w:tc>
        <w:tc>
          <w:tcPr>
            <w:tcW w:w="0" w:type="auto"/>
            <w:tcBorders>
              <w:top w:val="nil"/>
              <w:left w:val="nil"/>
              <w:bottom w:val="nil"/>
              <w:right w:val="single" w:sz="4" w:space="0" w:color="auto"/>
            </w:tcBorders>
            <w:noWrap/>
            <w:vAlign w:val="bottom"/>
            <w:hideMark/>
          </w:tcPr>
          <w:p w14:paraId="4DDFAA5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68303C1" w14:textId="77777777" w:rsidTr="00CA749B">
        <w:trPr>
          <w:trHeight w:val="300"/>
          <w:jc w:val="center"/>
        </w:trPr>
        <w:tc>
          <w:tcPr>
            <w:tcW w:w="0" w:type="auto"/>
            <w:tcBorders>
              <w:top w:val="nil"/>
              <w:left w:val="single" w:sz="4" w:space="0" w:color="auto"/>
              <w:bottom w:val="nil"/>
              <w:right w:val="nil"/>
            </w:tcBorders>
            <w:noWrap/>
            <w:vAlign w:val="bottom"/>
            <w:hideMark/>
          </w:tcPr>
          <w:p w14:paraId="151FDD3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PORTO TORRES</w:t>
            </w:r>
          </w:p>
        </w:tc>
        <w:tc>
          <w:tcPr>
            <w:tcW w:w="0" w:type="auto"/>
            <w:tcBorders>
              <w:top w:val="nil"/>
              <w:left w:val="nil"/>
              <w:bottom w:val="nil"/>
              <w:right w:val="single" w:sz="4" w:space="0" w:color="auto"/>
            </w:tcBorders>
            <w:noWrap/>
            <w:vAlign w:val="bottom"/>
            <w:hideMark/>
          </w:tcPr>
          <w:p w14:paraId="02753BC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37660C4D" w14:textId="77777777" w:rsidTr="00CA749B">
        <w:trPr>
          <w:trHeight w:val="300"/>
          <w:jc w:val="center"/>
        </w:trPr>
        <w:tc>
          <w:tcPr>
            <w:tcW w:w="0" w:type="auto"/>
            <w:tcBorders>
              <w:top w:val="nil"/>
              <w:left w:val="single" w:sz="4" w:space="0" w:color="auto"/>
              <w:bottom w:val="nil"/>
              <w:right w:val="nil"/>
            </w:tcBorders>
            <w:noWrap/>
            <w:vAlign w:val="bottom"/>
            <w:hideMark/>
          </w:tcPr>
          <w:p w14:paraId="4B33E16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PORTOFERRAIO</w:t>
            </w:r>
          </w:p>
        </w:tc>
        <w:tc>
          <w:tcPr>
            <w:tcW w:w="0" w:type="auto"/>
            <w:tcBorders>
              <w:top w:val="nil"/>
              <w:left w:val="nil"/>
              <w:bottom w:val="nil"/>
              <w:right w:val="single" w:sz="4" w:space="0" w:color="auto"/>
            </w:tcBorders>
            <w:noWrap/>
            <w:vAlign w:val="bottom"/>
            <w:hideMark/>
          </w:tcPr>
          <w:p w14:paraId="2059FDB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6EE64A8" w14:textId="77777777" w:rsidTr="00CA749B">
        <w:trPr>
          <w:trHeight w:val="300"/>
          <w:jc w:val="center"/>
        </w:trPr>
        <w:tc>
          <w:tcPr>
            <w:tcW w:w="0" w:type="auto"/>
            <w:tcBorders>
              <w:top w:val="nil"/>
              <w:left w:val="single" w:sz="4" w:space="0" w:color="auto"/>
              <w:bottom w:val="nil"/>
              <w:right w:val="nil"/>
            </w:tcBorders>
            <w:noWrap/>
            <w:vAlign w:val="bottom"/>
            <w:hideMark/>
          </w:tcPr>
          <w:p w14:paraId="60F2A4C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PORTOFINO</w:t>
            </w:r>
          </w:p>
        </w:tc>
        <w:tc>
          <w:tcPr>
            <w:tcW w:w="0" w:type="auto"/>
            <w:tcBorders>
              <w:top w:val="nil"/>
              <w:left w:val="nil"/>
              <w:bottom w:val="nil"/>
              <w:right w:val="single" w:sz="4" w:space="0" w:color="auto"/>
            </w:tcBorders>
            <w:noWrap/>
            <w:vAlign w:val="bottom"/>
            <w:hideMark/>
          </w:tcPr>
          <w:p w14:paraId="57A7AEE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7A1FEF57" w14:textId="77777777" w:rsidTr="00CA749B">
        <w:trPr>
          <w:trHeight w:val="300"/>
          <w:jc w:val="center"/>
        </w:trPr>
        <w:tc>
          <w:tcPr>
            <w:tcW w:w="0" w:type="auto"/>
            <w:tcBorders>
              <w:top w:val="nil"/>
              <w:left w:val="single" w:sz="4" w:space="0" w:color="auto"/>
              <w:bottom w:val="nil"/>
              <w:right w:val="nil"/>
            </w:tcBorders>
            <w:noWrap/>
            <w:vAlign w:val="bottom"/>
            <w:hideMark/>
          </w:tcPr>
          <w:p w14:paraId="1298617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PORTOPALO DI CAPO PASSERO</w:t>
            </w:r>
          </w:p>
        </w:tc>
        <w:tc>
          <w:tcPr>
            <w:tcW w:w="0" w:type="auto"/>
            <w:tcBorders>
              <w:top w:val="nil"/>
              <w:left w:val="nil"/>
              <w:bottom w:val="nil"/>
              <w:right w:val="single" w:sz="4" w:space="0" w:color="auto"/>
            </w:tcBorders>
            <w:noWrap/>
            <w:vAlign w:val="bottom"/>
            <w:hideMark/>
          </w:tcPr>
          <w:p w14:paraId="7ADFE34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B2622FC" w14:textId="77777777" w:rsidTr="00CA749B">
        <w:trPr>
          <w:trHeight w:val="300"/>
          <w:jc w:val="center"/>
        </w:trPr>
        <w:tc>
          <w:tcPr>
            <w:tcW w:w="0" w:type="auto"/>
            <w:tcBorders>
              <w:top w:val="nil"/>
              <w:left w:val="single" w:sz="4" w:space="0" w:color="auto"/>
              <w:bottom w:val="nil"/>
              <w:right w:val="nil"/>
            </w:tcBorders>
            <w:noWrap/>
            <w:vAlign w:val="bottom"/>
            <w:hideMark/>
          </w:tcPr>
          <w:p w14:paraId="362DCBE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PORTOSCUSO</w:t>
            </w:r>
          </w:p>
        </w:tc>
        <w:tc>
          <w:tcPr>
            <w:tcW w:w="0" w:type="auto"/>
            <w:tcBorders>
              <w:top w:val="nil"/>
              <w:left w:val="nil"/>
              <w:bottom w:val="nil"/>
              <w:right w:val="single" w:sz="4" w:space="0" w:color="auto"/>
            </w:tcBorders>
            <w:noWrap/>
            <w:vAlign w:val="bottom"/>
            <w:hideMark/>
          </w:tcPr>
          <w:p w14:paraId="15F3202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74052B4D" w14:textId="77777777" w:rsidTr="00CA749B">
        <w:trPr>
          <w:trHeight w:val="300"/>
          <w:jc w:val="center"/>
        </w:trPr>
        <w:tc>
          <w:tcPr>
            <w:tcW w:w="0" w:type="auto"/>
            <w:tcBorders>
              <w:top w:val="nil"/>
              <w:left w:val="single" w:sz="4" w:space="0" w:color="auto"/>
              <w:bottom w:val="nil"/>
              <w:right w:val="nil"/>
            </w:tcBorders>
            <w:noWrap/>
            <w:vAlign w:val="bottom"/>
            <w:hideMark/>
          </w:tcPr>
          <w:p w14:paraId="7118DFB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POZZUOLI</w:t>
            </w:r>
          </w:p>
        </w:tc>
        <w:tc>
          <w:tcPr>
            <w:tcW w:w="0" w:type="auto"/>
            <w:tcBorders>
              <w:top w:val="nil"/>
              <w:left w:val="nil"/>
              <w:bottom w:val="nil"/>
              <w:right w:val="single" w:sz="4" w:space="0" w:color="auto"/>
            </w:tcBorders>
            <w:noWrap/>
            <w:vAlign w:val="bottom"/>
            <w:hideMark/>
          </w:tcPr>
          <w:p w14:paraId="624B0B8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7D3795E" w14:textId="77777777" w:rsidTr="00CA749B">
        <w:trPr>
          <w:trHeight w:val="300"/>
          <w:jc w:val="center"/>
        </w:trPr>
        <w:tc>
          <w:tcPr>
            <w:tcW w:w="0" w:type="auto"/>
            <w:tcBorders>
              <w:top w:val="nil"/>
              <w:left w:val="single" w:sz="4" w:space="0" w:color="auto"/>
              <w:bottom w:val="nil"/>
              <w:right w:val="nil"/>
            </w:tcBorders>
            <w:noWrap/>
            <w:vAlign w:val="bottom"/>
            <w:hideMark/>
          </w:tcPr>
          <w:p w14:paraId="055B283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PROCIDA</w:t>
            </w:r>
          </w:p>
        </w:tc>
        <w:tc>
          <w:tcPr>
            <w:tcW w:w="0" w:type="auto"/>
            <w:tcBorders>
              <w:top w:val="nil"/>
              <w:left w:val="nil"/>
              <w:bottom w:val="nil"/>
              <w:right w:val="single" w:sz="4" w:space="0" w:color="auto"/>
            </w:tcBorders>
            <w:noWrap/>
            <w:vAlign w:val="bottom"/>
            <w:hideMark/>
          </w:tcPr>
          <w:p w14:paraId="152216D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0EA4689F" w14:textId="77777777" w:rsidTr="00CA749B">
        <w:trPr>
          <w:trHeight w:val="300"/>
          <w:jc w:val="center"/>
        </w:trPr>
        <w:tc>
          <w:tcPr>
            <w:tcW w:w="0" w:type="auto"/>
            <w:tcBorders>
              <w:top w:val="nil"/>
              <w:left w:val="single" w:sz="4" w:space="0" w:color="auto"/>
              <w:bottom w:val="nil"/>
              <w:right w:val="nil"/>
            </w:tcBorders>
            <w:noWrap/>
            <w:vAlign w:val="bottom"/>
            <w:hideMark/>
          </w:tcPr>
          <w:p w14:paraId="66E3F29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RAVENNA</w:t>
            </w:r>
          </w:p>
        </w:tc>
        <w:tc>
          <w:tcPr>
            <w:tcW w:w="0" w:type="auto"/>
            <w:tcBorders>
              <w:top w:val="nil"/>
              <w:left w:val="nil"/>
              <w:bottom w:val="nil"/>
              <w:right w:val="single" w:sz="4" w:space="0" w:color="auto"/>
            </w:tcBorders>
            <w:noWrap/>
            <w:vAlign w:val="bottom"/>
            <w:hideMark/>
          </w:tcPr>
          <w:p w14:paraId="51DFB80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42A5033" w14:textId="77777777" w:rsidTr="00CA749B">
        <w:trPr>
          <w:trHeight w:val="300"/>
          <w:jc w:val="center"/>
        </w:trPr>
        <w:tc>
          <w:tcPr>
            <w:tcW w:w="0" w:type="auto"/>
            <w:tcBorders>
              <w:top w:val="nil"/>
              <w:left w:val="single" w:sz="4" w:space="0" w:color="auto"/>
              <w:bottom w:val="nil"/>
              <w:right w:val="nil"/>
            </w:tcBorders>
            <w:noWrap/>
            <w:vAlign w:val="bottom"/>
            <w:hideMark/>
          </w:tcPr>
          <w:p w14:paraId="544E617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REGGIO CALABRIA</w:t>
            </w:r>
          </w:p>
        </w:tc>
        <w:tc>
          <w:tcPr>
            <w:tcW w:w="0" w:type="auto"/>
            <w:tcBorders>
              <w:top w:val="nil"/>
              <w:left w:val="nil"/>
              <w:bottom w:val="nil"/>
              <w:right w:val="single" w:sz="4" w:space="0" w:color="auto"/>
            </w:tcBorders>
            <w:noWrap/>
            <w:vAlign w:val="bottom"/>
            <w:hideMark/>
          </w:tcPr>
          <w:p w14:paraId="5DFD296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7D939EE4" w14:textId="77777777" w:rsidTr="00CA749B">
        <w:trPr>
          <w:trHeight w:val="300"/>
          <w:jc w:val="center"/>
        </w:trPr>
        <w:tc>
          <w:tcPr>
            <w:tcW w:w="0" w:type="auto"/>
            <w:tcBorders>
              <w:top w:val="nil"/>
              <w:left w:val="single" w:sz="4" w:space="0" w:color="auto"/>
              <w:bottom w:val="nil"/>
              <w:right w:val="nil"/>
            </w:tcBorders>
            <w:noWrap/>
            <w:vAlign w:val="bottom"/>
            <w:hideMark/>
          </w:tcPr>
          <w:p w14:paraId="7653911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RIMINI</w:t>
            </w:r>
          </w:p>
        </w:tc>
        <w:tc>
          <w:tcPr>
            <w:tcW w:w="0" w:type="auto"/>
            <w:tcBorders>
              <w:top w:val="nil"/>
              <w:left w:val="nil"/>
              <w:bottom w:val="nil"/>
              <w:right w:val="single" w:sz="4" w:space="0" w:color="auto"/>
            </w:tcBorders>
            <w:noWrap/>
            <w:vAlign w:val="bottom"/>
            <w:hideMark/>
          </w:tcPr>
          <w:p w14:paraId="7EF0F92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0A6B1CD5" w14:textId="77777777" w:rsidTr="00CA749B">
        <w:trPr>
          <w:trHeight w:val="300"/>
          <w:jc w:val="center"/>
        </w:trPr>
        <w:tc>
          <w:tcPr>
            <w:tcW w:w="0" w:type="auto"/>
            <w:tcBorders>
              <w:top w:val="nil"/>
              <w:left w:val="single" w:sz="4" w:space="0" w:color="auto"/>
              <w:bottom w:val="nil"/>
              <w:right w:val="nil"/>
            </w:tcBorders>
            <w:noWrap/>
            <w:vAlign w:val="bottom"/>
            <w:hideMark/>
          </w:tcPr>
          <w:p w14:paraId="23437A8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RIPOSTO</w:t>
            </w:r>
          </w:p>
        </w:tc>
        <w:tc>
          <w:tcPr>
            <w:tcW w:w="0" w:type="auto"/>
            <w:tcBorders>
              <w:top w:val="nil"/>
              <w:left w:val="nil"/>
              <w:bottom w:val="nil"/>
              <w:right w:val="single" w:sz="4" w:space="0" w:color="auto"/>
            </w:tcBorders>
            <w:noWrap/>
            <w:vAlign w:val="bottom"/>
            <w:hideMark/>
          </w:tcPr>
          <w:p w14:paraId="6EC1587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48325CA1" w14:textId="77777777" w:rsidTr="00CA749B">
        <w:trPr>
          <w:trHeight w:val="300"/>
          <w:jc w:val="center"/>
        </w:trPr>
        <w:tc>
          <w:tcPr>
            <w:tcW w:w="0" w:type="auto"/>
            <w:tcBorders>
              <w:top w:val="nil"/>
              <w:left w:val="single" w:sz="4" w:space="0" w:color="auto"/>
              <w:bottom w:val="nil"/>
              <w:right w:val="nil"/>
            </w:tcBorders>
            <w:noWrap/>
            <w:vAlign w:val="bottom"/>
            <w:hideMark/>
          </w:tcPr>
          <w:p w14:paraId="4A3DBDF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ROCCELLA JONICA</w:t>
            </w:r>
          </w:p>
        </w:tc>
        <w:tc>
          <w:tcPr>
            <w:tcW w:w="0" w:type="auto"/>
            <w:tcBorders>
              <w:top w:val="nil"/>
              <w:left w:val="nil"/>
              <w:bottom w:val="nil"/>
              <w:right w:val="single" w:sz="4" w:space="0" w:color="auto"/>
            </w:tcBorders>
            <w:noWrap/>
            <w:vAlign w:val="bottom"/>
            <w:hideMark/>
          </w:tcPr>
          <w:p w14:paraId="3DAD9B7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0AEA1D8" w14:textId="77777777" w:rsidTr="00CA749B">
        <w:trPr>
          <w:trHeight w:val="300"/>
          <w:jc w:val="center"/>
        </w:trPr>
        <w:tc>
          <w:tcPr>
            <w:tcW w:w="0" w:type="auto"/>
            <w:tcBorders>
              <w:top w:val="nil"/>
              <w:left w:val="single" w:sz="4" w:space="0" w:color="auto"/>
              <w:bottom w:val="nil"/>
              <w:right w:val="nil"/>
            </w:tcBorders>
            <w:noWrap/>
            <w:vAlign w:val="bottom"/>
            <w:hideMark/>
          </w:tcPr>
          <w:p w14:paraId="4F18670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 BENEDETTO DEL TRONTO</w:t>
            </w:r>
          </w:p>
        </w:tc>
        <w:tc>
          <w:tcPr>
            <w:tcW w:w="0" w:type="auto"/>
            <w:tcBorders>
              <w:top w:val="nil"/>
              <w:left w:val="nil"/>
              <w:bottom w:val="nil"/>
              <w:right w:val="single" w:sz="4" w:space="0" w:color="auto"/>
            </w:tcBorders>
            <w:noWrap/>
            <w:vAlign w:val="bottom"/>
            <w:hideMark/>
          </w:tcPr>
          <w:p w14:paraId="7634550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4B558EB6" w14:textId="77777777" w:rsidTr="00CA749B">
        <w:trPr>
          <w:trHeight w:val="300"/>
          <w:jc w:val="center"/>
        </w:trPr>
        <w:tc>
          <w:tcPr>
            <w:tcW w:w="0" w:type="auto"/>
            <w:tcBorders>
              <w:top w:val="nil"/>
              <w:left w:val="single" w:sz="4" w:space="0" w:color="auto"/>
              <w:bottom w:val="nil"/>
              <w:right w:val="nil"/>
            </w:tcBorders>
            <w:noWrap/>
            <w:vAlign w:val="bottom"/>
            <w:hideMark/>
          </w:tcPr>
          <w:p w14:paraId="5683AD3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 VITO LO CAPO</w:t>
            </w:r>
          </w:p>
        </w:tc>
        <w:tc>
          <w:tcPr>
            <w:tcW w:w="0" w:type="auto"/>
            <w:tcBorders>
              <w:top w:val="nil"/>
              <w:left w:val="nil"/>
              <w:bottom w:val="nil"/>
              <w:right w:val="single" w:sz="4" w:space="0" w:color="auto"/>
            </w:tcBorders>
            <w:noWrap/>
            <w:vAlign w:val="bottom"/>
            <w:hideMark/>
          </w:tcPr>
          <w:p w14:paraId="1498F75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DFE993E" w14:textId="77777777" w:rsidTr="00CA749B">
        <w:trPr>
          <w:trHeight w:val="300"/>
          <w:jc w:val="center"/>
        </w:trPr>
        <w:tc>
          <w:tcPr>
            <w:tcW w:w="0" w:type="auto"/>
            <w:tcBorders>
              <w:top w:val="nil"/>
              <w:left w:val="single" w:sz="4" w:space="0" w:color="auto"/>
              <w:bottom w:val="nil"/>
              <w:right w:val="nil"/>
            </w:tcBorders>
            <w:noWrap/>
            <w:vAlign w:val="bottom"/>
            <w:hideMark/>
          </w:tcPr>
          <w:p w14:paraId="2C50A83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SALERNO</w:t>
            </w:r>
          </w:p>
        </w:tc>
        <w:tc>
          <w:tcPr>
            <w:tcW w:w="0" w:type="auto"/>
            <w:tcBorders>
              <w:top w:val="nil"/>
              <w:left w:val="nil"/>
              <w:bottom w:val="nil"/>
              <w:right w:val="single" w:sz="4" w:space="0" w:color="auto"/>
            </w:tcBorders>
            <w:noWrap/>
            <w:vAlign w:val="bottom"/>
            <w:hideMark/>
          </w:tcPr>
          <w:p w14:paraId="2D53415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4A2360D0" w14:textId="77777777" w:rsidTr="00CA749B">
        <w:trPr>
          <w:trHeight w:val="300"/>
          <w:jc w:val="center"/>
        </w:trPr>
        <w:tc>
          <w:tcPr>
            <w:tcW w:w="0" w:type="auto"/>
            <w:tcBorders>
              <w:top w:val="nil"/>
              <w:left w:val="single" w:sz="4" w:space="0" w:color="auto"/>
              <w:bottom w:val="nil"/>
              <w:right w:val="nil"/>
            </w:tcBorders>
            <w:noWrap/>
            <w:vAlign w:val="bottom"/>
            <w:hideMark/>
          </w:tcPr>
          <w:p w14:paraId="5B49DC4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SANREMO</w:t>
            </w:r>
          </w:p>
        </w:tc>
        <w:tc>
          <w:tcPr>
            <w:tcW w:w="0" w:type="auto"/>
            <w:tcBorders>
              <w:top w:val="nil"/>
              <w:left w:val="nil"/>
              <w:bottom w:val="nil"/>
              <w:right w:val="single" w:sz="4" w:space="0" w:color="auto"/>
            </w:tcBorders>
            <w:noWrap/>
            <w:vAlign w:val="bottom"/>
            <w:hideMark/>
          </w:tcPr>
          <w:p w14:paraId="3B947A4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FB97DDF" w14:textId="77777777" w:rsidTr="00CA749B">
        <w:trPr>
          <w:trHeight w:val="300"/>
          <w:jc w:val="center"/>
        </w:trPr>
        <w:tc>
          <w:tcPr>
            <w:tcW w:w="0" w:type="auto"/>
            <w:tcBorders>
              <w:top w:val="nil"/>
              <w:left w:val="single" w:sz="4" w:space="0" w:color="auto"/>
              <w:bottom w:val="nil"/>
              <w:right w:val="nil"/>
            </w:tcBorders>
            <w:noWrap/>
            <w:vAlign w:val="bottom"/>
            <w:hideMark/>
          </w:tcPr>
          <w:p w14:paraId="4A45EAC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SANT' AGATA DI MILITELLO</w:t>
            </w:r>
          </w:p>
        </w:tc>
        <w:tc>
          <w:tcPr>
            <w:tcW w:w="0" w:type="auto"/>
            <w:tcBorders>
              <w:top w:val="nil"/>
              <w:left w:val="nil"/>
              <w:bottom w:val="nil"/>
              <w:right w:val="single" w:sz="4" w:space="0" w:color="auto"/>
            </w:tcBorders>
            <w:noWrap/>
            <w:vAlign w:val="bottom"/>
            <w:hideMark/>
          </w:tcPr>
          <w:p w14:paraId="774D68C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2971462" w14:textId="77777777" w:rsidTr="00CA749B">
        <w:trPr>
          <w:trHeight w:val="300"/>
          <w:jc w:val="center"/>
        </w:trPr>
        <w:tc>
          <w:tcPr>
            <w:tcW w:w="0" w:type="auto"/>
            <w:tcBorders>
              <w:top w:val="nil"/>
              <w:left w:val="single" w:sz="4" w:space="0" w:color="auto"/>
              <w:bottom w:val="nil"/>
              <w:right w:val="nil"/>
            </w:tcBorders>
            <w:noWrap/>
            <w:vAlign w:val="bottom"/>
            <w:hideMark/>
          </w:tcPr>
          <w:p w14:paraId="3A1EBD4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SANT' ANTIOCO</w:t>
            </w:r>
          </w:p>
        </w:tc>
        <w:tc>
          <w:tcPr>
            <w:tcW w:w="0" w:type="auto"/>
            <w:tcBorders>
              <w:top w:val="nil"/>
              <w:left w:val="nil"/>
              <w:bottom w:val="nil"/>
              <w:right w:val="single" w:sz="4" w:space="0" w:color="auto"/>
            </w:tcBorders>
            <w:noWrap/>
            <w:vAlign w:val="bottom"/>
            <w:hideMark/>
          </w:tcPr>
          <w:p w14:paraId="48507B4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0085ADED" w14:textId="77777777" w:rsidTr="00CA749B">
        <w:trPr>
          <w:trHeight w:val="300"/>
          <w:jc w:val="center"/>
        </w:trPr>
        <w:tc>
          <w:tcPr>
            <w:tcW w:w="0" w:type="auto"/>
            <w:tcBorders>
              <w:top w:val="nil"/>
              <w:left w:val="single" w:sz="4" w:space="0" w:color="auto"/>
              <w:bottom w:val="nil"/>
              <w:right w:val="nil"/>
            </w:tcBorders>
            <w:noWrap/>
            <w:vAlign w:val="bottom"/>
            <w:hideMark/>
          </w:tcPr>
          <w:p w14:paraId="08F5E48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SANTA FOCA DI MELENDUGNO     </w:t>
            </w:r>
          </w:p>
        </w:tc>
        <w:tc>
          <w:tcPr>
            <w:tcW w:w="0" w:type="auto"/>
            <w:tcBorders>
              <w:top w:val="nil"/>
              <w:left w:val="nil"/>
              <w:bottom w:val="nil"/>
              <w:right w:val="single" w:sz="4" w:space="0" w:color="auto"/>
            </w:tcBorders>
            <w:noWrap/>
            <w:vAlign w:val="bottom"/>
            <w:hideMark/>
          </w:tcPr>
          <w:p w14:paraId="5C4C91E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1AA0AD4E" w14:textId="77777777" w:rsidTr="00CA749B">
        <w:trPr>
          <w:trHeight w:val="300"/>
          <w:jc w:val="center"/>
        </w:trPr>
        <w:tc>
          <w:tcPr>
            <w:tcW w:w="0" w:type="auto"/>
            <w:tcBorders>
              <w:top w:val="nil"/>
              <w:left w:val="single" w:sz="4" w:space="0" w:color="auto"/>
              <w:bottom w:val="nil"/>
              <w:right w:val="nil"/>
            </w:tcBorders>
            <w:noWrap/>
            <w:vAlign w:val="bottom"/>
            <w:hideMark/>
          </w:tcPr>
          <w:p w14:paraId="236E054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SANTA MARGHERITA LIGURE</w:t>
            </w:r>
          </w:p>
        </w:tc>
        <w:tc>
          <w:tcPr>
            <w:tcW w:w="0" w:type="auto"/>
            <w:tcBorders>
              <w:top w:val="nil"/>
              <w:left w:val="nil"/>
              <w:bottom w:val="nil"/>
              <w:right w:val="single" w:sz="4" w:space="0" w:color="auto"/>
            </w:tcBorders>
            <w:noWrap/>
            <w:vAlign w:val="bottom"/>
            <w:hideMark/>
          </w:tcPr>
          <w:p w14:paraId="4ECC9C9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424AC66" w14:textId="77777777" w:rsidTr="00CA749B">
        <w:trPr>
          <w:trHeight w:val="300"/>
          <w:jc w:val="center"/>
        </w:trPr>
        <w:tc>
          <w:tcPr>
            <w:tcW w:w="0" w:type="auto"/>
            <w:tcBorders>
              <w:top w:val="nil"/>
              <w:left w:val="single" w:sz="4" w:space="0" w:color="auto"/>
              <w:bottom w:val="nil"/>
              <w:right w:val="nil"/>
            </w:tcBorders>
            <w:noWrap/>
            <w:vAlign w:val="bottom"/>
            <w:hideMark/>
          </w:tcPr>
          <w:p w14:paraId="212553F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SANTA MARIA DI LEUCA</w:t>
            </w:r>
          </w:p>
        </w:tc>
        <w:tc>
          <w:tcPr>
            <w:tcW w:w="0" w:type="auto"/>
            <w:tcBorders>
              <w:top w:val="nil"/>
              <w:left w:val="nil"/>
              <w:bottom w:val="nil"/>
              <w:right w:val="single" w:sz="4" w:space="0" w:color="auto"/>
            </w:tcBorders>
            <w:noWrap/>
            <w:vAlign w:val="bottom"/>
            <w:hideMark/>
          </w:tcPr>
          <w:p w14:paraId="3013014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E4CC3A8" w14:textId="77777777" w:rsidTr="00CA749B">
        <w:trPr>
          <w:trHeight w:val="300"/>
          <w:jc w:val="center"/>
        </w:trPr>
        <w:tc>
          <w:tcPr>
            <w:tcW w:w="0" w:type="auto"/>
            <w:tcBorders>
              <w:top w:val="nil"/>
              <w:left w:val="single" w:sz="4" w:space="0" w:color="auto"/>
              <w:bottom w:val="nil"/>
              <w:right w:val="nil"/>
            </w:tcBorders>
            <w:noWrap/>
            <w:vAlign w:val="bottom"/>
            <w:hideMark/>
          </w:tcPr>
          <w:p w14:paraId="6DF6BA5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SANTA MARIA LA SCALA</w:t>
            </w:r>
          </w:p>
        </w:tc>
        <w:tc>
          <w:tcPr>
            <w:tcW w:w="0" w:type="auto"/>
            <w:tcBorders>
              <w:top w:val="nil"/>
              <w:left w:val="nil"/>
              <w:bottom w:val="nil"/>
              <w:right w:val="single" w:sz="4" w:space="0" w:color="auto"/>
            </w:tcBorders>
            <w:noWrap/>
            <w:vAlign w:val="bottom"/>
            <w:hideMark/>
          </w:tcPr>
          <w:p w14:paraId="2D56998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E3CA281" w14:textId="77777777" w:rsidTr="00CA749B">
        <w:trPr>
          <w:trHeight w:val="300"/>
          <w:jc w:val="center"/>
        </w:trPr>
        <w:tc>
          <w:tcPr>
            <w:tcW w:w="0" w:type="auto"/>
            <w:tcBorders>
              <w:top w:val="nil"/>
              <w:left w:val="single" w:sz="4" w:space="0" w:color="auto"/>
              <w:bottom w:val="nil"/>
              <w:right w:val="nil"/>
            </w:tcBorders>
            <w:noWrap/>
            <w:vAlign w:val="bottom"/>
            <w:hideMark/>
          </w:tcPr>
          <w:p w14:paraId="11FAE84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SANTA MARINELLA</w:t>
            </w:r>
          </w:p>
        </w:tc>
        <w:tc>
          <w:tcPr>
            <w:tcW w:w="0" w:type="auto"/>
            <w:tcBorders>
              <w:top w:val="nil"/>
              <w:left w:val="nil"/>
              <w:bottom w:val="nil"/>
              <w:right w:val="single" w:sz="4" w:space="0" w:color="auto"/>
            </w:tcBorders>
            <w:noWrap/>
            <w:vAlign w:val="bottom"/>
            <w:hideMark/>
          </w:tcPr>
          <w:p w14:paraId="61AE13D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06E80310" w14:textId="77777777" w:rsidTr="00CA749B">
        <w:trPr>
          <w:trHeight w:val="300"/>
          <w:jc w:val="center"/>
        </w:trPr>
        <w:tc>
          <w:tcPr>
            <w:tcW w:w="0" w:type="auto"/>
            <w:tcBorders>
              <w:top w:val="nil"/>
              <w:left w:val="single" w:sz="4" w:space="0" w:color="auto"/>
              <w:bottom w:val="nil"/>
              <w:right w:val="nil"/>
            </w:tcBorders>
            <w:noWrap/>
            <w:vAlign w:val="bottom"/>
            <w:hideMark/>
          </w:tcPr>
          <w:p w14:paraId="273328E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SANTA TERESA DI GALLURA</w:t>
            </w:r>
          </w:p>
        </w:tc>
        <w:tc>
          <w:tcPr>
            <w:tcW w:w="0" w:type="auto"/>
            <w:tcBorders>
              <w:top w:val="nil"/>
              <w:left w:val="nil"/>
              <w:bottom w:val="nil"/>
              <w:right w:val="single" w:sz="4" w:space="0" w:color="auto"/>
            </w:tcBorders>
            <w:noWrap/>
            <w:vAlign w:val="bottom"/>
            <w:hideMark/>
          </w:tcPr>
          <w:p w14:paraId="70B5BB8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2BC6CC8" w14:textId="77777777" w:rsidTr="00CA749B">
        <w:trPr>
          <w:trHeight w:val="300"/>
          <w:jc w:val="center"/>
        </w:trPr>
        <w:tc>
          <w:tcPr>
            <w:tcW w:w="0" w:type="auto"/>
            <w:tcBorders>
              <w:top w:val="nil"/>
              <w:left w:val="single" w:sz="4" w:space="0" w:color="auto"/>
              <w:bottom w:val="nil"/>
              <w:right w:val="nil"/>
            </w:tcBorders>
            <w:noWrap/>
            <w:vAlign w:val="bottom"/>
            <w:hideMark/>
          </w:tcPr>
          <w:p w14:paraId="0DCA283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SAPRI</w:t>
            </w:r>
          </w:p>
        </w:tc>
        <w:tc>
          <w:tcPr>
            <w:tcW w:w="0" w:type="auto"/>
            <w:tcBorders>
              <w:top w:val="nil"/>
              <w:left w:val="nil"/>
              <w:bottom w:val="nil"/>
              <w:right w:val="single" w:sz="4" w:space="0" w:color="auto"/>
            </w:tcBorders>
            <w:noWrap/>
            <w:vAlign w:val="bottom"/>
            <w:hideMark/>
          </w:tcPr>
          <w:p w14:paraId="1F74E68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E28C7B1" w14:textId="77777777" w:rsidTr="00CA749B">
        <w:trPr>
          <w:trHeight w:val="300"/>
          <w:jc w:val="center"/>
        </w:trPr>
        <w:tc>
          <w:tcPr>
            <w:tcW w:w="0" w:type="auto"/>
            <w:tcBorders>
              <w:top w:val="nil"/>
              <w:left w:val="single" w:sz="4" w:space="0" w:color="auto"/>
              <w:bottom w:val="nil"/>
              <w:right w:val="nil"/>
            </w:tcBorders>
            <w:noWrap/>
            <w:vAlign w:val="bottom"/>
            <w:hideMark/>
          </w:tcPr>
          <w:p w14:paraId="71A6272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SAVONA</w:t>
            </w:r>
          </w:p>
        </w:tc>
        <w:tc>
          <w:tcPr>
            <w:tcW w:w="0" w:type="auto"/>
            <w:tcBorders>
              <w:top w:val="nil"/>
              <w:left w:val="nil"/>
              <w:bottom w:val="nil"/>
              <w:right w:val="single" w:sz="4" w:space="0" w:color="auto"/>
            </w:tcBorders>
            <w:noWrap/>
            <w:vAlign w:val="bottom"/>
            <w:hideMark/>
          </w:tcPr>
          <w:p w14:paraId="0E38A54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EC6F114" w14:textId="77777777" w:rsidTr="00CA749B">
        <w:trPr>
          <w:trHeight w:val="300"/>
          <w:jc w:val="center"/>
        </w:trPr>
        <w:tc>
          <w:tcPr>
            <w:tcW w:w="0" w:type="auto"/>
            <w:tcBorders>
              <w:top w:val="nil"/>
              <w:left w:val="single" w:sz="4" w:space="0" w:color="auto"/>
              <w:bottom w:val="nil"/>
              <w:right w:val="nil"/>
            </w:tcBorders>
            <w:noWrap/>
            <w:vAlign w:val="bottom"/>
            <w:hideMark/>
          </w:tcPr>
          <w:p w14:paraId="6D81AEA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SCHIAVONEA</w:t>
            </w:r>
          </w:p>
        </w:tc>
        <w:tc>
          <w:tcPr>
            <w:tcW w:w="0" w:type="auto"/>
            <w:tcBorders>
              <w:top w:val="nil"/>
              <w:left w:val="nil"/>
              <w:bottom w:val="nil"/>
              <w:right w:val="single" w:sz="4" w:space="0" w:color="auto"/>
            </w:tcBorders>
            <w:noWrap/>
            <w:vAlign w:val="bottom"/>
            <w:hideMark/>
          </w:tcPr>
          <w:p w14:paraId="23166FA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3CA06E24" w14:textId="77777777" w:rsidTr="00CA749B">
        <w:trPr>
          <w:trHeight w:val="300"/>
          <w:jc w:val="center"/>
        </w:trPr>
        <w:tc>
          <w:tcPr>
            <w:tcW w:w="0" w:type="auto"/>
            <w:tcBorders>
              <w:top w:val="nil"/>
              <w:left w:val="single" w:sz="4" w:space="0" w:color="auto"/>
              <w:bottom w:val="nil"/>
              <w:right w:val="nil"/>
            </w:tcBorders>
            <w:noWrap/>
            <w:vAlign w:val="bottom"/>
            <w:hideMark/>
          </w:tcPr>
          <w:p w14:paraId="211B4CB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SCIACCA</w:t>
            </w:r>
          </w:p>
        </w:tc>
        <w:tc>
          <w:tcPr>
            <w:tcW w:w="0" w:type="auto"/>
            <w:tcBorders>
              <w:top w:val="nil"/>
              <w:left w:val="nil"/>
              <w:bottom w:val="nil"/>
              <w:right w:val="single" w:sz="4" w:space="0" w:color="auto"/>
            </w:tcBorders>
            <w:noWrap/>
            <w:vAlign w:val="bottom"/>
            <w:hideMark/>
          </w:tcPr>
          <w:p w14:paraId="2F5A775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04A4B6B9" w14:textId="77777777" w:rsidTr="00CA749B">
        <w:trPr>
          <w:trHeight w:val="300"/>
          <w:jc w:val="center"/>
        </w:trPr>
        <w:tc>
          <w:tcPr>
            <w:tcW w:w="0" w:type="auto"/>
            <w:tcBorders>
              <w:top w:val="nil"/>
              <w:left w:val="single" w:sz="4" w:space="0" w:color="auto"/>
              <w:bottom w:val="nil"/>
              <w:right w:val="nil"/>
            </w:tcBorders>
            <w:noWrap/>
            <w:vAlign w:val="bottom"/>
            <w:hideMark/>
          </w:tcPr>
          <w:p w14:paraId="71AE1D6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SESTRI LEVANTE</w:t>
            </w:r>
          </w:p>
        </w:tc>
        <w:tc>
          <w:tcPr>
            <w:tcW w:w="0" w:type="auto"/>
            <w:tcBorders>
              <w:top w:val="nil"/>
              <w:left w:val="nil"/>
              <w:bottom w:val="nil"/>
              <w:right w:val="single" w:sz="4" w:space="0" w:color="auto"/>
            </w:tcBorders>
            <w:noWrap/>
            <w:vAlign w:val="bottom"/>
            <w:hideMark/>
          </w:tcPr>
          <w:p w14:paraId="3FAA55A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FCB75F0" w14:textId="77777777" w:rsidTr="00CA749B">
        <w:trPr>
          <w:trHeight w:val="300"/>
          <w:jc w:val="center"/>
        </w:trPr>
        <w:tc>
          <w:tcPr>
            <w:tcW w:w="0" w:type="auto"/>
            <w:tcBorders>
              <w:top w:val="nil"/>
              <w:left w:val="single" w:sz="4" w:space="0" w:color="auto"/>
              <w:bottom w:val="nil"/>
              <w:right w:val="nil"/>
            </w:tcBorders>
            <w:noWrap/>
            <w:vAlign w:val="bottom"/>
            <w:hideMark/>
          </w:tcPr>
          <w:p w14:paraId="3E027C8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SEVELLETRI</w:t>
            </w:r>
          </w:p>
        </w:tc>
        <w:tc>
          <w:tcPr>
            <w:tcW w:w="0" w:type="auto"/>
            <w:tcBorders>
              <w:top w:val="nil"/>
              <w:left w:val="nil"/>
              <w:bottom w:val="nil"/>
              <w:right w:val="single" w:sz="4" w:space="0" w:color="auto"/>
            </w:tcBorders>
            <w:noWrap/>
            <w:vAlign w:val="bottom"/>
            <w:hideMark/>
          </w:tcPr>
          <w:p w14:paraId="006FE5B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3B943E9" w14:textId="77777777" w:rsidTr="00CA749B">
        <w:trPr>
          <w:trHeight w:val="300"/>
          <w:jc w:val="center"/>
        </w:trPr>
        <w:tc>
          <w:tcPr>
            <w:tcW w:w="0" w:type="auto"/>
            <w:tcBorders>
              <w:top w:val="nil"/>
              <w:left w:val="single" w:sz="4" w:space="0" w:color="auto"/>
              <w:bottom w:val="nil"/>
              <w:right w:val="nil"/>
            </w:tcBorders>
            <w:noWrap/>
            <w:vAlign w:val="bottom"/>
            <w:hideMark/>
          </w:tcPr>
          <w:p w14:paraId="1B7872B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TARANTO</w:t>
            </w:r>
          </w:p>
        </w:tc>
        <w:tc>
          <w:tcPr>
            <w:tcW w:w="0" w:type="auto"/>
            <w:tcBorders>
              <w:top w:val="nil"/>
              <w:left w:val="nil"/>
              <w:bottom w:val="nil"/>
              <w:right w:val="single" w:sz="4" w:space="0" w:color="auto"/>
            </w:tcBorders>
            <w:noWrap/>
            <w:vAlign w:val="bottom"/>
            <w:hideMark/>
          </w:tcPr>
          <w:p w14:paraId="76D4FB4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09687EE" w14:textId="77777777" w:rsidTr="00CA749B">
        <w:trPr>
          <w:trHeight w:val="300"/>
          <w:jc w:val="center"/>
        </w:trPr>
        <w:tc>
          <w:tcPr>
            <w:tcW w:w="0" w:type="auto"/>
            <w:tcBorders>
              <w:top w:val="nil"/>
              <w:left w:val="single" w:sz="4" w:space="0" w:color="auto"/>
              <w:bottom w:val="nil"/>
              <w:right w:val="nil"/>
            </w:tcBorders>
            <w:noWrap/>
            <w:vAlign w:val="bottom"/>
            <w:hideMark/>
          </w:tcPr>
          <w:p w14:paraId="556F2F9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TERMINI IMERESE</w:t>
            </w:r>
          </w:p>
        </w:tc>
        <w:tc>
          <w:tcPr>
            <w:tcW w:w="0" w:type="auto"/>
            <w:tcBorders>
              <w:top w:val="nil"/>
              <w:left w:val="nil"/>
              <w:bottom w:val="nil"/>
              <w:right w:val="single" w:sz="4" w:space="0" w:color="auto"/>
            </w:tcBorders>
            <w:noWrap/>
            <w:vAlign w:val="bottom"/>
            <w:hideMark/>
          </w:tcPr>
          <w:p w14:paraId="2580931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02BD81BB" w14:textId="77777777" w:rsidTr="00CA749B">
        <w:trPr>
          <w:trHeight w:val="300"/>
          <w:jc w:val="center"/>
        </w:trPr>
        <w:tc>
          <w:tcPr>
            <w:tcW w:w="0" w:type="auto"/>
            <w:tcBorders>
              <w:top w:val="nil"/>
              <w:left w:val="single" w:sz="4" w:space="0" w:color="auto"/>
              <w:bottom w:val="nil"/>
              <w:right w:val="nil"/>
            </w:tcBorders>
            <w:noWrap/>
            <w:vAlign w:val="bottom"/>
            <w:hideMark/>
          </w:tcPr>
          <w:p w14:paraId="39E99B5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TERMOLI</w:t>
            </w:r>
          </w:p>
        </w:tc>
        <w:tc>
          <w:tcPr>
            <w:tcW w:w="0" w:type="auto"/>
            <w:tcBorders>
              <w:top w:val="nil"/>
              <w:left w:val="nil"/>
              <w:bottom w:val="nil"/>
              <w:right w:val="single" w:sz="4" w:space="0" w:color="auto"/>
            </w:tcBorders>
            <w:noWrap/>
            <w:vAlign w:val="bottom"/>
            <w:hideMark/>
          </w:tcPr>
          <w:p w14:paraId="51FA19D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7B78563A" w14:textId="77777777" w:rsidTr="00CA749B">
        <w:trPr>
          <w:trHeight w:val="300"/>
          <w:jc w:val="center"/>
        </w:trPr>
        <w:tc>
          <w:tcPr>
            <w:tcW w:w="0" w:type="auto"/>
            <w:tcBorders>
              <w:top w:val="nil"/>
              <w:left w:val="single" w:sz="4" w:space="0" w:color="auto"/>
              <w:bottom w:val="nil"/>
              <w:right w:val="nil"/>
            </w:tcBorders>
            <w:noWrap/>
            <w:vAlign w:val="bottom"/>
            <w:hideMark/>
          </w:tcPr>
          <w:p w14:paraId="3B26A0C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TERRACINA</w:t>
            </w:r>
          </w:p>
        </w:tc>
        <w:tc>
          <w:tcPr>
            <w:tcW w:w="0" w:type="auto"/>
            <w:tcBorders>
              <w:top w:val="nil"/>
              <w:left w:val="nil"/>
              <w:bottom w:val="nil"/>
              <w:right w:val="single" w:sz="4" w:space="0" w:color="auto"/>
            </w:tcBorders>
            <w:noWrap/>
            <w:vAlign w:val="bottom"/>
            <w:hideMark/>
          </w:tcPr>
          <w:p w14:paraId="53F1B9F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68F6F6B" w14:textId="77777777" w:rsidTr="00CA749B">
        <w:trPr>
          <w:trHeight w:val="300"/>
          <w:jc w:val="center"/>
        </w:trPr>
        <w:tc>
          <w:tcPr>
            <w:tcW w:w="0" w:type="auto"/>
            <w:tcBorders>
              <w:top w:val="nil"/>
              <w:left w:val="single" w:sz="4" w:space="0" w:color="auto"/>
              <w:bottom w:val="nil"/>
              <w:right w:val="nil"/>
            </w:tcBorders>
            <w:noWrap/>
            <w:vAlign w:val="bottom"/>
            <w:hideMark/>
          </w:tcPr>
          <w:p w14:paraId="5290E7E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TERRASINI</w:t>
            </w:r>
          </w:p>
        </w:tc>
        <w:tc>
          <w:tcPr>
            <w:tcW w:w="0" w:type="auto"/>
            <w:tcBorders>
              <w:top w:val="nil"/>
              <w:left w:val="nil"/>
              <w:bottom w:val="nil"/>
              <w:right w:val="single" w:sz="4" w:space="0" w:color="auto"/>
            </w:tcBorders>
            <w:noWrap/>
            <w:vAlign w:val="bottom"/>
            <w:hideMark/>
          </w:tcPr>
          <w:p w14:paraId="1C1E6ED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74501B58" w14:textId="77777777" w:rsidTr="00CA749B">
        <w:trPr>
          <w:trHeight w:val="300"/>
          <w:jc w:val="center"/>
        </w:trPr>
        <w:tc>
          <w:tcPr>
            <w:tcW w:w="0" w:type="auto"/>
            <w:tcBorders>
              <w:top w:val="nil"/>
              <w:left w:val="single" w:sz="4" w:space="0" w:color="auto"/>
              <w:bottom w:val="nil"/>
              <w:right w:val="nil"/>
            </w:tcBorders>
            <w:noWrap/>
            <w:vAlign w:val="bottom"/>
            <w:hideMark/>
          </w:tcPr>
          <w:p w14:paraId="57B24DF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TORRE ANNUNZIATA</w:t>
            </w:r>
          </w:p>
        </w:tc>
        <w:tc>
          <w:tcPr>
            <w:tcW w:w="0" w:type="auto"/>
            <w:tcBorders>
              <w:top w:val="nil"/>
              <w:left w:val="nil"/>
              <w:bottom w:val="nil"/>
              <w:right w:val="single" w:sz="4" w:space="0" w:color="auto"/>
            </w:tcBorders>
            <w:noWrap/>
            <w:vAlign w:val="bottom"/>
            <w:hideMark/>
          </w:tcPr>
          <w:p w14:paraId="6E66AEE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34334DF2" w14:textId="77777777" w:rsidTr="00CA749B">
        <w:trPr>
          <w:trHeight w:val="300"/>
          <w:jc w:val="center"/>
        </w:trPr>
        <w:tc>
          <w:tcPr>
            <w:tcW w:w="0" w:type="auto"/>
            <w:tcBorders>
              <w:top w:val="nil"/>
              <w:left w:val="single" w:sz="4" w:space="0" w:color="auto"/>
              <w:bottom w:val="nil"/>
              <w:right w:val="nil"/>
            </w:tcBorders>
            <w:noWrap/>
            <w:vAlign w:val="bottom"/>
            <w:hideMark/>
          </w:tcPr>
          <w:p w14:paraId="4035F9E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TORRE DEL GRECO</w:t>
            </w:r>
          </w:p>
        </w:tc>
        <w:tc>
          <w:tcPr>
            <w:tcW w:w="0" w:type="auto"/>
            <w:tcBorders>
              <w:top w:val="nil"/>
              <w:left w:val="nil"/>
              <w:bottom w:val="nil"/>
              <w:right w:val="single" w:sz="4" w:space="0" w:color="auto"/>
            </w:tcBorders>
            <w:noWrap/>
            <w:vAlign w:val="bottom"/>
            <w:hideMark/>
          </w:tcPr>
          <w:p w14:paraId="71C1D5C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4D500CA8" w14:textId="77777777" w:rsidTr="00CA749B">
        <w:trPr>
          <w:trHeight w:val="300"/>
          <w:jc w:val="center"/>
        </w:trPr>
        <w:tc>
          <w:tcPr>
            <w:tcW w:w="0" w:type="auto"/>
            <w:tcBorders>
              <w:top w:val="nil"/>
              <w:left w:val="single" w:sz="4" w:space="0" w:color="auto"/>
              <w:bottom w:val="nil"/>
              <w:right w:val="nil"/>
            </w:tcBorders>
            <w:noWrap/>
            <w:vAlign w:val="bottom"/>
            <w:hideMark/>
          </w:tcPr>
          <w:p w14:paraId="2F42132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TRANI</w:t>
            </w:r>
          </w:p>
        </w:tc>
        <w:tc>
          <w:tcPr>
            <w:tcW w:w="0" w:type="auto"/>
            <w:tcBorders>
              <w:top w:val="nil"/>
              <w:left w:val="nil"/>
              <w:bottom w:val="nil"/>
              <w:right w:val="single" w:sz="4" w:space="0" w:color="auto"/>
            </w:tcBorders>
            <w:noWrap/>
            <w:vAlign w:val="bottom"/>
            <w:hideMark/>
          </w:tcPr>
          <w:p w14:paraId="14E5C1F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0B42362D" w14:textId="77777777" w:rsidTr="00CA749B">
        <w:trPr>
          <w:trHeight w:val="300"/>
          <w:jc w:val="center"/>
        </w:trPr>
        <w:tc>
          <w:tcPr>
            <w:tcW w:w="0" w:type="auto"/>
            <w:tcBorders>
              <w:top w:val="nil"/>
              <w:left w:val="single" w:sz="4" w:space="0" w:color="auto"/>
              <w:bottom w:val="nil"/>
              <w:right w:val="nil"/>
            </w:tcBorders>
            <w:noWrap/>
            <w:vAlign w:val="bottom"/>
            <w:hideMark/>
          </w:tcPr>
          <w:p w14:paraId="13026BA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TRAPANI</w:t>
            </w:r>
          </w:p>
        </w:tc>
        <w:tc>
          <w:tcPr>
            <w:tcW w:w="0" w:type="auto"/>
            <w:tcBorders>
              <w:top w:val="nil"/>
              <w:left w:val="nil"/>
              <w:bottom w:val="nil"/>
              <w:right w:val="single" w:sz="4" w:space="0" w:color="auto"/>
            </w:tcBorders>
            <w:noWrap/>
            <w:vAlign w:val="bottom"/>
            <w:hideMark/>
          </w:tcPr>
          <w:p w14:paraId="5EE8278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07BD582" w14:textId="77777777" w:rsidTr="00CA749B">
        <w:trPr>
          <w:trHeight w:val="300"/>
          <w:jc w:val="center"/>
        </w:trPr>
        <w:tc>
          <w:tcPr>
            <w:tcW w:w="0" w:type="auto"/>
            <w:tcBorders>
              <w:top w:val="nil"/>
              <w:left w:val="single" w:sz="4" w:space="0" w:color="auto"/>
              <w:bottom w:val="nil"/>
              <w:right w:val="nil"/>
            </w:tcBorders>
            <w:noWrap/>
            <w:vAlign w:val="bottom"/>
            <w:hideMark/>
          </w:tcPr>
          <w:p w14:paraId="062509A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TRICASE</w:t>
            </w:r>
          </w:p>
        </w:tc>
        <w:tc>
          <w:tcPr>
            <w:tcW w:w="0" w:type="auto"/>
            <w:tcBorders>
              <w:top w:val="nil"/>
              <w:left w:val="nil"/>
              <w:bottom w:val="nil"/>
              <w:right w:val="single" w:sz="4" w:space="0" w:color="auto"/>
            </w:tcBorders>
            <w:noWrap/>
            <w:vAlign w:val="bottom"/>
            <w:hideMark/>
          </w:tcPr>
          <w:p w14:paraId="55F12DE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8F32104" w14:textId="77777777" w:rsidTr="00CA749B">
        <w:trPr>
          <w:trHeight w:val="300"/>
          <w:jc w:val="center"/>
        </w:trPr>
        <w:tc>
          <w:tcPr>
            <w:tcW w:w="0" w:type="auto"/>
            <w:tcBorders>
              <w:top w:val="nil"/>
              <w:left w:val="single" w:sz="4" w:space="0" w:color="auto"/>
              <w:bottom w:val="nil"/>
              <w:right w:val="nil"/>
            </w:tcBorders>
            <w:noWrap/>
            <w:vAlign w:val="bottom"/>
            <w:hideMark/>
          </w:tcPr>
          <w:p w14:paraId="49BAB21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VARAZZE</w:t>
            </w:r>
          </w:p>
        </w:tc>
        <w:tc>
          <w:tcPr>
            <w:tcW w:w="0" w:type="auto"/>
            <w:tcBorders>
              <w:top w:val="nil"/>
              <w:left w:val="nil"/>
              <w:bottom w:val="nil"/>
              <w:right w:val="single" w:sz="4" w:space="0" w:color="auto"/>
            </w:tcBorders>
            <w:noWrap/>
            <w:vAlign w:val="bottom"/>
            <w:hideMark/>
          </w:tcPr>
          <w:p w14:paraId="1A4F22B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504D24B3" w14:textId="77777777" w:rsidTr="00CA749B">
        <w:trPr>
          <w:trHeight w:val="300"/>
          <w:jc w:val="center"/>
        </w:trPr>
        <w:tc>
          <w:tcPr>
            <w:tcW w:w="0" w:type="auto"/>
            <w:tcBorders>
              <w:top w:val="nil"/>
              <w:left w:val="single" w:sz="4" w:space="0" w:color="auto"/>
              <w:bottom w:val="nil"/>
              <w:right w:val="nil"/>
            </w:tcBorders>
            <w:noWrap/>
            <w:vAlign w:val="bottom"/>
            <w:hideMark/>
          </w:tcPr>
          <w:p w14:paraId="5246772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VASTO</w:t>
            </w:r>
          </w:p>
        </w:tc>
        <w:tc>
          <w:tcPr>
            <w:tcW w:w="0" w:type="auto"/>
            <w:tcBorders>
              <w:top w:val="nil"/>
              <w:left w:val="nil"/>
              <w:bottom w:val="nil"/>
              <w:right w:val="single" w:sz="4" w:space="0" w:color="auto"/>
            </w:tcBorders>
            <w:noWrap/>
            <w:vAlign w:val="bottom"/>
            <w:hideMark/>
          </w:tcPr>
          <w:p w14:paraId="7457330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140973B9" w14:textId="77777777" w:rsidTr="00CA749B">
        <w:trPr>
          <w:trHeight w:val="300"/>
          <w:jc w:val="center"/>
        </w:trPr>
        <w:tc>
          <w:tcPr>
            <w:tcW w:w="0" w:type="auto"/>
            <w:tcBorders>
              <w:top w:val="nil"/>
              <w:left w:val="single" w:sz="4" w:space="0" w:color="auto"/>
              <w:bottom w:val="nil"/>
              <w:right w:val="nil"/>
            </w:tcBorders>
            <w:noWrap/>
            <w:vAlign w:val="bottom"/>
            <w:hideMark/>
          </w:tcPr>
          <w:p w14:paraId="3A85D7C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VIAREGGIO</w:t>
            </w:r>
          </w:p>
        </w:tc>
        <w:tc>
          <w:tcPr>
            <w:tcW w:w="0" w:type="auto"/>
            <w:tcBorders>
              <w:top w:val="nil"/>
              <w:left w:val="nil"/>
              <w:bottom w:val="nil"/>
              <w:right w:val="single" w:sz="4" w:space="0" w:color="auto"/>
            </w:tcBorders>
            <w:noWrap/>
            <w:vAlign w:val="bottom"/>
            <w:hideMark/>
          </w:tcPr>
          <w:p w14:paraId="3BB46EB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43F283E6" w14:textId="77777777" w:rsidTr="00CA749B">
        <w:trPr>
          <w:trHeight w:val="300"/>
          <w:jc w:val="center"/>
        </w:trPr>
        <w:tc>
          <w:tcPr>
            <w:tcW w:w="0" w:type="auto"/>
            <w:tcBorders>
              <w:top w:val="nil"/>
              <w:left w:val="single" w:sz="4" w:space="0" w:color="auto"/>
              <w:bottom w:val="nil"/>
              <w:right w:val="nil"/>
            </w:tcBorders>
            <w:noWrap/>
            <w:vAlign w:val="bottom"/>
            <w:hideMark/>
          </w:tcPr>
          <w:p w14:paraId="49A94DF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VIBO VALENTIA MARINA</w:t>
            </w:r>
          </w:p>
        </w:tc>
        <w:tc>
          <w:tcPr>
            <w:tcW w:w="0" w:type="auto"/>
            <w:tcBorders>
              <w:top w:val="nil"/>
              <w:left w:val="nil"/>
              <w:bottom w:val="nil"/>
              <w:right w:val="single" w:sz="4" w:space="0" w:color="auto"/>
            </w:tcBorders>
            <w:noWrap/>
            <w:vAlign w:val="bottom"/>
            <w:hideMark/>
          </w:tcPr>
          <w:p w14:paraId="7F2184D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251D0E2E" w14:textId="77777777" w:rsidTr="00CA749B">
        <w:trPr>
          <w:trHeight w:val="300"/>
          <w:jc w:val="center"/>
        </w:trPr>
        <w:tc>
          <w:tcPr>
            <w:tcW w:w="0" w:type="auto"/>
            <w:tcBorders>
              <w:top w:val="nil"/>
              <w:left w:val="single" w:sz="4" w:space="0" w:color="auto"/>
              <w:bottom w:val="nil"/>
              <w:right w:val="nil"/>
            </w:tcBorders>
            <w:noWrap/>
            <w:vAlign w:val="bottom"/>
            <w:hideMark/>
          </w:tcPr>
          <w:p w14:paraId="49BAED3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VIESTE</w:t>
            </w:r>
          </w:p>
        </w:tc>
        <w:tc>
          <w:tcPr>
            <w:tcW w:w="0" w:type="auto"/>
            <w:tcBorders>
              <w:top w:val="nil"/>
              <w:left w:val="nil"/>
              <w:bottom w:val="nil"/>
              <w:right w:val="single" w:sz="4" w:space="0" w:color="auto"/>
            </w:tcBorders>
            <w:noWrap/>
            <w:vAlign w:val="bottom"/>
            <w:hideMark/>
          </w:tcPr>
          <w:p w14:paraId="232A341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15460086" w14:textId="77777777" w:rsidTr="00CA749B">
        <w:trPr>
          <w:trHeight w:val="300"/>
          <w:jc w:val="center"/>
        </w:trPr>
        <w:tc>
          <w:tcPr>
            <w:tcW w:w="0" w:type="auto"/>
            <w:tcBorders>
              <w:top w:val="nil"/>
              <w:left w:val="single" w:sz="4" w:space="0" w:color="auto"/>
              <w:bottom w:val="nil"/>
              <w:right w:val="nil"/>
            </w:tcBorders>
            <w:noWrap/>
            <w:vAlign w:val="bottom"/>
            <w:hideMark/>
          </w:tcPr>
          <w:p w14:paraId="66B5BA8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VILLA SAN GIOVANNI</w:t>
            </w:r>
          </w:p>
        </w:tc>
        <w:tc>
          <w:tcPr>
            <w:tcW w:w="0" w:type="auto"/>
            <w:tcBorders>
              <w:top w:val="nil"/>
              <w:left w:val="nil"/>
              <w:bottom w:val="nil"/>
              <w:right w:val="single" w:sz="4" w:space="0" w:color="auto"/>
            </w:tcBorders>
            <w:noWrap/>
            <w:vAlign w:val="bottom"/>
            <w:hideMark/>
          </w:tcPr>
          <w:p w14:paraId="64C283C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1E029702" w14:textId="77777777" w:rsidTr="00CA749B">
        <w:trPr>
          <w:trHeight w:val="300"/>
          <w:jc w:val="center"/>
        </w:trPr>
        <w:tc>
          <w:tcPr>
            <w:tcW w:w="0" w:type="auto"/>
            <w:tcBorders>
              <w:top w:val="nil"/>
              <w:left w:val="single" w:sz="4" w:space="0" w:color="auto"/>
              <w:bottom w:val="nil"/>
              <w:right w:val="nil"/>
            </w:tcBorders>
            <w:noWrap/>
            <w:vAlign w:val="bottom"/>
            <w:hideMark/>
          </w:tcPr>
          <w:p w14:paraId="398ED3F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 xml:space="preserve">VILLASIMIUS </w:t>
            </w:r>
          </w:p>
        </w:tc>
        <w:tc>
          <w:tcPr>
            <w:tcW w:w="0" w:type="auto"/>
            <w:tcBorders>
              <w:top w:val="nil"/>
              <w:left w:val="nil"/>
              <w:bottom w:val="nil"/>
              <w:right w:val="single" w:sz="4" w:space="0" w:color="auto"/>
            </w:tcBorders>
            <w:noWrap/>
            <w:vAlign w:val="bottom"/>
            <w:hideMark/>
          </w:tcPr>
          <w:p w14:paraId="3767A3C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EU-Italy</w:t>
            </w:r>
          </w:p>
        </w:tc>
      </w:tr>
      <w:tr w:rsidR="009123AC" w:rsidRPr="00F0379B" w14:paraId="63D5ED40" w14:textId="77777777" w:rsidTr="00CA749B">
        <w:trPr>
          <w:trHeight w:val="300"/>
          <w:jc w:val="center"/>
        </w:trPr>
        <w:tc>
          <w:tcPr>
            <w:tcW w:w="0" w:type="auto"/>
            <w:tcBorders>
              <w:top w:val="nil"/>
              <w:left w:val="single" w:sz="4" w:space="0" w:color="auto"/>
              <w:bottom w:val="nil"/>
              <w:right w:val="nil"/>
            </w:tcBorders>
            <w:noWrap/>
            <w:vAlign w:val="bottom"/>
            <w:hideMark/>
          </w:tcPr>
          <w:p w14:paraId="6467E46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GNEJNA</w:t>
            </w:r>
          </w:p>
        </w:tc>
        <w:tc>
          <w:tcPr>
            <w:tcW w:w="0" w:type="auto"/>
            <w:tcBorders>
              <w:top w:val="nil"/>
              <w:left w:val="nil"/>
              <w:bottom w:val="nil"/>
              <w:right w:val="single" w:sz="4" w:space="0" w:color="auto"/>
            </w:tcBorders>
            <w:noWrap/>
            <w:vAlign w:val="bottom"/>
            <w:hideMark/>
          </w:tcPr>
          <w:p w14:paraId="00B2BBA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EU-Malta</w:t>
            </w:r>
          </w:p>
        </w:tc>
      </w:tr>
      <w:tr w:rsidR="009123AC" w:rsidRPr="00F0379B" w14:paraId="12AE05DB" w14:textId="77777777" w:rsidTr="00CA749B">
        <w:trPr>
          <w:trHeight w:val="300"/>
          <w:jc w:val="center"/>
        </w:trPr>
        <w:tc>
          <w:tcPr>
            <w:tcW w:w="0" w:type="auto"/>
            <w:tcBorders>
              <w:top w:val="nil"/>
              <w:left w:val="single" w:sz="4" w:space="0" w:color="auto"/>
              <w:bottom w:val="nil"/>
              <w:right w:val="nil"/>
            </w:tcBorders>
            <w:noWrap/>
            <w:vAlign w:val="bottom"/>
            <w:hideMark/>
          </w:tcPr>
          <w:p w14:paraId="20FBAC8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MARFA/CIRKEWWA</w:t>
            </w:r>
          </w:p>
        </w:tc>
        <w:tc>
          <w:tcPr>
            <w:tcW w:w="0" w:type="auto"/>
            <w:tcBorders>
              <w:top w:val="nil"/>
              <w:left w:val="nil"/>
              <w:bottom w:val="nil"/>
              <w:right w:val="single" w:sz="4" w:space="0" w:color="auto"/>
            </w:tcBorders>
            <w:noWrap/>
            <w:vAlign w:val="bottom"/>
            <w:hideMark/>
          </w:tcPr>
          <w:p w14:paraId="7217B60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EU-Malta</w:t>
            </w:r>
          </w:p>
        </w:tc>
      </w:tr>
      <w:tr w:rsidR="009123AC" w:rsidRPr="00F0379B" w14:paraId="3CB37480" w14:textId="77777777" w:rsidTr="00CA749B">
        <w:trPr>
          <w:trHeight w:val="300"/>
          <w:jc w:val="center"/>
        </w:trPr>
        <w:tc>
          <w:tcPr>
            <w:tcW w:w="0" w:type="auto"/>
            <w:tcBorders>
              <w:top w:val="nil"/>
              <w:left w:val="single" w:sz="4" w:space="0" w:color="auto"/>
              <w:bottom w:val="nil"/>
              <w:right w:val="nil"/>
            </w:tcBorders>
            <w:noWrap/>
            <w:vAlign w:val="bottom"/>
            <w:hideMark/>
          </w:tcPr>
          <w:p w14:paraId="39234CB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MARSALFORN (GOZO)</w:t>
            </w:r>
          </w:p>
        </w:tc>
        <w:tc>
          <w:tcPr>
            <w:tcW w:w="0" w:type="auto"/>
            <w:tcBorders>
              <w:top w:val="nil"/>
              <w:left w:val="nil"/>
              <w:bottom w:val="nil"/>
              <w:right w:val="single" w:sz="4" w:space="0" w:color="auto"/>
            </w:tcBorders>
            <w:noWrap/>
            <w:vAlign w:val="bottom"/>
            <w:hideMark/>
          </w:tcPr>
          <w:p w14:paraId="1A43F8F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EU-Malta</w:t>
            </w:r>
          </w:p>
        </w:tc>
      </w:tr>
      <w:tr w:rsidR="009123AC" w:rsidRPr="00F0379B" w14:paraId="67D6CEF0" w14:textId="77777777" w:rsidTr="00CA749B">
        <w:trPr>
          <w:trHeight w:val="300"/>
          <w:jc w:val="center"/>
        </w:trPr>
        <w:tc>
          <w:tcPr>
            <w:tcW w:w="0" w:type="auto"/>
            <w:tcBorders>
              <w:top w:val="nil"/>
              <w:left w:val="single" w:sz="4" w:space="0" w:color="auto"/>
              <w:bottom w:val="nil"/>
              <w:right w:val="nil"/>
            </w:tcBorders>
            <w:noWrap/>
            <w:vAlign w:val="bottom"/>
            <w:hideMark/>
          </w:tcPr>
          <w:p w14:paraId="4B8918A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MARSAXLOKK</w:t>
            </w:r>
          </w:p>
        </w:tc>
        <w:tc>
          <w:tcPr>
            <w:tcW w:w="0" w:type="auto"/>
            <w:tcBorders>
              <w:top w:val="nil"/>
              <w:left w:val="nil"/>
              <w:bottom w:val="nil"/>
              <w:right w:val="single" w:sz="4" w:space="0" w:color="auto"/>
            </w:tcBorders>
            <w:noWrap/>
            <w:vAlign w:val="bottom"/>
            <w:hideMark/>
          </w:tcPr>
          <w:p w14:paraId="6582D94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EU-Malta</w:t>
            </w:r>
          </w:p>
        </w:tc>
      </w:tr>
      <w:tr w:rsidR="009123AC" w:rsidRPr="00F0379B" w14:paraId="60FD2927" w14:textId="77777777" w:rsidTr="00CA749B">
        <w:trPr>
          <w:trHeight w:val="300"/>
          <w:jc w:val="center"/>
        </w:trPr>
        <w:tc>
          <w:tcPr>
            <w:tcW w:w="0" w:type="auto"/>
            <w:tcBorders>
              <w:top w:val="nil"/>
              <w:left w:val="single" w:sz="4" w:space="0" w:color="auto"/>
              <w:bottom w:val="nil"/>
              <w:right w:val="nil"/>
            </w:tcBorders>
            <w:noWrap/>
            <w:vAlign w:val="bottom"/>
            <w:hideMark/>
          </w:tcPr>
          <w:p w14:paraId="36CDABF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MELLIEHA (GHADIRA)</w:t>
            </w:r>
          </w:p>
        </w:tc>
        <w:tc>
          <w:tcPr>
            <w:tcW w:w="0" w:type="auto"/>
            <w:tcBorders>
              <w:top w:val="nil"/>
              <w:left w:val="nil"/>
              <w:bottom w:val="nil"/>
              <w:right w:val="single" w:sz="4" w:space="0" w:color="auto"/>
            </w:tcBorders>
            <w:noWrap/>
            <w:vAlign w:val="bottom"/>
            <w:hideMark/>
          </w:tcPr>
          <w:p w14:paraId="0B4B40A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EU-Malta</w:t>
            </w:r>
          </w:p>
        </w:tc>
      </w:tr>
      <w:tr w:rsidR="009123AC" w:rsidRPr="00F0379B" w14:paraId="1887FA63" w14:textId="77777777" w:rsidTr="00CA749B">
        <w:trPr>
          <w:trHeight w:val="300"/>
          <w:jc w:val="center"/>
        </w:trPr>
        <w:tc>
          <w:tcPr>
            <w:tcW w:w="0" w:type="auto"/>
            <w:tcBorders>
              <w:top w:val="nil"/>
              <w:left w:val="single" w:sz="4" w:space="0" w:color="auto"/>
              <w:bottom w:val="nil"/>
              <w:right w:val="nil"/>
            </w:tcBorders>
            <w:noWrap/>
            <w:vAlign w:val="bottom"/>
            <w:hideMark/>
          </w:tcPr>
          <w:p w14:paraId="6B20A41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MGARR (GOZO)</w:t>
            </w:r>
          </w:p>
        </w:tc>
        <w:tc>
          <w:tcPr>
            <w:tcW w:w="0" w:type="auto"/>
            <w:tcBorders>
              <w:top w:val="nil"/>
              <w:left w:val="nil"/>
              <w:bottom w:val="nil"/>
              <w:right w:val="single" w:sz="4" w:space="0" w:color="auto"/>
            </w:tcBorders>
            <w:noWrap/>
            <w:vAlign w:val="bottom"/>
            <w:hideMark/>
          </w:tcPr>
          <w:p w14:paraId="5E4502C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EU-Malta</w:t>
            </w:r>
          </w:p>
        </w:tc>
      </w:tr>
      <w:tr w:rsidR="009123AC" w:rsidRPr="00F0379B" w14:paraId="1FFD46B0" w14:textId="77777777" w:rsidTr="00CA749B">
        <w:trPr>
          <w:trHeight w:val="300"/>
          <w:jc w:val="center"/>
        </w:trPr>
        <w:tc>
          <w:tcPr>
            <w:tcW w:w="0" w:type="auto"/>
            <w:tcBorders>
              <w:top w:val="nil"/>
              <w:left w:val="single" w:sz="4" w:space="0" w:color="auto"/>
              <w:bottom w:val="nil"/>
              <w:right w:val="nil"/>
            </w:tcBorders>
            <w:noWrap/>
            <w:vAlign w:val="bottom"/>
            <w:hideMark/>
          </w:tcPr>
          <w:p w14:paraId="339D71F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proofErr w:type="gramStart"/>
            <w:r w:rsidRPr="00F0379B">
              <w:rPr>
                <w:rFonts w:ascii="Cambria" w:eastAsia="MS Gothic" w:hAnsi="Cambria" w:cs="Times New Roman"/>
                <w:color w:val="000000"/>
                <w:sz w:val="20"/>
                <w:szCs w:val="20"/>
                <w:lang w:val="en-GB" w:eastAsia="fr-FR" w:bidi="fr-FR"/>
                <w14:ligatures w14:val="standardContextual"/>
              </w:rPr>
              <w:t>ST.PAUL'S</w:t>
            </w:r>
            <w:proofErr w:type="gramEnd"/>
            <w:r w:rsidRPr="00F0379B">
              <w:rPr>
                <w:rFonts w:ascii="Cambria" w:eastAsia="MS Gothic" w:hAnsi="Cambria" w:cs="Times New Roman"/>
                <w:color w:val="000000"/>
                <w:sz w:val="20"/>
                <w:szCs w:val="20"/>
                <w:lang w:val="en-GB" w:eastAsia="fr-FR" w:bidi="fr-FR"/>
                <w14:ligatures w14:val="standardContextual"/>
              </w:rPr>
              <w:t xml:space="preserve"> BAY</w:t>
            </w:r>
          </w:p>
        </w:tc>
        <w:tc>
          <w:tcPr>
            <w:tcW w:w="0" w:type="auto"/>
            <w:tcBorders>
              <w:top w:val="nil"/>
              <w:left w:val="nil"/>
              <w:bottom w:val="nil"/>
              <w:right w:val="single" w:sz="4" w:space="0" w:color="auto"/>
            </w:tcBorders>
            <w:noWrap/>
            <w:vAlign w:val="bottom"/>
            <w:hideMark/>
          </w:tcPr>
          <w:p w14:paraId="3A2B08C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EU-Malta</w:t>
            </w:r>
          </w:p>
        </w:tc>
      </w:tr>
      <w:tr w:rsidR="009123AC" w:rsidRPr="00F0379B" w14:paraId="2D3B4375" w14:textId="77777777" w:rsidTr="00CA749B">
        <w:trPr>
          <w:trHeight w:val="300"/>
          <w:jc w:val="center"/>
        </w:trPr>
        <w:tc>
          <w:tcPr>
            <w:tcW w:w="0" w:type="auto"/>
            <w:tcBorders>
              <w:top w:val="nil"/>
              <w:left w:val="single" w:sz="4" w:space="0" w:color="auto"/>
              <w:bottom w:val="nil"/>
              <w:right w:val="nil"/>
            </w:tcBorders>
            <w:noWrap/>
            <w:vAlign w:val="bottom"/>
            <w:hideMark/>
          </w:tcPr>
          <w:p w14:paraId="528D99D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VALLETTA</w:t>
            </w:r>
          </w:p>
        </w:tc>
        <w:tc>
          <w:tcPr>
            <w:tcW w:w="0" w:type="auto"/>
            <w:tcBorders>
              <w:top w:val="nil"/>
              <w:left w:val="nil"/>
              <w:bottom w:val="nil"/>
              <w:right w:val="single" w:sz="4" w:space="0" w:color="auto"/>
            </w:tcBorders>
            <w:noWrap/>
            <w:vAlign w:val="bottom"/>
            <w:hideMark/>
          </w:tcPr>
          <w:p w14:paraId="1D53A70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EU-Malta</w:t>
            </w:r>
          </w:p>
        </w:tc>
      </w:tr>
      <w:tr w:rsidR="009123AC" w:rsidRPr="00F0379B" w14:paraId="47ABCFA3" w14:textId="77777777" w:rsidTr="00CA749B">
        <w:trPr>
          <w:trHeight w:val="300"/>
          <w:jc w:val="center"/>
        </w:trPr>
        <w:tc>
          <w:tcPr>
            <w:tcW w:w="0" w:type="auto"/>
            <w:tcBorders>
              <w:top w:val="nil"/>
              <w:left w:val="single" w:sz="4" w:space="0" w:color="auto"/>
              <w:bottom w:val="nil"/>
              <w:right w:val="nil"/>
            </w:tcBorders>
            <w:noWrap/>
            <w:vAlign w:val="bottom"/>
            <w:hideMark/>
          </w:tcPr>
          <w:p w14:paraId="5597B4C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CANIÇAL</w:t>
            </w:r>
          </w:p>
        </w:tc>
        <w:tc>
          <w:tcPr>
            <w:tcW w:w="0" w:type="auto"/>
            <w:tcBorders>
              <w:top w:val="nil"/>
              <w:left w:val="nil"/>
              <w:bottom w:val="nil"/>
              <w:right w:val="single" w:sz="4" w:space="0" w:color="auto"/>
            </w:tcBorders>
            <w:noWrap/>
            <w:vAlign w:val="bottom"/>
            <w:hideMark/>
          </w:tcPr>
          <w:p w14:paraId="37FEDE8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18613A2F" w14:textId="77777777" w:rsidTr="00CA749B">
        <w:trPr>
          <w:trHeight w:val="300"/>
          <w:jc w:val="center"/>
        </w:trPr>
        <w:tc>
          <w:tcPr>
            <w:tcW w:w="0" w:type="auto"/>
            <w:tcBorders>
              <w:top w:val="nil"/>
              <w:left w:val="single" w:sz="4" w:space="0" w:color="auto"/>
              <w:bottom w:val="nil"/>
              <w:right w:val="nil"/>
            </w:tcBorders>
            <w:noWrap/>
            <w:vAlign w:val="bottom"/>
            <w:hideMark/>
          </w:tcPr>
          <w:p w14:paraId="25497DF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FIGUEIRA DA FOZ</w:t>
            </w:r>
          </w:p>
        </w:tc>
        <w:tc>
          <w:tcPr>
            <w:tcW w:w="0" w:type="auto"/>
            <w:tcBorders>
              <w:top w:val="nil"/>
              <w:left w:val="nil"/>
              <w:bottom w:val="nil"/>
              <w:right w:val="single" w:sz="4" w:space="0" w:color="auto"/>
            </w:tcBorders>
            <w:noWrap/>
            <w:vAlign w:val="bottom"/>
            <w:hideMark/>
          </w:tcPr>
          <w:p w14:paraId="0F71B60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104DD31B" w14:textId="77777777" w:rsidTr="00CA749B">
        <w:trPr>
          <w:trHeight w:val="300"/>
          <w:jc w:val="center"/>
        </w:trPr>
        <w:tc>
          <w:tcPr>
            <w:tcW w:w="0" w:type="auto"/>
            <w:tcBorders>
              <w:top w:val="nil"/>
              <w:left w:val="single" w:sz="4" w:space="0" w:color="auto"/>
              <w:bottom w:val="nil"/>
              <w:right w:val="nil"/>
            </w:tcBorders>
            <w:noWrap/>
            <w:vAlign w:val="bottom"/>
            <w:hideMark/>
          </w:tcPr>
          <w:p w14:paraId="6501D86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FUNCHAL</w:t>
            </w:r>
          </w:p>
        </w:tc>
        <w:tc>
          <w:tcPr>
            <w:tcW w:w="0" w:type="auto"/>
            <w:tcBorders>
              <w:top w:val="nil"/>
              <w:left w:val="nil"/>
              <w:bottom w:val="nil"/>
              <w:right w:val="single" w:sz="4" w:space="0" w:color="auto"/>
            </w:tcBorders>
            <w:noWrap/>
            <w:vAlign w:val="bottom"/>
            <w:hideMark/>
          </w:tcPr>
          <w:p w14:paraId="12D8555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73F904B7" w14:textId="77777777" w:rsidTr="00CA749B">
        <w:trPr>
          <w:trHeight w:val="300"/>
          <w:jc w:val="center"/>
        </w:trPr>
        <w:tc>
          <w:tcPr>
            <w:tcW w:w="0" w:type="auto"/>
            <w:tcBorders>
              <w:top w:val="nil"/>
              <w:left w:val="single" w:sz="4" w:space="0" w:color="auto"/>
              <w:bottom w:val="nil"/>
              <w:right w:val="nil"/>
            </w:tcBorders>
            <w:noWrap/>
            <w:vAlign w:val="bottom"/>
            <w:hideMark/>
          </w:tcPr>
          <w:p w14:paraId="14A85BA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HORTA (FAIAL)</w:t>
            </w:r>
          </w:p>
        </w:tc>
        <w:tc>
          <w:tcPr>
            <w:tcW w:w="0" w:type="auto"/>
            <w:tcBorders>
              <w:top w:val="nil"/>
              <w:left w:val="nil"/>
              <w:bottom w:val="nil"/>
              <w:right w:val="single" w:sz="4" w:space="0" w:color="auto"/>
            </w:tcBorders>
            <w:noWrap/>
            <w:vAlign w:val="bottom"/>
            <w:hideMark/>
          </w:tcPr>
          <w:p w14:paraId="19D0A28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0E4AE59E" w14:textId="77777777" w:rsidTr="00CA749B">
        <w:trPr>
          <w:trHeight w:val="300"/>
          <w:jc w:val="center"/>
        </w:trPr>
        <w:tc>
          <w:tcPr>
            <w:tcW w:w="0" w:type="auto"/>
            <w:tcBorders>
              <w:top w:val="nil"/>
              <w:left w:val="single" w:sz="4" w:space="0" w:color="auto"/>
              <w:bottom w:val="nil"/>
              <w:right w:val="nil"/>
            </w:tcBorders>
            <w:noWrap/>
            <w:vAlign w:val="bottom"/>
            <w:hideMark/>
          </w:tcPr>
          <w:p w14:paraId="3336C63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LAJES (FLORES)</w:t>
            </w:r>
          </w:p>
        </w:tc>
        <w:tc>
          <w:tcPr>
            <w:tcW w:w="0" w:type="auto"/>
            <w:tcBorders>
              <w:top w:val="nil"/>
              <w:left w:val="nil"/>
              <w:bottom w:val="nil"/>
              <w:right w:val="single" w:sz="4" w:space="0" w:color="auto"/>
            </w:tcBorders>
            <w:noWrap/>
            <w:vAlign w:val="bottom"/>
            <w:hideMark/>
          </w:tcPr>
          <w:p w14:paraId="575FB90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725BE7C7" w14:textId="77777777" w:rsidTr="00CA749B">
        <w:trPr>
          <w:trHeight w:val="300"/>
          <w:jc w:val="center"/>
        </w:trPr>
        <w:tc>
          <w:tcPr>
            <w:tcW w:w="0" w:type="auto"/>
            <w:tcBorders>
              <w:top w:val="nil"/>
              <w:left w:val="single" w:sz="4" w:space="0" w:color="auto"/>
              <w:bottom w:val="nil"/>
              <w:right w:val="nil"/>
            </w:tcBorders>
            <w:noWrap/>
            <w:vAlign w:val="bottom"/>
            <w:hideMark/>
          </w:tcPr>
          <w:p w14:paraId="6A57933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MADALENA (PICO)</w:t>
            </w:r>
          </w:p>
        </w:tc>
        <w:tc>
          <w:tcPr>
            <w:tcW w:w="0" w:type="auto"/>
            <w:tcBorders>
              <w:top w:val="nil"/>
              <w:left w:val="nil"/>
              <w:bottom w:val="nil"/>
              <w:right w:val="single" w:sz="4" w:space="0" w:color="auto"/>
            </w:tcBorders>
            <w:noWrap/>
            <w:vAlign w:val="bottom"/>
            <w:hideMark/>
          </w:tcPr>
          <w:p w14:paraId="3CB7CDB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3D04F570" w14:textId="77777777" w:rsidTr="00CA749B">
        <w:trPr>
          <w:trHeight w:val="300"/>
          <w:jc w:val="center"/>
        </w:trPr>
        <w:tc>
          <w:tcPr>
            <w:tcW w:w="0" w:type="auto"/>
            <w:tcBorders>
              <w:top w:val="nil"/>
              <w:left w:val="single" w:sz="4" w:space="0" w:color="auto"/>
              <w:bottom w:val="nil"/>
              <w:right w:val="nil"/>
            </w:tcBorders>
            <w:noWrap/>
            <w:vAlign w:val="bottom"/>
            <w:hideMark/>
          </w:tcPr>
          <w:p w14:paraId="4AD7B8A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MATOSINHOS</w:t>
            </w:r>
          </w:p>
        </w:tc>
        <w:tc>
          <w:tcPr>
            <w:tcW w:w="0" w:type="auto"/>
            <w:tcBorders>
              <w:top w:val="nil"/>
              <w:left w:val="nil"/>
              <w:bottom w:val="nil"/>
              <w:right w:val="single" w:sz="4" w:space="0" w:color="auto"/>
            </w:tcBorders>
            <w:noWrap/>
            <w:vAlign w:val="bottom"/>
            <w:hideMark/>
          </w:tcPr>
          <w:p w14:paraId="50D2AB5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4CDC5966" w14:textId="77777777" w:rsidTr="00CA749B">
        <w:trPr>
          <w:trHeight w:val="300"/>
          <w:jc w:val="center"/>
        </w:trPr>
        <w:tc>
          <w:tcPr>
            <w:tcW w:w="0" w:type="auto"/>
            <w:tcBorders>
              <w:top w:val="nil"/>
              <w:left w:val="single" w:sz="4" w:space="0" w:color="auto"/>
              <w:bottom w:val="nil"/>
              <w:right w:val="nil"/>
            </w:tcBorders>
            <w:noWrap/>
            <w:vAlign w:val="bottom"/>
            <w:hideMark/>
          </w:tcPr>
          <w:p w14:paraId="02489DB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OLHAO</w:t>
            </w:r>
          </w:p>
        </w:tc>
        <w:tc>
          <w:tcPr>
            <w:tcW w:w="0" w:type="auto"/>
            <w:tcBorders>
              <w:top w:val="nil"/>
              <w:left w:val="nil"/>
              <w:bottom w:val="nil"/>
              <w:right w:val="single" w:sz="4" w:space="0" w:color="auto"/>
            </w:tcBorders>
            <w:noWrap/>
            <w:vAlign w:val="bottom"/>
            <w:hideMark/>
          </w:tcPr>
          <w:p w14:paraId="36D60DC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6EBD16B7" w14:textId="77777777" w:rsidTr="00CA749B">
        <w:trPr>
          <w:trHeight w:val="300"/>
          <w:jc w:val="center"/>
        </w:trPr>
        <w:tc>
          <w:tcPr>
            <w:tcW w:w="0" w:type="auto"/>
            <w:tcBorders>
              <w:top w:val="nil"/>
              <w:left w:val="single" w:sz="4" w:space="0" w:color="auto"/>
              <w:bottom w:val="nil"/>
              <w:right w:val="nil"/>
            </w:tcBorders>
            <w:noWrap/>
            <w:vAlign w:val="bottom"/>
            <w:hideMark/>
          </w:tcPr>
          <w:p w14:paraId="3C5E8C6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PAUL DO MAR</w:t>
            </w:r>
          </w:p>
        </w:tc>
        <w:tc>
          <w:tcPr>
            <w:tcW w:w="0" w:type="auto"/>
            <w:tcBorders>
              <w:top w:val="nil"/>
              <w:left w:val="nil"/>
              <w:bottom w:val="nil"/>
              <w:right w:val="single" w:sz="4" w:space="0" w:color="auto"/>
            </w:tcBorders>
            <w:noWrap/>
            <w:vAlign w:val="bottom"/>
            <w:hideMark/>
          </w:tcPr>
          <w:p w14:paraId="123DFA6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EU-Portugal</w:t>
            </w:r>
          </w:p>
        </w:tc>
      </w:tr>
      <w:tr w:rsidR="009123AC" w:rsidRPr="00F0379B" w14:paraId="40FC7C1D" w14:textId="77777777" w:rsidTr="00CA749B">
        <w:trPr>
          <w:trHeight w:val="300"/>
          <w:jc w:val="center"/>
        </w:trPr>
        <w:tc>
          <w:tcPr>
            <w:tcW w:w="0" w:type="auto"/>
            <w:tcBorders>
              <w:top w:val="nil"/>
              <w:left w:val="single" w:sz="4" w:space="0" w:color="auto"/>
              <w:bottom w:val="nil"/>
              <w:right w:val="nil"/>
            </w:tcBorders>
            <w:noWrap/>
            <w:vAlign w:val="bottom"/>
            <w:hideMark/>
          </w:tcPr>
          <w:p w14:paraId="671D52A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PENICHE</w:t>
            </w:r>
          </w:p>
        </w:tc>
        <w:tc>
          <w:tcPr>
            <w:tcW w:w="0" w:type="auto"/>
            <w:tcBorders>
              <w:top w:val="nil"/>
              <w:left w:val="nil"/>
              <w:bottom w:val="nil"/>
              <w:right w:val="single" w:sz="4" w:space="0" w:color="auto"/>
            </w:tcBorders>
            <w:noWrap/>
            <w:vAlign w:val="bottom"/>
            <w:hideMark/>
          </w:tcPr>
          <w:p w14:paraId="6AF7D6E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0176DA93" w14:textId="77777777" w:rsidTr="00CA749B">
        <w:trPr>
          <w:trHeight w:val="300"/>
          <w:jc w:val="center"/>
        </w:trPr>
        <w:tc>
          <w:tcPr>
            <w:tcW w:w="0" w:type="auto"/>
            <w:tcBorders>
              <w:top w:val="nil"/>
              <w:left w:val="single" w:sz="4" w:space="0" w:color="auto"/>
              <w:bottom w:val="nil"/>
              <w:right w:val="nil"/>
            </w:tcBorders>
            <w:noWrap/>
            <w:vAlign w:val="bottom"/>
            <w:hideMark/>
          </w:tcPr>
          <w:p w14:paraId="31324BD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PONTA DELGADA (SAO MIGUEL)</w:t>
            </w:r>
          </w:p>
        </w:tc>
        <w:tc>
          <w:tcPr>
            <w:tcW w:w="0" w:type="auto"/>
            <w:tcBorders>
              <w:top w:val="nil"/>
              <w:left w:val="nil"/>
              <w:bottom w:val="nil"/>
              <w:right w:val="single" w:sz="4" w:space="0" w:color="auto"/>
            </w:tcBorders>
            <w:noWrap/>
            <w:vAlign w:val="bottom"/>
            <w:hideMark/>
          </w:tcPr>
          <w:p w14:paraId="7195234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6A1BB464" w14:textId="77777777" w:rsidTr="00CA749B">
        <w:trPr>
          <w:trHeight w:val="300"/>
          <w:jc w:val="center"/>
        </w:trPr>
        <w:tc>
          <w:tcPr>
            <w:tcW w:w="0" w:type="auto"/>
            <w:tcBorders>
              <w:top w:val="nil"/>
              <w:left w:val="single" w:sz="4" w:space="0" w:color="auto"/>
              <w:bottom w:val="nil"/>
              <w:right w:val="nil"/>
            </w:tcBorders>
            <w:noWrap/>
            <w:vAlign w:val="bottom"/>
            <w:hideMark/>
          </w:tcPr>
          <w:p w14:paraId="47ABD80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PORTO DA CASA (CORVO)</w:t>
            </w:r>
          </w:p>
        </w:tc>
        <w:tc>
          <w:tcPr>
            <w:tcW w:w="0" w:type="auto"/>
            <w:tcBorders>
              <w:top w:val="nil"/>
              <w:left w:val="nil"/>
              <w:bottom w:val="nil"/>
              <w:right w:val="single" w:sz="4" w:space="0" w:color="auto"/>
            </w:tcBorders>
            <w:noWrap/>
            <w:vAlign w:val="bottom"/>
            <w:hideMark/>
          </w:tcPr>
          <w:p w14:paraId="268C295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74F8C456" w14:textId="77777777" w:rsidTr="00CA749B">
        <w:trPr>
          <w:trHeight w:val="300"/>
          <w:jc w:val="center"/>
        </w:trPr>
        <w:tc>
          <w:tcPr>
            <w:tcW w:w="0" w:type="auto"/>
            <w:tcBorders>
              <w:top w:val="nil"/>
              <w:left w:val="single" w:sz="4" w:space="0" w:color="auto"/>
              <w:bottom w:val="nil"/>
              <w:right w:val="nil"/>
            </w:tcBorders>
            <w:noWrap/>
            <w:vAlign w:val="bottom"/>
            <w:hideMark/>
          </w:tcPr>
          <w:p w14:paraId="43E457D7"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PORTO MONIZ</w:t>
            </w:r>
          </w:p>
        </w:tc>
        <w:tc>
          <w:tcPr>
            <w:tcW w:w="0" w:type="auto"/>
            <w:tcBorders>
              <w:top w:val="nil"/>
              <w:left w:val="nil"/>
              <w:bottom w:val="nil"/>
              <w:right w:val="single" w:sz="4" w:space="0" w:color="auto"/>
            </w:tcBorders>
            <w:noWrap/>
            <w:vAlign w:val="bottom"/>
            <w:hideMark/>
          </w:tcPr>
          <w:p w14:paraId="2A0AA21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EU-Portugal</w:t>
            </w:r>
          </w:p>
        </w:tc>
      </w:tr>
      <w:tr w:rsidR="009123AC" w:rsidRPr="00F0379B" w14:paraId="44C6E1C4" w14:textId="77777777" w:rsidTr="00CA749B">
        <w:trPr>
          <w:trHeight w:val="300"/>
          <w:jc w:val="center"/>
        </w:trPr>
        <w:tc>
          <w:tcPr>
            <w:tcW w:w="0" w:type="auto"/>
            <w:tcBorders>
              <w:top w:val="nil"/>
              <w:left w:val="single" w:sz="4" w:space="0" w:color="auto"/>
              <w:bottom w:val="nil"/>
              <w:right w:val="nil"/>
            </w:tcBorders>
            <w:noWrap/>
            <w:vAlign w:val="bottom"/>
            <w:hideMark/>
          </w:tcPr>
          <w:p w14:paraId="069106B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PORTO SANTO</w:t>
            </w:r>
          </w:p>
        </w:tc>
        <w:tc>
          <w:tcPr>
            <w:tcW w:w="0" w:type="auto"/>
            <w:tcBorders>
              <w:top w:val="nil"/>
              <w:left w:val="nil"/>
              <w:bottom w:val="nil"/>
              <w:right w:val="single" w:sz="4" w:space="0" w:color="auto"/>
            </w:tcBorders>
            <w:noWrap/>
            <w:vAlign w:val="bottom"/>
            <w:hideMark/>
          </w:tcPr>
          <w:p w14:paraId="04BC3EEE"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EU-Portugal</w:t>
            </w:r>
          </w:p>
        </w:tc>
      </w:tr>
      <w:tr w:rsidR="009123AC" w:rsidRPr="00F0379B" w14:paraId="4F4E1968" w14:textId="77777777" w:rsidTr="00CA749B">
        <w:trPr>
          <w:trHeight w:val="300"/>
          <w:jc w:val="center"/>
        </w:trPr>
        <w:tc>
          <w:tcPr>
            <w:tcW w:w="0" w:type="auto"/>
            <w:tcBorders>
              <w:top w:val="nil"/>
              <w:left w:val="single" w:sz="4" w:space="0" w:color="auto"/>
              <w:bottom w:val="nil"/>
              <w:right w:val="nil"/>
            </w:tcBorders>
            <w:noWrap/>
            <w:vAlign w:val="bottom"/>
            <w:hideMark/>
          </w:tcPr>
          <w:p w14:paraId="1CCFE39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PRAIA (GRACIOSA)</w:t>
            </w:r>
          </w:p>
        </w:tc>
        <w:tc>
          <w:tcPr>
            <w:tcW w:w="0" w:type="auto"/>
            <w:tcBorders>
              <w:top w:val="nil"/>
              <w:left w:val="nil"/>
              <w:bottom w:val="nil"/>
              <w:right w:val="single" w:sz="4" w:space="0" w:color="auto"/>
            </w:tcBorders>
            <w:noWrap/>
            <w:vAlign w:val="bottom"/>
            <w:hideMark/>
          </w:tcPr>
          <w:p w14:paraId="6E5BB57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250EF019" w14:textId="77777777" w:rsidTr="00CA749B">
        <w:trPr>
          <w:trHeight w:val="300"/>
          <w:jc w:val="center"/>
        </w:trPr>
        <w:tc>
          <w:tcPr>
            <w:tcW w:w="0" w:type="auto"/>
            <w:tcBorders>
              <w:top w:val="nil"/>
              <w:left w:val="single" w:sz="4" w:space="0" w:color="auto"/>
              <w:bottom w:val="nil"/>
              <w:right w:val="nil"/>
            </w:tcBorders>
            <w:noWrap/>
            <w:vAlign w:val="bottom"/>
            <w:hideMark/>
          </w:tcPr>
          <w:p w14:paraId="0231900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PRAIA DA VITORIA (TERCEIRA)</w:t>
            </w:r>
          </w:p>
        </w:tc>
        <w:tc>
          <w:tcPr>
            <w:tcW w:w="0" w:type="auto"/>
            <w:tcBorders>
              <w:top w:val="nil"/>
              <w:left w:val="nil"/>
              <w:bottom w:val="nil"/>
              <w:right w:val="single" w:sz="4" w:space="0" w:color="auto"/>
            </w:tcBorders>
            <w:noWrap/>
            <w:vAlign w:val="bottom"/>
            <w:hideMark/>
          </w:tcPr>
          <w:p w14:paraId="426E85C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00D3366C" w14:textId="77777777" w:rsidTr="00CA749B">
        <w:trPr>
          <w:trHeight w:val="300"/>
          <w:jc w:val="center"/>
        </w:trPr>
        <w:tc>
          <w:tcPr>
            <w:tcW w:w="0" w:type="auto"/>
            <w:tcBorders>
              <w:top w:val="nil"/>
              <w:left w:val="single" w:sz="4" w:space="0" w:color="auto"/>
              <w:bottom w:val="nil"/>
              <w:right w:val="nil"/>
            </w:tcBorders>
            <w:noWrap/>
            <w:vAlign w:val="bottom"/>
            <w:hideMark/>
          </w:tcPr>
          <w:p w14:paraId="491DC08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RABO DE PEIXE</w:t>
            </w:r>
          </w:p>
        </w:tc>
        <w:tc>
          <w:tcPr>
            <w:tcW w:w="0" w:type="auto"/>
            <w:tcBorders>
              <w:top w:val="nil"/>
              <w:left w:val="nil"/>
              <w:bottom w:val="nil"/>
              <w:right w:val="single" w:sz="4" w:space="0" w:color="auto"/>
            </w:tcBorders>
            <w:noWrap/>
            <w:vAlign w:val="bottom"/>
            <w:hideMark/>
          </w:tcPr>
          <w:p w14:paraId="156FE5E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3D270D6F" w14:textId="77777777" w:rsidTr="00CA749B">
        <w:trPr>
          <w:trHeight w:val="300"/>
          <w:jc w:val="center"/>
        </w:trPr>
        <w:tc>
          <w:tcPr>
            <w:tcW w:w="0" w:type="auto"/>
            <w:tcBorders>
              <w:top w:val="nil"/>
              <w:left w:val="single" w:sz="4" w:space="0" w:color="auto"/>
              <w:bottom w:val="nil"/>
              <w:right w:val="nil"/>
            </w:tcBorders>
            <w:noWrap/>
            <w:vAlign w:val="bottom"/>
            <w:hideMark/>
          </w:tcPr>
          <w:p w14:paraId="41DB718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SESIMBRA</w:t>
            </w:r>
          </w:p>
        </w:tc>
        <w:tc>
          <w:tcPr>
            <w:tcW w:w="0" w:type="auto"/>
            <w:tcBorders>
              <w:top w:val="nil"/>
              <w:left w:val="nil"/>
              <w:bottom w:val="nil"/>
              <w:right w:val="single" w:sz="4" w:space="0" w:color="auto"/>
            </w:tcBorders>
            <w:noWrap/>
            <w:vAlign w:val="bottom"/>
            <w:hideMark/>
          </w:tcPr>
          <w:p w14:paraId="1A9E120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4950A683" w14:textId="77777777" w:rsidTr="00CA749B">
        <w:trPr>
          <w:trHeight w:val="300"/>
          <w:jc w:val="center"/>
        </w:trPr>
        <w:tc>
          <w:tcPr>
            <w:tcW w:w="0" w:type="auto"/>
            <w:tcBorders>
              <w:top w:val="nil"/>
              <w:left w:val="single" w:sz="4" w:space="0" w:color="auto"/>
              <w:bottom w:val="nil"/>
              <w:right w:val="nil"/>
            </w:tcBorders>
            <w:noWrap/>
            <w:vAlign w:val="bottom"/>
            <w:hideMark/>
          </w:tcPr>
          <w:p w14:paraId="1E3B223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SINES</w:t>
            </w:r>
          </w:p>
        </w:tc>
        <w:tc>
          <w:tcPr>
            <w:tcW w:w="0" w:type="auto"/>
            <w:tcBorders>
              <w:top w:val="nil"/>
              <w:left w:val="nil"/>
              <w:bottom w:val="nil"/>
              <w:right w:val="single" w:sz="4" w:space="0" w:color="auto"/>
            </w:tcBorders>
            <w:noWrap/>
            <w:vAlign w:val="bottom"/>
            <w:hideMark/>
          </w:tcPr>
          <w:p w14:paraId="5D9C1EA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14B2E590" w14:textId="77777777" w:rsidTr="00CA749B">
        <w:trPr>
          <w:trHeight w:val="300"/>
          <w:jc w:val="center"/>
        </w:trPr>
        <w:tc>
          <w:tcPr>
            <w:tcW w:w="0" w:type="auto"/>
            <w:tcBorders>
              <w:top w:val="nil"/>
              <w:left w:val="single" w:sz="4" w:space="0" w:color="auto"/>
              <w:bottom w:val="nil"/>
              <w:right w:val="nil"/>
            </w:tcBorders>
            <w:noWrap/>
            <w:vAlign w:val="bottom"/>
            <w:hideMark/>
          </w:tcPr>
          <w:p w14:paraId="3610D21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VELAS (SAO JORGE)</w:t>
            </w:r>
          </w:p>
        </w:tc>
        <w:tc>
          <w:tcPr>
            <w:tcW w:w="0" w:type="auto"/>
            <w:tcBorders>
              <w:top w:val="nil"/>
              <w:left w:val="nil"/>
              <w:bottom w:val="nil"/>
              <w:right w:val="single" w:sz="4" w:space="0" w:color="auto"/>
            </w:tcBorders>
            <w:noWrap/>
            <w:vAlign w:val="bottom"/>
            <w:hideMark/>
          </w:tcPr>
          <w:p w14:paraId="3E59C3A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63ED88FC" w14:textId="77777777" w:rsidTr="00CA749B">
        <w:trPr>
          <w:trHeight w:val="300"/>
          <w:jc w:val="center"/>
        </w:trPr>
        <w:tc>
          <w:tcPr>
            <w:tcW w:w="0" w:type="auto"/>
            <w:tcBorders>
              <w:top w:val="nil"/>
              <w:left w:val="single" w:sz="4" w:space="0" w:color="auto"/>
              <w:bottom w:val="nil"/>
              <w:right w:val="nil"/>
            </w:tcBorders>
            <w:noWrap/>
            <w:vAlign w:val="bottom"/>
            <w:hideMark/>
          </w:tcPr>
          <w:p w14:paraId="2E1D724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VIANA DO CASTELO</w:t>
            </w:r>
          </w:p>
        </w:tc>
        <w:tc>
          <w:tcPr>
            <w:tcW w:w="0" w:type="auto"/>
            <w:tcBorders>
              <w:top w:val="nil"/>
              <w:left w:val="nil"/>
              <w:bottom w:val="nil"/>
              <w:right w:val="single" w:sz="4" w:space="0" w:color="auto"/>
            </w:tcBorders>
            <w:noWrap/>
            <w:vAlign w:val="bottom"/>
            <w:hideMark/>
          </w:tcPr>
          <w:p w14:paraId="3AB59A4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7BE46326" w14:textId="77777777" w:rsidTr="00CA749B">
        <w:trPr>
          <w:trHeight w:val="300"/>
          <w:jc w:val="center"/>
        </w:trPr>
        <w:tc>
          <w:tcPr>
            <w:tcW w:w="0" w:type="auto"/>
            <w:tcBorders>
              <w:top w:val="nil"/>
              <w:left w:val="single" w:sz="4" w:space="0" w:color="auto"/>
              <w:bottom w:val="nil"/>
              <w:right w:val="nil"/>
            </w:tcBorders>
            <w:noWrap/>
            <w:vAlign w:val="bottom"/>
            <w:hideMark/>
          </w:tcPr>
          <w:p w14:paraId="2AAD25E8" w14:textId="77777777" w:rsidR="009123AC" w:rsidRPr="00F0379B" w:rsidRDefault="009123AC" w:rsidP="009123AC">
            <w:pPr>
              <w:spacing w:after="0" w:line="240" w:lineRule="auto"/>
              <w:rPr>
                <w:rFonts w:ascii="Cambria" w:eastAsia="MS Gothic" w:hAnsi="Cambria" w:cs="Times New Roman"/>
                <w:color w:val="000000"/>
                <w:sz w:val="20"/>
                <w:szCs w:val="20"/>
                <w:lang w:val="pt-BR" w:eastAsia="fr-FR" w:bidi="fr-FR"/>
                <w14:ligatures w14:val="standardContextual"/>
              </w:rPr>
            </w:pPr>
            <w:r w:rsidRPr="00F0379B">
              <w:rPr>
                <w:rFonts w:ascii="Cambria" w:eastAsia="MS Gothic" w:hAnsi="Cambria" w:cs="Times New Roman"/>
                <w:color w:val="000000"/>
                <w:sz w:val="20"/>
                <w:szCs w:val="20"/>
                <w:lang w:val="pt-BR" w:eastAsia="fr-FR" w:bidi="fr-FR"/>
                <w14:ligatures w14:val="standardContextual"/>
              </w:rPr>
              <w:t>VILA DO PORTO (SANTA MARIA)</w:t>
            </w:r>
          </w:p>
        </w:tc>
        <w:tc>
          <w:tcPr>
            <w:tcW w:w="0" w:type="auto"/>
            <w:tcBorders>
              <w:top w:val="nil"/>
              <w:left w:val="nil"/>
              <w:bottom w:val="nil"/>
              <w:right w:val="single" w:sz="4" w:space="0" w:color="auto"/>
            </w:tcBorders>
            <w:noWrap/>
            <w:vAlign w:val="bottom"/>
            <w:hideMark/>
          </w:tcPr>
          <w:p w14:paraId="4F94008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792BD2CA" w14:textId="77777777" w:rsidTr="00CA749B">
        <w:trPr>
          <w:trHeight w:val="300"/>
          <w:jc w:val="center"/>
        </w:trPr>
        <w:tc>
          <w:tcPr>
            <w:tcW w:w="0" w:type="auto"/>
            <w:tcBorders>
              <w:top w:val="nil"/>
              <w:left w:val="single" w:sz="4" w:space="0" w:color="auto"/>
              <w:bottom w:val="nil"/>
              <w:right w:val="nil"/>
            </w:tcBorders>
            <w:noWrap/>
            <w:vAlign w:val="bottom"/>
            <w:hideMark/>
          </w:tcPr>
          <w:p w14:paraId="03BCA68A" w14:textId="77777777" w:rsidR="009123AC" w:rsidRPr="00F0379B" w:rsidRDefault="009123AC" w:rsidP="009123AC">
            <w:pPr>
              <w:spacing w:after="0" w:line="240" w:lineRule="auto"/>
              <w:rPr>
                <w:rFonts w:ascii="Cambria" w:eastAsia="MS Gothic" w:hAnsi="Cambria" w:cs="Times New Roman"/>
                <w:color w:val="000000"/>
                <w:sz w:val="20"/>
                <w:szCs w:val="20"/>
                <w:lang w:val="pt-BR" w:eastAsia="fr-FR" w:bidi="fr-FR"/>
                <w14:ligatures w14:val="standardContextual"/>
              </w:rPr>
            </w:pPr>
            <w:r w:rsidRPr="00F0379B">
              <w:rPr>
                <w:rFonts w:ascii="Cambria" w:eastAsia="MS Gothic" w:hAnsi="Cambria" w:cs="Times New Roman"/>
                <w:color w:val="000000"/>
                <w:sz w:val="20"/>
                <w:szCs w:val="20"/>
                <w:lang w:val="pt-BR" w:eastAsia="fr-FR" w:bidi="fr-FR"/>
                <w14:ligatures w14:val="standardContextual"/>
              </w:rPr>
              <w:t>VILA FRANCA DO CAMPO (S. MIGUEL)</w:t>
            </w:r>
          </w:p>
        </w:tc>
        <w:tc>
          <w:tcPr>
            <w:tcW w:w="0" w:type="auto"/>
            <w:tcBorders>
              <w:top w:val="nil"/>
              <w:left w:val="nil"/>
              <w:bottom w:val="nil"/>
              <w:right w:val="single" w:sz="4" w:space="0" w:color="auto"/>
            </w:tcBorders>
            <w:noWrap/>
            <w:vAlign w:val="bottom"/>
            <w:hideMark/>
          </w:tcPr>
          <w:p w14:paraId="774DA7D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EU-Portugal</w:t>
            </w:r>
          </w:p>
        </w:tc>
      </w:tr>
      <w:tr w:rsidR="009123AC" w:rsidRPr="00F0379B" w14:paraId="5520A655" w14:textId="77777777" w:rsidTr="00CA749B">
        <w:trPr>
          <w:trHeight w:val="300"/>
          <w:jc w:val="center"/>
        </w:trPr>
        <w:tc>
          <w:tcPr>
            <w:tcW w:w="0" w:type="auto"/>
            <w:tcBorders>
              <w:top w:val="nil"/>
              <w:left w:val="single" w:sz="4" w:space="0" w:color="auto"/>
              <w:bottom w:val="nil"/>
              <w:right w:val="nil"/>
            </w:tcBorders>
            <w:noWrap/>
            <w:vAlign w:val="bottom"/>
            <w:hideMark/>
          </w:tcPr>
          <w:p w14:paraId="214295E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BARSEBÄCKSHAMN</w:t>
            </w:r>
          </w:p>
        </w:tc>
        <w:tc>
          <w:tcPr>
            <w:tcW w:w="0" w:type="auto"/>
            <w:tcBorders>
              <w:top w:val="nil"/>
              <w:left w:val="nil"/>
              <w:bottom w:val="nil"/>
              <w:right w:val="single" w:sz="4" w:space="0" w:color="auto"/>
            </w:tcBorders>
            <w:noWrap/>
            <w:vAlign w:val="bottom"/>
            <w:hideMark/>
          </w:tcPr>
          <w:p w14:paraId="127CB46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7F8FD661" w14:textId="77777777" w:rsidTr="00CA749B">
        <w:trPr>
          <w:trHeight w:val="300"/>
          <w:jc w:val="center"/>
        </w:trPr>
        <w:tc>
          <w:tcPr>
            <w:tcW w:w="0" w:type="auto"/>
            <w:tcBorders>
              <w:top w:val="nil"/>
              <w:left w:val="single" w:sz="4" w:space="0" w:color="auto"/>
              <w:bottom w:val="nil"/>
              <w:right w:val="nil"/>
            </w:tcBorders>
            <w:noWrap/>
            <w:vAlign w:val="bottom"/>
            <w:hideMark/>
          </w:tcPr>
          <w:p w14:paraId="6099F47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BLÄSINGE</w:t>
            </w:r>
          </w:p>
        </w:tc>
        <w:tc>
          <w:tcPr>
            <w:tcW w:w="0" w:type="auto"/>
            <w:tcBorders>
              <w:top w:val="nil"/>
              <w:left w:val="nil"/>
              <w:bottom w:val="nil"/>
              <w:right w:val="single" w:sz="4" w:space="0" w:color="auto"/>
            </w:tcBorders>
            <w:noWrap/>
            <w:vAlign w:val="bottom"/>
            <w:hideMark/>
          </w:tcPr>
          <w:p w14:paraId="0D43DD5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60C47571" w14:textId="77777777" w:rsidTr="00CA749B">
        <w:trPr>
          <w:trHeight w:val="300"/>
          <w:jc w:val="center"/>
        </w:trPr>
        <w:tc>
          <w:tcPr>
            <w:tcW w:w="0" w:type="auto"/>
            <w:tcBorders>
              <w:top w:val="nil"/>
              <w:left w:val="single" w:sz="4" w:space="0" w:color="auto"/>
              <w:bottom w:val="nil"/>
              <w:right w:val="nil"/>
            </w:tcBorders>
            <w:noWrap/>
            <w:vAlign w:val="bottom"/>
            <w:hideMark/>
          </w:tcPr>
          <w:p w14:paraId="4C203DC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BONDHAMN</w:t>
            </w:r>
          </w:p>
        </w:tc>
        <w:tc>
          <w:tcPr>
            <w:tcW w:w="0" w:type="auto"/>
            <w:tcBorders>
              <w:top w:val="nil"/>
              <w:left w:val="nil"/>
              <w:bottom w:val="nil"/>
              <w:right w:val="single" w:sz="4" w:space="0" w:color="auto"/>
            </w:tcBorders>
            <w:noWrap/>
            <w:vAlign w:val="bottom"/>
            <w:hideMark/>
          </w:tcPr>
          <w:p w14:paraId="0BEEBC8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5D3D0C6C" w14:textId="77777777" w:rsidTr="00CA749B">
        <w:trPr>
          <w:trHeight w:val="300"/>
          <w:jc w:val="center"/>
        </w:trPr>
        <w:tc>
          <w:tcPr>
            <w:tcW w:w="0" w:type="auto"/>
            <w:tcBorders>
              <w:top w:val="nil"/>
              <w:left w:val="single" w:sz="4" w:space="0" w:color="auto"/>
              <w:bottom w:val="nil"/>
              <w:right w:val="nil"/>
            </w:tcBorders>
            <w:noWrap/>
            <w:vAlign w:val="bottom"/>
            <w:hideMark/>
          </w:tcPr>
          <w:p w14:paraId="6BDA526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BYXELKROK</w:t>
            </w:r>
          </w:p>
        </w:tc>
        <w:tc>
          <w:tcPr>
            <w:tcW w:w="0" w:type="auto"/>
            <w:tcBorders>
              <w:top w:val="nil"/>
              <w:left w:val="nil"/>
              <w:bottom w:val="nil"/>
              <w:right w:val="single" w:sz="4" w:space="0" w:color="auto"/>
            </w:tcBorders>
            <w:noWrap/>
            <w:vAlign w:val="bottom"/>
            <w:hideMark/>
          </w:tcPr>
          <w:p w14:paraId="319932C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5F37986A" w14:textId="77777777" w:rsidTr="00CA749B">
        <w:trPr>
          <w:trHeight w:val="300"/>
          <w:jc w:val="center"/>
        </w:trPr>
        <w:tc>
          <w:tcPr>
            <w:tcW w:w="0" w:type="auto"/>
            <w:tcBorders>
              <w:top w:val="nil"/>
              <w:left w:val="single" w:sz="4" w:space="0" w:color="auto"/>
              <w:bottom w:val="nil"/>
              <w:right w:val="nil"/>
            </w:tcBorders>
            <w:noWrap/>
            <w:vAlign w:val="bottom"/>
            <w:hideMark/>
          </w:tcPr>
          <w:p w14:paraId="0A12842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ELLÖS</w:t>
            </w:r>
          </w:p>
        </w:tc>
        <w:tc>
          <w:tcPr>
            <w:tcW w:w="0" w:type="auto"/>
            <w:tcBorders>
              <w:top w:val="nil"/>
              <w:left w:val="nil"/>
              <w:bottom w:val="nil"/>
              <w:right w:val="single" w:sz="4" w:space="0" w:color="auto"/>
            </w:tcBorders>
            <w:noWrap/>
            <w:vAlign w:val="bottom"/>
            <w:hideMark/>
          </w:tcPr>
          <w:p w14:paraId="036545E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164DF1EC" w14:textId="77777777" w:rsidTr="00CA749B">
        <w:trPr>
          <w:trHeight w:val="300"/>
          <w:jc w:val="center"/>
        </w:trPr>
        <w:tc>
          <w:tcPr>
            <w:tcW w:w="0" w:type="auto"/>
            <w:tcBorders>
              <w:top w:val="nil"/>
              <w:left w:val="single" w:sz="4" w:space="0" w:color="auto"/>
              <w:bottom w:val="nil"/>
              <w:right w:val="nil"/>
            </w:tcBorders>
            <w:noWrap/>
            <w:vAlign w:val="bottom"/>
            <w:hideMark/>
          </w:tcPr>
          <w:p w14:paraId="72DF111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ENGESBERG</w:t>
            </w:r>
          </w:p>
        </w:tc>
        <w:tc>
          <w:tcPr>
            <w:tcW w:w="0" w:type="auto"/>
            <w:tcBorders>
              <w:top w:val="nil"/>
              <w:left w:val="nil"/>
              <w:bottom w:val="nil"/>
              <w:right w:val="single" w:sz="4" w:space="0" w:color="auto"/>
            </w:tcBorders>
            <w:noWrap/>
            <w:vAlign w:val="bottom"/>
            <w:hideMark/>
          </w:tcPr>
          <w:p w14:paraId="72A09A5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2CF6EDC5" w14:textId="77777777" w:rsidTr="00CA749B">
        <w:trPr>
          <w:trHeight w:val="300"/>
          <w:jc w:val="center"/>
        </w:trPr>
        <w:tc>
          <w:tcPr>
            <w:tcW w:w="0" w:type="auto"/>
            <w:tcBorders>
              <w:top w:val="nil"/>
              <w:left w:val="single" w:sz="4" w:space="0" w:color="auto"/>
              <w:bottom w:val="nil"/>
              <w:right w:val="nil"/>
            </w:tcBorders>
            <w:noWrap/>
            <w:vAlign w:val="bottom"/>
            <w:hideMark/>
          </w:tcPr>
          <w:p w14:paraId="4746970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GRANKULLAVIK</w:t>
            </w:r>
          </w:p>
        </w:tc>
        <w:tc>
          <w:tcPr>
            <w:tcW w:w="0" w:type="auto"/>
            <w:tcBorders>
              <w:top w:val="nil"/>
              <w:left w:val="nil"/>
              <w:bottom w:val="nil"/>
              <w:right w:val="single" w:sz="4" w:space="0" w:color="auto"/>
            </w:tcBorders>
            <w:noWrap/>
            <w:vAlign w:val="bottom"/>
            <w:hideMark/>
          </w:tcPr>
          <w:p w14:paraId="7A1C5BB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3C8D67DF" w14:textId="77777777" w:rsidTr="00CA749B">
        <w:trPr>
          <w:trHeight w:val="300"/>
          <w:jc w:val="center"/>
        </w:trPr>
        <w:tc>
          <w:tcPr>
            <w:tcW w:w="0" w:type="auto"/>
            <w:tcBorders>
              <w:top w:val="nil"/>
              <w:left w:val="single" w:sz="4" w:space="0" w:color="auto"/>
              <w:bottom w:val="nil"/>
              <w:right w:val="nil"/>
            </w:tcBorders>
            <w:noWrap/>
            <w:vAlign w:val="bottom"/>
            <w:hideMark/>
          </w:tcPr>
          <w:p w14:paraId="180C6F4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GÖTEBORG</w:t>
            </w:r>
          </w:p>
        </w:tc>
        <w:tc>
          <w:tcPr>
            <w:tcW w:w="0" w:type="auto"/>
            <w:tcBorders>
              <w:top w:val="nil"/>
              <w:left w:val="nil"/>
              <w:bottom w:val="nil"/>
              <w:right w:val="single" w:sz="4" w:space="0" w:color="auto"/>
            </w:tcBorders>
            <w:noWrap/>
            <w:vAlign w:val="bottom"/>
            <w:hideMark/>
          </w:tcPr>
          <w:p w14:paraId="30154F3B"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EU-Sweden</w:t>
            </w:r>
          </w:p>
        </w:tc>
      </w:tr>
      <w:tr w:rsidR="009123AC" w:rsidRPr="00F0379B" w14:paraId="0747EAB4" w14:textId="77777777" w:rsidTr="00CA749B">
        <w:trPr>
          <w:trHeight w:val="300"/>
          <w:jc w:val="center"/>
        </w:trPr>
        <w:tc>
          <w:tcPr>
            <w:tcW w:w="0" w:type="auto"/>
            <w:tcBorders>
              <w:top w:val="nil"/>
              <w:left w:val="single" w:sz="4" w:space="0" w:color="auto"/>
              <w:bottom w:val="nil"/>
              <w:right w:val="nil"/>
            </w:tcBorders>
            <w:noWrap/>
            <w:vAlign w:val="bottom"/>
            <w:hideMark/>
          </w:tcPr>
          <w:p w14:paraId="17D69CE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KARLSKRONA, HANDELSHAMNEN</w:t>
            </w:r>
          </w:p>
        </w:tc>
        <w:tc>
          <w:tcPr>
            <w:tcW w:w="0" w:type="auto"/>
            <w:tcBorders>
              <w:top w:val="nil"/>
              <w:left w:val="nil"/>
              <w:bottom w:val="nil"/>
              <w:right w:val="single" w:sz="4" w:space="0" w:color="auto"/>
            </w:tcBorders>
            <w:noWrap/>
            <w:vAlign w:val="bottom"/>
            <w:hideMark/>
          </w:tcPr>
          <w:p w14:paraId="1F4DD097"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6B5CBAA5" w14:textId="77777777" w:rsidTr="00CA749B">
        <w:trPr>
          <w:trHeight w:val="300"/>
          <w:jc w:val="center"/>
        </w:trPr>
        <w:tc>
          <w:tcPr>
            <w:tcW w:w="0" w:type="auto"/>
            <w:tcBorders>
              <w:top w:val="nil"/>
              <w:left w:val="single" w:sz="4" w:space="0" w:color="auto"/>
              <w:bottom w:val="nil"/>
              <w:right w:val="nil"/>
            </w:tcBorders>
            <w:noWrap/>
            <w:vAlign w:val="bottom"/>
            <w:hideMark/>
          </w:tcPr>
          <w:p w14:paraId="6D03B78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KARLSKRONA, SALTÖ</w:t>
            </w:r>
          </w:p>
        </w:tc>
        <w:tc>
          <w:tcPr>
            <w:tcW w:w="0" w:type="auto"/>
            <w:tcBorders>
              <w:top w:val="nil"/>
              <w:left w:val="nil"/>
              <w:bottom w:val="nil"/>
              <w:right w:val="single" w:sz="4" w:space="0" w:color="auto"/>
            </w:tcBorders>
            <w:noWrap/>
            <w:vAlign w:val="bottom"/>
            <w:hideMark/>
          </w:tcPr>
          <w:p w14:paraId="42A5BD5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0C0891D3" w14:textId="77777777" w:rsidTr="00CA749B">
        <w:trPr>
          <w:trHeight w:val="300"/>
          <w:jc w:val="center"/>
        </w:trPr>
        <w:tc>
          <w:tcPr>
            <w:tcW w:w="0" w:type="auto"/>
            <w:tcBorders>
              <w:top w:val="nil"/>
              <w:left w:val="single" w:sz="4" w:space="0" w:color="auto"/>
              <w:bottom w:val="nil"/>
              <w:right w:val="nil"/>
            </w:tcBorders>
            <w:noWrap/>
            <w:vAlign w:val="bottom"/>
            <w:hideMark/>
          </w:tcPr>
          <w:p w14:paraId="5F712D3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KUNGSHAMN</w:t>
            </w:r>
          </w:p>
        </w:tc>
        <w:tc>
          <w:tcPr>
            <w:tcW w:w="0" w:type="auto"/>
            <w:tcBorders>
              <w:top w:val="nil"/>
              <w:left w:val="nil"/>
              <w:bottom w:val="nil"/>
              <w:right w:val="single" w:sz="4" w:space="0" w:color="auto"/>
            </w:tcBorders>
            <w:noWrap/>
            <w:vAlign w:val="bottom"/>
            <w:hideMark/>
          </w:tcPr>
          <w:p w14:paraId="13DFCEA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53985DA3" w14:textId="77777777" w:rsidTr="00CA749B">
        <w:trPr>
          <w:trHeight w:val="300"/>
          <w:jc w:val="center"/>
        </w:trPr>
        <w:tc>
          <w:tcPr>
            <w:tcW w:w="0" w:type="auto"/>
            <w:tcBorders>
              <w:top w:val="nil"/>
              <w:left w:val="single" w:sz="4" w:space="0" w:color="auto"/>
              <w:bottom w:val="nil"/>
              <w:right w:val="nil"/>
            </w:tcBorders>
            <w:noWrap/>
            <w:vAlign w:val="bottom"/>
            <w:hideMark/>
          </w:tcPr>
          <w:p w14:paraId="3FCF105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LIMHAMN</w:t>
            </w:r>
          </w:p>
        </w:tc>
        <w:tc>
          <w:tcPr>
            <w:tcW w:w="0" w:type="auto"/>
            <w:tcBorders>
              <w:top w:val="nil"/>
              <w:left w:val="nil"/>
              <w:bottom w:val="nil"/>
              <w:right w:val="single" w:sz="4" w:space="0" w:color="auto"/>
            </w:tcBorders>
            <w:noWrap/>
            <w:vAlign w:val="bottom"/>
            <w:hideMark/>
          </w:tcPr>
          <w:p w14:paraId="05B388E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48A87F09" w14:textId="77777777" w:rsidTr="00CA749B">
        <w:trPr>
          <w:trHeight w:val="300"/>
          <w:jc w:val="center"/>
        </w:trPr>
        <w:tc>
          <w:tcPr>
            <w:tcW w:w="0" w:type="auto"/>
            <w:tcBorders>
              <w:top w:val="nil"/>
              <w:left w:val="single" w:sz="4" w:space="0" w:color="auto"/>
              <w:bottom w:val="nil"/>
              <w:right w:val="nil"/>
            </w:tcBorders>
            <w:noWrap/>
            <w:vAlign w:val="bottom"/>
            <w:hideMark/>
          </w:tcPr>
          <w:p w14:paraId="174D0DE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LOMMA</w:t>
            </w:r>
          </w:p>
        </w:tc>
        <w:tc>
          <w:tcPr>
            <w:tcW w:w="0" w:type="auto"/>
            <w:tcBorders>
              <w:top w:val="nil"/>
              <w:left w:val="nil"/>
              <w:bottom w:val="nil"/>
              <w:right w:val="single" w:sz="4" w:space="0" w:color="auto"/>
            </w:tcBorders>
            <w:noWrap/>
            <w:vAlign w:val="bottom"/>
            <w:hideMark/>
          </w:tcPr>
          <w:p w14:paraId="021A5E8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4EDEFDFA" w14:textId="77777777" w:rsidTr="00CA749B">
        <w:trPr>
          <w:trHeight w:val="300"/>
          <w:jc w:val="center"/>
        </w:trPr>
        <w:tc>
          <w:tcPr>
            <w:tcW w:w="0" w:type="auto"/>
            <w:tcBorders>
              <w:top w:val="nil"/>
              <w:left w:val="single" w:sz="4" w:space="0" w:color="auto"/>
              <w:bottom w:val="nil"/>
              <w:right w:val="nil"/>
            </w:tcBorders>
            <w:noWrap/>
            <w:vAlign w:val="bottom"/>
            <w:hideMark/>
          </w:tcPr>
          <w:p w14:paraId="031E660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LYSEKIL</w:t>
            </w:r>
          </w:p>
        </w:tc>
        <w:tc>
          <w:tcPr>
            <w:tcW w:w="0" w:type="auto"/>
            <w:tcBorders>
              <w:top w:val="nil"/>
              <w:left w:val="nil"/>
              <w:bottom w:val="nil"/>
              <w:right w:val="single" w:sz="4" w:space="0" w:color="auto"/>
            </w:tcBorders>
            <w:noWrap/>
            <w:vAlign w:val="bottom"/>
            <w:hideMark/>
          </w:tcPr>
          <w:p w14:paraId="403BBD6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50B8E7CE" w14:textId="77777777" w:rsidTr="00CA749B">
        <w:trPr>
          <w:trHeight w:val="300"/>
          <w:jc w:val="center"/>
        </w:trPr>
        <w:tc>
          <w:tcPr>
            <w:tcW w:w="0" w:type="auto"/>
            <w:tcBorders>
              <w:top w:val="nil"/>
              <w:left w:val="single" w:sz="4" w:space="0" w:color="auto"/>
              <w:bottom w:val="nil"/>
              <w:right w:val="nil"/>
            </w:tcBorders>
            <w:noWrap/>
            <w:vAlign w:val="bottom"/>
            <w:hideMark/>
          </w:tcPr>
          <w:p w14:paraId="5BC2489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MELLANFJÄRDEN</w:t>
            </w:r>
          </w:p>
        </w:tc>
        <w:tc>
          <w:tcPr>
            <w:tcW w:w="0" w:type="auto"/>
            <w:tcBorders>
              <w:top w:val="nil"/>
              <w:left w:val="nil"/>
              <w:bottom w:val="nil"/>
              <w:right w:val="single" w:sz="4" w:space="0" w:color="auto"/>
            </w:tcBorders>
            <w:noWrap/>
            <w:vAlign w:val="bottom"/>
            <w:hideMark/>
          </w:tcPr>
          <w:p w14:paraId="4766E05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53DF74D8" w14:textId="77777777" w:rsidTr="00CA749B">
        <w:trPr>
          <w:trHeight w:val="300"/>
          <w:jc w:val="center"/>
        </w:trPr>
        <w:tc>
          <w:tcPr>
            <w:tcW w:w="0" w:type="auto"/>
            <w:tcBorders>
              <w:top w:val="nil"/>
              <w:left w:val="single" w:sz="4" w:space="0" w:color="auto"/>
              <w:bottom w:val="nil"/>
              <w:right w:val="nil"/>
            </w:tcBorders>
            <w:noWrap/>
            <w:vAlign w:val="bottom"/>
            <w:hideMark/>
          </w:tcPr>
          <w:p w14:paraId="60A1BC4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MOLLÖSUND</w:t>
            </w:r>
          </w:p>
        </w:tc>
        <w:tc>
          <w:tcPr>
            <w:tcW w:w="0" w:type="auto"/>
            <w:tcBorders>
              <w:top w:val="nil"/>
              <w:left w:val="nil"/>
              <w:bottom w:val="nil"/>
              <w:right w:val="single" w:sz="4" w:space="0" w:color="auto"/>
            </w:tcBorders>
            <w:noWrap/>
            <w:vAlign w:val="bottom"/>
            <w:hideMark/>
          </w:tcPr>
          <w:p w14:paraId="37BFCB1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76CF4179" w14:textId="77777777" w:rsidTr="00CA749B">
        <w:trPr>
          <w:trHeight w:val="300"/>
          <w:jc w:val="center"/>
        </w:trPr>
        <w:tc>
          <w:tcPr>
            <w:tcW w:w="0" w:type="auto"/>
            <w:tcBorders>
              <w:top w:val="nil"/>
              <w:left w:val="single" w:sz="4" w:space="0" w:color="auto"/>
              <w:bottom w:val="nil"/>
              <w:right w:val="nil"/>
            </w:tcBorders>
            <w:noWrap/>
            <w:vAlign w:val="bottom"/>
            <w:hideMark/>
          </w:tcPr>
          <w:p w14:paraId="3E92587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NOGERSUND</w:t>
            </w:r>
          </w:p>
        </w:tc>
        <w:tc>
          <w:tcPr>
            <w:tcW w:w="0" w:type="auto"/>
            <w:tcBorders>
              <w:top w:val="nil"/>
              <w:left w:val="nil"/>
              <w:bottom w:val="nil"/>
              <w:right w:val="single" w:sz="4" w:space="0" w:color="auto"/>
            </w:tcBorders>
            <w:noWrap/>
            <w:vAlign w:val="bottom"/>
            <w:hideMark/>
          </w:tcPr>
          <w:p w14:paraId="0F597AF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26FAF9C9" w14:textId="77777777" w:rsidTr="00CA749B">
        <w:trPr>
          <w:trHeight w:val="300"/>
          <w:jc w:val="center"/>
        </w:trPr>
        <w:tc>
          <w:tcPr>
            <w:tcW w:w="0" w:type="auto"/>
            <w:tcBorders>
              <w:top w:val="nil"/>
              <w:left w:val="single" w:sz="4" w:space="0" w:color="auto"/>
              <w:bottom w:val="nil"/>
              <w:right w:val="nil"/>
            </w:tcBorders>
            <w:noWrap/>
            <w:vAlign w:val="bottom"/>
            <w:hideMark/>
          </w:tcPr>
          <w:p w14:paraId="080FC6CE"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NORRSUNDET</w:t>
            </w:r>
          </w:p>
        </w:tc>
        <w:tc>
          <w:tcPr>
            <w:tcW w:w="0" w:type="auto"/>
            <w:tcBorders>
              <w:top w:val="nil"/>
              <w:left w:val="nil"/>
              <w:bottom w:val="nil"/>
              <w:right w:val="single" w:sz="4" w:space="0" w:color="auto"/>
            </w:tcBorders>
            <w:noWrap/>
            <w:vAlign w:val="bottom"/>
            <w:hideMark/>
          </w:tcPr>
          <w:p w14:paraId="604A8C7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1A8F89CA" w14:textId="77777777" w:rsidTr="00CA749B">
        <w:trPr>
          <w:trHeight w:val="300"/>
          <w:jc w:val="center"/>
        </w:trPr>
        <w:tc>
          <w:tcPr>
            <w:tcW w:w="0" w:type="auto"/>
            <w:tcBorders>
              <w:top w:val="nil"/>
              <w:left w:val="single" w:sz="4" w:space="0" w:color="auto"/>
              <w:bottom w:val="nil"/>
              <w:right w:val="nil"/>
            </w:tcBorders>
            <w:noWrap/>
            <w:vAlign w:val="bottom"/>
            <w:hideMark/>
          </w:tcPr>
          <w:p w14:paraId="054D5DFA"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NÄRSHAMN</w:t>
            </w:r>
          </w:p>
        </w:tc>
        <w:tc>
          <w:tcPr>
            <w:tcW w:w="0" w:type="auto"/>
            <w:tcBorders>
              <w:top w:val="nil"/>
              <w:left w:val="nil"/>
              <w:bottom w:val="nil"/>
              <w:right w:val="single" w:sz="4" w:space="0" w:color="auto"/>
            </w:tcBorders>
            <w:noWrap/>
            <w:vAlign w:val="bottom"/>
            <w:hideMark/>
          </w:tcPr>
          <w:p w14:paraId="041AFE04"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EU-Sweden</w:t>
            </w:r>
          </w:p>
        </w:tc>
      </w:tr>
      <w:tr w:rsidR="009123AC" w:rsidRPr="00F0379B" w14:paraId="3590D183" w14:textId="77777777" w:rsidTr="00CA749B">
        <w:trPr>
          <w:trHeight w:val="300"/>
          <w:jc w:val="center"/>
        </w:trPr>
        <w:tc>
          <w:tcPr>
            <w:tcW w:w="0" w:type="auto"/>
            <w:tcBorders>
              <w:top w:val="nil"/>
              <w:left w:val="single" w:sz="4" w:space="0" w:color="auto"/>
              <w:bottom w:val="nil"/>
              <w:right w:val="nil"/>
            </w:tcBorders>
            <w:noWrap/>
            <w:vAlign w:val="bottom"/>
            <w:hideMark/>
          </w:tcPr>
          <w:p w14:paraId="0FA5D5EA"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OXELÖSUND</w:t>
            </w:r>
          </w:p>
        </w:tc>
        <w:tc>
          <w:tcPr>
            <w:tcW w:w="0" w:type="auto"/>
            <w:tcBorders>
              <w:top w:val="nil"/>
              <w:left w:val="nil"/>
              <w:bottom w:val="nil"/>
              <w:right w:val="single" w:sz="4" w:space="0" w:color="auto"/>
            </w:tcBorders>
            <w:noWrap/>
            <w:vAlign w:val="bottom"/>
            <w:hideMark/>
          </w:tcPr>
          <w:p w14:paraId="680C291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40FC2EA5" w14:textId="77777777" w:rsidTr="00CA749B">
        <w:trPr>
          <w:trHeight w:val="300"/>
          <w:jc w:val="center"/>
        </w:trPr>
        <w:tc>
          <w:tcPr>
            <w:tcW w:w="0" w:type="auto"/>
            <w:tcBorders>
              <w:top w:val="nil"/>
              <w:left w:val="single" w:sz="4" w:space="0" w:color="auto"/>
              <w:bottom w:val="nil"/>
              <w:right w:val="nil"/>
            </w:tcBorders>
            <w:noWrap/>
            <w:vAlign w:val="bottom"/>
            <w:hideMark/>
          </w:tcPr>
          <w:p w14:paraId="0FC261F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RONEHAMN</w:t>
            </w:r>
          </w:p>
        </w:tc>
        <w:tc>
          <w:tcPr>
            <w:tcW w:w="0" w:type="auto"/>
            <w:tcBorders>
              <w:top w:val="nil"/>
              <w:left w:val="nil"/>
              <w:bottom w:val="nil"/>
              <w:right w:val="single" w:sz="4" w:space="0" w:color="auto"/>
            </w:tcBorders>
            <w:noWrap/>
            <w:vAlign w:val="bottom"/>
            <w:hideMark/>
          </w:tcPr>
          <w:p w14:paraId="2F35E0C2"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4F70F0E3" w14:textId="77777777" w:rsidTr="00CA749B">
        <w:trPr>
          <w:trHeight w:val="300"/>
          <w:jc w:val="center"/>
        </w:trPr>
        <w:tc>
          <w:tcPr>
            <w:tcW w:w="0" w:type="auto"/>
            <w:tcBorders>
              <w:top w:val="nil"/>
              <w:left w:val="single" w:sz="4" w:space="0" w:color="auto"/>
              <w:bottom w:val="nil"/>
              <w:right w:val="nil"/>
            </w:tcBorders>
            <w:noWrap/>
            <w:vAlign w:val="bottom"/>
            <w:hideMark/>
          </w:tcPr>
          <w:p w14:paraId="25964450"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RÖNNÄNG</w:t>
            </w:r>
          </w:p>
        </w:tc>
        <w:tc>
          <w:tcPr>
            <w:tcW w:w="0" w:type="auto"/>
            <w:tcBorders>
              <w:top w:val="nil"/>
              <w:left w:val="nil"/>
              <w:bottom w:val="nil"/>
              <w:right w:val="single" w:sz="4" w:space="0" w:color="auto"/>
            </w:tcBorders>
            <w:noWrap/>
            <w:vAlign w:val="bottom"/>
            <w:hideMark/>
          </w:tcPr>
          <w:p w14:paraId="10C778C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50740EFD" w14:textId="77777777" w:rsidTr="00CA749B">
        <w:trPr>
          <w:trHeight w:val="300"/>
          <w:jc w:val="center"/>
        </w:trPr>
        <w:tc>
          <w:tcPr>
            <w:tcW w:w="0" w:type="auto"/>
            <w:tcBorders>
              <w:top w:val="nil"/>
              <w:left w:val="single" w:sz="4" w:space="0" w:color="auto"/>
              <w:bottom w:val="nil"/>
              <w:right w:val="nil"/>
            </w:tcBorders>
            <w:noWrap/>
            <w:vAlign w:val="bottom"/>
            <w:hideMark/>
          </w:tcPr>
          <w:p w14:paraId="3AD60DB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SIMRISHAMN</w:t>
            </w:r>
          </w:p>
        </w:tc>
        <w:tc>
          <w:tcPr>
            <w:tcW w:w="0" w:type="auto"/>
            <w:tcBorders>
              <w:top w:val="nil"/>
              <w:left w:val="nil"/>
              <w:bottom w:val="nil"/>
              <w:right w:val="single" w:sz="4" w:space="0" w:color="auto"/>
            </w:tcBorders>
            <w:noWrap/>
            <w:vAlign w:val="bottom"/>
            <w:hideMark/>
          </w:tcPr>
          <w:p w14:paraId="40D8990B"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4BDA63F7" w14:textId="77777777" w:rsidTr="00CA749B">
        <w:trPr>
          <w:trHeight w:val="300"/>
          <w:jc w:val="center"/>
        </w:trPr>
        <w:tc>
          <w:tcPr>
            <w:tcW w:w="0" w:type="auto"/>
            <w:tcBorders>
              <w:top w:val="nil"/>
              <w:left w:val="single" w:sz="4" w:space="0" w:color="auto"/>
              <w:bottom w:val="nil"/>
              <w:right w:val="nil"/>
            </w:tcBorders>
            <w:noWrap/>
            <w:vAlign w:val="bottom"/>
            <w:hideMark/>
          </w:tcPr>
          <w:p w14:paraId="0F6FF18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SKAGSHAMN</w:t>
            </w:r>
          </w:p>
        </w:tc>
        <w:tc>
          <w:tcPr>
            <w:tcW w:w="0" w:type="auto"/>
            <w:tcBorders>
              <w:top w:val="nil"/>
              <w:left w:val="nil"/>
              <w:bottom w:val="nil"/>
              <w:right w:val="single" w:sz="4" w:space="0" w:color="auto"/>
            </w:tcBorders>
            <w:noWrap/>
            <w:vAlign w:val="bottom"/>
            <w:hideMark/>
          </w:tcPr>
          <w:p w14:paraId="5490A36D"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32F26519" w14:textId="77777777" w:rsidTr="00CA749B">
        <w:trPr>
          <w:trHeight w:val="300"/>
          <w:jc w:val="center"/>
        </w:trPr>
        <w:tc>
          <w:tcPr>
            <w:tcW w:w="0" w:type="auto"/>
            <w:tcBorders>
              <w:top w:val="nil"/>
              <w:left w:val="single" w:sz="4" w:space="0" w:color="auto"/>
              <w:bottom w:val="nil"/>
              <w:right w:val="nil"/>
            </w:tcBorders>
            <w:noWrap/>
            <w:vAlign w:val="bottom"/>
            <w:hideMark/>
          </w:tcPr>
          <w:p w14:paraId="1439CCA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SKEPPSMALEN</w:t>
            </w:r>
          </w:p>
        </w:tc>
        <w:tc>
          <w:tcPr>
            <w:tcW w:w="0" w:type="auto"/>
            <w:tcBorders>
              <w:top w:val="nil"/>
              <w:left w:val="nil"/>
              <w:bottom w:val="nil"/>
              <w:right w:val="single" w:sz="4" w:space="0" w:color="auto"/>
            </w:tcBorders>
            <w:noWrap/>
            <w:vAlign w:val="bottom"/>
            <w:hideMark/>
          </w:tcPr>
          <w:p w14:paraId="086C046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21E54417" w14:textId="77777777" w:rsidTr="00CA749B">
        <w:trPr>
          <w:trHeight w:val="300"/>
          <w:jc w:val="center"/>
        </w:trPr>
        <w:tc>
          <w:tcPr>
            <w:tcW w:w="0" w:type="auto"/>
            <w:tcBorders>
              <w:top w:val="nil"/>
              <w:left w:val="single" w:sz="4" w:space="0" w:color="auto"/>
              <w:bottom w:val="nil"/>
              <w:right w:val="nil"/>
            </w:tcBorders>
            <w:noWrap/>
            <w:vAlign w:val="bottom"/>
            <w:hideMark/>
          </w:tcPr>
          <w:p w14:paraId="181D3CF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SPIKARNA, ALNÖN</w:t>
            </w:r>
          </w:p>
        </w:tc>
        <w:tc>
          <w:tcPr>
            <w:tcW w:w="0" w:type="auto"/>
            <w:tcBorders>
              <w:top w:val="nil"/>
              <w:left w:val="nil"/>
              <w:bottom w:val="nil"/>
              <w:right w:val="single" w:sz="4" w:space="0" w:color="auto"/>
            </w:tcBorders>
            <w:noWrap/>
            <w:vAlign w:val="bottom"/>
            <w:hideMark/>
          </w:tcPr>
          <w:p w14:paraId="34B86AC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700F7DD2" w14:textId="77777777" w:rsidTr="00CA749B">
        <w:trPr>
          <w:trHeight w:val="300"/>
          <w:jc w:val="center"/>
        </w:trPr>
        <w:tc>
          <w:tcPr>
            <w:tcW w:w="0" w:type="auto"/>
            <w:tcBorders>
              <w:top w:val="nil"/>
              <w:left w:val="single" w:sz="4" w:space="0" w:color="auto"/>
              <w:bottom w:val="nil"/>
              <w:right w:val="nil"/>
            </w:tcBorders>
            <w:noWrap/>
            <w:vAlign w:val="bottom"/>
            <w:hideMark/>
          </w:tcPr>
          <w:p w14:paraId="7371DA2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STRÖMSTAD</w:t>
            </w:r>
          </w:p>
        </w:tc>
        <w:tc>
          <w:tcPr>
            <w:tcW w:w="0" w:type="auto"/>
            <w:tcBorders>
              <w:top w:val="nil"/>
              <w:left w:val="nil"/>
              <w:bottom w:val="nil"/>
              <w:right w:val="single" w:sz="4" w:space="0" w:color="auto"/>
            </w:tcBorders>
            <w:noWrap/>
            <w:vAlign w:val="bottom"/>
            <w:hideMark/>
          </w:tcPr>
          <w:p w14:paraId="71CA118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13FC00FE" w14:textId="77777777" w:rsidTr="00CA749B">
        <w:trPr>
          <w:trHeight w:val="300"/>
          <w:jc w:val="center"/>
        </w:trPr>
        <w:tc>
          <w:tcPr>
            <w:tcW w:w="0" w:type="auto"/>
            <w:tcBorders>
              <w:top w:val="nil"/>
              <w:left w:val="single" w:sz="4" w:space="0" w:color="auto"/>
              <w:bottom w:val="nil"/>
              <w:right w:val="nil"/>
            </w:tcBorders>
            <w:noWrap/>
            <w:vAlign w:val="bottom"/>
            <w:hideMark/>
          </w:tcPr>
          <w:p w14:paraId="1D5AE564"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STURKÖ-EKENABBEN</w:t>
            </w:r>
          </w:p>
        </w:tc>
        <w:tc>
          <w:tcPr>
            <w:tcW w:w="0" w:type="auto"/>
            <w:tcBorders>
              <w:top w:val="nil"/>
              <w:left w:val="nil"/>
              <w:bottom w:val="nil"/>
              <w:right w:val="single" w:sz="4" w:space="0" w:color="auto"/>
            </w:tcBorders>
            <w:noWrap/>
            <w:vAlign w:val="bottom"/>
            <w:hideMark/>
          </w:tcPr>
          <w:p w14:paraId="431EE9CC"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4521AD28" w14:textId="77777777" w:rsidTr="00CA749B">
        <w:trPr>
          <w:trHeight w:val="300"/>
          <w:jc w:val="center"/>
        </w:trPr>
        <w:tc>
          <w:tcPr>
            <w:tcW w:w="0" w:type="auto"/>
            <w:tcBorders>
              <w:top w:val="nil"/>
              <w:left w:val="single" w:sz="4" w:space="0" w:color="auto"/>
              <w:bottom w:val="nil"/>
              <w:right w:val="nil"/>
            </w:tcBorders>
            <w:noWrap/>
            <w:vAlign w:val="bottom"/>
            <w:hideMark/>
          </w:tcPr>
          <w:p w14:paraId="45BEC77F"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STURKÖ-SANDA</w:t>
            </w:r>
          </w:p>
        </w:tc>
        <w:tc>
          <w:tcPr>
            <w:tcW w:w="0" w:type="auto"/>
            <w:tcBorders>
              <w:top w:val="nil"/>
              <w:left w:val="nil"/>
              <w:bottom w:val="nil"/>
              <w:right w:val="single" w:sz="4" w:space="0" w:color="auto"/>
            </w:tcBorders>
            <w:noWrap/>
            <w:vAlign w:val="bottom"/>
            <w:hideMark/>
          </w:tcPr>
          <w:p w14:paraId="42F827F5"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77313F13" w14:textId="77777777" w:rsidTr="00CA749B">
        <w:trPr>
          <w:trHeight w:val="300"/>
          <w:jc w:val="center"/>
        </w:trPr>
        <w:tc>
          <w:tcPr>
            <w:tcW w:w="0" w:type="auto"/>
            <w:tcBorders>
              <w:top w:val="nil"/>
              <w:left w:val="single" w:sz="4" w:space="0" w:color="auto"/>
              <w:bottom w:val="nil"/>
              <w:right w:val="nil"/>
            </w:tcBorders>
            <w:noWrap/>
            <w:vAlign w:val="bottom"/>
            <w:hideMark/>
          </w:tcPr>
          <w:p w14:paraId="37FCB87D"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TRELLEBORG</w:t>
            </w:r>
          </w:p>
        </w:tc>
        <w:tc>
          <w:tcPr>
            <w:tcW w:w="0" w:type="auto"/>
            <w:tcBorders>
              <w:top w:val="nil"/>
              <w:left w:val="nil"/>
              <w:bottom w:val="nil"/>
              <w:right w:val="single" w:sz="4" w:space="0" w:color="auto"/>
            </w:tcBorders>
            <w:noWrap/>
            <w:vAlign w:val="bottom"/>
            <w:hideMark/>
          </w:tcPr>
          <w:p w14:paraId="753E6EE5" w14:textId="77777777" w:rsidR="009123AC" w:rsidRPr="00F0379B" w:rsidRDefault="009123AC" w:rsidP="009123AC">
            <w:pPr>
              <w:spacing w:after="0" w:line="240" w:lineRule="auto"/>
              <w:rPr>
                <w:rFonts w:ascii="Cambria" w:eastAsiaTheme="minorEastAsia" w:hAnsi="Cambria" w:cs="Times New Roman"/>
                <w:color w:val="000000"/>
                <w:sz w:val="20"/>
                <w:szCs w:val="20"/>
                <w:lang w:val="en-GB" w:eastAsia="en-GB"/>
                <w14:ligatures w14:val="standardContextual"/>
              </w:rPr>
            </w:pPr>
            <w:r w:rsidRPr="00F0379B">
              <w:rPr>
                <w:rFonts w:ascii="Cambria" w:eastAsiaTheme="minorEastAsia" w:hAnsi="Cambria" w:cs="Times New Roman"/>
                <w:color w:val="000000"/>
                <w:sz w:val="20"/>
                <w:szCs w:val="20"/>
                <w:lang w:val="en-GB" w:eastAsia="en-GB"/>
                <w14:ligatures w14:val="standardContextual"/>
              </w:rPr>
              <w:t>EU-Sweden</w:t>
            </w:r>
          </w:p>
        </w:tc>
      </w:tr>
      <w:tr w:rsidR="009123AC" w:rsidRPr="00F0379B" w14:paraId="5015A1F0" w14:textId="77777777" w:rsidTr="00CA749B">
        <w:trPr>
          <w:trHeight w:val="300"/>
          <w:jc w:val="center"/>
        </w:trPr>
        <w:tc>
          <w:tcPr>
            <w:tcW w:w="0" w:type="auto"/>
            <w:tcBorders>
              <w:top w:val="nil"/>
              <w:left w:val="single" w:sz="4" w:space="0" w:color="auto"/>
              <w:bottom w:val="nil"/>
              <w:right w:val="nil"/>
            </w:tcBorders>
            <w:noWrap/>
            <w:vAlign w:val="bottom"/>
            <w:hideMark/>
          </w:tcPr>
          <w:p w14:paraId="374DADB8"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TRÄSLÖVSLÄGE</w:t>
            </w:r>
          </w:p>
        </w:tc>
        <w:tc>
          <w:tcPr>
            <w:tcW w:w="0" w:type="auto"/>
            <w:tcBorders>
              <w:top w:val="nil"/>
              <w:left w:val="nil"/>
              <w:bottom w:val="nil"/>
              <w:right w:val="single" w:sz="4" w:space="0" w:color="auto"/>
            </w:tcBorders>
            <w:noWrap/>
            <w:vAlign w:val="bottom"/>
            <w:hideMark/>
          </w:tcPr>
          <w:p w14:paraId="3A0E4263"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15BF9756" w14:textId="77777777" w:rsidTr="00CA749B">
        <w:trPr>
          <w:trHeight w:val="300"/>
          <w:jc w:val="center"/>
        </w:trPr>
        <w:tc>
          <w:tcPr>
            <w:tcW w:w="0" w:type="auto"/>
            <w:tcBorders>
              <w:top w:val="nil"/>
              <w:left w:val="single" w:sz="4" w:space="0" w:color="auto"/>
              <w:bottom w:val="nil"/>
              <w:right w:val="nil"/>
            </w:tcBorders>
            <w:noWrap/>
            <w:vAlign w:val="bottom"/>
            <w:hideMark/>
          </w:tcPr>
          <w:p w14:paraId="68F24316"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VÄSTERVIK</w:t>
            </w:r>
          </w:p>
        </w:tc>
        <w:tc>
          <w:tcPr>
            <w:tcW w:w="0" w:type="auto"/>
            <w:tcBorders>
              <w:top w:val="nil"/>
              <w:left w:val="nil"/>
              <w:bottom w:val="nil"/>
              <w:right w:val="single" w:sz="4" w:space="0" w:color="auto"/>
            </w:tcBorders>
            <w:noWrap/>
            <w:vAlign w:val="bottom"/>
            <w:hideMark/>
          </w:tcPr>
          <w:p w14:paraId="3104871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r w:rsidR="009123AC" w:rsidRPr="00F0379B" w14:paraId="7C6B2D37" w14:textId="77777777" w:rsidTr="00CA749B">
        <w:trPr>
          <w:trHeight w:val="300"/>
          <w:jc w:val="center"/>
        </w:trPr>
        <w:tc>
          <w:tcPr>
            <w:tcW w:w="0" w:type="auto"/>
            <w:tcBorders>
              <w:top w:val="nil"/>
              <w:left w:val="single" w:sz="4" w:space="0" w:color="auto"/>
              <w:bottom w:val="single" w:sz="4" w:space="0" w:color="auto"/>
              <w:right w:val="nil"/>
            </w:tcBorders>
            <w:noWrap/>
            <w:vAlign w:val="bottom"/>
            <w:hideMark/>
          </w:tcPr>
          <w:p w14:paraId="721D7C21"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YSTAD</w:t>
            </w:r>
          </w:p>
        </w:tc>
        <w:tc>
          <w:tcPr>
            <w:tcW w:w="0" w:type="auto"/>
            <w:tcBorders>
              <w:top w:val="nil"/>
              <w:left w:val="nil"/>
              <w:bottom w:val="single" w:sz="4" w:space="0" w:color="auto"/>
              <w:right w:val="single" w:sz="4" w:space="0" w:color="auto"/>
            </w:tcBorders>
            <w:noWrap/>
            <w:vAlign w:val="bottom"/>
            <w:hideMark/>
          </w:tcPr>
          <w:p w14:paraId="702FFF89" w14:textId="77777777" w:rsidR="009123AC" w:rsidRPr="00F0379B" w:rsidRDefault="009123AC" w:rsidP="009123AC">
            <w:pPr>
              <w:spacing w:after="0" w:line="240" w:lineRule="auto"/>
              <w:rPr>
                <w:rFonts w:ascii="Cambria" w:eastAsia="MS Gothic" w:hAnsi="Cambria" w:cs="Times New Roman"/>
                <w:color w:val="000000"/>
                <w:sz w:val="20"/>
                <w:szCs w:val="20"/>
                <w:lang w:val="en-GB" w:eastAsia="fr-FR" w:bidi="fr-FR"/>
                <w14:ligatures w14:val="standardContextual"/>
              </w:rPr>
            </w:pPr>
            <w:r w:rsidRPr="00F0379B">
              <w:rPr>
                <w:rFonts w:ascii="Cambria" w:eastAsia="MS Gothic" w:hAnsi="Cambria" w:cs="Times New Roman"/>
                <w:color w:val="000000"/>
                <w:sz w:val="20"/>
                <w:szCs w:val="20"/>
                <w:lang w:val="en-GB" w:eastAsia="fr-FR" w:bidi="fr-FR"/>
                <w14:ligatures w14:val="standardContextual"/>
              </w:rPr>
              <w:t>EU-Sweden</w:t>
            </w:r>
          </w:p>
        </w:tc>
      </w:tr>
    </w:tbl>
    <w:p w14:paraId="36B2A053" w14:textId="77777777" w:rsidR="009123AC" w:rsidRPr="00F0379B" w:rsidRDefault="009123AC" w:rsidP="009123AC">
      <w:pPr>
        <w:spacing w:after="0" w:line="240" w:lineRule="auto"/>
        <w:jc w:val="center"/>
        <w:rPr>
          <w:rFonts w:ascii="Cambria" w:eastAsiaTheme="minorEastAsia" w:hAnsi="Cambria"/>
          <w:b/>
          <w:kern w:val="2"/>
          <w:sz w:val="20"/>
          <w:szCs w:val="20"/>
          <w:lang w:eastAsia="ja-JP"/>
          <w14:ligatures w14:val="standardContextual"/>
        </w:rPr>
      </w:pPr>
    </w:p>
    <w:p w14:paraId="7DBD680A" w14:textId="77777777" w:rsidR="009123AC" w:rsidRPr="00F0379B" w:rsidRDefault="009123AC" w:rsidP="009123AC">
      <w:pPr>
        <w:spacing w:line="259"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br w:type="page"/>
      </w:r>
    </w:p>
    <w:p w14:paraId="664D4A4E" w14:textId="737CB57C" w:rsidR="009123AC" w:rsidRPr="00F0379B" w:rsidRDefault="009123AC" w:rsidP="009123AC">
      <w:pPr>
        <w:spacing w:after="0" w:line="240" w:lineRule="auto"/>
        <w:jc w:val="both"/>
        <w:rPr>
          <w:rFonts w:ascii="Cambria" w:eastAsiaTheme="minorEastAsia" w:hAnsi="Cambria"/>
          <w:b/>
          <w:bCs/>
          <w:kern w:val="2"/>
          <w:sz w:val="20"/>
          <w:szCs w:val="20"/>
          <w:lang w:val="fr-FR" w:eastAsia="ja-JP"/>
          <w14:ligatures w14:val="standardContextual"/>
        </w:rPr>
      </w:pPr>
      <w:r w:rsidRPr="00F0379B">
        <w:rPr>
          <w:rFonts w:ascii="Cambria" w:eastAsiaTheme="minorEastAsia" w:hAnsi="Cambria"/>
          <w:b/>
          <w:bCs/>
          <w:kern w:val="2"/>
          <w:sz w:val="20"/>
          <w:szCs w:val="20"/>
          <w:lang w:val="fr-FR" w:eastAsia="ja-JP"/>
          <w14:ligatures w14:val="standardContextual"/>
        </w:rPr>
        <w:t>Islandia</w:t>
      </w:r>
    </w:p>
    <w:p w14:paraId="3E288A26" w14:textId="77777777" w:rsidR="009123AC" w:rsidRPr="00F0379B" w:rsidRDefault="009123AC" w:rsidP="009123AC">
      <w:pPr>
        <w:spacing w:after="0" w:line="240" w:lineRule="auto"/>
        <w:jc w:val="both"/>
        <w:rPr>
          <w:rFonts w:ascii="Cambria" w:eastAsiaTheme="minorEastAsia" w:hAnsi="Cambria"/>
          <w:kern w:val="2"/>
          <w:sz w:val="20"/>
          <w:szCs w:val="20"/>
          <w:lang w:val="fr-FR" w:eastAsia="ja-JP"/>
          <w14:ligatures w14:val="standardContextual"/>
        </w:rPr>
      </w:pPr>
    </w:p>
    <w:p w14:paraId="3448984A"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Año del plan de pesca: 2026</w:t>
      </w:r>
    </w:p>
    <w:p w14:paraId="60072978"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0DCED197" w14:textId="77777777" w:rsidR="009123AC" w:rsidRPr="00F0379B" w:rsidRDefault="009123AC" w:rsidP="00CE0EC8">
      <w:pPr>
        <w:widowControl w:val="0"/>
        <w:numPr>
          <w:ilvl w:val="0"/>
          <w:numId w:val="52"/>
        </w:numPr>
        <w:spacing w:after="0" w:line="240" w:lineRule="auto"/>
        <w:ind w:left="426" w:hanging="426"/>
        <w:contextualSpacing/>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Detalles del plan anual de pesca para los buques de captura y las almadrabas</w:t>
      </w:r>
    </w:p>
    <w:p w14:paraId="524B3E09" w14:textId="77777777" w:rsidR="009123AC" w:rsidRPr="00F0379B" w:rsidRDefault="009123AC" w:rsidP="009123AC">
      <w:pPr>
        <w:spacing w:after="0" w:line="240" w:lineRule="auto"/>
        <w:jc w:val="both"/>
        <w:rPr>
          <w:rFonts w:ascii="Cambria" w:eastAsiaTheme="minorEastAsia" w:hAnsi="Cambria"/>
          <w:i/>
          <w:kern w:val="2"/>
          <w:sz w:val="20"/>
          <w:szCs w:val="20"/>
          <w:lang w:eastAsia="ja-JP"/>
          <w14:ligatures w14:val="standardContextual"/>
        </w:rPr>
      </w:pPr>
    </w:p>
    <w:p w14:paraId="2B97B13E" w14:textId="77777777" w:rsidR="009123AC" w:rsidRPr="00F0379B" w:rsidRDefault="009123AC" w:rsidP="00CE0EC8">
      <w:pPr>
        <w:widowControl w:val="0"/>
        <w:numPr>
          <w:ilvl w:val="0"/>
          <w:numId w:val="48"/>
        </w:numPr>
        <w:spacing w:after="0" w:line="240" w:lineRule="auto"/>
        <w:ind w:hanging="284"/>
        <w:contextualSpacing/>
        <w:jc w:val="both"/>
        <w:rPr>
          <w:rFonts w:ascii="Cambria" w:eastAsiaTheme="minorEastAsia" w:hAnsi="Cambria"/>
          <w:b/>
          <w:bCs/>
          <w:i/>
          <w:iCs/>
          <w:kern w:val="2"/>
          <w:sz w:val="20"/>
          <w:szCs w:val="20"/>
          <w:lang w:eastAsia="ja-JP"/>
          <w14:ligatures w14:val="standardContextual"/>
        </w:rPr>
      </w:pPr>
      <w:bookmarkStart w:id="14" w:name="_Hlk95810690"/>
      <w:r w:rsidRPr="00F0379B">
        <w:rPr>
          <w:rFonts w:ascii="Cambria" w:eastAsiaTheme="minorEastAsia" w:hAnsi="Cambria"/>
          <w:b/>
          <w:bCs/>
          <w:i/>
          <w:iCs/>
          <w:kern w:val="2"/>
          <w:sz w:val="20"/>
          <w:szCs w:val="20"/>
          <w:lang w:eastAsia="ja-JP"/>
          <w14:ligatures w14:val="standardContextual"/>
        </w:rPr>
        <w:t>a) Presentación (párr. 12)</w:t>
      </w:r>
    </w:p>
    <w:p w14:paraId="7577666C"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00A12158"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cuota asignada de Islandia de atún rojo (BFT) del Atlántico este para el año 2026 es de 253,14 t. Islandia solicita transferir el 10,2 % de su cuota no utilizada de 2025 a 2026, o 22,86 t. En 2025, la cuota utilizada fue de 150 kg como captura fortuita y 200 t transferidas a otra CPC. Si se aprueba, la cuota ajustada para 2026 será de 276 t. </w:t>
      </w:r>
    </w:p>
    <w:p w14:paraId="4088D3DB"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5C345CD0"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reservan 5 t para la captura fortuita. Las eventuales capturas fortuitas de atún rojo por parte de otros buques pesqueros islandeses se notificarán a la Comisión Internacional para la Conservación del Atún Atlántico (ICCAT).</w:t>
      </w:r>
    </w:p>
    <w:p w14:paraId="5FD97E36"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35CBD7FA"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 conformidad con el reglamento sobre las pesquerías de atún rojo, en 2026 se autorizarán a un máximo de tres palangreros islandeses a realizar pesca dirigida al atún rojo. A cada buque se le asignará una cuota individual, dentro de los límites de la cuota de Islandia, que se podrá ajustar en función del número de buques pesqueros autorizados. De conformidad con la Recomendación 25-04 de ICCAT, Islandia presentará a la Secretaría, a más tardar 15 días antes del inicio de la temporada de pesca, la información pertinente relativa a los buques autorizados, así como cualquier modificación posterior del plan de pesca anual.</w:t>
      </w:r>
    </w:p>
    <w:p w14:paraId="68295D0C"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15E37D4A"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Las 5 t reservadas para las capturas fortuitas de otros buques pesqueros islandeses se ajustarán para cubrir todas las capturas en caso necesario. </w:t>
      </w:r>
    </w:p>
    <w:p w14:paraId="534A30E3"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bookmarkEnd w:id="14"/>
    <w:p w14:paraId="6042465C"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Todos los buques islandeses están equipados con un sistema de seguimiento de buques (VMS) y deben transmitir cada hora. Todos los buques pesqueros están obligados a llevar cuadernos de pesca electrónicos y los desembarques se controlan y registran en la base de datos de la Dirección de Pesca (DF). </w:t>
      </w:r>
    </w:p>
    <w:p w14:paraId="699225B7"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26BDC5B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Todos los buques pesqueros islandeses deben consignar todas las capturas y capturas fortuitas en cuadernos de pesca electrónicos. </w:t>
      </w:r>
    </w:p>
    <w:p w14:paraId="59567DA1"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661E7143"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sistema de ordenación de pesquerías de Islandia se basa en cuotas individuales transferibles (ITQ) y todos los buques pesqueros deben contar con un permiso de pesca general y cuota suficiente para todas las capturas previstas antes de abandonar el puerto para cualquier tipo de pesca.</w:t>
      </w:r>
    </w:p>
    <w:p w14:paraId="38EC0722"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51DA7D7D"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Islandia gestiona más de 1 millón de toneladas de pesquerías comerciales con ITQ y cuadernos de pesca electrónico, así como mediante la obligación de pesar todas las capturas en el momento del desembarque. La DF mantiene registros de todas las cuotas asignadas y todos los desembarques, y el consumo de cuota de cada buque se actualiza tras el desembarque en un registro en línea de desembarques de la DF de acceso público (www.island.is/fiskistofa). </w:t>
      </w:r>
    </w:p>
    <w:p w14:paraId="460D11F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7E76ACE8"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se permiten los descartes de especies comerciales. El atún rojo de talla inferior a la regulada debe liberarse vivo o desembarcarse y registrarse si está muerto cuando se sube a bordo. No se ha registrado la captura de ningún ejemplar de atún rojo de menos de 30 kg por parte de buques islandeses, ni capturas dirigidas ni capturas fortuitas.</w:t>
      </w:r>
    </w:p>
    <w:p w14:paraId="29D4365F"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4D36982D"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cuota de atún rojo de Islandia se ajustará en caso necesario entre las capturas fortuitas y las capturas de palangre. Esta actividad será gestionada por la DF al igual que el resto de </w:t>
      </w:r>
      <w:proofErr w:type="gramStart"/>
      <w:r w:rsidRPr="00F0379B">
        <w:rPr>
          <w:rFonts w:ascii="Cambria" w:eastAsiaTheme="minorEastAsia" w:hAnsi="Cambria"/>
          <w:kern w:val="2"/>
          <w:sz w:val="20"/>
          <w:szCs w:val="20"/>
          <w:lang w:eastAsia="ja-JP"/>
          <w14:ligatures w14:val="standardContextual"/>
        </w:rPr>
        <w:t>capturas</w:t>
      </w:r>
      <w:proofErr w:type="gramEnd"/>
      <w:r w:rsidRPr="00F0379B">
        <w:rPr>
          <w:rFonts w:ascii="Cambria" w:eastAsiaTheme="minorEastAsia" w:hAnsi="Cambria"/>
          <w:kern w:val="2"/>
          <w:sz w:val="20"/>
          <w:szCs w:val="20"/>
          <w:lang w:eastAsia="ja-JP"/>
          <w14:ligatures w14:val="standardContextual"/>
        </w:rPr>
        <w:t xml:space="preserve"> comerciales en Islandia. Todos los ajustes se comunicarán a ICCAT.</w:t>
      </w:r>
    </w:p>
    <w:p w14:paraId="4278E2FE"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32A912A6"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inspectores de la DF de Islandia estarán presentes a bordo de los palangreros dirigidos al atún rojo en al menos el 20 % de las operaciones pesqueras. Los buques necesitan el permiso escrito de la DF antes de abandonar el puerto sin un inspector.</w:t>
      </w:r>
    </w:p>
    <w:p w14:paraId="1B3D451F"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18916F6F"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Instituto de Investigaciones marinas y de agua dulce de Islandia (MRFI) asesorará a la DF sobre la formación y métodos de muestreo pertinentes para que los inspectores recopilen datos biológicos. La DF y el MRFI recogerán también datos biológicos en el momento del desembarque.</w:t>
      </w:r>
    </w:p>
    <w:p w14:paraId="1E6CBF81"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4CFB8AF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temporada de pesca con palangre empieza el 1 de agosto y finaliza el 31 de diciembre. La zona de pesca se encuentra al sur de Islandia, en el Atlántico NE al oeste de 10°W y al norte de 42°N. Los buques deben tener un permiso de pesca general y cuota suficiente para otras especies dentro de la Zona Económica Exclusiva (ZEE) de Islandia para permitir la captura fortuita incidental de otras especies. Cuando el buque tenga intención de utilizar la cuota de atún rojo deberá notificarlo a la DF de Islandia y, por tanto, se regirá por el régimen de ordenación de ICCAT. En cuanto las cuotas individuales se hayan pescado, el permiso para pescar atún rojo del buque expirará. Las autoridades islandesas cerrarán la pesquería cuando la cuota se haya agotado o los buques notifiquen la finalización de las operaciones de pesca de 2026.</w:t>
      </w:r>
    </w:p>
    <w:p w14:paraId="690EC3B3"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76769D0A"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En 2015, la DF de Islandia implementó el sistema eBCD y tiene previsto expedir electrónicamente todos los certificados de 2026. </w:t>
      </w:r>
    </w:p>
    <w:p w14:paraId="3F7381DE"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4D49F797" w14:textId="77777777" w:rsidR="009123AC" w:rsidRPr="00F0379B" w:rsidRDefault="009123AC" w:rsidP="00CE0EC8">
      <w:pPr>
        <w:widowControl w:val="0"/>
        <w:numPr>
          <w:ilvl w:val="0"/>
          <w:numId w:val="49"/>
        </w:numPr>
        <w:spacing w:after="0" w:line="240" w:lineRule="auto"/>
        <w:ind w:left="142" w:hanging="142"/>
        <w:contextualSpacing/>
        <w:jc w:val="both"/>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bCs/>
          <w:i/>
          <w:iCs/>
          <w:kern w:val="2"/>
          <w:sz w:val="20"/>
          <w:szCs w:val="20"/>
          <w:lang w:eastAsia="ja-JP"/>
          <w14:ligatures w14:val="standardContextual"/>
        </w:rPr>
        <w:t xml:space="preserve">b) Traspaso </w:t>
      </w:r>
      <w:r w:rsidRPr="00F0379B">
        <w:rPr>
          <w:rFonts w:ascii="Cambria" w:eastAsiaTheme="minorEastAsia" w:hAnsi="Cambria"/>
          <w:b/>
          <w:i/>
          <w:iCs/>
          <w:kern w:val="2"/>
          <w:sz w:val="20"/>
          <w:szCs w:val="20"/>
          <w:lang w:eastAsia="ja-JP"/>
          <w14:ligatures w14:val="standardContextual"/>
        </w:rPr>
        <w:t>(párr. 6)</w:t>
      </w:r>
    </w:p>
    <w:p w14:paraId="29AC42CF" w14:textId="77777777" w:rsidR="009123AC" w:rsidRPr="00F0379B" w:rsidRDefault="009123AC" w:rsidP="009123AC">
      <w:pPr>
        <w:spacing w:after="0" w:line="240" w:lineRule="auto"/>
        <w:ind w:left="284"/>
        <w:contextualSpacing/>
        <w:jc w:val="both"/>
        <w:rPr>
          <w:rFonts w:ascii="Cambria" w:eastAsiaTheme="minorEastAsia" w:hAnsi="Cambria"/>
          <w:b/>
          <w:bCs/>
          <w:i/>
          <w:iCs/>
          <w:kern w:val="2"/>
          <w:sz w:val="20"/>
          <w:szCs w:val="20"/>
          <w:lang w:eastAsia="ja-JP"/>
          <w14:ligatures w14:val="standardContextual"/>
        </w:rPr>
      </w:pPr>
    </w:p>
    <w:p w14:paraId="508BC8B4"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Islandia solicita una transferencia de 22,86 t de 2025 a 2026.</w:t>
      </w:r>
    </w:p>
    <w:p w14:paraId="1D9F8280"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0B5E2B90" w14:textId="77777777" w:rsidR="009123AC" w:rsidRPr="00F0379B" w:rsidRDefault="009123AC" w:rsidP="00CE0EC8">
      <w:pPr>
        <w:widowControl w:val="0"/>
        <w:numPr>
          <w:ilvl w:val="0"/>
          <w:numId w:val="51"/>
        </w:numPr>
        <w:spacing w:after="0" w:line="240" w:lineRule="auto"/>
        <w:ind w:left="142" w:hanging="142"/>
        <w:contextualSpacing/>
        <w:jc w:val="both"/>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bCs/>
          <w:i/>
          <w:iCs/>
          <w:kern w:val="2"/>
          <w:sz w:val="20"/>
          <w:szCs w:val="20"/>
          <w:lang w:eastAsia="ja-JP"/>
          <w14:ligatures w14:val="standardContextual"/>
        </w:rPr>
        <w:t>c) Destino de la captura</w:t>
      </w:r>
    </w:p>
    <w:p w14:paraId="36B9FC98" w14:textId="77777777" w:rsidR="009123AC" w:rsidRPr="00F0379B" w:rsidRDefault="009123AC" w:rsidP="009123AC">
      <w:pPr>
        <w:spacing w:after="0" w:line="240" w:lineRule="auto"/>
        <w:ind w:left="284"/>
        <w:contextualSpacing/>
        <w:jc w:val="both"/>
        <w:rPr>
          <w:rFonts w:ascii="Cambria" w:eastAsiaTheme="minorEastAsia" w:hAnsi="Cambria"/>
          <w:b/>
          <w:bCs/>
          <w:i/>
          <w:iCs/>
          <w:kern w:val="2"/>
          <w:sz w:val="20"/>
          <w:szCs w:val="20"/>
          <w:lang w:eastAsia="ja-JP"/>
          <w14:ligatures w14:val="standardContextual"/>
        </w:rPr>
      </w:pPr>
    </w:p>
    <w:p w14:paraId="181C1F6C"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El destino de la captura será el desembarque únicamente. </w:t>
      </w:r>
    </w:p>
    <w:p w14:paraId="09EE41A9" w14:textId="77777777" w:rsidR="009123AC" w:rsidRPr="00F0379B" w:rsidRDefault="009123AC" w:rsidP="009123AC">
      <w:pPr>
        <w:spacing w:after="0" w:line="240" w:lineRule="auto"/>
        <w:ind w:left="284"/>
        <w:contextualSpacing/>
        <w:rPr>
          <w:rFonts w:ascii="Cambria" w:eastAsiaTheme="minorEastAsia" w:hAnsi="Cambria"/>
          <w:b/>
          <w:bCs/>
          <w:i/>
          <w:iCs/>
          <w:kern w:val="2"/>
          <w:sz w:val="20"/>
          <w:szCs w:val="20"/>
          <w:lang w:eastAsia="ja-JP"/>
          <w14:ligatures w14:val="standardContextual"/>
        </w:rPr>
      </w:pPr>
    </w:p>
    <w:p w14:paraId="1459B88E" w14:textId="77777777" w:rsidR="009123AC" w:rsidRPr="00F0379B" w:rsidRDefault="009123AC" w:rsidP="009123AC">
      <w:pPr>
        <w:spacing w:after="0" w:line="240" w:lineRule="auto"/>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bCs/>
          <w:i/>
          <w:iCs/>
          <w:kern w:val="2"/>
          <w:sz w:val="20"/>
          <w:szCs w:val="20"/>
          <w:lang w:eastAsia="ja-JP"/>
          <w14:ligatures w14:val="standardContextual"/>
        </w:rPr>
        <w:t>1 d)</w:t>
      </w:r>
    </w:p>
    <w:tbl>
      <w:tblPr>
        <w:tblStyle w:val="TableGrid"/>
        <w:tblW w:w="0" w:type="auto"/>
        <w:tblLook w:val="04A0" w:firstRow="1" w:lastRow="0" w:firstColumn="1" w:lastColumn="0" w:noHBand="0" w:noVBand="1"/>
      </w:tblPr>
      <w:tblGrid>
        <w:gridCol w:w="453"/>
        <w:gridCol w:w="2600"/>
        <w:gridCol w:w="2612"/>
        <w:gridCol w:w="1985"/>
        <w:gridCol w:w="1410"/>
      </w:tblGrid>
      <w:tr w:rsidR="009123AC" w:rsidRPr="00F0379B" w14:paraId="12F9AAE6" w14:textId="77777777" w:rsidTr="007344DF">
        <w:trPr>
          <w:tblHeader/>
        </w:trPr>
        <w:tc>
          <w:tcPr>
            <w:tcW w:w="453" w:type="dxa"/>
          </w:tcPr>
          <w:p w14:paraId="5109CFF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600" w:type="dxa"/>
          </w:tcPr>
          <w:p w14:paraId="007D03CA"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Requisito ICCAT</w:t>
            </w:r>
          </w:p>
          <w:p w14:paraId="57071EEB"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 xml:space="preserve">(según </w:t>
            </w:r>
            <w:hyperlink r:id="rId124" w:history="1">
              <w:r w:rsidRPr="00F0379B">
                <w:rPr>
                  <w:rFonts w:ascii="Cambria" w:eastAsiaTheme="minorEastAsia" w:hAnsi="Cambria"/>
                  <w:i/>
                  <w:color w:val="0563C1" w:themeColor="hyperlink"/>
                  <w:kern w:val="2"/>
                  <w:sz w:val="20"/>
                  <w:szCs w:val="20"/>
                  <w:lang w:eastAsia="ja-JP"/>
                  <w14:ligatures w14:val="standardContextual"/>
                </w:rPr>
                <w:t>Rec. 25-04</w:t>
              </w:r>
            </w:hyperlink>
            <w:r w:rsidRPr="00F0379B">
              <w:rPr>
                <w:rFonts w:ascii="Cambria" w:eastAsiaTheme="minorEastAsia" w:hAnsi="Cambria"/>
                <w:i/>
                <w:kern w:val="2"/>
                <w:sz w:val="20"/>
                <w:szCs w:val="20"/>
                <w:lang w:eastAsia="ja-JP"/>
                <w14:ligatures w14:val="standardContextual"/>
              </w:rPr>
              <w:t>)</w:t>
            </w:r>
          </w:p>
        </w:tc>
        <w:tc>
          <w:tcPr>
            <w:tcW w:w="2612" w:type="dxa"/>
          </w:tcPr>
          <w:p w14:paraId="473A029A"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Explicación de las acciones emprendidas por la CPC con fines de implementación</w:t>
            </w:r>
          </w:p>
        </w:tc>
        <w:tc>
          <w:tcPr>
            <w:tcW w:w="1985" w:type="dxa"/>
          </w:tcPr>
          <w:p w14:paraId="17829C19"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Leyes o reglamentos internos pertinentes</w:t>
            </w:r>
          </w:p>
          <w:p w14:paraId="08AB2FDF"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(si procede)</w:t>
            </w:r>
          </w:p>
        </w:tc>
        <w:tc>
          <w:tcPr>
            <w:tcW w:w="1410" w:type="dxa"/>
            <w:vAlign w:val="center"/>
          </w:tcPr>
          <w:p w14:paraId="2A5827C0"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Nota</w:t>
            </w:r>
          </w:p>
        </w:tc>
      </w:tr>
      <w:tr w:rsidR="009123AC" w:rsidRPr="00F0379B" w14:paraId="718E8A30" w14:textId="77777777" w:rsidTr="00CA749B">
        <w:tc>
          <w:tcPr>
            <w:tcW w:w="453" w:type="dxa"/>
          </w:tcPr>
          <w:p w14:paraId="0F1DEB3C"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w:t>
            </w:r>
          </w:p>
        </w:tc>
        <w:tc>
          <w:tcPr>
            <w:tcW w:w="2600" w:type="dxa"/>
          </w:tcPr>
          <w:p w14:paraId="09D620AF"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Consignación y comunicación de la captura </w:t>
            </w:r>
          </w:p>
          <w:p w14:paraId="76B0A2C7"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74-88)</w:t>
            </w:r>
          </w:p>
        </w:tc>
        <w:tc>
          <w:tcPr>
            <w:tcW w:w="2612" w:type="dxa"/>
          </w:tcPr>
          <w:p w14:paraId="716197E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buques pesqueros islandeses disponen de cuadernos de pesca electrónicos y todos los desembarques se registran en la base de datos en línea de la DF. Todas las capturas deben registrarse en el cuaderno de pesca. No se permiten los descartes muertos de especies comerciales. Todas las capturas se imputan a la cuota.</w:t>
            </w:r>
          </w:p>
        </w:tc>
        <w:tc>
          <w:tcPr>
            <w:tcW w:w="1985" w:type="dxa"/>
          </w:tcPr>
          <w:p w14:paraId="480CD95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pesca de Islandia y Reglamento sobre las pesquerías de atún rojo.</w:t>
            </w:r>
          </w:p>
        </w:tc>
        <w:tc>
          <w:tcPr>
            <w:tcW w:w="1410" w:type="dxa"/>
          </w:tcPr>
          <w:p w14:paraId="2FFBFFB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0D77E3B0" w14:textId="77777777" w:rsidTr="00CA749B">
        <w:tc>
          <w:tcPr>
            <w:tcW w:w="453" w:type="dxa"/>
          </w:tcPr>
          <w:p w14:paraId="04584ACD"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2</w:t>
            </w:r>
          </w:p>
        </w:tc>
        <w:tc>
          <w:tcPr>
            <w:tcW w:w="2600" w:type="dxa"/>
          </w:tcPr>
          <w:p w14:paraId="4A3A5B96"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Temporadas de pesca abiertas (párrs. 28-32</w:t>
            </w:r>
            <w:r w:rsidRPr="00F0379B">
              <w:rPr>
                <w:rFonts w:ascii="Cambria" w:eastAsiaTheme="minorEastAsia" w:hAnsi="Cambria"/>
                <w:b/>
                <w:bCs/>
                <w:kern w:val="2"/>
                <w:sz w:val="20"/>
                <w:szCs w:val="20"/>
                <w:lang w:eastAsia="ja-JP"/>
                <w14:ligatures w14:val="standardContextual"/>
              </w:rPr>
              <w:t>)</w:t>
            </w:r>
          </w:p>
        </w:tc>
        <w:tc>
          <w:tcPr>
            <w:tcW w:w="2612" w:type="dxa"/>
          </w:tcPr>
          <w:p w14:paraId="3BD85D6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temporada de pesca de palangre empieza el 1 de agosto y cierra cuando la cuota se haya pescado o el 31 de diciembre.</w:t>
            </w:r>
          </w:p>
          <w:p w14:paraId="76846FC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zona de pesca se encuentra al sur de Islandia, en el Atlántico NE, al oeste de 10°W y al norte de 42°N.</w:t>
            </w:r>
          </w:p>
        </w:tc>
        <w:tc>
          <w:tcPr>
            <w:tcW w:w="1985" w:type="dxa"/>
          </w:tcPr>
          <w:p w14:paraId="51C09E4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pesca de Islandia y Reglamento sobre las pesquerías de atún rojo.</w:t>
            </w:r>
          </w:p>
        </w:tc>
        <w:tc>
          <w:tcPr>
            <w:tcW w:w="1410" w:type="dxa"/>
          </w:tcPr>
          <w:p w14:paraId="6583D46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w:t>
            </w:r>
          </w:p>
        </w:tc>
      </w:tr>
      <w:tr w:rsidR="009123AC" w:rsidRPr="00F0379B" w14:paraId="096C9A11" w14:textId="77777777" w:rsidTr="00CA749B">
        <w:tc>
          <w:tcPr>
            <w:tcW w:w="453" w:type="dxa"/>
          </w:tcPr>
          <w:p w14:paraId="4B6684DE"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3</w:t>
            </w:r>
          </w:p>
        </w:tc>
        <w:tc>
          <w:tcPr>
            <w:tcW w:w="2600" w:type="dxa"/>
          </w:tcPr>
          <w:p w14:paraId="37041FC0"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Talla mínima (párrs. 33-35)</w:t>
            </w:r>
          </w:p>
        </w:tc>
        <w:tc>
          <w:tcPr>
            <w:tcW w:w="2612" w:type="dxa"/>
          </w:tcPr>
          <w:p w14:paraId="3442E031" w14:textId="77777777" w:rsidR="009123AC" w:rsidRPr="00F0379B" w:rsidRDefault="009123AC" w:rsidP="009123AC">
            <w:pPr>
              <w:spacing w:line="240" w:lineRule="auto"/>
              <w:ind w:right="-107"/>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peces de talla inferior a la regulada deben liberarse vivos, ya que los descartes están prohibidos. Si están muertos deben desembarcarse y consignarse.</w:t>
            </w:r>
          </w:p>
        </w:tc>
        <w:tc>
          <w:tcPr>
            <w:tcW w:w="1985" w:type="dxa"/>
          </w:tcPr>
          <w:p w14:paraId="049F90A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pesca de Islandia y Reglamento sobre las pesquerías de atún rojo.</w:t>
            </w:r>
          </w:p>
        </w:tc>
        <w:tc>
          <w:tcPr>
            <w:tcW w:w="1410" w:type="dxa"/>
          </w:tcPr>
          <w:p w14:paraId="787DB3E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71192E05" w14:textId="77777777" w:rsidTr="00CA749B">
        <w:tc>
          <w:tcPr>
            <w:tcW w:w="453" w:type="dxa"/>
          </w:tcPr>
          <w:p w14:paraId="265F212B"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4</w:t>
            </w:r>
          </w:p>
        </w:tc>
        <w:tc>
          <w:tcPr>
            <w:tcW w:w="2600" w:type="dxa"/>
          </w:tcPr>
          <w:p w14:paraId="2A8841CB"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Captura fortuita </w:t>
            </w:r>
          </w:p>
          <w:p w14:paraId="4850D40D"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(párr. 37)  </w:t>
            </w:r>
          </w:p>
        </w:tc>
        <w:tc>
          <w:tcPr>
            <w:tcW w:w="2612" w:type="dxa"/>
          </w:tcPr>
          <w:p w14:paraId="5FE3BF4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descartes de especies comerciales están prohibidos en la flota islandesa y todas las especies comerciales y no comerciales deben desembarcarse. Todas las capturas de especies comerciales y no comerciales deben consignarse en cuadernos de pesca y esto se aplica también a todas las capturas fortuitas de atún rojo por parte de buques islandeses. (véase la tabla con capturas fortuitas).</w:t>
            </w:r>
          </w:p>
          <w:p w14:paraId="3F2CF3D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reservan 5 t para capturas fortuitas incidentales para el año 2026.</w:t>
            </w:r>
          </w:p>
        </w:tc>
        <w:tc>
          <w:tcPr>
            <w:tcW w:w="1985" w:type="dxa"/>
          </w:tcPr>
          <w:p w14:paraId="3A94113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pesca de Islandia, Ley sobre el tratamiento de los stocks marinos comerciales.</w:t>
            </w:r>
          </w:p>
        </w:tc>
        <w:tc>
          <w:tcPr>
            <w:tcW w:w="1410" w:type="dxa"/>
          </w:tcPr>
          <w:p w14:paraId="5D646F9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5BE37142" w14:textId="77777777" w:rsidTr="00CA749B">
        <w:tc>
          <w:tcPr>
            <w:tcW w:w="453" w:type="dxa"/>
          </w:tcPr>
          <w:p w14:paraId="6E076AED"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5</w:t>
            </w:r>
          </w:p>
        </w:tc>
        <w:tc>
          <w:tcPr>
            <w:tcW w:w="2600" w:type="dxa"/>
          </w:tcPr>
          <w:p w14:paraId="2D9E02B4"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Pesquerías deportivas y de recreo </w:t>
            </w:r>
          </w:p>
          <w:p w14:paraId="21DA8FEE"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38-46)</w:t>
            </w:r>
          </w:p>
        </w:tc>
        <w:tc>
          <w:tcPr>
            <w:tcW w:w="2612" w:type="dxa"/>
          </w:tcPr>
          <w:p w14:paraId="58D05D7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En 2026 no se permitirán pesquerías de recreo ni deportivas de atún rojo del este.</w:t>
            </w:r>
          </w:p>
        </w:tc>
        <w:tc>
          <w:tcPr>
            <w:tcW w:w="1985" w:type="dxa"/>
          </w:tcPr>
          <w:p w14:paraId="4C9DE34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 sobre pesquerías de atún rojo.</w:t>
            </w:r>
          </w:p>
          <w:p w14:paraId="60245D0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410" w:type="dxa"/>
          </w:tcPr>
          <w:p w14:paraId="6E12A22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381CA255" w14:textId="77777777" w:rsidTr="00CA749B">
        <w:tc>
          <w:tcPr>
            <w:tcW w:w="453" w:type="dxa"/>
          </w:tcPr>
          <w:p w14:paraId="3F7CC8B8"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6</w:t>
            </w:r>
          </w:p>
        </w:tc>
        <w:tc>
          <w:tcPr>
            <w:tcW w:w="2600" w:type="dxa"/>
          </w:tcPr>
          <w:p w14:paraId="312D0938"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Transbordo </w:t>
            </w:r>
          </w:p>
          <w:p w14:paraId="27C78309"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(párrs. 89-94) </w:t>
            </w:r>
          </w:p>
        </w:tc>
        <w:tc>
          <w:tcPr>
            <w:tcW w:w="2612" w:type="dxa"/>
          </w:tcPr>
          <w:p w14:paraId="2BFAB40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se permite el transbordo.</w:t>
            </w:r>
          </w:p>
        </w:tc>
        <w:tc>
          <w:tcPr>
            <w:tcW w:w="1985" w:type="dxa"/>
          </w:tcPr>
          <w:p w14:paraId="4BD86BF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pesca de Islandia y Reglamento sobre las pesquerías de atún rojo.</w:t>
            </w:r>
          </w:p>
        </w:tc>
        <w:tc>
          <w:tcPr>
            <w:tcW w:w="1410" w:type="dxa"/>
          </w:tcPr>
          <w:p w14:paraId="48B3E31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4CCD3382" w14:textId="77777777" w:rsidTr="00CA749B">
        <w:tc>
          <w:tcPr>
            <w:tcW w:w="453" w:type="dxa"/>
          </w:tcPr>
          <w:p w14:paraId="3D8C65B4"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7</w:t>
            </w:r>
          </w:p>
        </w:tc>
        <w:tc>
          <w:tcPr>
            <w:tcW w:w="2600" w:type="dxa"/>
          </w:tcPr>
          <w:p w14:paraId="4E268787"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VMS (</w:t>
            </w:r>
            <w:r w:rsidRPr="00F0379B">
              <w:rPr>
                <w:rFonts w:ascii="Cambria" w:eastAsiaTheme="minorEastAsia" w:hAnsi="Cambria"/>
                <w:b/>
                <w:kern w:val="2"/>
                <w:sz w:val="20"/>
                <w:szCs w:val="20"/>
                <w:lang w:val="fr-BE" w:eastAsia="ja-JP"/>
                <w14:ligatures w14:val="standardContextual"/>
              </w:rPr>
              <w:t>párrs. </w:t>
            </w:r>
            <w:r w:rsidRPr="00F0379B">
              <w:rPr>
                <w:rFonts w:ascii="Cambria" w:eastAsiaTheme="minorEastAsia" w:hAnsi="Cambria"/>
                <w:b/>
                <w:kern w:val="2"/>
                <w:sz w:val="20"/>
                <w:szCs w:val="20"/>
                <w:lang w:eastAsia="ja-JP"/>
                <w14:ligatures w14:val="standardContextual"/>
              </w:rPr>
              <w:t>222-228)</w:t>
            </w:r>
          </w:p>
        </w:tc>
        <w:tc>
          <w:tcPr>
            <w:tcW w:w="2612" w:type="dxa"/>
          </w:tcPr>
          <w:p w14:paraId="372A176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buques de pesca buques islandeses están equipados con un sistema VMS y deben transmitir cada hora</w:t>
            </w:r>
          </w:p>
          <w:p w14:paraId="64D1216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985" w:type="dxa"/>
          </w:tcPr>
          <w:p w14:paraId="45FAB1A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Acta de Pesca de Islandia</w:t>
            </w:r>
          </w:p>
        </w:tc>
        <w:tc>
          <w:tcPr>
            <w:tcW w:w="1410" w:type="dxa"/>
          </w:tcPr>
          <w:p w14:paraId="3D7F041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27B39AD7" w14:textId="77777777" w:rsidTr="00CA749B">
        <w:tc>
          <w:tcPr>
            <w:tcW w:w="453" w:type="dxa"/>
          </w:tcPr>
          <w:p w14:paraId="773DE8CD"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8</w:t>
            </w:r>
          </w:p>
        </w:tc>
        <w:tc>
          <w:tcPr>
            <w:tcW w:w="2600" w:type="dxa"/>
          </w:tcPr>
          <w:p w14:paraId="1D18F3DD"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Programa de observadores de las CPC (párrs. 95-100)</w:t>
            </w:r>
          </w:p>
        </w:tc>
        <w:tc>
          <w:tcPr>
            <w:tcW w:w="2612" w:type="dxa"/>
          </w:tcPr>
          <w:p w14:paraId="615034A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hay observadores en Islandia, únicamente inspectores que trabajan a jornada completa para la DF. Los inspectores estarán presentes a bordo en al menos el 20% de las operaciones pesqueras. Los buques necesitan el permiso escrito de la DF antes de abandonar el puerto sin un inspector.</w:t>
            </w:r>
          </w:p>
        </w:tc>
        <w:tc>
          <w:tcPr>
            <w:tcW w:w="1985" w:type="dxa"/>
          </w:tcPr>
          <w:p w14:paraId="5D00126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pesca de Islandia y Reglamento sobre las pesquerías de atún rojo.</w:t>
            </w:r>
          </w:p>
        </w:tc>
        <w:tc>
          <w:tcPr>
            <w:tcW w:w="1410" w:type="dxa"/>
          </w:tcPr>
          <w:p w14:paraId="66CED44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5D63E21A" w14:textId="77777777" w:rsidTr="00CA749B">
        <w:tc>
          <w:tcPr>
            <w:tcW w:w="453" w:type="dxa"/>
          </w:tcPr>
          <w:p w14:paraId="3047F02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9</w:t>
            </w:r>
          </w:p>
        </w:tc>
        <w:tc>
          <w:tcPr>
            <w:tcW w:w="2600" w:type="dxa"/>
          </w:tcPr>
          <w:p w14:paraId="52D54EBA" w14:textId="77777777" w:rsidR="009123AC" w:rsidRPr="00F0379B" w:rsidRDefault="009123AC" w:rsidP="009123AC">
            <w:pPr>
              <w:spacing w:line="240" w:lineRule="auto"/>
              <w:rPr>
                <w:rFonts w:ascii="Cambria" w:eastAsiaTheme="minorEastAsia" w:hAnsi="Cambria"/>
                <w:b/>
                <w:kern w:val="2"/>
                <w:sz w:val="20"/>
                <w:szCs w:val="20"/>
                <w:lang w:val="pt-BR" w:eastAsia="ja-JP"/>
                <w14:ligatures w14:val="standardContextual"/>
              </w:rPr>
            </w:pPr>
            <w:r w:rsidRPr="00F0379B">
              <w:rPr>
                <w:rFonts w:ascii="Cambria" w:eastAsiaTheme="minorEastAsia" w:hAnsi="Cambria"/>
                <w:b/>
                <w:kern w:val="2"/>
                <w:sz w:val="20"/>
                <w:szCs w:val="20"/>
                <w:lang w:val="pt-BR" w:eastAsia="ja-JP"/>
                <w14:ligatures w14:val="standardContextual"/>
              </w:rPr>
              <w:t xml:space="preserve">Programa regional de observadores </w:t>
            </w:r>
          </w:p>
          <w:p w14:paraId="5C3A1CBF"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val="pt-BR" w:eastAsia="ja-JP"/>
                <w14:ligatures w14:val="standardContextual"/>
              </w:rPr>
              <w:t xml:space="preserve">(párrs. </w:t>
            </w:r>
            <w:r w:rsidRPr="00F0379B">
              <w:rPr>
                <w:rFonts w:ascii="Cambria" w:eastAsiaTheme="minorEastAsia" w:hAnsi="Cambria"/>
                <w:b/>
                <w:kern w:val="2"/>
                <w:sz w:val="20"/>
                <w:szCs w:val="20"/>
                <w:lang w:eastAsia="ja-JP"/>
                <w14:ligatures w14:val="standardContextual"/>
              </w:rPr>
              <w:t>101-107)</w:t>
            </w:r>
          </w:p>
        </w:tc>
        <w:tc>
          <w:tcPr>
            <w:tcW w:w="2612" w:type="dxa"/>
          </w:tcPr>
          <w:p w14:paraId="3C6DA9C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aplicable, solo pesca con palangre por parte de hasta un máximo de tres buques.</w:t>
            </w:r>
          </w:p>
        </w:tc>
        <w:tc>
          <w:tcPr>
            <w:tcW w:w="1985" w:type="dxa"/>
          </w:tcPr>
          <w:p w14:paraId="5617CBD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410" w:type="dxa"/>
          </w:tcPr>
          <w:p w14:paraId="69F454B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44202AFF" w14:textId="77777777" w:rsidTr="00CA749B">
        <w:tc>
          <w:tcPr>
            <w:tcW w:w="453" w:type="dxa"/>
          </w:tcPr>
          <w:p w14:paraId="5BE5DA8F"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10</w:t>
            </w:r>
          </w:p>
        </w:tc>
        <w:tc>
          <w:tcPr>
            <w:tcW w:w="2600" w:type="dxa"/>
          </w:tcPr>
          <w:p w14:paraId="1BFE74FF"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Legislación nacional</w:t>
            </w:r>
          </w:p>
        </w:tc>
        <w:tc>
          <w:tcPr>
            <w:tcW w:w="2612" w:type="dxa"/>
          </w:tcPr>
          <w:p w14:paraId="0BDB145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Normas y requisitos de ICCAT implementados aplicados con actos jurídicos y reglamentos.</w:t>
            </w:r>
          </w:p>
        </w:tc>
        <w:tc>
          <w:tcPr>
            <w:tcW w:w="1985" w:type="dxa"/>
          </w:tcPr>
          <w:p w14:paraId="6EA7D57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pesca de Islandia y Reglamento sobre las pesquerías de atún rojo.</w:t>
            </w:r>
          </w:p>
        </w:tc>
        <w:tc>
          <w:tcPr>
            <w:tcW w:w="1410" w:type="dxa"/>
          </w:tcPr>
          <w:p w14:paraId="37B55F9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79C536FB" w14:textId="77777777" w:rsidTr="00CA749B">
        <w:tc>
          <w:tcPr>
            <w:tcW w:w="453" w:type="dxa"/>
          </w:tcPr>
          <w:p w14:paraId="211E5301"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p>
        </w:tc>
        <w:tc>
          <w:tcPr>
            <w:tcW w:w="2600" w:type="dxa"/>
          </w:tcPr>
          <w:p w14:paraId="23630317"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Otros requisitos, como:</w:t>
            </w:r>
          </w:p>
          <w:p w14:paraId="287A45E6"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programa de marcado (párr. 44). etc.</w:t>
            </w:r>
          </w:p>
        </w:tc>
        <w:tc>
          <w:tcPr>
            <w:tcW w:w="2612" w:type="dxa"/>
          </w:tcPr>
          <w:p w14:paraId="75D8596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985" w:type="dxa"/>
          </w:tcPr>
          <w:p w14:paraId="07EA9DE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410" w:type="dxa"/>
          </w:tcPr>
          <w:p w14:paraId="4EB7BC7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bl>
    <w:p w14:paraId="1DDB25A9" w14:textId="77777777" w:rsidR="009123AC" w:rsidRPr="00F0379B" w:rsidRDefault="009123AC" w:rsidP="009123AC">
      <w:pPr>
        <w:spacing w:after="0" w:line="240" w:lineRule="auto"/>
        <w:rPr>
          <w:rFonts w:ascii="Cambria" w:eastAsiaTheme="minorEastAsia" w:hAnsi="Cambria"/>
          <w:bCs/>
          <w:kern w:val="2"/>
          <w:sz w:val="20"/>
          <w:szCs w:val="20"/>
          <w:lang w:eastAsia="ja-JP"/>
          <w14:ligatures w14:val="standardContextual"/>
        </w:rPr>
      </w:pPr>
    </w:p>
    <w:p w14:paraId="7B407C36" w14:textId="77777777" w:rsidR="009123AC" w:rsidRPr="00F0379B" w:rsidRDefault="009123AC" w:rsidP="00CE0EC8">
      <w:pPr>
        <w:widowControl w:val="0"/>
        <w:numPr>
          <w:ilvl w:val="0"/>
          <w:numId w:val="50"/>
        </w:numPr>
        <w:spacing w:after="0" w:line="240" w:lineRule="auto"/>
        <w:ind w:left="142" w:hanging="153"/>
        <w:contextualSpacing/>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 xml:space="preserve">e) Puertos designados </w:t>
      </w:r>
      <w:r w:rsidRPr="00F0379B">
        <w:rPr>
          <w:rFonts w:ascii="Cambria" w:eastAsiaTheme="minorEastAsia" w:hAnsi="Cambria"/>
          <w:b/>
          <w:bCs/>
          <w:i/>
          <w:iCs/>
          <w:kern w:val="2"/>
          <w:sz w:val="20"/>
          <w:szCs w:val="20"/>
          <w:lang w:eastAsia="ja-JP"/>
          <w14:ligatures w14:val="standardContextual"/>
        </w:rPr>
        <w:t>(párr. 80)</w:t>
      </w:r>
    </w:p>
    <w:p w14:paraId="73EA302E" w14:textId="77777777" w:rsidR="009123AC" w:rsidRPr="00F0379B" w:rsidRDefault="009123AC" w:rsidP="009123AC">
      <w:pPr>
        <w:spacing w:after="0" w:line="240" w:lineRule="auto"/>
        <w:rPr>
          <w:rFonts w:ascii="Cambria" w:eastAsiaTheme="minorEastAsia" w:hAnsi="Cambria"/>
          <w:bCs/>
          <w:kern w:val="2"/>
          <w:sz w:val="20"/>
          <w:szCs w:val="20"/>
          <w:lang w:eastAsia="ja-JP"/>
          <w14:ligatures w14:val="standardContextual"/>
        </w:rPr>
      </w:pPr>
    </w:p>
    <w:p w14:paraId="7A474B9E"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Se adjunta la lista de puertos autorizados para 2026: </w:t>
      </w:r>
      <w:proofErr w:type="spellStart"/>
      <w:r w:rsidRPr="00F0379B">
        <w:rPr>
          <w:rFonts w:ascii="Cambria" w:eastAsiaTheme="minorEastAsia" w:hAnsi="Cambria"/>
          <w:kern w:val="2"/>
          <w:sz w:val="20"/>
          <w:szCs w:val="20"/>
          <w:lang w:eastAsia="ja-JP"/>
          <w14:ligatures w14:val="standardContextual"/>
        </w:rPr>
        <w:t>Reykjavik</w:t>
      </w:r>
      <w:proofErr w:type="spellEnd"/>
      <w:r w:rsidRPr="00F0379B">
        <w:rPr>
          <w:rFonts w:ascii="Cambria" w:eastAsiaTheme="minorEastAsia" w:hAnsi="Cambria"/>
          <w:kern w:val="2"/>
          <w:sz w:val="20"/>
          <w:szCs w:val="20"/>
          <w:lang w:eastAsia="ja-JP"/>
          <w14:ligatures w14:val="standardContextual"/>
        </w:rPr>
        <w:t xml:space="preserve">, </w:t>
      </w:r>
      <w:proofErr w:type="spellStart"/>
      <w:r w:rsidRPr="00F0379B">
        <w:rPr>
          <w:rFonts w:ascii="Cambria" w:eastAsiaTheme="minorEastAsia" w:hAnsi="Cambria"/>
          <w:kern w:val="2"/>
          <w:sz w:val="20"/>
          <w:szCs w:val="20"/>
          <w:lang w:eastAsia="ja-JP"/>
          <w14:ligatures w14:val="standardContextual"/>
        </w:rPr>
        <w:t>Hafnarfjordur</w:t>
      </w:r>
      <w:proofErr w:type="spellEnd"/>
      <w:r w:rsidRPr="00F0379B">
        <w:rPr>
          <w:rFonts w:ascii="Cambria" w:eastAsiaTheme="minorEastAsia" w:hAnsi="Cambria"/>
          <w:kern w:val="2"/>
          <w:sz w:val="20"/>
          <w:szCs w:val="20"/>
          <w:lang w:eastAsia="ja-JP"/>
          <w14:ligatures w14:val="standardContextual"/>
        </w:rPr>
        <w:t xml:space="preserve">, </w:t>
      </w:r>
      <w:proofErr w:type="spellStart"/>
      <w:r w:rsidRPr="00F0379B">
        <w:rPr>
          <w:rFonts w:ascii="Cambria" w:eastAsiaTheme="minorEastAsia" w:hAnsi="Cambria"/>
          <w:kern w:val="2"/>
          <w:sz w:val="20"/>
          <w:szCs w:val="20"/>
          <w:lang w:eastAsia="ja-JP"/>
          <w14:ligatures w14:val="standardContextual"/>
        </w:rPr>
        <w:t>Hofn</w:t>
      </w:r>
      <w:proofErr w:type="spellEnd"/>
      <w:r w:rsidRPr="00F0379B">
        <w:rPr>
          <w:rFonts w:ascii="Cambria" w:eastAsiaTheme="minorEastAsia" w:hAnsi="Cambria"/>
          <w:kern w:val="2"/>
          <w:sz w:val="20"/>
          <w:szCs w:val="20"/>
          <w:lang w:eastAsia="ja-JP"/>
          <w14:ligatures w14:val="standardContextual"/>
        </w:rPr>
        <w:t xml:space="preserve"> i Hornafirdi, </w:t>
      </w:r>
      <w:proofErr w:type="spellStart"/>
      <w:r w:rsidRPr="00F0379B">
        <w:rPr>
          <w:rFonts w:ascii="Cambria" w:eastAsiaTheme="minorEastAsia" w:hAnsi="Cambria"/>
          <w:kern w:val="2"/>
          <w:sz w:val="20"/>
          <w:szCs w:val="20"/>
          <w:lang w:eastAsia="ja-JP"/>
          <w14:ligatures w14:val="standardContextual"/>
        </w:rPr>
        <w:t>Vestmannaeyjar</w:t>
      </w:r>
      <w:proofErr w:type="spellEnd"/>
      <w:r w:rsidRPr="00F0379B">
        <w:rPr>
          <w:rFonts w:ascii="Cambria" w:eastAsiaTheme="minorEastAsia" w:hAnsi="Cambria"/>
          <w:kern w:val="2"/>
          <w:sz w:val="20"/>
          <w:szCs w:val="20"/>
          <w:lang w:eastAsia="ja-JP"/>
          <w14:ligatures w14:val="standardContextual"/>
        </w:rPr>
        <w:t xml:space="preserve">, </w:t>
      </w:r>
      <w:proofErr w:type="spellStart"/>
      <w:r w:rsidRPr="00F0379B">
        <w:rPr>
          <w:rFonts w:ascii="Cambria" w:eastAsiaTheme="minorEastAsia" w:hAnsi="Cambria"/>
          <w:kern w:val="2"/>
          <w:sz w:val="20"/>
          <w:szCs w:val="20"/>
          <w:lang w:eastAsia="ja-JP"/>
          <w14:ligatures w14:val="standardContextual"/>
        </w:rPr>
        <w:t>Grindavik</w:t>
      </w:r>
      <w:proofErr w:type="spellEnd"/>
      <w:r w:rsidRPr="00F0379B">
        <w:rPr>
          <w:rFonts w:ascii="Cambria" w:eastAsiaTheme="minorEastAsia" w:hAnsi="Cambria"/>
          <w:kern w:val="2"/>
          <w:sz w:val="20"/>
          <w:szCs w:val="20"/>
          <w:lang w:eastAsia="ja-JP"/>
          <w14:ligatures w14:val="standardContextual"/>
        </w:rPr>
        <w:t xml:space="preserve">, </w:t>
      </w:r>
      <w:proofErr w:type="spellStart"/>
      <w:r w:rsidRPr="00F0379B">
        <w:rPr>
          <w:rFonts w:ascii="Cambria" w:eastAsiaTheme="minorEastAsia" w:hAnsi="Cambria"/>
          <w:kern w:val="2"/>
          <w:sz w:val="20"/>
          <w:szCs w:val="20"/>
          <w:lang w:eastAsia="ja-JP"/>
          <w14:ligatures w14:val="standardContextual"/>
        </w:rPr>
        <w:t>Thorlakshofn</w:t>
      </w:r>
      <w:proofErr w:type="spellEnd"/>
      <w:r w:rsidRPr="00F0379B">
        <w:rPr>
          <w:rFonts w:ascii="Cambria" w:eastAsiaTheme="minorEastAsia" w:hAnsi="Cambria"/>
          <w:kern w:val="2"/>
          <w:sz w:val="20"/>
          <w:szCs w:val="20"/>
          <w:lang w:eastAsia="ja-JP"/>
          <w14:ligatures w14:val="standardContextual"/>
        </w:rPr>
        <w:t xml:space="preserve">, </w:t>
      </w:r>
      <w:proofErr w:type="spellStart"/>
      <w:r w:rsidRPr="00F0379B">
        <w:rPr>
          <w:rFonts w:ascii="Cambria" w:eastAsiaTheme="minorEastAsia" w:hAnsi="Cambria"/>
          <w:kern w:val="2"/>
          <w:sz w:val="20"/>
          <w:szCs w:val="20"/>
          <w:lang w:eastAsia="ja-JP"/>
          <w14:ligatures w14:val="standardContextual"/>
        </w:rPr>
        <w:t>Sandgerdi</w:t>
      </w:r>
      <w:proofErr w:type="spellEnd"/>
      <w:r w:rsidRPr="00F0379B">
        <w:rPr>
          <w:rFonts w:ascii="Cambria" w:eastAsiaTheme="minorEastAsia" w:hAnsi="Cambria"/>
          <w:kern w:val="2"/>
          <w:sz w:val="20"/>
          <w:szCs w:val="20"/>
          <w:lang w:eastAsia="ja-JP"/>
          <w14:ligatures w14:val="standardContextual"/>
        </w:rPr>
        <w:t xml:space="preserve">, </w:t>
      </w:r>
      <w:proofErr w:type="spellStart"/>
      <w:r w:rsidRPr="00F0379B">
        <w:rPr>
          <w:rFonts w:ascii="Cambria" w:eastAsiaTheme="minorEastAsia" w:hAnsi="Cambria"/>
          <w:kern w:val="2"/>
          <w:sz w:val="20"/>
          <w:szCs w:val="20"/>
          <w:lang w:eastAsia="ja-JP"/>
          <w14:ligatures w14:val="standardContextual"/>
        </w:rPr>
        <w:t>Keflavik</w:t>
      </w:r>
      <w:proofErr w:type="spellEnd"/>
      <w:r w:rsidRPr="00F0379B">
        <w:rPr>
          <w:rFonts w:ascii="Cambria" w:eastAsiaTheme="minorEastAsia" w:hAnsi="Cambria"/>
          <w:kern w:val="2"/>
          <w:sz w:val="20"/>
          <w:szCs w:val="20"/>
          <w:lang w:eastAsia="ja-JP"/>
          <w14:ligatures w14:val="standardContextual"/>
        </w:rPr>
        <w:t xml:space="preserve">, </w:t>
      </w:r>
      <w:proofErr w:type="spellStart"/>
      <w:r w:rsidRPr="00F0379B">
        <w:rPr>
          <w:rFonts w:ascii="Cambria" w:eastAsiaTheme="minorEastAsia" w:hAnsi="Cambria"/>
          <w:kern w:val="2"/>
          <w:sz w:val="20"/>
          <w:szCs w:val="20"/>
          <w:lang w:eastAsia="ja-JP"/>
          <w14:ligatures w14:val="standardContextual"/>
        </w:rPr>
        <w:t>Akranes</w:t>
      </w:r>
      <w:proofErr w:type="spellEnd"/>
      <w:r w:rsidRPr="00F0379B">
        <w:rPr>
          <w:rFonts w:ascii="Cambria" w:eastAsiaTheme="minorEastAsia" w:hAnsi="Cambria"/>
          <w:kern w:val="2"/>
          <w:sz w:val="20"/>
          <w:szCs w:val="20"/>
          <w:lang w:eastAsia="ja-JP"/>
          <w14:ligatures w14:val="standardContextual"/>
        </w:rPr>
        <w:t xml:space="preserve">, </w:t>
      </w:r>
      <w:proofErr w:type="spellStart"/>
      <w:r w:rsidRPr="00F0379B">
        <w:rPr>
          <w:rFonts w:ascii="Cambria" w:eastAsiaTheme="minorEastAsia" w:hAnsi="Cambria"/>
          <w:kern w:val="2"/>
          <w:sz w:val="20"/>
          <w:szCs w:val="20"/>
          <w:lang w:eastAsia="ja-JP"/>
          <w14:ligatures w14:val="standardContextual"/>
        </w:rPr>
        <w:t>Olafsvik</w:t>
      </w:r>
      <w:proofErr w:type="spellEnd"/>
      <w:r w:rsidRPr="00F0379B">
        <w:rPr>
          <w:rFonts w:ascii="Cambria" w:eastAsiaTheme="minorEastAsia" w:hAnsi="Cambria"/>
          <w:kern w:val="2"/>
          <w:sz w:val="20"/>
          <w:szCs w:val="20"/>
          <w:lang w:eastAsia="ja-JP"/>
          <w14:ligatures w14:val="standardContextual"/>
        </w:rPr>
        <w:t xml:space="preserve">, </w:t>
      </w:r>
      <w:proofErr w:type="spellStart"/>
      <w:r w:rsidRPr="00F0379B">
        <w:rPr>
          <w:rFonts w:ascii="Cambria" w:eastAsiaTheme="minorEastAsia" w:hAnsi="Cambria"/>
          <w:kern w:val="2"/>
          <w:sz w:val="20"/>
          <w:szCs w:val="20"/>
          <w:lang w:eastAsia="ja-JP"/>
          <w14:ligatures w14:val="standardContextual"/>
        </w:rPr>
        <w:t>Grundarfjordur</w:t>
      </w:r>
      <w:proofErr w:type="spellEnd"/>
      <w:r w:rsidRPr="00F0379B">
        <w:rPr>
          <w:rFonts w:ascii="Cambria" w:eastAsiaTheme="minorEastAsia" w:hAnsi="Cambria"/>
          <w:kern w:val="2"/>
          <w:sz w:val="20"/>
          <w:szCs w:val="20"/>
          <w:lang w:eastAsia="ja-JP"/>
          <w14:ligatures w14:val="standardContextual"/>
        </w:rPr>
        <w:t xml:space="preserve">, </w:t>
      </w:r>
      <w:proofErr w:type="spellStart"/>
      <w:r w:rsidRPr="00F0379B">
        <w:rPr>
          <w:rFonts w:ascii="Cambria" w:eastAsiaTheme="minorEastAsia" w:hAnsi="Cambria"/>
          <w:kern w:val="2"/>
          <w:sz w:val="20"/>
          <w:szCs w:val="20"/>
          <w:lang w:eastAsia="ja-JP"/>
          <w14:ligatures w14:val="standardContextual"/>
        </w:rPr>
        <w:t>Stykkisholmur</w:t>
      </w:r>
      <w:proofErr w:type="spellEnd"/>
      <w:r w:rsidRPr="00F0379B">
        <w:rPr>
          <w:rFonts w:ascii="Cambria" w:eastAsiaTheme="minorEastAsia" w:hAnsi="Cambria"/>
          <w:kern w:val="2"/>
          <w:sz w:val="20"/>
          <w:szCs w:val="20"/>
          <w:lang w:eastAsia="ja-JP"/>
          <w14:ligatures w14:val="standardContextual"/>
        </w:rPr>
        <w:t>.</w:t>
      </w:r>
    </w:p>
    <w:p w14:paraId="1C2CF6CB"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p>
    <w:p w14:paraId="0404901C"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p>
    <w:p w14:paraId="3E1924CA" w14:textId="77777777" w:rsidR="009123AC" w:rsidRPr="00F0379B" w:rsidRDefault="009123AC" w:rsidP="00CE0EC8">
      <w:pPr>
        <w:widowControl w:val="0"/>
        <w:numPr>
          <w:ilvl w:val="0"/>
          <w:numId w:val="52"/>
        </w:numPr>
        <w:tabs>
          <w:tab w:val="left" w:pos="426"/>
        </w:tabs>
        <w:spacing w:after="0" w:line="240" w:lineRule="auto"/>
        <w:ind w:left="426" w:hanging="426"/>
        <w:contextualSpacing/>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Plan anual de ordenación de la capacidad pesquera (párrs. 14-21)</w:t>
      </w:r>
    </w:p>
    <w:p w14:paraId="65A53013" w14:textId="77777777" w:rsidR="009123AC" w:rsidRPr="00F0379B" w:rsidRDefault="009123AC" w:rsidP="009123AC">
      <w:pPr>
        <w:tabs>
          <w:tab w:val="left" w:pos="426"/>
        </w:tabs>
        <w:spacing w:after="0" w:line="240" w:lineRule="auto"/>
        <w:jc w:val="both"/>
        <w:rPr>
          <w:rFonts w:ascii="Cambria" w:eastAsiaTheme="minorEastAsia" w:hAnsi="Cambria"/>
          <w:b/>
          <w:kern w:val="2"/>
          <w:sz w:val="20"/>
          <w:szCs w:val="20"/>
          <w:lang w:eastAsia="ja-JP"/>
          <w14:ligatures w14:val="standardContextual"/>
        </w:rPr>
      </w:pPr>
    </w:p>
    <w:p w14:paraId="0D3228D0"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Véase tabla más abajo.</w:t>
      </w:r>
    </w:p>
    <w:p w14:paraId="58547A38"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3BE19B33"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590BB9BC" w14:textId="77777777" w:rsidR="009123AC" w:rsidRPr="00F0379B" w:rsidRDefault="009123AC" w:rsidP="009123AC">
      <w:pPr>
        <w:tabs>
          <w:tab w:val="left" w:pos="426"/>
        </w:tabs>
        <w:spacing w:after="0" w:line="240" w:lineRule="auto"/>
        <w:ind w:left="426" w:hanging="426"/>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3</w:t>
      </w:r>
      <w:r w:rsidRPr="00F0379B">
        <w:rPr>
          <w:rFonts w:ascii="Cambria" w:eastAsiaTheme="minorEastAsia" w:hAnsi="Cambria"/>
          <w:b/>
          <w:bCs/>
          <w:i/>
          <w:iCs/>
          <w:kern w:val="2"/>
          <w:sz w:val="20"/>
          <w:szCs w:val="20"/>
          <w:lang w:eastAsia="ja-JP"/>
          <w14:ligatures w14:val="standardContextual"/>
        </w:rPr>
        <w:t>.</w:t>
      </w:r>
      <w:r w:rsidRPr="00F0379B">
        <w:rPr>
          <w:rFonts w:ascii="Cambria" w:eastAsiaTheme="minorEastAsia" w:hAnsi="Cambria"/>
          <w:b/>
          <w:kern w:val="2"/>
          <w:sz w:val="20"/>
          <w:szCs w:val="20"/>
          <w:lang w:eastAsia="ja-JP"/>
          <w14:ligatures w14:val="standardContextual"/>
        </w:rPr>
        <w:t xml:space="preserve"> </w:t>
      </w:r>
      <w:r w:rsidRPr="00F0379B">
        <w:rPr>
          <w:rFonts w:ascii="Cambria" w:eastAsiaTheme="minorEastAsia" w:hAnsi="Cambria"/>
          <w:b/>
          <w:kern w:val="2"/>
          <w:sz w:val="20"/>
          <w:szCs w:val="20"/>
          <w:lang w:eastAsia="ja-JP"/>
          <w14:ligatures w14:val="standardContextual"/>
        </w:rPr>
        <w:tab/>
        <w:t>Plan anual de ordenación de la cría (párrs. 22-23), si es aplicable</w:t>
      </w:r>
    </w:p>
    <w:p w14:paraId="31E142B4"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29C8D254"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No aplicable - No hay cría.</w:t>
      </w:r>
    </w:p>
    <w:p w14:paraId="18399950"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74BB5FC3"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5355A38A" w14:textId="77777777" w:rsidR="009123AC" w:rsidRPr="00F0379B" w:rsidRDefault="009123AC" w:rsidP="009123AC">
      <w:pPr>
        <w:tabs>
          <w:tab w:val="left" w:pos="426"/>
        </w:tabs>
        <w:spacing w:after="0" w:line="240" w:lineRule="auto"/>
        <w:ind w:left="426" w:hanging="426"/>
        <w:jc w:val="both"/>
        <w:rPr>
          <w:rFonts w:ascii="Cambria" w:eastAsiaTheme="minorEastAsia" w:hAnsi="Cambria"/>
          <w:b/>
          <w:bCs/>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4</w:t>
      </w:r>
      <w:r w:rsidRPr="00F0379B">
        <w:rPr>
          <w:rFonts w:ascii="Cambria" w:eastAsiaTheme="minorEastAsia" w:hAnsi="Cambria"/>
          <w:b/>
          <w:bCs/>
          <w:i/>
          <w:iCs/>
          <w:kern w:val="2"/>
          <w:sz w:val="20"/>
          <w:szCs w:val="20"/>
          <w:lang w:eastAsia="ja-JP"/>
          <w14:ligatures w14:val="standardContextual"/>
        </w:rPr>
        <w:t>.</w:t>
      </w:r>
      <w:r w:rsidRPr="00F0379B">
        <w:rPr>
          <w:rFonts w:ascii="Cambria" w:eastAsiaTheme="minorEastAsia" w:hAnsi="Cambria"/>
          <w:b/>
          <w:kern w:val="2"/>
          <w:sz w:val="20"/>
          <w:szCs w:val="20"/>
          <w:lang w:eastAsia="ja-JP"/>
          <w14:ligatures w14:val="standardContextual"/>
        </w:rPr>
        <w:t xml:space="preserve"> </w:t>
      </w:r>
      <w:r w:rsidRPr="00F0379B">
        <w:rPr>
          <w:rFonts w:ascii="Cambria" w:eastAsiaTheme="minorEastAsia" w:hAnsi="Cambria"/>
          <w:b/>
          <w:kern w:val="2"/>
          <w:sz w:val="20"/>
          <w:szCs w:val="20"/>
          <w:lang w:eastAsia="ja-JP"/>
          <w14:ligatures w14:val="standardContextual"/>
        </w:rPr>
        <w:tab/>
      </w:r>
      <w:r w:rsidRPr="00F0379B">
        <w:rPr>
          <w:rFonts w:ascii="Cambria" w:eastAsiaTheme="minorEastAsia" w:hAnsi="Cambria"/>
          <w:b/>
          <w:bCs/>
          <w:kern w:val="2"/>
          <w:sz w:val="20"/>
          <w:szCs w:val="20"/>
          <w:lang w:eastAsia="ja-JP"/>
          <w14:ligatures w14:val="standardContextual"/>
        </w:rPr>
        <w:t xml:space="preserve">Plan de acuicultura anual (párr. 10 e de la </w:t>
      </w:r>
      <w:hyperlink r:id="rId125" w:history="1">
        <w:r w:rsidRPr="00F0379B">
          <w:rPr>
            <w:rFonts w:ascii="Cambria" w:eastAsiaTheme="minorEastAsia" w:hAnsi="Cambria"/>
            <w:b/>
            <w:bCs/>
            <w:color w:val="0563C1" w:themeColor="hyperlink"/>
            <w:kern w:val="2"/>
            <w:sz w:val="20"/>
            <w:szCs w:val="20"/>
            <w:lang w:eastAsia="ja-JP"/>
            <w14:ligatures w14:val="standardContextual"/>
          </w:rPr>
          <w:t xml:space="preserve">Rec. 25-04 </w:t>
        </w:r>
      </w:hyperlink>
      <w:r w:rsidRPr="00F0379B">
        <w:rPr>
          <w:rFonts w:ascii="Cambria" w:eastAsiaTheme="minorEastAsia" w:hAnsi="Cambria"/>
          <w:b/>
          <w:bCs/>
          <w:kern w:val="2"/>
          <w:sz w:val="20"/>
          <w:szCs w:val="20"/>
          <w:lang w:eastAsia="ja-JP"/>
          <w14:ligatures w14:val="standardContextual"/>
        </w:rPr>
        <w:t xml:space="preserve">de conformidad con la </w:t>
      </w:r>
      <w:hyperlink r:id="rId126" w:history="1">
        <w:r w:rsidRPr="00F0379B">
          <w:rPr>
            <w:rFonts w:ascii="Cambria" w:eastAsiaTheme="minorEastAsia" w:hAnsi="Cambria"/>
            <w:b/>
            <w:bCs/>
            <w:color w:val="0563C1" w:themeColor="hyperlink"/>
            <w:kern w:val="2"/>
            <w:sz w:val="20"/>
            <w:szCs w:val="20"/>
            <w:lang w:eastAsia="ja-JP"/>
            <w14:ligatures w14:val="standardContextual"/>
          </w:rPr>
          <w:t>Rec. 24-07</w:t>
        </w:r>
      </w:hyperlink>
      <w:r w:rsidRPr="00F0379B">
        <w:rPr>
          <w:rFonts w:ascii="Cambria" w:eastAsiaTheme="minorEastAsia" w:hAnsi="Cambria"/>
          <w:b/>
          <w:bCs/>
          <w:kern w:val="2"/>
          <w:sz w:val="20"/>
          <w:szCs w:val="20"/>
          <w:lang w:eastAsia="ja-JP"/>
          <w14:ligatures w14:val="standardContextual"/>
        </w:rPr>
        <w:t>), si es aplicable</w:t>
      </w:r>
    </w:p>
    <w:p w14:paraId="176FCDF6" w14:textId="77777777" w:rsidR="009123AC" w:rsidRPr="00F0379B" w:rsidRDefault="009123AC" w:rsidP="009123AC">
      <w:pPr>
        <w:tabs>
          <w:tab w:val="left" w:pos="426"/>
        </w:tabs>
        <w:spacing w:after="0" w:line="240" w:lineRule="auto"/>
        <w:ind w:left="426" w:hanging="426"/>
        <w:jc w:val="both"/>
        <w:rPr>
          <w:rFonts w:ascii="Cambria" w:eastAsiaTheme="minorEastAsia" w:hAnsi="Cambria"/>
          <w:b/>
          <w:kern w:val="2"/>
          <w:sz w:val="20"/>
          <w:szCs w:val="20"/>
          <w:lang w:eastAsia="ja-JP"/>
          <w14:ligatures w14:val="standardContextual"/>
        </w:rPr>
      </w:pPr>
    </w:p>
    <w:p w14:paraId="373D0E44" w14:textId="77777777" w:rsidR="009123AC" w:rsidRPr="00F0379B" w:rsidRDefault="009123AC" w:rsidP="009123AC">
      <w:pPr>
        <w:tabs>
          <w:tab w:val="left" w:pos="426"/>
        </w:tabs>
        <w:spacing w:after="0" w:line="240" w:lineRule="auto"/>
        <w:ind w:left="426" w:hanging="426"/>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No aplicable – No hay peces de acuicultura.</w:t>
      </w:r>
    </w:p>
    <w:p w14:paraId="3C590D83" w14:textId="77777777" w:rsidR="009123AC" w:rsidRPr="00F0379B" w:rsidRDefault="009123AC" w:rsidP="009123AC">
      <w:pPr>
        <w:tabs>
          <w:tab w:val="left" w:pos="426"/>
        </w:tabs>
        <w:spacing w:after="0" w:line="240" w:lineRule="auto"/>
        <w:ind w:left="426" w:hanging="426"/>
        <w:jc w:val="both"/>
        <w:rPr>
          <w:rFonts w:ascii="Cambria" w:eastAsiaTheme="minorEastAsia" w:hAnsi="Cambria"/>
          <w:bCs/>
          <w:kern w:val="2"/>
          <w:sz w:val="20"/>
          <w:szCs w:val="20"/>
          <w:lang w:eastAsia="ja-JP"/>
          <w14:ligatures w14:val="standardContextual"/>
        </w:rPr>
      </w:pPr>
    </w:p>
    <w:p w14:paraId="3F682704" w14:textId="77777777" w:rsidR="009123AC" w:rsidRPr="00F0379B" w:rsidRDefault="009123AC" w:rsidP="009123AC">
      <w:pPr>
        <w:tabs>
          <w:tab w:val="left" w:pos="426"/>
        </w:tabs>
        <w:spacing w:after="0" w:line="240" w:lineRule="auto"/>
        <w:ind w:left="426" w:hanging="426"/>
        <w:jc w:val="both"/>
        <w:rPr>
          <w:rFonts w:ascii="Cambria" w:eastAsiaTheme="minorEastAsia" w:hAnsi="Cambria"/>
          <w:bCs/>
          <w:kern w:val="2"/>
          <w:sz w:val="20"/>
          <w:szCs w:val="20"/>
          <w:lang w:eastAsia="ja-JP"/>
          <w14:ligatures w14:val="standardContextual"/>
        </w:rPr>
      </w:pPr>
    </w:p>
    <w:p w14:paraId="19ADA8C9" w14:textId="77777777" w:rsidR="009123AC" w:rsidRPr="00F0379B" w:rsidRDefault="009123AC" w:rsidP="00CE0EC8">
      <w:pPr>
        <w:widowControl w:val="0"/>
        <w:numPr>
          <w:ilvl w:val="0"/>
          <w:numId w:val="68"/>
        </w:numPr>
        <w:spacing w:after="0" w:line="240" w:lineRule="auto"/>
        <w:ind w:left="426" w:hanging="426"/>
        <w:contextualSpacing/>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Plan de inspección, control y seguimiento</w:t>
      </w:r>
    </w:p>
    <w:p w14:paraId="3630E2D0" w14:textId="77777777" w:rsidR="009123AC" w:rsidRPr="00F0379B" w:rsidRDefault="009123AC" w:rsidP="009123AC">
      <w:pPr>
        <w:tabs>
          <w:tab w:val="left" w:pos="426"/>
        </w:tabs>
        <w:spacing w:after="0" w:line="240" w:lineRule="auto"/>
        <w:ind w:left="426" w:hanging="426"/>
        <w:jc w:val="both"/>
        <w:rPr>
          <w:rFonts w:ascii="Cambria" w:eastAsiaTheme="minorEastAsia" w:hAnsi="Cambria"/>
          <w:bCs/>
          <w:kern w:val="2"/>
          <w:sz w:val="20"/>
          <w:szCs w:val="20"/>
          <w:lang w:eastAsia="ja-JP"/>
          <w14:ligatures w14:val="standardContextual"/>
        </w:rPr>
      </w:pPr>
    </w:p>
    <w:p w14:paraId="0C7A1D75"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43C8C774"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5 a) Inspección, control y seguimiento de la CPC (párr. 10 c)</w:t>
      </w:r>
    </w:p>
    <w:p w14:paraId="08987E97"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5D3D2B57"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palangreros que dirigen su actividad al atún rojo necesitan un permiso escrito de la DF, en calidad de autoridad competente, al abandonar el puerto para pescar atún rojo sin un inspector de la DF a bordo. La cobertura requerida es de al menos el 20 % de las operaciones pesqueras en días. Los inspectores de la DF están presentes en todos los desembarques de atún rojo. </w:t>
      </w:r>
    </w:p>
    <w:p w14:paraId="0EB48332"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3E19DFCB"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buques islandeses están equipados con un sistema VMS y deben transmitir cada hora.</w:t>
      </w:r>
    </w:p>
    <w:p w14:paraId="01AB454B"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228DF9DB"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Todas las capturas de especies comerciales y no comerciales deben consignarse en cuadernos de pesca electrónicos y esto se aplica también a todas las capturas fortuitas de atún rojo por parte de buques islandeses.</w:t>
      </w:r>
    </w:p>
    <w:p w14:paraId="3BB71576"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79BF249C"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buques deben contar con un permiso de pesca general y cuota suficiente para otras especies dentro de la ZEE de Islandia para permitir las capturas fortuitas incidentales de otras especies. Cuando el buque tenga intención de utilizar la cuota de atún rojo deberá notificarlo a la DF de Islandia y, por tanto, se regirá por el régimen de ordenación de ICCAT.</w:t>
      </w:r>
    </w:p>
    <w:p w14:paraId="34EC5F39" w14:textId="77777777" w:rsidR="009123AC" w:rsidRPr="00F0379B" w:rsidRDefault="009123AC" w:rsidP="009123AC">
      <w:pPr>
        <w:spacing w:after="0" w:line="240" w:lineRule="auto"/>
        <w:jc w:val="both"/>
        <w:rPr>
          <w:rFonts w:ascii="Cambria" w:eastAsiaTheme="minorEastAsia" w:hAnsi="Cambria"/>
          <w:i/>
          <w:iCs/>
          <w:kern w:val="2"/>
          <w:sz w:val="20"/>
          <w:szCs w:val="20"/>
          <w:lang w:eastAsia="ja-JP"/>
          <w14:ligatures w14:val="standardContextual"/>
        </w:rPr>
      </w:pPr>
    </w:p>
    <w:p w14:paraId="6B0DCC92" w14:textId="77777777" w:rsidR="009123AC" w:rsidRPr="00F0379B" w:rsidRDefault="009123AC" w:rsidP="009123AC">
      <w:pPr>
        <w:spacing w:after="0" w:line="240" w:lineRule="auto"/>
        <w:jc w:val="both"/>
        <w:rPr>
          <w:rFonts w:ascii="Cambria" w:eastAsiaTheme="minorEastAsia" w:hAnsi="Cambria"/>
          <w:i/>
          <w:iCs/>
          <w:kern w:val="2"/>
          <w:sz w:val="20"/>
          <w:szCs w:val="20"/>
          <w:lang w:eastAsia="ja-JP"/>
          <w14:ligatures w14:val="standardContextual"/>
        </w:rPr>
      </w:pPr>
      <w:r w:rsidRPr="00F0379B">
        <w:rPr>
          <w:rFonts w:ascii="Cambria" w:eastAsiaTheme="minorEastAsia" w:hAnsi="Cambria"/>
          <w:i/>
          <w:iCs/>
          <w:kern w:val="2"/>
          <w:sz w:val="20"/>
          <w:szCs w:val="20"/>
          <w:lang w:eastAsia="ja-JP"/>
          <w14:ligatures w14:val="standardContextual"/>
        </w:rPr>
        <w:br w:type="page"/>
      </w:r>
    </w:p>
    <w:p w14:paraId="0B6DE618" w14:textId="77777777" w:rsidR="009123AC" w:rsidRPr="00F0379B" w:rsidRDefault="009123AC" w:rsidP="009123AC">
      <w:pPr>
        <w:spacing w:after="0" w:line="240" w:lineRule="auto"/>
        <w:jc w:val="both"/>
        <w:rPr>
          <w:rFonts w:ascii="Cambria" w:eastAsiaTheme="minorEastAsia" w:hAnsi="Cambria"/>
          <w:i/>
          <w:iCs/>
          <w:kern w:val="2"/>
          <w:sz w:val="20"/>
          <w:szCs w:val="20"/>
          <w:lang w:eastAsia="ja-JP"/>
          <w14:ligatures w14:val="standardContextual"/>
        </w:rPr>
      </w:pPr>
      <w:r w:rsidRPr="00F0379B">
        <w:rPr>
          <w:rFonts w:ascii="Cambria" w:eastAsiaTheme="minorEastAsia" w:hAnsi="Cambria"/>
          <w:i/>
          <w:iCs/>
          <w:kern w:val="2"/>
          <w:sz w:val="20"/>
          <w:szCs w:val="20"/>
          <w:lang w:eastAsia="ja-JP"/>
          <w14:ligatures w14:val="standardContextual"/>
        </w:rPr>
        <w:t>Lista de puntos de contacto:</w:t>
      </w:r>
    </w:p>
    <w:p w14:paraId="1220CD4F"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0F711815" w14:textId="77777777" w:rsidR="009123AC" w:rsidRPr="00F0379B" w:rsidRDefault="009123AC" w:rsidP="00CE0EC8">
      <w:pPr>
        <w:widowControl w:val="0"/>
        <w:numPr>
          <w:ilvl w:val="0"/>
          <w:numId w:val="47"/>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Agnar Bragi Bragason (jefe de departamento), asesor jurídico, Departamento de Recursos, Ministerio de Industrias (</w:t>
      </w:r>
      <w:hyperlink r:id="rId127" w:history="1">
        <w:r w:rsidRPr="00F0379B">
          <w:rPr>
            <w:rFonts w:ascii="Cambria" w:eastAsiaTheme="minorEastAsia" w:hAnsi="Cambria"/>
            <w:color w:val="0563C1" w:themeColor="hyperlink"/>
            <w:kern w:val="2"/>
            <w:sz w:val="20"/>
            <w:szCs w:val="20"/>
            <w:lang w:eastAsia="ja-JP"/>
            <w14:ligatures w14:val="standardContextual"/>
          </w:rPr>
          <w:t>agnar.bragi.bragason@atrn.is</w:t>
        </w:r>
      </w:hyperlink>
      <w:r w:rsidRPr="00F0379B">
        <w:rPr>
          <w:rFonts w:ascii="Cambria" w:eastAsiaTheme="minorEastAsia" w:hAnsi="Cambria"/>
          <w:kern w:val="2"/>
          <w:sz w:val="20"/>
          <w:szCs w:val="20"/>
          <w:lang w:eastAsia="ja-JP"/>
          <w14:ligatures w14:val="standardContextual"/>
        </w:rPr>
        <w:t>)</w:t>
      </w:r>
    </w:p>
    <w:p w14:paraId="00B5A2F1"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5338ABB3" w14:textId="77777777" w:rsidR="009123AC" w:rsidRPr="00F0379B" w:rsidRDefault="009123AC" w:rsidP="00CE0EC8">
      <w:pPr>
        <w:widowControl w:val="0"/>
        <w:numPr>
          <w:ilvl w:val="0"/>
          <w:numId w:val="79"/>
        </w:num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Skúli Kristinn Skúlason, asesor especial, Departamento de recursos, Ministerio de Industrias (</w:t>
      </w:r>
      <w:hyperlink r:id="rId128" w:history="1">
        <w:r w:rsidRPr="00F0379B">
          <w:rPr>
            <w:rFonts w:ascii="Cambria" w:eastAsiaTheme="minorEastAsia" w:hAnsi="Cambria"/>
            <w:color w:val="0563C1" w:themeColor="hyperlink"/>
            <w:kern w:val="2"/>
            <w:sz w:val="20"/>
            <w:szCs w:val="20"/>
            <w:lang w:eastAsia="ja-JP"/>
            <w14:ligatures w14:val="standardContextual"/>
          </w:rPr>
          <w:t>skuli.kristinn.skulason@atrn.is</w:t>
        </w:r>
      </w:hyperlink>
      <w:r w:rsidRPr="00F0379B">
        <w:rPr>
          <w:rFonts w:ascii="Cambria" w:eastAsiaTheme="minorEastAsia" w:hAnsi="Cambria"/>
          <w:kern w:val="2"/>
          <w:sz w:val="20"/>
          <w:szCs w:val="20"/>
          <w:lang w:eastAsia="ja-JP"/>
          <w14:ligatures w14:val="standardContextual"/>
        </w:rPr>
        <w:t>)</w:t>
      </w:r>
    </w:p>
    <w:p w14:paraId="401FDC0D" w14:textId="77777777" w:rsidR="009123AC" w:rsidRPr="00F0379B" w:rsidRDefault="009123AC" w:rsidP="009123AC">
      <w:pPr>
        <w:spacing w:after="0" w:line="240" w:lineRule="auto"/>
        <w:ind w:left="720"/>
        <w:contextualSpacing/>
        <w:jc w:val="both"/>
        <w:rPr>
          <w:rFonts w:ascii="Cambria" w:eastAsiaTheme="minorEastAsia" w:hAnsi="Cambria"/>
          <w:kern w:val="2"/>
          <w:sz w:val="20"/>
          <w:szCs w:val="20"/>
          <w:lang w:eastAsia="ja-JP"/>
          <w14:ligatures w14:val="standardContextual"/>
        </w:rPr>
      </w:pPr>
    </w:p>
    <w:p w14:paraId="2149C4DA" w14:textId="77777777" w:rsidR="009123AC" w:rsidRPr="00F0379B" w:rsidRDefault="009123AC" w:rsidP="00CE0EC8">
      <w:pPr>
        <w:widowControl w:val="0"/>
        <w:numPr>
          <w:ilvl w:val="0"/>
          <w:numId w:val="47"/>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Guðjón Rafn Steinsson, Dirección de Pesca (</w:t>
      </w:r>
      <w:hyperlink r:id="rId129" w:history="1">
        <w:r w:rsidRPr="00F0379B">
          <w:rPr>
            <w:rFonts w:ascii="Cambria" w:eastAsiaTheme="minorEastAsia" w:hAnsi="Cambria"/>
            <w:color w:val="0563C1" w:themeColor="hyperlink"/>
            <w:kern w:val="2"/>
            <w:sz w:val="20"/>
            <w:szCs w:val="20"/>
            <w:lang w:eastAsia="ja-JP"/>
            <w14:ligatures w14:val="standardContextual"/>
          </w:rPr>
          <w:t>gudjon.r.steinsson@fiskistofa.is</w:t>
        </w:r>
      </w:hyperlink>
      <w:r w:rsidRPr="00F0379B">
        <w:rPr>
          <w:rFonts w:ascii="Cambria" w:eastAsiaTheme="minorEastAsia" w:hAnsi="Cambria"/>
          <w:kern w:val="2"/>
          <w:sz w:val="20"/>
          <w:szCs w:val="20"/>
          <w:lang w:eastAsia="ja-JP"/>
          <w14:ligatures w14:val="standardContextual"/>
        </w:rPr>
        <w:t>)</w:t>
      </w:r>
    </w:p>
    <w:p w14:paraId="2611A8C7"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p>
    <w:p w14:paraId="0E849C02" w14:textId="77777777" w:rsidR="009123AC" w:rsidRPr="00F0379B" w:rsidRDefault="009123AC" w:rsidP="009123AC">
      <w:pPr>
        <w:tabs>
          <w:tab w:val="left" w:pos="426"/>
        </w:tabs>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5 b)</w:t>
      </w:r>
      <w:r w:rsidRPr="00F0379B">
        <w:rPr>
          <w:rFonts w:ascii="Cambria" w:eastAsiaTheme="minorEastAsia" w:hAnsi="Cambria"/>
          <w:b/>
          <w:i/>
          <w:iCs/>
          <w:kern w:val="2"/>
          <w:sz w:val="20"/>
          <w:szCs w:val="20"/>
          <w:lang w:eastAsia="ja-JP"/>
          <w14:ligatures w14:val="standardContextual"/>
        </w:rPr>
        <w:tab/>
        <w:t>Programa conjunto de Inspección internacional (párrs. 232-235)</w:t>
      </w:r>
    </w:p>
    <w:p w14:paraId="1061B7AB"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p>
    <w:p w14:paraId="0FCFE4C7"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aplicable. Islandia solo autoriza hasta tres palangreros en el Atlántico NE, por lo que no se aplica el requisito de participación en el plan ICCAT de inspección internacional.</w:t>
      </w:r>
    </w:p>
    <w:p w14:paraId="35886EF9" w14:textId="77777777" w:rsidR="009123AC" w:rsidRPr="00F0379B" w:rsidRDefault="009123AC" w:rsidP="009123AC">
      <w:pPr>
        <w:spacing w:after="0" w:line="240" w:lineRule="auto"/>
        <w:jc w:val="both"/>
        <w:rPr>
          <w:rFonts w:ascii="Cambria" w:eastAsiaTheme="minorEastAsia" w:hAnsi="Cambria"/>
          <w:i/>
          <w:kern w:val="2"/>
          <w:sz w:val="20"/>
          <w:szCs w:val="20"/>
          <w:lang w:eastAsia="ja-JP"/>
          <w14:ligatures w14:val="standardContextual"/>
        </w:rPr>
      </w:pPr>
    </w:p>
    <w:p w14:paraId="4E1627A3" w14:textId="77777777" w:rsidR="009123AC" w:rsidRPr="00F0379B" w:rsidRDefault="009123AC" w:rsidP="009123AC">
      <w:pPr>
        <w:spacing w:after="0" w:line="240" w:lineRule="auto"/>
        <w:jc w:val="both"/>
        <w:rPr>
          <w:rFonts w:ascii="Cambria" w:eastAsiaTheme="minorEastAsia" w:hAnsi="Cambria"/>
          <w:i/>
          <w:kern w:val="2"/>
          <w:sz w:val="20"/>
          <w:szCs w:val="20"/>
          <w:lang w:eastAsia="ja-JP"/>
          <w14:ligatures w14:val="standardContextual"/>
        </w:rPr>
      </w:pPr>
    </w:p>
    <w:p w14:paraId="42FB889C" w14:textId="77777777" w:rsidR="009123AC" w:rsidRPr="00F0379B" w:rsidRDefault="009123AC" w:rsidP="009123AC">
      <w:pPr>
        <w:tabs>
          <w:tab w:val="left" w:pos="426"/>
        </w:tabs>
        <w:spacing w:after="0" w:line="240" w:lineRule="auto"/>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6</w:t>
      </w:r>
      <w:r w:rsidRPr="00F0379B">
        <w:rPr>
          <w:rFonts w:ascii="Cambria" w:eastAsiaTheme="minorEastAsia" w:hAnsi="Cambria"/>
          <w:b/>
          <w:bCs/>
          <w:i/>
          <w:iCs/>
          <w:kern w:val="2"/>
          <w:sz w:val="20"/>
          <w:szCs w:val="20"/>
          <w:lang w:eastAsia="ja-JP"/>
          <w14:ligatures w14:val="standardContextual"/>
        </w:rPr>
        <w:t>.</w:t>
      </w:r>
      <w:r w:rsidRPr="00F0379B">
        <w:rPr>
          <w:rFonts w:ascii="Cambria" w:eastAsiaTheme="minorEastAsia" w:hAnsi="Cambria"/>
          <w:b/>
          <w:kern w:val="2"/>
          <w:sz w:val="20"/>
          <w:szCs w:val="20"/>
          <w:lang w:eastAsia="ja-JP"/>
          <w14:ligatures w14:val="standardContextual"/>
        </w:rPr>
        <w:t xml:space="preserve"> </w:t>
      </w:r>
      <w:r w:rsidRPr="00F0379B">
        <w:rPr>
          <w:rFonts w:ascii="Cambria" w:eastAsiaTheme="minorEastAsia" w:hAnsi="Cambria"/>
          <w:b/>
          <w:kern w:val="2"/>
          <w:sz w:val="20"/>
          <w:szCs w:val="20"/>
          <w:lang w:eastAsia="ja-JP"/>
          <w14:ligatures w14:val="standardContextual"/>
        </w:rPr>
        <w:tab/>
        <w:t>Otros</w:t>
      </w:r>
    </w:p>
    <w:p w14:paraId="46B48DD5" w14:textId="77777777" w:rsidR="009123AC" w:rsidRPr="00F0379B" w:rsidRDefault="009123AC" w:rsidP="009123AC">
      <w:pPr>
        <w:tabs>
          <w:tab w:val="left" w:pos="426"/>
        </w:tabs>
        <w:spacing w:after="0" w:line="240" w:lineRule="auto"/>
        <w:jc w:val="both"/>
        <w:rPr>
          <w:rFonts w:ascii="Cambria" w:eastAsiaTheme="minorEastAsia" w:hAnsi="Cambria"/>
          <w:b/>
          <w:kern w:val="2"/>
          <w:sz w:val="20"/>
          <w:szCs w:val="20"/>
          <w:lang w:eastAsia="ja-JP"/>
          <w14:ligatures w14:val="standardContextual"/>
        </w:rPr>
      </w:pPr>
    </w:p>
    <w:p w14:paraId="17B1F0F5" w14:textId="77777777" w:rsidR="009123AC" w:rsidRPr="00F0379B" w:rsidRDefault="009123AC" w:rsidP="009123AC">
      <w:pPr>
        <w:tabs>
          <w:tab w:val="left" w:pos="426"/>
        </w:tabs>
        <w:spacing w:after="0" w:line="240" w:lineRule="auto"/>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No aplicable.</w:t>
      </w:r>
    </w:p>
    <w:p w14:paraId="2075B2E9" w14:textId="77777777" w:rsidR="009123AC" w:rsidRPr="00F0379B" w:rsidRDefault="009123AC" w:rsidP="009123AC">
      <w:pPr>
        <w:spacing w:after="0" w:line="240" w:lineRule="auto"/>
        <w:rPr>
          <w:rFonts w:ascii="Cambria" w:eastAsiaTheme="minorEastAsia" w:hAnsi="Cambria"/>
          <w:b/>
          <w:kern w:val="2"/>
          <w:sz w:val="20"/>
          <w:szCs w:val="20"/>
          <w:lang w:eastAsia="ja-JP"/>
          <w14:ligatures w14:val="standardContextual"/>
        </w:rPr>
      </w:pPr>
    </w:p>
    <w:p w14:paraId="5E5D4832" w14:textId="77777777" w:rsidR="009123AC" w:rsidRPr="00F0379B" w:rsidRDefault="009123AC" w:rsidP="009123AC">
      <w:pPr>
        <w:spacing w:after="0" w:line="240" w:lineRule="auto"/>
        <w:rPr>
          <w:rFonts w:ascii="Cambria" w:eastAsiaTheme="minorEastAsia" w:hAnsi="Cambria"/>
          <w:i/>
          <w:kern w:val="2"/>
          <w:sz w:val="20"/>
          <w:szCs w:val="20"/>
          <w:lang w:eastAsia="ja-JP"/>
          <w14:ligatures w14:val="standardContextual"/>
        </w:rPr>
        <w:sectPr w:rsidR="009123AC" w:rsidRPr="00F0379B" w:rsidSect="009123AC">
          <w:headerReference w:type="default" r:id="rId130"/>
          <w:footerReference w:type="default" r:id="rId131"/>
          <w:headerReference w:type="first" r:id="rId132"/>
          <w:footerReference w:type="first" r:id="rId133"/>
          <w:footnotePr>
            <w:numFmt w:val="chicago"/>
          </w:footnotePr>
          <w:type w:val="continuous"/>
          <w:pgSz w:w="11906" w:h="16838" w:code="9"/>
          <w:pgMar w:top="1418" w:right="1418" w:bottom="1418" w:left="1418" w:header="851" w:footer="1134" w:gutter="0"/>
          <w:cols w:space="425"/>
          <w:docGrid w:linePitch="360"/>
        </w:sectPr>
      </w:pPr>
    </w:p>
    <w:p w14:paraId="3BA77ECE" w14:textId="77777777" w:rsidR="009123AC" w:rsidRPr="00F0379B" w:rsidRDefault="009123AC" w:rsidP="009123AC">
      <w:pPr>
        <w:spacing w:after="0"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bCs/>
          <w:iCs/>
          <w:kern w:val="2"/>
          <w:sz w:val="20"/>
          <w:szCs w:val="20"/>
          <w:lang w:eastAsia="ja-JP"/>
          <w14:ligatures w14:val="standardContextual"/>
        </w:rPr>
        <w:t>Tabla de capacidad</w:t>
      </w:r>
    </w:p>
    <w:p w14:paraId="23B87A1B" w14:textId="77777777" w:rsidR="009123AC" w:rsidRPr="00F0379B" w:rsidRDefault="009123AC" w:rsidP="009123AC">
      <w:pPr>
        <w:spacing w:line="259" w:lineRule="auto"/>
        <w:rPr>
          <w:rFonts w:ascii="Cambria" w:eastAsiaTheme="minorEastAsia" w:hAnsi="Cambria"/>
          <w:i/>
          <w:kern w:val="2"/>
          <w:sz w:val="20"/>
          <w:szCs w:val="20"/>
          <w:lang w:eastAsia="ja-JP"/>
          <w14:ligatures w14:val="standardContextual"/>
        </w:rPr>
      </w:pPr>
    </w:p>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4"/>
        <w:gridCol w:w="1641"/>
        <w:gridCol w:w="629"/>
        <w:gridCol w:w="659"/>
        <w:gridCol w:w="619"/>
        <w:gridCol w:w="649"/>
        <w:gridCol w:w="649"/>
        <w:gridCol w:w="649"/>
        <w:gridCol w:w="615"/>
        <w:gridCol w:w="270"/>
        <w:gridCol w:w="649"/>
        <w:gridCol w:w="723"/>
        <w:gridCol w:w="649"/>
        <w:gridCol w:w="708"/>
        <w:gridCol w:w="709"/>
        <w:gridCol w:w="1149"/>
        <w:gridCol w:w="925"/>
      </w:tblGrid>
      <w:tr w:rsidR="009123AC" w:rsidRPr="00F0379B" w14:paraId="3EF6A58F" w14:textId="77777777" w:rsidTr="00CA749B">
        <w:trPr>
          <w:trHeight w:val="20"/>
        </w:trPr>
        <w:tc>
          <w:tcPr>
            <w:tcW w:w="2384" w:type="dxa"/>
            <w:vAlign w:val="center"/>
          </w:tcPr>
          <w:p w14:paraId="77312C68" w14:textId="77777777" w:rsidR="009123AC" w:rsidRPr="00F0379B" w:rsidRDefault="009123AC" w:rsidP="009123AC">
            <w:pPr>
              <w:spacing w:after="0" w:line="240" w:lineRule="auto"/>
              <w:jc w:val="center"/>
              <w:rPr>
                <w:rFonts w:ascii="Cambria" w:eastAsia="Times New Roman" w:hAnsi="Cambria" w:cs="Calibri"/>
                <w:i/>
                <w:iCs/>
                <w:sz w:val="16"/>
                <w:szCs w:val="16"/>
                <w:lang w:val="en-US" w:eastAsia="ja-JP"/>
              </w:rPr>
            </w:pPr>
            <w:r w:rsidRPr="00F0379B">
              <w:rPr>
                <w:rFonts w:ascii="Cambria" w:eastAsia="MS Gothic" w:hAnsi="Cambria" w:cs="Times New Roman"/>
                <w:i/>
                <w:sz w:val="16"/>
                <w:szCs w:val="16"/>
                <w:lang w:eastAsia="fr-FR" w:bidi="fr-FR"/>
              </w:rPr>
              <w:t>Tipo de buques atuneros</w:t>
            </w:r>
          </w:p>
        </w:tc>
        <w:tc>
          <w:tcPr>
            <w:tcW w:w="1641" w:type="dxa"/>
            <w:noWrap/>
            <w:vAlign w:val="center"/>
            <w:hideMark/>
          </w:tcPr>
          <w:p w14:paraId="34818060" w14:textId="77777777" w:rsidR="009123AC" w:rsidRPr="00F0379B" w:rsidRDefault="009123AC" w:rsidP="009123AC">
            <w:pPr>
              <w:spacing w:after="0" w:line="240" w:lineRule="auto"/>
              <w:jc w:val="center"/>
              <w:rPr>
                <w:rFonts w:ascii="Cambria" w:eastAsia="Times New Roman" w:hAnsi="Cambria" w:cs="Calibri"/>
                <w:color w:val="000000"/>
                <w:sz w:val="16"/>
                <w:szCs w:val="16"/>
                <w:lang w:val="en-US" w:eastAsia="ja-JP"/>
              </w:rPr>
            </w:pPr>
          </w:p>
        </w:tc>
        <w:tc>
          <w:tcPr>
            <w:tcW w:w="1907" w:type="dxa"/>
            <w:gridSpan w:val="3"/>
          </w:tcPr>
          <w:p w14:paraId="6726C09C" w14:textId="77777777" w:rsidR="009123AC" w:rsidRPr="00F0379B" w:rsidRDefault="009123AC" w:rsidP="009123AC">
            <w:pPr>
              <w:spacing w:after="0" w:line="240" w:lineRule="auto"/>
              <w:jc w:val="center"/>
              <w:rPr>
                <w:rFonts w:ascii="Cambria" w:eastAsia="Times New Roman" w:hAnsi="Cambria" w:cs="Calibri"/>
                <w:i/>
                <w:iCs/>
                <w:sz w:val="16"/>
                <w:szCs w:val="16"/>
                <w:lang w:val="en-US" w:eastAsia="ja-JP"/>
              </w:rPr>
            </w:pPr>
            <w:r w:rsidRPr="00F0379B">
              <w:rPr>
                <w:rFonts w:ascii="Cambria" w:eastAsia="MS Gothic" w:hAnsi="Cambria" w:cs="Times New Roman"/>
                <w:i/>
                <w:iCs/>
                <w:sz w:val="16"/>
                <w:szCs w:val="16"/>
                <w:lang w:eastAsia="fr-FR" w:bidi="fr-FR"/>
              </w:rPr>
              <w:t>Años de referencia</w:t>
            </w:r>
          </w:p>
        </w:tc>
        <w:tc>
          <w:tcPr>
            <w:tcW w:w="2562" w:type="dxa"/>
            <w:gridSpan w:val="4"/>
            <w:vAlign w:val="center"/>
            <w:hideMark/>
          </w:tcPr>
          <w:p w14:paraId="54B8036D" w14:textId="77777777" w:rsidR="009123AC" w:rsidRPr="00F0379B" w:rsidRDefault="009123AC" w:rsidP="009123AC">
            <w:pPr>
              <w:spacing w:after="0" w:line="240" w:lineRule="auto"/>
              <w:jc w:val="center"/>
              <w:rPr>
                <w:rFonts w:ascii="Cambria" w:eastAsia="Times New Roman" w:hAnsi="Cambria" w:cs="Times New Roman"/>
                <w:color w:val="000000"/>
                <w:sz w:val="16"/>
                <w:szCs w:val="16"/>
                <w:lang w:val="en-US" w:eastAsia="ja-JP"/>
              </w:rPr>
            </w:pPr>
            <w:r w:rsidRPr="00F0379B">
              <w:rPr>
                <w:rFonts w:ascii="Cambria" w:eastAsia="MS Gothic" w:hAnsi="Cambria" w:cs="Times New Roman"/>
                <w:bCs/>
                <w:i/>
                <w:iCs/>
                <w:sz w:val="16"/>
                <w:szCs w:val="16"/>
                <w:lang w:eastAsia="fr-FR" w:bidi="fr-FR"/>
              </w:rPr>
              <w:t>Número de buques</w:t>
            </w:r>
          </w:p>
        </w:tc>
        <w:tc>
          <w:tcPr>
            <w:tcW w:w="270" w:type="dxa"/>
            <w:vAlign w:val="center"/>
            <w:hideMark/>
          </w:tcPr>
          <w:p w14:paraId="326855E0" w14:textId="77777777" w:rsidR="009123AC" w:rsidRPr="00F0379B" w:rsidRDefault="009123AC" w:rsidP="009123AC">
            <w:pPr>
              <w:spacing w:after="0" w:line="240" w:lineRule="auto"/>
              <w:rPr>
                <w:rFonts w:ascii="Cambria" w:eastAsia="Times New Roman" w:hAnsi="Cambria" w:cs="Times New Roman"/>
                <w:color w:val="000000"/>
                <w:sz w:val="16"/>
                <w:szCs w:val="16"/>
                <w:lang w:val="en-US" w:eastAsia="ja-JP"/>
              </w:rPr>
            </w:pPr>
            <w:r w:rsidRPr="00F0379B">
              <w:rPr>
                <w:rFonts w:ascii="Cambria" w:eastAsia="Times New Roman" w:hAnsi="Cambria" w:cs="Times New Roman"/>
                <w:color w:val="000000"/>
                <w:sz w:val="16"/>
                <w:szCs w:val="16"/>
                <w:lang w:val="en-US" w:eastAsia="ja-JP"/>
              </w:rPr>
              <w:t> </w:t>
            </w:r>
          </w:p>
        </w:tc>
        <w:tc>
          <w:tcPr>
            <w:tcW w:w="2021" w:type="dxa"/>
            <w:gridSpan w:val="3"/>
          </w:tcPr>
          <w:p w14:paraId="67B32DB7" w14:textId="77777777" w:rsidR="009123AC" w:rsidRPr="00F0379B" w:rsidRDefault="009123AC" w:rsidP="009123AC">
            <w:pPr>
              <w:spacing w:after="0" w:line="240" w:lineRule="auto"/>
              <w:ind w:left="-103" w:right="-112"/>
              <w:jc w:val="center"/>
              <w:rPr>
                <w:rFonts w:ascii="Cambria" w:eastAsia="Times New Roman" w:hAnsi="Cambria" w:cs="Calibri"/>
                <w:i/>
                <w:iCs/>
                <w:sz w:val="16"/>
                <w:szCs w:val="16"/>
                <w:lang w:val="en-US" w:eastAsia="ja-JP"/>
              </w:rPr>
            </w:pPr>
            <w:r w:rsidRPr="00F0379B">
              <w:rPr>
                <w:rFonts w:ascii="Cambria" w:eastAsia="MS Gothic" w:hAnsi="Cambria" w:cs="Times New Roman"/>
                <w:i/>
                <w:iCs/>
                <w:sz w:val="16"/>
                <w:szCs w:val="16"/>
                <w:lang w:eastAsia="fr-FR" w:bidi="fr-FR"/>
              </w:rPr>
              <w:t>Años de referencia</w:t>
            </w:r>
          </w:p>
        </w:tc>
        <w:tc>
          <w:tcPr>
            <w:tcW w:w="3491" w:type="dxa"/>
            <w:gridSpan w:val="4"/>
            <w:vAlign w:val="center"/>
            <w:hideMark/>
          </w:tcPr>
          <w:p w14:paraId="5FEDC049" w14:textId="77777777" w:rsidR="009123AC" w:rsidRPr="00F0379B" w:rsidRDefault="009123AC" w:rsidP="009123AC">
            <w:pPr>
              <w:spacing w:after="0" w:line="240" w:lineRule="auto"/>
              <w:jc w:val="center"/>
              <w:rPr>
                <w:rFonts w:ascii="Cambria" w:eastAsia="MS Gothic" w:hAnsi="Cambria" w:cs="Times New Roman"/>
                <w:i/>
                <w:iCs/>
                <w:sz w:val="16"/>
                <w:szCs w:val="16"/>
                <w:lang w:eastAsia="fr-FR" w:bidi="fr-FR"/>
              </w:rPr>
            </w:pPr>
            <w:r w:rsidRPr="00F0379B">
              <w:rPr>
                <w:rFonts w:ascii="Cambria" w:eastAsia="MS Gothic" w:hAnsi="Cambria" w:cs="Times New Roman"/>
                <w:i/>
                <w:iCs/>
                <w:sz w:val="16"/>
                <w:szCs w:val="16"/>
                <w:lang w:eastAsia="fr-FR" w:bidi="fr-FR"/>
              </w:rPr>
              <w:t>Capacidad de pesca</w:t>
            </w:r>
          </w:p>
        </w:tc>
      </w:tr>
      <w:tr w:rsidR="009123AC" w:rsidRPr="00F0379B" w14:paraId="7F5F6288" w14:textId="77777777" w:rsidTr="00CA749B">
        <w:trPr>
          <w:trHeight w:val="20"/>
        </w:trPr>
        <w:tc>
          <w:tcPr>
            <w:tcW w:w="2384" w:type="dxa"/>
            <w:vAlign w:val="center"/>
          </w:tcPr>
          <w:p w14:paraId="173A2E27"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MS Gothic" w:hAnsi="Cambria" w:cs="Times New Roman"/>
                <w:b/>
                <w:sz w:val="16"/>
                <w:szCs w:val="16"/>
                <w:lang w:eastAsia="fr-FR" w:bidi="fr-FR"/>
              </w:rPr>
              <w:t>Tipo</w:t>
            </w:r>
          </w:p>
        </w:tc>
        <w:tc>
          <w:tcPr>
            <w:tcW w:w="1641" w:type="dxa"/>
            <w:vAlign w:val="center"/>
            <w:hideMark/>
          </w:tcPr>
          <w:p w14:paraId="2E09416C"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r w:rsidRPr="00F0379B">
              <w:rPr>
                <w:rFonts w:ascii="Cambria" w:eastAsia="MS Gothic" w:hAnsi="Cambria" w:cs="Times New Roman"/>
                <w:sz w:val="16"/>
                <w:szCs w:val="16"/>
                <w:lang w:eastAsia="fr-FR" w:bidi="fr-FR"/>
              </w:rPr>
              <w:t>Mejores tasas de captura definidas por el SCRS en 2009 (t)</w:t>
            </w:r>
          </w:p>
        </w:tc>
        <w:tc>
          <w:tcPr>
            <w:tcW w:w="629" w:type="dxa"/>
            <w:vAlign w:val="center"/>
          </w:tcPr>
          <w:p w14:paraId="341F8901"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2006</w:t>
            </w:r>
          </w:p>
        </w:tc>
        <w:tc>
          <w:tcPr>
            <w:tcW w:w="659" w:type="dxa"/>
            <w:noWrap/>
            <w:vAlign w:val="center"/>
            <w:hideMark/>
          </w:tcPr>
          <w:p w14:paraId="38D7AAC1"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2008</w:t>
            </w:r>
          </w:p>
        </w:tc>
        <w:tc>
          <w:tcPr>
            <w:tcW w:w="619" w:type="dxa"/>
            <w:vAlign w:val="center"/>
            <w:hideMark/>
          </w:tcPr>
          <w:p w14:paraId="44BE7B37"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2018</w:t>
            </w:r>
          </w:p>
        </w:tc>
        <w:tc>
          <w:tcPr>
            <w:tcW w:w="649" w:type="dxa"/>
            <w:vAlign w:val="center"/>
            <w:hideMark/>
          </w:tcPr>
          <w:p w14:paraId="5A89C34C"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2023</w:t>
            </w:r>
          </w:p>
        </w:tc>
        <w:tc>
          <w:tcPr>
            <w:tcW w:w="649" w:type="dxa"/>
            <w:vAlign w:val="center"/>
            <w:hideMark/>
          </w:tcPr>
          <w:p w14:paraId="72161E09"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2024</w:t>
            </w:r>
          </w:p>
        </w:tc>
        <w:tc>
          <w:tcPr>
            <w:tcW w:w="649" w:type="dxa"/>
            <w:vAlign w:val="center"/>
            <w:hideMark/>
          </w:tcPr>
          <w:p w14:paraId="558B40E5"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2025</w:t>
            </w:r>
          </w:p>
        </w:tc>
        <w:tc>
          <w:tcPr>
            <w:tcW w:w="615" w:type="dxa"/>
            <w:vAlign w:val="center"/>
          </w:tcPr>
          <w:p w14:paraId="5A457452" w14:textId="77777777" w:rsidR="009123AC" w:rsidRPr="00F0379B" w:rsidRDefault="009123AC" w:rsidP="009123AC">
            <w:pPr>
              <w:spacing w:after="0" w:line="240" w:lineRule="auto"/>
              <w:jc w:val="center"/>
              <w:rPr>
                <w:rFonts w:ascii="Cambria" w:eastAsia="Times New Roman" w:hAnsi="Cambria" w:cs="Calibri"/>
                <w:color w:val="000000"/>
                <w:sz w:val="16"/>
                <w:szCs w:val="16"/>
                <w:lang w:val="en-US" w:eastAsia="ja-JP"/>
              </w:rPr>
            </w:pPr>
            <w:r w:rsidRPr="00F0379B">
              <w:rPr>
                <w:rFonts w:ascii="Cambria" w:eastAsia="Times New Roman" w:hAnsi="Cambria" w:cs="Calibri"/>
                <w:sz w:val="16"/>
                <w:szCs w:val="16"/>
                <w:lang w:val="en-US" w:eastAsia="ja-JP"/>
              </w:rPr>
              <w:t>2026</w:t>
            </w:r>
          </w:p>
        </w:tc>
        <w:tc>
          <w:tcPr>
            <w:tcW w:w="270" w:type="dxa"/>
            <w:shd w:val="clear" w:color="000000" w:fill="D9D9D9"/>
            <w:vAlign w:val="center"/>
            <w:hideMark/>
          </w:tcPr>
          <w:p w14:paraId="358C538B" w14:textId="77777777" w:rsidR="009123AC" w:rsidRPr="00F0379B" w:rsidRDefault="009123AC" w:rsidP="009123AC">
            <w:pPr>
              <w:spacing w:after="0" w:line="240" w:lineRule="auto"/>
              <w:jc w:val="center"/>
              <w:rPr>
                <w:rFonts w:ascii="Cambria" w:eastAsia="Times New Roman" w:hAnsi="Cambria" w:cs="Calibri"/>
                <w:color w:val="000000"/>
                <w:sz w:val="16"/>
                <w:szCs w:val="16"/>
                <w:lang w:val="en-US" w:eastAsia="ja-JP"/>
              </w:rPr>
            </w:pPr>
          </w:p>
        </w:tc>
        <w:tc>
          <w:tcPr>
            <w:tcW w:w="649" w:type="dxa"/>
            <w:vAlign w:val="center"/>
          </w:tcPr>
          <w:p w14:paraId="636DC898"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2006</w:t>
            </w:r>
          </w:p>
        </w:tc>
        <w:tc>
          <w:tcPr>
            <w:tcW w:w="723" w:type="dxa"/>
            <w:vAlign w:val="center"/>
            <w:hideMark/>
          </w:tcPr>
          <w:p w14:paraId="05B56BE7"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2008</w:t>
            </w:r>
          </w:p>
        </w:tc>
        <w:tc>
          <w:tcPr>
            <w:tcW w:w="649" w:type="dxa"/>
            <w:vAlign w:val="center"/>
            <w:hideMark/>
          </w:tcPr>
          <w:p w14:paraId="1BF939FD"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2018</w:t>
            </w:r>
          </w:p>
        </w:tc>
        <w:tc>
          <w:tcPr>
            <w:tcW w:w="708" w:type="dxa"/>
            <w:vAlign w:val="center"/>
            <w:hideMark/>
          </w:tcPr>
          <w:p w14:paraId="433253CF"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2023</w:t>
            </w:r>
          </w:p>
        </w:tc>
        <w:tc>
          <w:tcPr>
            <w:tcW w:w="709" w:type="dxa"/>
            <w:vAlign w:val="center"/>
            <w:hideMark/>
          </w:tcPr>
          <w:p w14:paraId="7CC60F2D"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2024</w:t>
            </w:r>
          </w:p>
        </w:tc>
        <w:tc>
          <w:tcPr>
            <w:tcW w:w="1149" w:type="dxa"/>
            <w:vAlign w:val="center"/>
            <w:hideMark/>
          </w:tcPr>
          <w:p w14:paraId="55412F87"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2025</w:t>
            </w:r>
          </w:p>
        </w:tc>
        <w:tc>
          <w:tcPr>
            <w:tcW w:w="925" w:type="dxa"/>
            <w:vAlign w:val="center"/>
          </w:tcPr>
          <w:p w14:paraId="40C92363"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2026</w:t>
            </w:r>
          </w:p>
        </w:tc>
      </w:tr>
      <w:tr w:rsidR="009123AC" w:rsidRPr="00F0379B" w14:paraId="20054D7D" w14:textId="77777777" w:rsidTr="00CA749B">
        <w:trPr>
          <w:trHeight w:val="20"/>
        </w:trPr>
        <w:tc>
          <w:tcPr>
            <w:tcW w:w="2384" w:type="dxa"/>
            <w:vAlign w:val="center"/>
          </w:tcPr>
          <w:p w14:paraId="0953E5E2"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MS Gothic" w:hAnsi="Cambria" w:cs="Times New Roman"/>
                <w:sz w:val="16"/>
                <w:szCs w:val="16"/>
                <w:lang w:eastAsia="fr-FR" w:bidi="fr-FR"/>
              </w:rPr>
              <w:t>Cerqueros de más de 40 m</w:t>
            </w:r>
          </w:p>
        </w:tc>
        <w:tc>
          <w:tcPr>
            <w:tcW w:w="1641" w:type="dxa"/>
            <w:noWrap/>
            <w:vAlign w:val="center"/>
            <w:hideMark/>
          </w:tcPr>
          <w:p w14:paraId="72A6C6EC"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70,66</w:t>
            </w:r>
          </w:p>
        </w:tc>
        <w:tc>
          <w:tcPr>
            <w:tcW w:w="629" w:type="dxa"/>
          </w:tcPr>
          <w:p w14:paraId="032A31F1"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59" w:type="dxa"/>
            <w:noWrap/>
            <w:vAlign w:val="center"/>
            <w:hideMark/>
          </w:tcPr>
          <w:p w14:paraId="04CA94BD"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19" w:type="dxa"/>
            <w:vAlign w:val="center"/>
            <w:hideMark/>
          </w:tcPr>
          <w:p w14:paraId="6AB8D440"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49" w:type="dxa"/>
            <w:vAlign w:val="center"/>
            <w:hideMark/>
          </w:tcPr>
          <w:p w14:paraId="4FB397EC"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49" w:type="dxa"/>
            <w:vAlign w:val="center"/>
            <w:hideMark/>
          </w:tcPr>
          <w:p w14:paraId="37D80CE1"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49" w:type="dxa"/>
            <w:vAlign w:val="center"/>
            <w:hideMark/>
          </w:tcPr>
          <w:p w14:paraId="7672ECE6"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15" w:type="dxa"/>
          </w:tcPr>
          <w:p w14:paraId="31F7399A" w14:textId="77777777" w:rsidR="009123AC" w:rsidRPr="00F0379B" w:rsidRDefault="009123AC" w:rsidP="009123AC">
            <w:pPr>
              <w:spacing w:after="0" w:line="240" w:lineRule="auto"/>
              <w:rPr>
                <w:rFonts w:ascii="Cambria" w:eastAsia="Times New Roman" w:hAnsi="Cambria" w:cs="Calibri"/>
                <w:color w:val="000000"/>
                <w:sz w:val="16"/>
                <w:szCs w:val="16"/>
                <w:lang w:val="en-US" w:eastAsia="ja-JP"/>
              </w:rPr>
            </w:pPr>
          </w:p>
        </w:tc>
        <w:tc>
          <w:tcPr>
            <w:tcW w:w="270" w:type="dxa"/>
            <w:shd w:val="clear" w:color="000000" w:fill="D9D9D9"/>
            <w:vAlign w:val="center"/>
            <w:hideMark/>
          </w:tcPr>
          <w:p w14:paraId="7469A122" w14:textId="77777777" w:rsidR="009123AC" w:rsidRPr="00F0379B" w:rsidRDefault="009123AC" w:rsidP="009123AC">
            <w:pPr>
              <w:spacing w:after="0" w:line="240" w:lineRule="auto"/>
              <w:rPr>
                <w:rFonts w:ascii="Cambria" w:eastAsia="Times New Roman" w:hAnsi="Cambria" w:cs="Calibri"/>
                <w:color w:val="000000"/>
                <w:sz w:val="16"/>
                <w:szCs w:val="16"/>
                <w:lang w:val="en-US" w:eastAsia="ja-JP"/>
              </w:rPr>
            </w:pPr>
            <w:r w:rsidRPr="00F0379B">
              <w:rPr>
                <w:rFonts w:ascii="Cambria" w:eastAsia="Times New Roman" w:hAnsi="Cambria" w:cs="Calibri"/>
                <w:color w:val="000000"/>
                <w:sz w:val="16"/>
                <w:szCs w:val="16"/>
                <w:lang w:val="en-US" w:eastAsia="ja-JP"/>
              </w:rPr>
              <w:t> </w:t>
            </w:r>
          </w:p>
        </w:tc>
        <w:tc>
          <w:tcPr>
            <w:tcW w:w="649" w:type="dxa"/>
          </w:tcPr>
          <w:p w14:paraId="13578D8A"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723" w:type="dxa"/>
            <w:vAlign w:val="center"/>
            <w:hideMark/>
          </w:tcPr>
          <w:p w14:paraId="20DDA819"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49" w:type="dxa"/>
            <w:vAlign w:val="center"/>
            <w:hideMark/>
          </w:tcPr>
          <w:p w14:paraId="72868D10"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708" w:type="dxa"/>
            <w:vAlign w:val="center"/>
            <w:hideMark/>
          </w:tcPr>
          <w:p w14:paraId="2EDE91AE"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709" w:type="dxa"/>
            <w:vAlign w:val="center"/>
            <w:hideMark/>
          </w:tcPr>
          <w:p w14:paraId="2B878539"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1149" w:type="dxa"/>
            <w:vAlign w:val="center"/>
            <w:hideMark/>
          </w:tcPr>
          <w:p w14:paraId="090E9A5A"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925" w:type="dxa"/>
            <w:vAlign w:val="center"/>
          </w:tcPr>
          <w:p w14:paraId="10441C7B"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r>
      <w:tr w:rsidR="009123AC" w:rsidRPr="00F0379B" w14:paraId="2678A002" w14:textId="77777777" w:rsidTr="00CA749B">
        <w:trPr>
          <w:trHeight w:val="20"/>
        </w:trPr>
        <w:tc>
          <w:tcPr>
            <w:tcW w:w="2384" w:type="dxa"/>
            <w:vAlign w:val="center"/>
          </w:tcPr>
          <w:p w14:paraId="067A6DBC"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sz w:val="16"/>
                <w:szCs w:val="16"/>
                <w:lang w:eastAsia="fr-FR" w:bidi="fr-FR"/>
              </w:rPr>
              <w:t>Cerqueros entre 24 y 40 m</w:t>
            </w:r>
          </w:p>
        </w:tc>
        <w:tc>
          <w:tcPr>
            <w:tcW w:w="1641" w:type="dxa"/>
            <w:noWrap/>
            <w:vAlign w:val="center"/>
            <w:hideMark/>
          </w:tcPr>
          <w:p w14:paraId="21D0770D"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49,78</w:t>
            </w:r>
          </w:p>
        </w:tc>
        <w:tc>
          <w:tcPr>
            <w:tcW w:w="629" w:type="dxa"/>
          </w:tcPr>
          <w:p w14:paraId="5573F893"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59" w:type="dxa"/>
            <w:noWrap/>
            <w:vAlign w:val="center"/>
            <w:hideMark/>
          </w:tcPr>
          <w:p w14:paraId="5D140AD9"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19" w:type="dxa"/>
            <w:vAlign w:val="center"/>
            <w:hideMark/>
          </w:tcPr>
          <w:p w14:paraId="64F112CD"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49" w:type="dxa"/>
            <w:vAlign w:val="center"/>
            <w:hideMark/>
          </w:tcPr>
          <w:p w14:paraId="0F6B38DD"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49" w:type="dxa"/>
            <w:vAlign w:val="center"/>
            <w:hideMark/>
          </w:tcPr>
          <w:p w14:paraId="1F712977"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49" w:type="dxa"/>
            <w:vAlign w:val="center"/>
            <w:hideMark/>
          </w:tcPr>
          <w:p w14:paraId="53507007"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15" w:type="dxa"/>
          </w:tcPr>
          <w:p w14:paraId="4FE6A66A" w14:textId="77777777" w:rsidR="009123AC" w:rsidRPr="00F0379B" w:rsidRDefault="009123AC" w:rsidP="009123AC">
            <w:pPr>
              <w:spacing w:after="0" w:line="240" w:lineRule="auto"/>
              <w:rPr>
                <w:rFonts w:ascii="Cambria" w:eastAsia="Times New Roman" w:hAnsi="Cambria" w:cs="Calibri"/>
                <w:color w:val="000000"/>
                <w:sz w:val="16"/>
                <w:szCs w:val="16"/>
                <w:lang w:val="en-US" w:eastAsia="ja-JP"/>
              </w:rPr>
            </w:pPr>
          </w:p>
        </w:tc>
        <w:tc>
          <w:tcPr>
            <w:tcW w:w="270" w:type="dxa"/>
            <w:shd w:val="clear" w:color="000000" w:fill="D9D9D9"/>
            <w:vAlign w:val="center"/>
            <w:hideMark/>
          </w:tcPr>
          <w:p w14:paraId="5E8B2399" w14:textId="77777777" w:rsidR="009123AC" w:rsidRPr="00F0379B" w:rsidRDefault="009123AC" w:rsidP="009123AC">
            <w:pPr>
              <w:spacing w:after="0" w:line="240" w:lineRule="auto"/>
              <w:rPr>
                <w:rFonts w:ascii="Cambria" w:eastAsia="Times New Roman" w:hAnsi="Cambria" w:cs="Calibri"/>
                <w:color w:val="000000"/>
                <w:sz w:val="16"/>
                <w:szCs w:val="16"/>
                <w:lang w:val="en-US" w:eastAsia="ja-JP"/>
              </w:rPr>
            </w:pPr>
            <w:r w:rsidRPr="00F0379B">
              <w:rPr>
                <w:rFonts w:ascii="Cambria" w:eastAsia="Times New Roman" w:hAnsi="Cambria" w:cs="Calibri"/>
                <w:color w:val="000000"/>
                <w:sz w:val="16"/>
                <w:szCs w:val="16"/>
                <w:lang w:val="en-US" w:eastAsia="ja-JP"/>
              </w:rPr>
              <w:t> </w:t>
            </w:r>
          </w:p>
        </w:tc>
        <w:tc>
          <w:tcPr>
            <w:tcW w:w="649" w:type="dxa"/>
          </w:tcPr>
          <w:p w14:paraId="1AE17E6C"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723" w:type="dxa"/>
            <w:vAlign w:val="center"/>
            <w:hideMark/>
          </w:tcPr>
          <w:p w14:paraId="57BBC6E8"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49" w:type="dxa"/>
            <w:vAlign w:val="center"/>
            <w:hideMark/>
          </w:tcPr>
          <w:p w14:paraId="59CA8BAB"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708" w:type="dxa"/>
            <w:vAlign w:val="center"/>
            <w:hideMark/>
          </w:tcPr>
          <w:p w14:paraId="4A5D13B6"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709" w:type="dxa"/>
            <w:vAlign w:val="center"/>
            <w:hideMark/>
          </w:tcPr>
          <w:p w14:paraId="6FC9F8DE"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1149" w:type="dxa"/>
            <w:vAlign w:val="center"/>
            <w:hideMark/>
          </w:tcPr>
          <w:p w14:paraId="325D4EFD"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925" w:type="dxa"/>
            <w:vAlign w:val="center"/>
          </w:tcPr>
          <w:p w14:paraId="40AC20F1"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r>
      <w:tr w:rsidR="009123AC" w:rsidRPr="00F0379B" w14:paraId="7A379615" w14:textId="77777777" w:rsidTr="00CA749B">
        <w:trPr>
          <w:trHeight w:val="20"/>
        </w:trPr>
        <w:tc>
          <w:tcPr>
            <w:tcW w:w="2384" w:type="dxa"/>
            <w:vAlign w:val="center"/>
          </w:tcPr>
          <w:p w14:paraId="7C9F3A20"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MS Gothic" w:hAnsi="Cambria" w:cs="Times New Roman"/>
                <w:sz w:val="16"/>
                <w:szCs w:val="16"/>
                <w:lang w:eastAsia="fr-FR" w:bidi="fr-FR"/>
              </w:rPr>
              <w:t>Cerqueros de menos de 24 m</w:t>
            </w:r>
          </w:p>
        </w:tc>
        <w:tc>
          <w:tcPr>
            <w:tcW w:w="1641" w:type="dxa"/>
            <w:noWrap/>
            <w:vAlign w:val="center"/>
            <w:hideMark/>
          </w:tcPr>
          <w:p w14:paraId="0385CFD2"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33,68</w:t>
            </w:r>
          </w:p>
        </w:tc>
        <w:tc>
          <w:tcPr>
            <w:tcW w:w="629" w:type="dxa"/>
          </w:tcPr>
          <w:p w14:paraId="3F8257DF"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59" w:type="dxa"/>
            <w:noWrap/>
            <w:vAlign w:val="center"/>
            <w:hideMark/>
          </w:tcPr>
          <w:p w14:paraId="0671E2C7"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19" w:type="dxa"/>
            <w:vAlign w:val="center"/>
            <w:hideMark/>
          </w:tcPr>
          <w:p w14:paraId="5A159AD2"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49" w:type="dxa"/>
            <w:vAlign w:val="center"/>
            <w:hideMark/>
          </w:tcPr>
          <w:p w14:paraId="09E162C7"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49" w:type="dxa"/>
            <w:vAlign w:val="center"/>
            <w:hideMark/>
          </w:tcPr>
          <w:p w14:paraId="269722C5"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49" w:type="dxa"/>
            <w:vAlign w:val="center"/>
            <w:hideMark/>
          </w:tcPr>
          <w:p w14:paraId="0F1D9512"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15" w:type="dxa"/>
          </w:tcPr>
          <w:p w14:paraId="7CEC7B2C" w14:textId="77777777" w:rsidR="009123AC" w:rsidRPr="00F0379B" w:rsidRDefault="009123AC" w:rsidP="009123AC">
            <w:pPr>
              <w:spacing w:after="0" w:line="240" w:lineRule="auto"/>
              <w:rPr>
                <w:rFonts w:ascii="Cambria" w:eastAsia="Times New Roman" w:hAnsi="Cambria" w:cs="Calibri"/>
                <w:color w:val="000000"/>
                <w:sz w:val="16"/>
                <w:szCs w:val="16"/>
                <w:lang w:val="en-US" w:eastAsia="ja-JP"/>
              </w:rPr>
            </w:pPr>
          </w:p>
        </w:tc>
        <w:tc>
          <w:tcPr>
            <w:tcW w:w="270" w:type="dxa"/>
            <w:shd w:val="clear" w:color="000000" w:fill="D9D9D9"/>
            <w:vAlign w:val="center"/>
            <w:hideMark/>
          </w:tcPr>
          <w:p w14:paraId="173E4A90" w14:textId="77777777" w:rsidR="009123AC" w:rsidRPr="00F0379B" w:rsidRDefault="009123AC" w:rsidP="009123AC">
            <w:pPr>
              <w:spacing w:after="0" w:line="240" w:lineRule="auto"/>
              <w:rPr>
                <w:rFonts w:ascii="Cambria" w:eastAsia="Times New Roman" w:hAnsi="Cambria" w:cs="Calibri"/>
                <w:color w:val="000000"/>
                <w:sz w:val="16"/>
                <w:szCs w:val="16"/>
                <w:lang w:val="en-US" w:eastAsia="ja-JP"/>
              </w:rPr>
            </w:pPr>
            <w:r w:rsidRPr="00F0379B">
              <w:rPr>
                <w:rFonts w:ascii="Cambria" w:eastAsia="Times New Roman" w:hAnsi="Cambria" w:cs="Calibri"/>
                <w:color w:val="000000"/>
                <w:sz w:val="16"/>
                <w:szCs w:val="16"/>
                <w:lang w:val="en-US" w:eastAsia="ja-JP"/>
              </w:rPr>
              <w:t> </w:t>
            </w:r>
          </w:p>
        </w:tc>
        <w:tc>
          <w:tcPr>
            <w:tcW w:w="649" w:type="dxa"/>
          </w:tcPr>
          <w:p w14:paraId="4BBF284A"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723" w:type="dxa"/>
            <w:vAlign w:val="center"/>
            <w:hideMark/>
          </w:tcPr>
          <w:p w14:paraId="7F797EA3"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49" w:type="dxa"/>
            <w:vAlign w:val="center"/>
            <w:hideMark/>
          </w:tcPr>
          <w:p w14:paraId="72FC38A9"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708" w:type="dxa"/>
            <w:vAlign w:val="center"/>
            <w:hideMark/>
          </w:tcPr>
          <w:p w14:paraId="51169890"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709" w:type="dxa"/>
            <w:vAlign w:val="center"/>
            <w:hideMark/>
          </w:tcPr>
          <w:p w14:paraId="6AE7BF2D"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1149" w:type="dxa"/>
            <w:vAlign w:val="center"/>
            <w:hideMark/>
          </w:tcPr>
          <w:p w14:paraId="579E0CA5"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925" w:type="dxa"/>
            <w:vAlign w:val="center"/>
          </w:tcPr>
          <w:p w14:paraId="6557F3F9"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r>
      <w:tr w:rsidR="009123AC" w:rsidRPr="00F0379B" w14:paraId="015A0590" w14:textId="77777777" w:rsidTr="00CA749B">
        <w:trPr>
          <w:trHeight w:val="20"/>
        </w:trPr>
        <w:tc>
          <w:tcPr>
            <w:tcW w:w="2384" w:type="dxa"/>
            <w:vAlign w:val="center"/>
          </w:tcPr>
          <w:p w14:paraId="4185A2C8"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MS Gothic" w:hAnsi="Cambria" w:cs="Times New Roman"/>
                <w:b/>
                <w:sz w:val="16"/>
                <w:szCs w:val="16"/>
                <w:lang w:eastAsia="fr-FR" w:bidi="fr-FR"/>
              </w:rPr>
              <w:t>Total flota de cerco</w:t>
            </w:r>
          </w:p>
        </w:tc>
        <w:tc>
          <w:tcPr>
            <w:tcW w:w="1641" w:type="dxa"/>
            <w:noWrap/>
            <w:vAlign w:val="center"/>
            <w:hideMark/>
          </w:tcPr>
          <w:p w14:paraId="3EC2B5F0" w14:textId="77777777" w:rsidR="009123AC" w:rsidRPr="00F0379B" w:rsidRDefault="009123AC" w:rsidP="009123AC">
            <w:pPr>
              <w:spacing w:after="0" w:line="240" w:lineRule="auto"/>
              <w:rPr>
                <w:rFonts w:ascii="Cambria" w:eastAsia="Times New Roman" w:hAnsi="Cambria" w:cs="Times New Roman"/>
                <w:color w:val="000000"/>
                <w:sz w:val="16"/>
                <w:szCs w:val="16"/>
                <w:lang w:val="en-US" w:eastAsia="ja-JP"/>
              </w:rPr>
            </w:pPr>
            <w:r w:rsidRPr="00F0379B">
              <w:rPr>
                <w:rFonts w:ascii="Cambria" w:eastAsia="Times New Roman" w:hAnsi="Cambria" w:cs="Times New Roman"/>
                <w:color w:val="000000"/>
                <w:sz w:val="16"/>
                <w:szCs w:val="16"/>
                <w:lang w:val="en-US" w:eastAsia="ja-JP"/>
              </w:rPr>
              <w:t> </w:t>
            </w:r>
          </w:p>
        </w:tc>
        <w:tc>
          <w:tcPr>
            <w:tcW w:w="629" w:type="dxa"/>
          </w:tcPr>
          <w:p w14:paraId="4ECA8583"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659" w:type="dxa"/>
            <w:noWrap/>
            <w:vAlign w:val="center"/>
            <w:hideMark/>
          </w:tcPr>
          <w:p w14:paraId="4A70DDD0"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19" w:type="dxa"/>
            <w:vAlign w:val="center"/>
            <w:hideMark/>
          </w:tcPr>
          <w:p w14:paraId="66FA4BA1"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49" w:type="dxa"/>
            <w:vAlign w:val="center"/>
            <w:hideMark/>
          </w:tcPr>
          <w:p w14:paraId="2B343BE0"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649" w:type="dxa"/>
            <w:vAlign w:val="center"/>
            <w:hideMark/>
          </w:tcPr>
          <w:p w14:paraId="0DE9D8CB"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649" w:type="dxa"/>
            <w:vAlign w:val="center"/>
            <w:hideMark/>
          </w:tcPr>
          <w:p w14:paraId="5F2EA41C"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615" w:type="dxa"/>
          </w:tcPr>
          <w:p w14:paraId="1B5AA123" w14:textId="77777777" w:rsidR="009123AC" w:rsidRPr="00F0379B" w:rsidRDefault="009123AC" w:rsidP="009123AC">
            <w:pPr>
              <w:spacing w:after="0" w:line="240" w:lineRule="auto"/>
              <w:rPr>
                <w:rFonts w:ascii="Cambria" w:eastAsia="Times New Roman" w:hAnsi="Cambria" w:cs="Calibri"/>
                <w:b/>
                <w:bCs/>
                <w:color w:val="000000"/>
                <w:sz w:val="16"/>
                <w:szCs w:val="16"/>
                <w:lang w:val="en-US" w:eastAsia="ja-JP"/>
              </w:rPr>
            </w:pPr>
          </w:p>
        </w:tc>
        <w:tc>
          <w:tcPr>
            <w:tcW w:w="270" w:type="dxa"/>
            <w:shd w:val="clear" w:color="000000" w:fill="D9D9D9"/>
            <w:vAlign w:val="center"/>
            <w:hideMark/>
          </w:tcPr>
          <w:p w14:paraId="7EE482D1" w14:textId="77777777" w:rsidR="009123AC" w:rsidRPr="00F0379B" w:rsidRDefault="009123AC" w:rsidP="009123AC">
            <w:pPr>
              <w:spacing w:after="0" w:line="240" w:lineRule="auto"/>
              <w:rPr>
                <w:rFonts w:ascii="Cambria" w:eastAsia="Times New Roman" w:hAnsi="Cambria" w:cs="Calibri"/>
                <w:b/>
                <w:bCs/>
                <w:color w:val="000000"/>
                <w:sz w:val="16"/>
                <w:szCs w:val="16"/>
                <w:lang w:val="en-US" w:eastAsia="ja-JP"/>
              </w:rPr>
            </w:pPr>
            <w:r w:rsidRPr="00F0379B">
              <w:rPr>
                <w:rFonts w:ascii="Cambria" w:eastAsia="Times New Roman" w:hAnsi="Cambria" w:cs="Calibri"/>
                <w:b/>
                <w:bCs/>
                <w:color w:val="000000"/>
                <w:sz w:val="16"/>
                <w:szCs w:val="16"/>
                <w:lang w:val="en-US" w:eastAsia="ja-JP"/>
              </w:rPr>
              <w:t> </w:t>
            </w:r>
          </w:p>
        </w:tc>
        <w:tc>
          <w:tcPr>
            <w:tcW w:w="649" w:type="dxa"/>
          </w:tcPr>
          <w:p w14:paraId="1F7B9A97"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723" w:type="dxa"/>
            <w:vAlign w:val="center"/>
            <w:hideMark/>
          </w:tcPr>
          <w:p w14:paraId="63E666B3"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49" w:type="dxa"/>
            <w:vAlign w:val="center"/>
            <w:hideMark/>
          </w:tcPr>
          <w:p w14:paraId="18FEC4AF"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708" w:type="dxa"/>
            <w:vAlign w:val="center"/>
            <w:hideMark/>
          </w:tcPr>
          <w:p w14:paraId="00CC3762"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709" w:type="dxa"/>
            <w:vAlign w:val="center"/>
            <w:hideMark/>
          </w:tcPr>
          <w:p w14:paraId="35755ADB"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1149" w:type="dxa"/>
            <w:vAlign w:val="center"/>
            <w:hideMark/>
          </w:tcPr>
          <w:p w14:paraId="722B5C7F"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925" w:type="dxa"/>
            <w:vAlign w:val="center"/>
          </w:tcPr>
          <w:p w14:paraId="048870BF"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r>
      <w:tr w:rsidR="009123AC" w:rsidRPr="00F0379B" w14:paraId="3021309A" w14:textId="77777777" w:rsidTr="00CA749B">
        <w:trPr>
          <w:trHeight w:val="20"/>
        </w:trPr>
        <w:tc>
          <w:tcPr>
            <w:tcW w:w="2384" w:type="dxa"/>
            <w:vAlign w:val="center"/>
          </w:tcPr>
          <w:p w14:paraId="7594254C"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MS Gothic" w:hAnsi="Cambria" w:cs="Times New Roman"/>
                <w:sz w:val="16"/>
                <w:szCs w:val="16"/>
                <w:lang w:eastAsia="fr-FR" w:bidi="fr-FR"/>
              </w:rPr>
              <w:t>Palangreros de más de 40 m</w:t>
            </w:r>
          </w:p>
        </w:tc>
        <w:tc>
          <w:tcPr>
            <w:tcW w:w="1641" w:type="dxa"/>
            <w:noWrap/>
            <w:vAlign w:val="center"/>
            <w:hideMark/>
          </w:tcPr>
          <w:p w14:paraId="4F67D975"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25</w:t>
            </w:r>
          </w:p>
        </w:tc>
        <w:tc>
          <w:tcPr>
            <w:tcW w:w="629" w:type="dxa"/>
          </w:tcPr>
          <w:p w14:paraId="5E0E44D4"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59" w:type="dxa"/>
            <w:noWrap/>
            <w:vAlign w:val="center"/>
            <w:hideMark/>
          </w:tcPr>
          <w:p w14:paraId="6473655C"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19" w:type="dxa"/>
            <w:vAlign w:val="center"/>
            <w:hideMark/>
          </w:tcPr>
          <w:p w14:paraId="3A046D4A"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49" w:type="dxa"/>
            <w:vAlign w:val="center"/>
            <w:hideMark/>
          </w:tcPr>
          <w:p w14:paraId="56E174D1"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3</w:t>
            </w:r>
          </w:p>
        </w:tc>
        <w:tc>
          <w:tcPr>
            <w:tcW w:w="649" w:type="dxa"/>
            <w:vAlign w:val="center"/>
            <w:hideMark/>
          </w:tcPr>
          <w:p w14:paraId="224B53F7"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3</w:t>
            </w:r>
          </w:p>
        </w:tc>
        <w:tc>
          <w:tcPr>
            <w:tcW w:w="649" w:type="dxa"/>
            <w:vAlign w:val="center"/>
            <w:hideMark/>
          </w:tcPr>
          <w:p w14:paraId="3EE0DCA2"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3</w:t>
            </w:r>
          </w:p>
        </w:tc>
        <w:tc>
          <w:tcPr>
            <w:tcW w:w="615" w:type="dxa"/>
          </w:tcPr>
          <w:p w14:paraId="537D0BA4" w14:textId="77777777" w:rsidR="009123AC" w:rsidRPr="00F0379B" w:rsidRDefault="009123AC" w:rsidP="009123AC">
            <w:pPr>
              <w:spacing w:after="0" w:line="240" w:lineRule="auto"/>
              <w:jc w:val="center"/>
              <w:rPr>
                <w:rFonts w:ascii="Cambria" w:eastAsia="Times New Roman" w:hAnsi="Cambria" w:cs="Calibri"/>
                <w:color w:val="000000"/>
                <w:sz w:val="16"/>
                <w:szCs w:val="16"/>
                <w:lang w:val="en-US" w:eastAsia="ja-JP"/>
              </w:rPr>
            </w:pPr>
            <w:r w:rsidRPr="00F0379B">
              <w:rPr>
                <w:rFonts w:ascii="Cambria" w:eastAsia="Times New Roman" w:hAnsi="Cambria" w:cs="Calibri"/>
                <w:sz w:val="16"/>
                <w:szCs w:val="16"/>
                <w:lang w:val="en-US" w:eastAsia="ja-JP"/>
              </w:rPr>
              <w:t>3</w:t>
            </w:r>
          </w:p>
        </w:tc>
        <w:tc>
          <w:tcPr>
            <w:tcW w:w="270" w:type="dxa"/>
            <w:shd w:val="clear" w:color="000000" w:fill="D9D9D9"/>
            <w:vAlign w:val="center"/>
            <w:hideMark/>
          </w:tcPr>
          <w:p w14:paraId="7F3475C8" w14:textId="77777777" w:rsidR="009123AC" w:rsidRPr="00F0379B" w:rsidRDefault="009123AC" w:rsidP="009123AC">
            <w:pPr>
              <w:spacing w:after="0" w:line="240" w:lineRule="auto"/>
              <w:jc w:val="center"/>
              <w:rPr>
                <w:rFonts w:ascii="Cambria" w:eastAsia="Times New Roman" w:hAnsi="Cambria" w:cs="Calibri"/>
                <w:color w:val="000000"/>
                <w:sz w:val="16"/>
                <w:szCs w:val="16"/>
                <w:lang w:val="en-US" w:eastAsia="ja-JP"/>
              </w:rPr>
            </w:pPr>
          </w:p>
        </w:tc>
        <w:tc>
          <w:tcPr>
            <w:tcW w:w="649" w:type="dxa"/>
          </w:tcPr>
          <w:p w14:paraId="1A976661"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723" w:type="dxa"/>
            <w:vAlign w:val="center"/>
            <w:hideMark/>
          </w:tcPr>
          <w:p w14:paraId="3D3F604B"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649" w:type="dxa"/>
            <w:vAlign w:val="center"/>
            <w:hideMark/>
          </w:tcPr>
          <w:p w14:paraId="435DFAE8"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708" w:type="dxa"/>
            <w:vAlign w:val="center"/>
            <w:hideMark/>
          </w:tcPr>
          <w:p w14:paraId="076F7212"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75</w:t>
            </w:r>
          </w:p>
        </w:tc>
        <w:tc>
          <w:tcPr>
            <w:tcW w:w="709" w:type="dxa"/>
            <w:vAlign w:val="center"/>
            <w:hideMark/>
          </w:tcPr>
          <w:p w14:paraId="5977E392"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75</w:t>
            </w:r>
          </w:p>
        </w:tc>
        <w:tc>
          <w:tcPr>
            <w:tcW w:w="1149" w:type="dxa"/>
            <w:vAlign w:val="center"/>
            <w:hideMark/>
          </w:tcPr>
          <w:p w14:paraId="6762395E"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75</w:t>
            </w:r>
          </w:p>
        </w:tc>
        <w:tc>
          <w:tcPr>
            <w:tcW w:w="925" w:type="dxa"/>
            <w:vAlign w:val="center"/>
          </w:tcPr>
          <w:p w14:paraId="3E3FC97A"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75</w:t>
            </w:r>
          </w:p>
        </w:tc>
      </w:tr>
      <w:tr w:rsidR="009123AC" w:rsidRPr="00F0379B" w14:paraId="4BA46994" w14:textId="77777777" w:rsidTr="00CA749B">
        <w:trPr>
          <w:trHeight w:val="20"/>
        </w:trPr>
        <w:tc>
          <w:tcPr>
            <w:tcW w:w="2384" w:type="dxa"/>
            <w:vAlign w:val="center"/>
          </w:tcPr>
          <w:p w14:paraId="04525146"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sz w:val="16"/>
                <w:szCs w:val="16"/>
                <w:lang w:eastAsia="fr-FR" w:bidi="fr-FR"/>
              </w:rPr>
              <w:t>Palangreros entre 24 y 40 m</w:t>
            </w:r>
          </w:p>
        </w:tc>
        <w:tc>
          <w:tcPr>
            <w:tcW w:w="1641" w:type="dxa"/>
            <w:noWrap/>
            <w:vAlign w:val="center"/>
            <w:hideMark/>
          </w:tcPr>
          <w:p w14:paraId="6504AF49"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5,68</w:t>
            </w:r>
          </w:p>
        </w:tc>
        <w:tc>
          <w:tcPr>
            <w:tcW w:w="629" w:type="dxa"/>
          </w:tcPr>
          <w:p w14:paraId="7FC580F2"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59" w:type="dxa"/>
            <w:noWrap/>
            <w:vAlign w:val="center"/>
            <w:hideMark/>
          </w:tcPr>
          <w:p w14:paraId="56F0C6AA"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19" w:type="dxa"/>
            <w:vAlign w:val="center"/>
            <w:hideMark/>
          </w:tcPr>
          <w:p w14:paraId="6E02403F"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49" w:type="dxa"/>
            <w:vAlign w:val="center"/>
            <w:hideMark/>
          </w:tcPr>
          <w:p w14:paraId="67679E94"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49" w:type="dxa"/>
            <w:vAlign w:val="center"/>
            <w:hideMark/>
          </w:tcPr>
          <w:p w14:paraId="0D3B90F9"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49" w:type="dxa"/>
            <w:vAlign w:val="center"/>
            <w:hideMark/>
          </w:tcPr>
          <w:p w14:paraId="413567F0"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15" w:type="dxa"/>
          </w:tcPr>
          <w:p w14:paraId="38E146F8" w14:textId="77777777" w:rsidR="009123AC" w:rsidRPr="00F0379B" w:rsidRDefault="009123AC" w:rsidP="009123AC">
            <w:pPr>
              <w:spacing w:after="0" w:line="240" w:lineRule="auto"/>
              <w:rPr>
                <w:rFonts w:ascii="Cambria" w:eastAsia="Times New Roman" w:hAnsi="Cambria" w:cs="Calibri"/>
                <w:color w:val="000000"/>
                <w:sz w:val="16"/>
                <w:szCs w:val="16"/>
                <w:lang w:val="en-US" w:eastAsia="ja-JP"/>
              </w:rPr>
            </w:pPr>
          </w:p>
        </w:tc>
        <w:tc>
          <w:tcPr>
            <w:tcW w:w="270" w:type="dxa"/>
            <w:shd w:val="clear" w:color="000000" w:fill="D9D9D9"/>
            <w:vAlign w:val="center"/>
            <w:hideMark/>
          </w:tcPr>
          <w:p w14:paraId="356C5756" w14:textId="77777777" w:rsidR="009123AC" w:rsidRPr="00F0379B" w:rsidRDefault="009123AC" w:rsidP="009123AC">
            <w:pPr>
              <w:spacing w:after="0" w:line="240" w:lineRule="auto"/>
              <w:rPr>
                <w:rFonts w:ascii="Cambria" w:eastAsia="Times New Roman" w:hAnsi="Cambria" w:cs="Calibri"/>
                <w:color w:val="000000"/>
                <w:sz w:val="16"/>
                <w:szCs w:val="16"/>
                <w:lang w:val="en-US" w:eastAsia="ja-JP"/>
              </w:rPr>
            </w:pPr>
            <w:r w:rsidRPr="00F0379B">
              <w:rPr>
                <w:rFonts w:ascii="Cambria" w:eastAsia="Times New Roman" w:hAnsi="Cambria" w:cs="Calibri"/>
                <w:color w:val="000000"/>
                <w:sz w:val="16"/>
                <w:szCs w:val="16"/>
                <w:lang w:val="en-US" w:eastAsia="ja-JP"/>
              </w:rPr>
              <w:t> </w:t>
            </w:r>
          </w:p>
        </w:tc>
        <w:tc>
          <w:tcPr>
            <w:tcW w:w="649" w:type="dxa"/>
          </w:tcPr>
          <w:p w14:paraId="185F3D69"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723" w:type="dxa"/>
            <w:vAlign w:val="center"/>
            <w:hideMark/>
          </w:tcPr>
          <w:p w14:paraId="18C39D58"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49" w:type="dxa"/>
            <w:vAlign w:val="center"/>
            <w:hideMark/>
          </w:tcPr>
          <w:p w14:paraId="2377F54A"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708" w:type="dxa"/>
            <w:vAlign w:val="center"/>
            <w:hideMark/>
          </w:tcPr>
          <w:p w14:paraId="4C09D3D3"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709" w:type="dxa"/>
            <w:vAlign w:val="center"/>
            <w:hideMark/>
          </w:tcPr>
          <w:p w14:paraId="30102B7B"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1149" w:type="dxa"/>
            <w:vAlign w:val="center"/>
            <w:hideMark/>
          </w:tcPr>
          <w:p w14:paraId="7760E1C0"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925" w:type="dxa"/>
            <w:vAlign w:val="center"/>
          </w:tcPr>
          <w:p w14:paraId="5AC17B4F"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r>
      <w:tr w:rsidR="009123AC" w:rsidRPr="00F0379B" w14:paraId="39C986EC" w14:textId="77777777" w:rsidTr="00CA749B">
        <w:trPr>
          <w:trHeight w:val="20"/>
        </w:trPr>
        <w:tc>
          <w:tcPr>
            <w:tcW w:w="2384" w:type="dxa"/>
            <w:vAlign w:val="center"/>
          </w:tcPr>
          <w:p w14:paraId="7D733179"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MS Gothic" w:hAnsi="Cambria" w:cs="Times New Roman"/>
                <w:sz w:val="16"/>
                <w:szCs w:val="16"/>
                <w:lang w:eastAsia="fr-FR" w:bidi="fr-FR"/>
              </w:rPr>
              <w:t>Palangreros de menos de 24 m</w:t>
            </w:r>
          </w:p>
        </w:tc>
        <w:tc>
          <w:tcPr>
            <w:tcW w:w="1641" w:type="dxa"/>
            <w:noWrap/>
            <w:vAlign w:val="center"/>
            <w:hideMark/>
          </w:tcPr>
          <w:p w14:paraId="473DDF93"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5</w:t>
            </w:r>
          </w:p>
        </w:tc>
        <w:tc>
          <w:tcPr>
            <w:tcW w:w="629" w:type="dxa"/>
          </w:tcPr>
          <w:p w14:paraId="2BB6E48B"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59" w:type="dxa"/>
            <w:noWrap/>
            <w:vAlign w:val="center"/>
            <w:hideMark/>
          </w:tcPr>
          <w:p w14:paraId="226A6FAE"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19" w:type="dxa"/>
            <w:vAlign w:val="center"/>
            <w:hideMark/>
          </w:tcPr>
          <w:p w14:paraId="684B2F1D"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49" w:type="dxa"/>
            <w:vAlign w:val="center"/>
            <w:hideMark/>
          </w:tcPr>
          <w:p w14:paraId="275B61A0"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49" w:type="dxa"/>
            <w:vAlign w:val="center"/>
            <w:hideMark/>
          </w:tcPr>
          <w:p w14:paraId="77BCF4CA"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49" w:type="dxa"/>
            <w:vAlign w:val="center"/>
            <w:hideMark/>
          </w:tcPr>
          <w:p w14:paraId="2707D608"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15" w:type="dxa"/>
          </w:tcPr>
          <w:p w14:paraId="72AAB311" w14:textId="77777777" w:rsidR="009123AC" w:rsidRPr="00F0379B" w:rsidRDefault="009123AC" w:rsidP="009123AC">
            <w:pPr>
              <w:spacing w:after="0" w:line="240" w:lineRule="auto"/>
              <w:rPr>
                <w:rFonts w:ascii="Cambria" w:eastAsia="Times New Roman" w:hAnsi="Cambria" w:cs="Calibri"/>
                <w:color w:val="000000"/>
                <w:sz w:val="16"/>
                <w:szCs w:val="16"/>
                <w:lang w:val="en-US" w:eastAsia="ja-JP"/>
              </w:rPr>
            </w:pPr>
          </w:p>
        </w:tc>
        <w:tc>
          <w:tcPr>
            <w:tcW w:w="270" w:type="dxa"/>
            <w:shd w:val="clear" w:color="000000" w:fill="D9D9D9"/>
            <w:vAlign w:val="center"/>
            <w:hideMark/>
          </w:tcPr>
          <w:p w14:paraId="19A47BEE" w14:textId="77777777" w:rsidR="009123AC" w:rsidRPr="00F0379B" w:rsidRDefault="009123AC" w:rsidP="009123AC">
            <w:pPr>
              <w:spacing w:after="0" w:line="240" w:lineRule="auto"/>
              <w:rPr>
                <w:rFonts w:ascii="Cambria" w:eastAsia="Times New Roman" w:hAnsi="Cambria" w:cs="Calibri"/>
                <w:color w:val="000000"/>
                <w:sz w:val="16"/>
                <w:szCs w:val="16"/>
                <w:lang w:val="en-US" w:eastAsia="ja-JP"/>
              </w:rPr>
            </w:pPr>
            <w:r w:rsidRPr="00F0379B">
              <w:rPr>
                <w:rFonts w:ascii="Cambria" w:eastAsia="Times New Roman" w:hAnsi="Cambria" w:cs="Calibri"/>
                <w:color w:val="000000"/>
                <w:sz w:val="16"/>
                <w:szCs w:val="16"/>
                <w:lang w:val="en-US" w:eastAsia="ja-JP"/>
              </w:rPr>
              <w:t> </w:t>
            </w:r>
          </w:p>
        </w:tc>
        <w:tc>
          <w:tcPr>
            <w:tcW w:w="649" w:type="dxa"/>
          </w:tcPr>
          <w:p w14:paraId="56330A8A"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723" w:type="dxa"/>
            <w:vAlign w:val="center"/>
            <w:hideMark/>
          </w:tcPr>
          <w:p w14:paraId="7F2828FF"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49" w:type="dxa"/>
            <w:vAlign w:val="center"/>
            <w:hideMark/>
          </w:tcPr>
          <w:p w14:paraId="42B9A8CF"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708" w:type="dxa"/>
            <w:vAlign w:val="center"/>
            <w:hideMark/>
          </w:tcPr>
          <w:p w14:paraId="678DF5DF"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709" w:type="dxa"/>
            <w:vAlign w:val="center"/>
            <w:hideMark/>
          </w:tcPr>
          <w:p w14:paraId="4C1E62B3"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1149" w:type="dxa"/>
            <w:vAlign w:val="center"/>
            <w:hideMark/>
          </w:tcPr>
          <w:p w14:paraId="44BD3C14"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925" w:type="dxa"/>
            <w:vAlign w:val="center"/>
          </w:tcPr>
          <w:p w14:paraId="2AB696F2"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r>
      <w:tr w:rsidR="009123AC" w:rsidRPr="00F0379B" w14:paraId="66ABCBE1" w14:textId="77777777" w:rsidTr="00CA749B">
        <w:trPr>
          <w:trHeight w:val="20"/>
        </w:trPr>
        <w:tc>
          <w:tcPr>
            <w:tcW w:w="2384" w:type="dxa"/>
            <w:vAlign w:val="center"/>
          </w:tcPr>
          <w:p w14:paraId="0349F0BE"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MS Gothic" w:hAnsi="Cambria" w:cs="Times New Roman"/>
                <w:b/>
                <w:sz w:val="16"/>
                <w:szCs w:val="16"/>
                <w:lang w:eastAsia="fr-FR" w:bidi="fr-FR"/>
              </w:rPr>
              <w:t>Total flota de palangre</w:t>
            </w:r>
          </w:p>
        </w:tc>
        <w:tc>
          <w:tcPr>
            <w:tcW w:w="1641" w:type="dxa"/>
            <w:noWrap/>
            <w:vAlign w:val="center"/>
            <w:hideMark/>
          </w:tcPr>
          <w:p w14:paraId="46A556CE" w14:textId="77777777" w:rsidR="009123AC" w:rsidRPr="00F0379B" w:rsidRDefault="009123AC" w:rsidP="009123AC">
            <w:pPr>
              <w:spacing w:after="0" w:line="240" w:lineRule="auto"/>
              <w:rPr>
                <w:rFonts w:ascii="Cambria" w:eastAsia="Times New Roman" w:hAnsi="Cambria" w:cs="Times New Roman"/>
                <w:color w:val="000000"/>
                <w:sz w:val="16"/>
                <w:szCs w:val="16"/>
                <w:lang w:val="en-US" w:eastAsia="ja-JP"/>
              </w:rPr>
            </w:pPr>
            <w:r w:rsidRPr="00F0379B">
              <w:rPr>
                <w:rFonts w:ascii="Cambria" w:eastAsia="Times New Roman" w:hAnsi="Cambria" w:cs="Times New Roman"/>
                <w:color w:val="000000"/>
                <w:sz w:val="16"/>
                <w:szCs w:val="16"/>
                <w:lang w:val="en-US" w:eastAsia="ja-JP"/>
              </w:rPr>
              <w:t> </w:t>
            </w:r>
          </w:p>
        </w:tc>
        <w:tc>
          <w:tcPr>
            <w:tcW w:w="629" w:type="dxa"/>
          </w:tcPr>
          <w:p w14:paraId="4FFFF601"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659" w:type="dxa"/>
            <w:noWrap/>
            <w:vAlign w:val="center"/>
            <w:hideMark/>
          </w:tcPr>
          <w:p w14:paraId="298D54B0"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19" w:type="dxa"/>
            <w:vAlign w:val="center"/>
            <w:hideMark/>
          </w:tcPr>
          <w:p w14:paraId="2DF6B2FD"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49" w:type="dxa"/>
            <w:vAlign w:val="center"/>
            <w:hideMark/>
          </w:tcPr>
          <w:p w14:paraId="6C3D5F96"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3</w:t>
            </w:r>
          </w:p>
        </w:tc>
        <w:tc>
          <w:tcPr>
            <w:tcW w:w="649" w:type="dxa"/>
            <w:vAlign w:val="center"/>
            <w:hideMark/>
          </w:tcPr>
          <w:p w14:paraId="0988E8DE"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3</w:t>
            </w:r>
          </w:p>
        </w:tc>
        <w:tc>
          <w:tcPr>
            <w:tcW w:w="649" w:type="dxa"/>
            <w:vAlign w:val="center"/>
            <w:hideMark/>
          </w:tcPr>
          <w:p w14:paraId="645A4B5D"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3</w:t>
            </w:r>
          </w:p>
        </w:tc>
        <w:tc>
          <w:tcPr>
            <w:tcW w:w="615" w:type="dxa"/>
          </w:tcPr>
          <w:p w14:paraId="770A09E5" w14:textId="77777777" w:rsidR="009123AC" w:rsidRPr="00F0379B" w:rsidRDefault="009123AC" w:rsidP="009123AC">
            <w:pPr>
              <w:spacing w:after="0" w:line="240" w:lineRule="auto"/>
              <w:jc w:val="center"/>
              <w:rPr>
                <w:rFonts w:ascii="Cambria" w:eastAsia="Times New Roman" w:hAnsi="Cambria" w:cs="Calibri"/>
                <w:b/>
                <w:bCs/>
                <w:color w:val="000000"/>
                <w:sz w:val="16"/>
                <w:szCs w:val="16"/>
                <w:lang w:val="en-US" w:eastAsia="ja-JP"/>
              </w:rPr>
            </w:pPr>
            <w:r w:rsidRPr="00F0379B">
              <w:rPr>
                <w:rFonts w:ascii="Cambria" w:eastAsia="Times New Roman" w:hAnsi="Cambria" w:cs="Calibri"/>
                <w:b/>
                <w:bCs/>
                <w:sz w:val="16"/>
                <w:szCs w:val="16"/>
                <w:lang w:val="en-US" w:eastAsia="ja-JP"/>
              </w:rPr>
              <w:t>3</w:t>
            </w:r>
          </w:p>
        </w:tc>
        <w:tc>
          <w:tcPr>
            <w:tcW w:w="270" w:type="dxa"/>
            <w:shd w:val="clear" w:color="000000" w:fill="D9D9D9"/>
            <w:vAlign w:val="center"/>
            <w:hideMark/>
          </w:tcPr>
          <w:p w14:paraId="572A9199" w14:textId="77777777" w:rsidR="009123AC" w:rsidRPr="00F0379B" w:rsidRDefault="009123AC" w:rsidP="009123AC">
            <w:pPr>
              <w:spacing w:after="0" w:line="240" w:lineRule="auto"/>
              <w:jc w:val="center"/>
              <w:rPr>
                <w:rFonts w:ascii="Cambria" w:eastAsia="Times New Roman" w:hAnsi="Cambria" w:cs="Calibri"/>
                <w:b/>
                <w:bCs/>
                <w:color w:val="000000"/>
                <w:sz w:val="16"/>
                <w:szCs w:val="16"/>
                <w:lang w:val="en-US" w:eastAsia="ja-JP"/>
              </w:rPr>
            </w:pPr>
          </w:p>
        </w:tc>
        <w:tc>
          <w:tcPr>
            <w:tcW w:w="649" w:type="dxa"/>
          </w:tcPr>
          <w:p w14:paraId="17207AB8" w14:textId="77777777" w:rsidR="009123AC" w:rsidRPr="00F0379B" w:rsidRDefault="009123AC" w:rsidP="009123AC">
            <w:pPr>
              <w:spacing w:after="0" w:line="240" w:lineRule="auto"/>
              <w:jc w:val="center"/>
              <w:rPr>
                <w:rFonts w:ascii="Cambria" w:eastAsia="Times New Roman" w:hAnsi="Cambria" w:cs="Calibri"/>
                <w:b/>
                <w:bCs/>
                <w:sz w:val="16"/>
                <w:szCs w:val="16"/>
                <w:lang w:eastAsia="ja-JP"/>
              </w:rPr>
            </w:pPr>
          </w:p>
        </w:tc>
        <w:tc>
          <w:tcPr>
            <w:tcW w:w="723" w:type="dxa"/>
            <w:vAlign w:val="center"/>
            <w:hideMark/>
          </w:tcPr>
          <w:p w14:paraId="54109A0B"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p>
        </w:tc>
        <w:tc>
          <w:tcPr>
            <w:tcW w:w="649" w:type="dxa"/>
            <w:vAlign w:val="center"/>
            <w:hideMark/>
          </w:tcPr>
          <w:p w14:paraId="1BF2707D"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p>
        </w:tc>
        <w:tc>
          <w:tcPr>
            <w:tcW w:w="708" w:type="dxa"/>
            <w:vAlign w:val="center"/>
            <w:hideMark/>
          </w:tcPr>
          <w:p w14:paraId="3ED232BE"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p>
        </w:tc>
        <w:tc>
          <w:tcPr>
            <w:tcW w:w="709" w:type="dxa"/>
            <w:vAlign w:val="center"/>
            <w:hideMark/>
          </w:tcPr>
          <w:p w14:paraId="20F179DE"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p>
        </w:tc>
        <w:tc>
          <w:tcPr>
            <w:tcW w:w="1149" w:type="dxa"/>
            <w:vAlign w:val="center"/>
            <w:hideMark/>
          </w:tcPr>
          <w:p w14:paraId="6ADD0121"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925" w:type="dxa"/>
            <w:vAlign w:val="center"/>
          </w:tcPr>
          <w:p w14:paraId="3B8133C4"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r>
      <w:tr w:rsidR="009123AC" w:rsidRPr="00F0379B" w14:paraId="6B7C4F9B" w14:textId="77777777" w:rsidTr="00CA749B">
        <w:trPr>
          <w:trHeight w:val="20"/>
        </w:trPr>
        <w:tc>
          <w:tcPr>
            <w:tcW w:w="2384" w:type="dxa"/>
            <w:vAlign w:val="center"/>
          </w:tcPr>
          <w:p w14:paraId="67B9633B"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sz w:val="16"/>
                <w:szCs w:val="16"/>
                <w:lang w:eastAsia="fr-FR" w:bidi="fr-FR"/>
              </w:rPr>
              <w:t>Cebo vivo</w:t>
            </w:r>
          </w:p>
        </w:tc>
        <w:tc>
          <w:tcPr>
            <w:tcW w:w="1641" w:type="dxa"/>
            <w:noWrap/>
            <w:vAlign w:val="center"/>
            <w:hideMark/>
          </w:tcPr>
          <w:p w14:paraId="4E20CF3C"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19,75</w:t>
            </w:r>
          </w:p>
        </w:tc>
        <w:tc>
          <w:tcPr>
            <w:tcW w:w="629" w:type="dxa"/>
          </w:tcPr>
          <w:p w14:paraId="5BBB13DA"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659" w:type="dxa"/>
            <w:noWrap/>
            <w:vAlign w:val="center"/>
            <w:hideMark/>
          </w:tcPr>
          <w:p w14:paraId="32F570FB"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19" w:type="dxa"/>
            <w:vAlign w:val="center"/>
            <w:hideMark/>
          </w:tcPr>
          <w:p w14:paraId="0CFC1E69"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49" w:type="dxa"/>
            <w:vAlign w:val="center"/>
            <w:hideMark/>
          </w:tcPr>
          <w:p w14:paraId="3F2751B9"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649" w:type="dxa"/>
            <w:vAlign w:val="center"/>
            <w:hideMark/>
          </w:tcPr>
          <w:p w14:paraId="62770D28"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649" w:type="dxa"/>
            <w:vAlign w:val="center"/>
            <w:hideMark/>
          </w:tcPr>
          <w:p w14:paraId="0C40A767"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615" w:type="dxa"/>
          </w:tcPr>
          <w:p w14:paraId="2762D52A" w14:textId="77777777" w:rsidR="009123AC" w:rsidRPr="00F0379B" w:rsidRDefault="009123AC" w:rsidP="009123AC">
            <w:pPr>
              <w:spacing w:after="0" w:line="240" w:lineRule="auto"/>
              <w:rPr>
                <w:rFonts w:ascii="Cambria" w:eastAsia="Times New Roman" w:hAnsi="Cambria" w:cs="Calibri"/>
                <w:b/>
                <w:bCs/>
                <w:color w:val="000000"/>
                <w:sz w:val="16"/>
                <w:szCs w:val="16"/>
                <w:lang w:val="en-US" w:eastAsia="ja-JP"/>
              </w:rPr>
            </w:pPr>
          </w:p>
        </w:tc>
        <w:tc>
          <w:tcPr>
            <w:tcW w:w="270" w:type="dxa"/>
            <w:shd w:val="clear" w:color="000000" w:fill="D9D9D9"/>
            <w:vAlign w:val="center"/>
            <w:hideMark/>
          </w:tcPr>
          <w:p w14:paraId="15986F52" w14:textId="77777777" w:rsidR="009123AC" w:rsidRPr="00F0379B" w:rsidRDefault="009123AC" w:rsidP="009123AC">
            <w:pPr>
              <w:spacing w:after="0" w:line="240" w:lineRule="auto"/>
              <w:rPr>
                <w:rFonts w:ascii="Cambria" w:eastAsia="Times New Roman" w:hAnsi="Cambria" w:cs="Calibri"/>
                <w:b/>
                <w:bCs/>
                <w:color w:val="000000"/>
                <w:sz w:val="16"/>
                <w:szCs w:val="16"/>
                <w:lang w:val="en-US" w:eastAsia="ja-JP"/>
              </w:rPr>
            </w:pPr>
            <w:r w:rsidRPr="00F0379B">
              <w:rPr>
                <w:rFonts w:ascii="Cambria" w:eastAsia="Times New Roman" w:hAnsi="Cambria" w:cs="Calibri"/>
                <w:b/>
                <w:bCs/>
                <w:color w:val="000000"/>
                <w:sz w:val="16"/>
                <w:szCs w:val="16"/>
                <w:lang w:val="en-US" w:eastAsia="ja-JP"/>
              </w:rPr>
              <w:t> </w:t>
            </w:r>
          </w:p>
        </w:tc>
        <w:tc>
          <w:tcPr>
            <w:tcW w:w="649" w:type="dxa"/>
          </w:tcPr>
          <w:p w14:paraId="13F36612"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723" w:type="dxa"/>
            <w:vAlign w:val="center"/>
            <w:hideMark/>
          </w:tcPr>
          <w:p w14:paraId="7B9F8CBD"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49" w:type="dxa"/>
            <w:vAlign w:val="center"/>
            <w:hideMark/>
          </w:tcPr>
          <w:p w14:paraId="32E72473"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708" w:type="dxa"/>
            <w:vAlign w:val="center"/>
            <w:hideMark/>
          </w:tcPr>
          <w:p w14:paraId="686E17EE"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709" w:type="dxa"/>
            <w:vAlign w:val="center"/>
            <w:hideMark/>
          </w:tcPr>
          <w:p w14:paraId="62990297"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1149" w:type="dxa"/>
            <w:vAlign w:val="center"/>
            <w:hideMark/>
          </w:tcPr>
          <w:p w14:paraId="230541BC"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925" w:type="dxa"/>
            <w:vAlign w:val="center"/>
          </w:tcPr>
          <w:p w14:paraId="1BB78BD6"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r>
      <w:tr w:rsidR="009123AC" w:rsidRPr="00F0379B" w14:paraId="1D1124C1" w14:textId="77777777" w:rsidTr="00CA749B">
        <w:trPr>
          <w:trHeight w:val="20"/>
        </w:trPr>
        <w:tc>
          <w:tcPr>
            <w:tcW w:w="2384" w:type="dxa"/>
            <w:vAlign w:val="center"/>
          </w:tcPr>
          <w:p w14:paraId="1B06D65C"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sz w:val="16"/>
                <w:szCs w:val="16"/>
                <w:lang w:eastAsia="fr-FR" w:bidi="fr-FR"/>
              </w:rPr>
              <w:t>Liña de mano</w:t>
            </w:r>
          </w:p>
        </w:tc>
        <w:tc>
          <w:tcPr>
            <w:tcW w:w="1641" w:type="dxa"/>
            <w:noWrap/>
            <w:vAlign w:val="center"/>
            <w:hideMark/>
          </w:tcPr>
          <w:p w14:paraId="705A545F"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5</w:t>
            </w:r>
          </w:p>
        </w:tc>
        <w:tc>
          <w:tcPr>
            <w:tcW w:w="629" w:type="dxa"/>
          </w:tcPr>
          <w:p w14:paraId="5463AF41"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59" w:type="dxa"/>
            <w:noWrap/>
            <w:vAlign w:val="center"/>
            <w:hideMark/>
          </w:tcPr>
          <w:p w14:paraId="0F473C70"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19" w:type="dxa"/>
            <w:vAlign w:val="center"/>
            <w:hideMark/>
          </w:tcPr>
          <w:p w14:paraId="3AE656C6"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49" w:type="dxa"/>
            <w:vAlign w:val="center"/>
            <w:hideMark/>
          </w:tcPr>
          <w:p w14:paraId="319BCBB6"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49" w:type="dxa"/>
            <w:vAlign w:val="center"/>
            <w:hideMark/>
          </w:tcPr>
          <w:p w14:paraId="40E2E088"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49" w:type="dxa"/>
            <w:vAlign w:val="center"/>
            <w:hideMark/>
          </w:tcPr>
          <w:p w14:paraId="5ACC8BF5"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15" w:type="dxa"/>
          </w:tcPr>
          <w:p w14:paraId="74222BF0" w14:textId="77777777" w:rsidR="009123AC" w:rsidRPr="00F0379B" w:rsidRDefault="009123AC" w:rsidP="009123AC">
            <w:pPr>
              <w:spacing w:after="0" w:line="240" w:lineRule="auto"/>
              <w:rPr>
                <w:rFonts w:ascii="Cambria" w:eastAsia="Times New Roman" w:hAnsi="Cambria" w:cs="Calibri"/>
                <w:color w:val="000000"/>
                <w:sz w:val="16"/>
                <w:szCs w:val="16"/>
                <w:lang w:val="en-US" w:eastAsia="ja-JP"/>
              </w:rPr>
            </w:pPr>
          </w:p>
        </w:tc>
        <w:tc>
          <w:tcPr>
            <w:tcW w:w="270" w:type="dxa"/>
            <w:shd w:val="clear" w:color="000000" w:fill="D9D9D9"/>
            <w:vAlign w:val="center"/>
            <w:hideMark/>
          </w:tcPr>
          <w:p w14:paraId="5DFC92A4" w14:textId="77777777" w:rsidR="009123AC" w:rsidRPr="00F0379B" w:rsidRDefault="009123AC" w:rsidP="009123AC">
            <w:pPr>
              <w:spacing w:after="0" w:line="240" w:lineRule="auto"/>
              <w:rPr>
                <w:rFonts w:ascii="Cambria" w:eastAsia="Times New Roman" w:hAnsi="Cambria" w:cs="Calibri"/>
                <w:color w:val="000000"/>
                <w:sz w:val="16"/>
                <w:szCs w:val="16"/>
                <w:lang w:val="en-US" w:eastAsia="ja-JP"/>
              </w:rPr>
            </w:pPr>
            <w:r w:rsidRPr="00F0379B">
              <w:rPr>
                <w:rFonts w:ascii="Cambria" w:eastAsia="Times New Roman" w:hAnsi="Cambria" w:cs="Calibri"/>
                <w:color w:val="000000"/>
                <w:sz w:val="16"/>
                <w:szCs w:val="16"/>
                <w:lang w:val="en-US" w:eastAsia="ja-JP"/>
              </w:rPr>
              <w:t> </w:t>
            </w:r>
          </w:p>
        </w:tc>
        <w:tc>
          <w:tcPr>
            <w:tcW w:w="649" w:type="dxa"/>
          </w:tcPr>
          <w:p w14:paraId="3D92928B"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723" w:type="dxa"/>
            <w:vAlign w:val="center"/>
            <w:hideMark/>
          </w:tcPr>
          <w:p w14:paraId="3B0CA6BA"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49" w:type="dxa"/>
            <w:vAlign w:val="center"/>
            <w:hideMark/>
          </w:tcPr>
          <w:p w14:paraId="6F650B4E"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708" w:type="dxa"/>
            <w:vAlign w:val="center"/>
            <w:hideMark/>
          </w:tcPr>
          <w:p w14:paraId="126F9218"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709" w:type="dxa"/>
            <w:vAlign w:val="center"/>
            <w:hideMark/>
          </w:tcPr>
          <w:p w14:paraId="5D4465C7"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1149" w:type="dxa"/>
            <w:vAlign w:val="center"/>
            <w:hideMark/>
          </w:tcPr>
          <w:p w14:paraId="240172F0"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925" w:type="dxa"/>
            <w:vAlign w:val="center"/>
          </w:tcPr>
          <w:p w14:paraId="66A32D63"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r>
      <w:tr w:rsidR="009123AC" w:rsidRPr="00F0379B" w14:paraId="7A016007" w14:textId="77777777" w:rsidTr="00CA749B">
        <w:trPr>
          <w:trHeight w:val="20"/>
        </w:trPr>
        <w:tc>
          <w:tcPr>
            <w:tcW w:w="2384" w:type="dxa"/>
            <w:vAlign w:val="center"/>
          </w:tcPr>
          <w:p w14:paraId="35BBC845"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sz w:val="16"/>
                <w:szCs w:val="16"/>
                <w:lang w:eastAsia="fr-FR" w:bidi="fr-FR"/>
              </w:rPr>
              <w:t>Arrastreros</w:t>
            </w:r>
          </w:p>
        </w:tc>
        <w:tc>
          <w:tcPr>
            <w:tcW w:w="1641" w:type="dxa"/>
            <w:noWrap/>
            <w:vAlign w:val="center"/>
            <w:hideMark/>
          </w:tcPr>
          <w:p w14:paraId="7FFED5D4"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10</w:t>
            </w:r>
          </w:p>
        </w:tc>
        <w:tc>
          <w:tcPr>
            <w:tcW w:w="629" w:type="dxa"/>
          </w:tcPr>
          <w:p w14:paraId="6E5E3341"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59" w:type="dxa"/>
            <w:noWrap/>
            <w:vAlign w:val="center"/>
            <w:hideMark/>
          </w:tcPr>
          <w:p w14:paraId="2EE12D97"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1</w:t>
            </w:r>
          </w:p>
        </w:tc>
        <w:tc>
          <w:tcPr>
            <w:tcW w:w="619" w:type="dxa"/>
            <w:vAlign w:val="center"/>
            <w:hideMark/>
          </w:tcPr>
          <w:p w14:paraId="0F9EBFC4"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49" w:type="dxa"/>
            <w:vAlign w:val="center"/>
            <w:hideMark/>
          </w:tcPr>
          <w:p w14:paraId="582F87BC"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49" w:type="dxa"/>
            <w:vAlign w:val="center"/>
            <w:hideMark/>
          </w:tcPr>
          <w:p w14:paraId="327726B7"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49" w:type="dxa"/>
            <w:vAlign w:val="center"/>
            <w:hideMark/>
          </w:tcPr>
          <w:p w14:paraId="20151825"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15" w:type="dxa"/>
          </w:tcPr>
          <w:p w14:paraId="644BF8DD" w14:textId="77777777" w:rsidR="009123AC" w:rsidRPr="00F0379B" w:rsidRDefault="009123AC" w:rsidP="009123AC">
            <w:pPr>
              <w:spacing w:after="0" w:line="240" w:lineRule="auto"/>
              <w:rPr>
                <w:rFonts w:ascii="Cambria" w:eastAsia="Times New Roman" w:hAnsi="Cambria" w:cs="Calibri"/>
                <w:color w:val="000000"/>
                <w:sz w:val="16"/>
                <w:szCs w:val="16"/>
                <w:lang w:val="en-US" w:eastAsia="ja-JP"/>
              </w:rPr>
            </w:pPr>
          </w:p>
        </w:tc>
        <w:tc>
          <w:tcPr>
            <w:tcW w:w="270" w:type="dxa"/>
            <w:shd w:val="clear" w:color="000000" w:fill="D9D9D9"/>
            <w:vAlign w:val="center"/>
            <w:hideMark/>
          </w:tcPr>
          <w:p w14:paraId="519723AE" w14:textId="77777777" w:rsidR="009123AC" w:rsidRPr="00F0379B" w:rsidRDefault="009123AC" w:rsidP="009123AC">
            <w:pPr>
              <w:spacing w:after="0" w:line="240" w:lineRule="auto"/>
              <w:rPr>
                <w:rFonts w:ascii="Cambria" w:eastAsia="Times New Roman" w:hAnsi="Cambria" w:cs="Calibri"/>
                <w:color w:val="000000"/>
                <w:sz w:val="16"/>
                <w:szCs w:val="16"/>
                <w:lang w:val="en-US" w:eastAsia="ja-JP"/>
              </w:rPr>
            </w:pPr>
            <w:r w:rsidRPr="00F0379B">
              <w:rPr>
                <w:rFonts w:ascii="Cambria" w:eastAsia="Times New Roman" w:hAnsi="Cambria" w:cs="Calibri"/>
                <w:color w:val="000000"/>
                <w:sz w:val="16"/>
                <w:szCs w:val="16"/>
                <w:lang w:val="en-US" w:eastAsia="ja-JP"/>
              </w:rPr>
              <w:t> </w:t>
            </w:r>
          </w:p>
        </w:tc>
        <w:tc>
          <w:tcPr>
            <w:tcW w:w="649" w:type="dxa"/>
          </w:tcPr>
          <w:p w14:paraId="2E40AB8B"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723" w:type="dxa"/>
            <w:vAlign w:val="center"/>
            <w:hideMark/>
          </w:tcPr>
          <w:p w14:paraId="0201CB77"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10</w:t>
            </w:r>
          </w:p>
        </w:tc>
        <w:tc>
          <w:tcPr>
            <w:tcW w:w="649" w:type="dxa"/>
            <w:vAlign w:val="center"/>
            <w:hideMark/>
          </w:tcPr>
          <w:p w14:paraId="19E75126"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708" w:type="dxa"/>
            <w:vAlign w:val="center"/>
            <w:hideMark/>
          </w:tcPr>
          <w:p w14:paraId="5A20EC22"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709" w:type="dxa"/>
            <w:vAlign w:val="center"/>
            <w:hideMark/>
          </w:tcPr>
          <w:p w14:paraId="3C0FB037"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1149" w:type="dxa"/>
            <w:vAlign w:val="center"/>
            <w:hideMark/>
          </w:tcPr>
          <w:p w14:paraId="40E7FBFB"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925" w:type="dxa"/>
            <w:vAlign w:val="center"/>
          </w:tcPr>
          <w:p w14:paraId="1EBAA966"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r>
      <w:tr w:rsidR="009123AC" w:rsidRPr="00F0379B" w14:paraId="09CB8E5A" w14:textId="77777777" w:rsidTr="00CA749B">
        <w:trPr>
          <w:trHeight w:val="20"/>
        </w:trPr>
        <w:tc>
          <w:tcPr>
            <w:tcW w:w="2384" w:type="dxa"/>
            <w:vAlign w:val="center"/>
          </w:tcPr>
          <w:p w14:paraId="21CDF2AB"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sz w:val="16"/>
                <w:szCs w:val="16"/>
                <w:lang w:eastAsia="fr-FR" w:bidi="fr-FR"/>
              </w:rPr>
              <w:t>Almadrabas</w:t>
            </w:r>
          </w:p>
        </w:tc>
        <w:tc>
          <w:tcPr>
            <w:tcW w:w="1641" w:type="dxa"/>
            <w:noWrap/>
            <w:vAlign w:val="center"/>
            <w:hideMark/>
          </w:tcPr>
          <w:p w14:paraId="74E342FD"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130</w:t>
            </w:r>
          </w:p>
        </w:tc>
        <w:tc>
          <w:tcPr>
            <w:tcW w:w="629" w:type="dxa"/>
          </w:tcPr>
          <w:p w14:paraId="4D8DDEF1"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659" w:type="dxa"/>
            <w:noWrap/>
            <w:vAlign w:val="center"/>
            <w:hideMark/>
          </w:tcPr>
          <w:p w14:paraId="56AEA747"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19" w:type="dxa"/>
            <w:vAlign w:val="center"/>
            <w:hideMark/>
          </w:tcPr>
          <w:p w14:paraId="055445EF"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49" w:type="dxa"/>
            <w:vAlign w:val="center"/>
            <w:hideMark/>
          </w:tcPr>
          <w:p w14:paraId="0D0B8DF6"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649" w:type="dxa"/>
            <w:vAlign w:val="center"/>
            <w:hideMark/>
          </w:tcPr>
          <w:p w14:paraId="0F51C952"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649" w:type="dxa"/>
            <w:vAlign w:val="center"/>
            <w:hideMark/>
          </w:tcPr>
          <w:p w14:paraId="4FA5160C"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615" w:type="dxa"/>
          </w:tcPr>
          <w:p w14:paraId="0B4B9A3D" w14:textId="77777777" w:rsidR="009123AC" w:rsidRPr="00F0379B" w:rsidRDefault="009123AC" w:rsidP="009123AC">
            <w:pPr>
              <w:spacing w:after="0" w:line="240" w:lineRule="auto"/>
              <w:rPr>
                <w:rFonts w:ascii="Cambria" w:eastAsia="Times New Roman" w:hAnsi="Cambria" w:cs="Calibri"/>
                <w:b/>
                <w:bCs/>
                <w:color w:val="000000"/>
                <w:sz w:val="16"/>
                <w:szCs w:val="16"/>
                <w:lang w:val="en-US" w:eastAsia="ja-JP"/>
              </w:rPr>
            </w:pPr>
          </w:p>
        </w:tc>
        <w:tc>
          <w:tcPr>
            <w:tcW w:w="270" w:type="dxa"/>
            <w:shd w:val="clear" w:color="000000" w:fill="D9D9D9"/>
            <w:vAlign w:val="center"/>
            <w:hideMark/>
          </w:tcPr>
          <w:p w14:paraId="6E68BB66" w14:textId="77777777" w:rsidR="009123AC" w:rsidRPr="00F0379B" w:rsidRDefault="009123AC" w:rsidP="009123AC">
            <w:pPr>
              <w:spacing w:after="0" w:line="240" w:lineRule="auto"/>
              <w:rPr>
                <w:rFonts w:ascii="Cambria" w:eastAsia="Times New Roman" w:hAnsi="Cambria" w:cs="Calibri"/>
                <w:b/>
                <w:bCs/>
                <w:color w:val="000000"/>
                <w:sz w:val="16"/>
                <w:szCs w:val="16"/>
                <w:lang w:val="en-US" w:eastAsia="ja-JP"/>
              </w:rPr>
            </w:pPr>
            <w:r w:rsidRPr="00F0379B">
              <w:rPr>
                <w:rFonts w:ascii="Cambria" w:eastAsia="Times New Roman" w:hAnsi="Cambria" w:cs="Calibri"/>
                <w:b/>
                <w:bCs/>
                <w:color w:val="000000"/>
                <w:sz w:val="16"/>
                <w:szCs w:val="16"/>
                <w:lang w:val="en-US" w:eastAsia="ja-JP"/>
              </w:rPr>
              <w:t> </w:t>
            </w:r>
          </w:p>
        </w:tc>
        <w:tc>
          <w:tcPr>
            <w:tcW w:w="649" w:type="dxa"/>
          </w:tcPr>
          <w:p w14:paraId="42EA1C75"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723" w:type="dxa"/>
            <w:vAlign w:val="center"/>
            <w:hideMark/>
          </w:tcPr>
          <w:p w14:paraId="2A529DA1"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49" w:type="dxa"/>
            <w:vAlign w:val="center"/>
            <w:hideMark/>
          </w:tcPr>
          <w:p w14:paraId="3E75FD42"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708" w:type="dxa"/>
            <w:vAlign w:val="center"/>
            <w:hideMark/>
          </w:tcPr>
          <w:p w14:paraId="4F81A9AA"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709" w:type="dxa"/>
            <w:vAlign w:val="center"/>
            <w:hideMark/>
          </w:tcPr>
          <w:p w14:paraId="3C56ACAF"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1149" w:type="dxa"/>
            <w:vAlign w:val="center"/>
            <w:hideMark/>
          </w:tcPr>
          <w:p w14:paraId="642B8BD1"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925" w:type="dxa"/>
            <w:vAlign w:val="center"/>
          </w:tcPr>
          <w:p w14:paraId="759FAD62"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r>
      <w:tr w:rsidR="009123AC" w:rsidRPr="00F0379B" w14:paraId="4654A6F9" w14:textId="77777777" w:rsidTr="00CA749B">
        <w:trPr>
          <w:trHeight w:val="20"/>
        </w:trPr>
        <w:tc>
          <w:tcPr>
            <w:tcW w:w="2384" w:type="dxa"/>
            <w:vAlign w:val="center"/>
          </w:tcPr>
          <w:p w14:paraId="6120CF03"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MS Gothic" w:hAnsi="Cambria" w:cs="Times New Roman"/>
                <w:sz w:val="16"/>
                <w:szCs w:val="16"/>
                <w:lang w:eastAsia="fr-FR" w:bidi="fr-FR"/>
              </w:rPr>
              <w:t>Pequeños barcos costeros</w:t>
            </w:r>
          </w:p>
        </w:tc>
        <w:tc>
          <w:tcPr>
            <w:tcW w:w="1641" w:type="dxa"/>
            <w:noWrap/>
            <w:vAlign w:val="center"/>
            <w:hideMark/>
          </w:tcPr>
          <w:p w14:paraId="42B28865"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No aplicable</w:t>
            </w:r>
          </w:p>
        </w:tc>
        <w:tc>
          <w:tcPr>
            <w:tcW w:w="629" w:type="dxa"/>
          </w:tcPr>
          <w:p w14:paraId="56277085"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659" w:type="dxa"/>
            <w:noWrap/>
            <w:vAlign w:val="center"/>
            <w:hideMark/>
          </w:tcPr>
          <w:p w14:paraId="42147263"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19" w:type="dxa"/>
            <w:vAlign w:val="center"/>
            <w:hideMark/>
          </w:tcPr>
          <w:p w14:paraId="2575122A"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49" w:type="dxa"/>
            <w:vAlign w:val="center"/>
            <w:hideMark/>
          </w:tcPr>
          <w:p w14:paraId="174692B4"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649" w:type="dxa"/>
            <w:vAlign w:val="center"/>
            <w:hideMark/>
          </w:tcPr>
          <w:p w14:paraId="0976B4C6"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649" w:type="dxa"/>
            <w:vAlign w:val="center"/>
            <w:hideMark/>
          </w:tcPr>
          <w:p w14:paraId="2A01B7F1"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615" w:type="dxa"/>
          </w:tcPr>
          <w:p w14:paraId="1EFA723E" w14:textId="77777777" w:rsidR="009123AC" w:rsidRPr="00F0379B" w:rsidRDefault="009123AC" w:rsidP="009123AC">
            <w:pPr>
              <w:spacing w:after="0" w:line="240" w:lineRule="auto"/>
              <w:rPr>
                <w:rFonts w:ascii="Cambria" w:eastAsia="Times New Roman" w:hAnsi="Cambria" w:cs="Calibri"/>
                <w:b/>
                <w:bCs/>
                <w:color w:val="000000"/>
                <w:sz w:val="16"/>
                <w:szCs w:val="16"/>
                <w:lang w:val="en-US" w:eastAsia="ja-JP"/>
              </w:rPr>
            </w:pPr>
          </w:p>
        </w:tc>
        <w:tc>
          <w:tcPr>
            <w:tcW w:w="270" w:type="dxa"/>
            <w:shd w:val="clear" w:color="000000" w:fill="D9D9D9"/>
            <w:vAlign w:val="center"/>
            <w:hideMark/>
          </w:tcPr>
          <w:p w14:paraId="08FD7843" w14:textId="77777777" w:rsidR="009123AC" w:rsidRPr="00F0379B" w:rsidRDefault="009123AC" w:rsidP="009123AC">
            <w:pPr>
              <w:spacing w:after="0" w:line="240" w:lineRule="auto"/>
              <w:rPr>
                <w:rFonts w:ascii="Cambria" w:eastAsia="Times New Roman" w:hAnsi="Cambria" w:cs="Calibri"/>
                <w:b/>
                <w:bCs/>
                <w:color w:val="000000"/>
                <w:sz w:val="16"/>
                <w:szCs w:val="16"/>
                <w:lang w:val="en-US" w:eastAsia="ja-JP"/>
              </w:rPr>
            </w:pPr>
            <w:r w:rsidRPr="00F0379B">
              <w:rPr>
                <w:rFonts w:ascii="Cambria" w:eastAsia="Times New Roman" w:hAnsi="Cambria" w:cs="Calibri"/>
                <w:b/>
                <w:bCs/>
                <w:color w:val="000000"/>
                <w:sz w:val="16"/>
                <w:szCs w:val="16"/>
                <w:lang w:val="en-US" w:eastAsia="ja-JP"/>
              </w:rPr>
              <w:t> </w:t>
            </w:r>
          </w:p>
        </w:tc>
        <w:tc>
          <w:tcPr>
            <w:tcW w:w="649" w:type="dxa"/>
          </w:tcPr>
          <w:p w14:paraId="7EFB5D9B"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723" w:type="dxa"/>
            <w:vAlign w:val="center"/>
            <w:hideMark/>
          </w:tcPr>
          <w:p w14:paraId="0C42F727"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49" w:type="dxa"/>
            <w:vAlign w:val="center"/>
            <w:hideMark/>
          </w:tcPr>
          <w:p w14:paraId="00103FC1"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708" w:type="dxa"/>
            <w:vAlign w:val="center"/>
            <w:hideMark/>
          </w:tcPr>
          <w:p w14:paraId="0A6A8584"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709" w:type="dxa"/>
            <w:vAlign w:val="center"/>
            <w:hideMark/>
          </w:tcPr>
          <w:p w14:paraId="3390C77C"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1149" w:type="dxa"/>
            <w:vAlign w:val="center"/>
            <w:hideMark/>
          </w:tcPr>
          <w:p w14:paraId="5441BFD3"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925" w:type="dxa"/>
            <w:vAlign w:val="center"/>
          </w:tcPr>
          <w:p w14:paraId="7968D8DE"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r>
      <w:tr w:rsidR="009123AC" w:rsidRPr="00F0379B" w14:paraId="07BA2735" w14:textId="77777777" w:rsidTr="00CA749B">
        <w:trPr>
          <w:trHeight w:val="20"/>
        </w:trPr>
        <w:tc>
          <w:tcPr>
            <w:tcW w:w="2384" w:type="dxa"/>
            <w:vAlign w:val="center"/>
          </w:tcPr>
          <w:p w14:paraId="38966EB5"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sz w:val="16"/>
                <w:szCs w:val="16"/>
                <w:lang w:eastAsia="fr-FR" w:bidi="fr-FR"/>
              </w:rPr>
              <w:t>Otros (especificar)</w:t>
            </w:r>
          </w:p>
        </w:tc>
        <w:tc>
          <w:tcPr>
            <w:tcW w:w="1641" w:type="dxa"/>
            <w:noWrap/>
            <w:vAlign w:val="center"/>
            <w:hideMark/>
          </w:tcPr>
          <w:p w14:paraId="7E21DDD5"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5</w:t>
            </w:r>
          </w:p>
        </w:tc>
        <w:tc>
          <w:tcPr>
            <w:tcW w:w="629" w:type="dxa"/>
          </w:tcPr>
          <w:p w14:paraId="74482A8A"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659" w:type="dxa"/>
            <w:noWrap/>
            <w:vAlign w:val="center"/>
            <w:hideMark/>
          </w:tcPr>
          <w:p w14:paraId="0F94DB35"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19" w:type="dxa"/>
            <w:vAlign w:val="center"/>
            <w:hideMark/>
          </w:tcPr>
          <w:p w14:paraId="5CAA4975"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49" w:type="dxa"/>
            <w:vAlign w:val="center"/>
            <w:hideMark/>
          </w:tcPr>
          <w:p w14:paraId="0BD0F91B"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649" w:type="dxa"/>
            <w:vAlign w:val="center"/>
            <w:hideMark/>
          </w:tcPr>
          <w:p w14:paraId="6AF12DFD"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649" w:type="dxa"/>
            <w:vAlign w:val="center"/>
            <w:hideMark/>
          </w:tcPr>
          <w:p w14:paraId="417E310E"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615" w:type="dxa"/>
          </w:tcPr>
          <w:p w14:paraId="212CC087" w14:textId="77777777" w:rsidR="009123AC" w:rsidRPr="00F0379B" w:rsidRDefault="009123AC" w:rsidP="009123AC">
            <w:pPr>
              <w:spacing w:after="0" w:line="240" w:lineRule="auto"/>
              <w:rPr>
                <w:rFonts w:ascii="Cambria" w:eastAsia="Times New Roman" w:hAnsi="Cambria" w:cs="Calibri"/>
                <w:b/>
                <w:bCs/>
                <w:color w:val="000000"/>
                <w:sz w:val="16"/>
                <w:szCs w:val="16"/>
                <w:lang w:val="en-US" w:eastAsia="ja-JP"/>
              </w:rPr>
            </w:pPr>
          </w:p>
        </w:tc>
        <w:tc>
          <w:tcPr>
            <w:tcW w:w="270" w:type="dxa"/>
            <w:shd w:val="clear" w:color="000000" w:fill="D9D9D9"/>
            <w:vAlign w:val="center"/>
            <w:hideMark/>
          </w:tcPr>
          <w:p w14:paraId="4CE2B7BC" w14:textId="77777777" w:rsidR="009123AC" w:rsidRPr="00F0379B" w:rsidRDefault="009123AC" w:rsidP="009123AC">
            <w:pPr>
              <w:spacing w:after="0" w:line="240" w:lineRule="auto"/>
              <w:rPr>
                <w:rFonts w:ascii="Cambria" w:eastAsia="Times New Roman" w:hAnsi="Cambria" w:cs="Calibri"/>
                <w:b/>
                <w:bCs/>
                <w:color w:val="000000"/>
                <w:sz w:val="16"/>
                <w:szCs w:val="16"/>
                <w:lang w:val="en-US" w:eastAsia="ja-JP"/>
              </w:rPr>
            </w:pPr>
            <w:r w:rsidRPr="00F0379B">
              <w:rPr>
                <w:rFonts w:ascii="Cambria" w:eastAsia="Times New Roman" w:hAnsi="Cambria" w:cs="Calibri"/>
                <w:b/>
                <w:bCs/>
                <w:color w:val="000000"/>
                <w:sz w:val="16"/>
                <w:szCs w:val="16"/>
                <w:lang w:val="en-US" w:eastAsia="ja-JP"/>
              </w:rPr>
              <w:t> </w:t>
            </w:r>
          </w:p>
        </w:tc>
        <w:tc>
          <w:tcPr>
            <w:tcW w:w="649" w:type="dxa"/>
          </w:tcPr>
          <w:p w14:paraId="30AF8615"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723" w:type="dxa"/>
            <w:vAlign w:val="center"/>
            <w:hideMark/>
          </w:tcPr>
          <w:p w14:paraId="58B7A4DA"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 </w:t>
            </w:r>
          </w:p>
        </w:tc>
        <w:tc>
          <w:tcPr>
            <w:tcW w:w="649" w:type="dxa"/>
            <w:vAlign w:val="center"/>
            <w:hideMark/>
          </w:tcPr>
          <w:p w14:paraId="183C1524"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708" w:type="dxa"/>
            <w:vAlign w:val="center"/>
            <w:hideMark/>
          </w:tcPr>
          <w:p w14:paraId="5403C6AA"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709" w:type="dxa"/>
            <w:vAlign w:val="center"/>
            <w:hideMark/>
          </w:tcPr>
          <w:p w14:paraId="2FE957A1"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1149" w:type="dxa"/>
            <w:vAlign w:val="center"/>
            <w:hideMark/>
          </w:tcPr>
          <w:p w14:paraId="25D3763C"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c>
          <w:tcPr>
            <w:tcW w:w="925" w:type="dxa"/>
            <w:vAlign w:val="center"/>
          </w:tcPr>
          <w:p w14:paraId="3C6B9EDC"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 </w:t>
            </w:r>
          </w:p>
        </w:tc>
      </w:tr>
      <w:tr w:rsidR="009123AC" w:rsidRPr="00F0379B" w14:paraId="67B52404" w14:textId="77777777" w:rsidTr="00CA749B">
        <w:trPr>
          <w:trHeight w:val="20"/>
        </w:trPr>
        <w:tc>
          <w:tcPr>
            <w:tcW w:w="2384" w:type="dxa"/>
            <w:vAlign w:val="center"/>
          </w:tcPr>
          <w:p w14:paraId="0B7EC219"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MS Gothic" w:hAnsi="Cambria" w:cs="Times New Roman"/>
                <w:b/>
                <w:sz w:val="16"/>
                <w:szCs w:val="16"/>
                <w:lang w:eastAsia="fr-FR" w:bidi="fr-FR"/>
              </w:rPr>
              <w:t>Capacidad pesquera/flota total</w:t>
            </w:r>
          </w:p>
        </w:tc>
        <w:tc>
          <w:tcPr>
            <w:tcW w:w="1641" w:type="dxa"/>
            <w:noWrap/>
            <w:vAlign w:val="center"/>
            <w:hideMark/>
          </w:tcPr>
          <w:p w14:paraId="18E8E225" w14:textId="77777777" w:rsidR="009123AC" w:rsidRPr="00F0379B" w:rsidRDefault="009123AC" w:rsidP="009123AC">
            <w:pPr>
              <w:spacing w:after="0" w:line="240" w:lineRule="auto"/>
              <w:jc w:val="right"/>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29" w:type="dxa"/>
          </w:tcPr>
          <w:p w14:paraId="39386D99"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659" w:type="dxa"/>
            <w:noWrap/>
            <w:vAlign w:val="center"/>
            <w:hideMark/>
          </w:tcPr>
          <w:p w14:paraId="44D15D59"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1</w:t>
            </w:r>
          </w:p>
        </w:tc>
        <w:tc>
          <w:tcPr>
            <w:tcW w:w="619" w:type="dxa"/>
            <w:vAlign w:val="center"/>
            <w:hideMark/>
          </w:tcPr>
          <w:p w14:paraId="2EF70636"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p>
        </w:tc>
        <w:tc>
          <w:tcPr>
            <w:tcW w:w="649" w:type="dxa"/>
            <w:vAlign w:val="center"/>
            <w:hideMark/>
          </w:tcPr>
          <w:p w14:paraId="55B60827"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3</w:t>
            </w:r>
          </w:p>
        </w:tc>
        <w:tc>
          <w:tcPr>
            <w:tcW w:w="649" w:type="dxa"/>
            <w:vAlign w:val="center"/>
            <w:hideMark/>
          </w:tcPr>
          <w:p w14:paraId="4363A565"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3</w:t>
            </w:r>
          </w:p>
        </w:tc>
        <w:tc>
          <w:tcPr>
            <w:tcW w:w="649" w:type="dxa"/>
            <w:vAlign w:val="center"/>
            <w:hideMark/>
          </w:tcPr>
          <w:p w14:paraId="60CCFCBD"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3</w:t>
            </w:r>
          </w:p>
        </w:tc>
        <w:tc>
          <w:tcPr>
            <w:tcW w:w="615" w:type="dxa"/>
            <w:vAlign w:val="center"/>
          </w:tcPr>
          <w:p w14:paraId="3308D1D3" w14:textId="77777777" w:rsidR="009123AC" w:rsidRPr="00F0379B" w:rsidRDefault="009123AC" w:rsidP="009123AC">
            <w:pPr>
              <w:spacing w:after="0" w:line="240" w:lineRule="auto"/>
              <w:jc w:val="center"/>
              <w:rPr>
                <w:rFonts w:ascii="Cambria" w:eastAsia="Times New Roman" w:hAnsi="Cambria" w:cs="Calibri"/>
                <w:b/>
                <w:bCs/>
                <w:color w:val="000000"/>
                <w:sz w:val="16"/>
                <w:szCs w:val="16"/>
                <w:lang w:val="en-US" w:eastAsia="ja-JP"/>
              </w:rPr>
            </w:pPr>
            <w:r w:rsidRPr="00F0379B">
              <w:rPr>
                <w:rFonts w:ascii="Cambria" w:eastAsia="Times New Roman" w:hAnsi="Cambria" w:cs="Calibri"/>
                <w:b/>
                <w:bCs/>
                <w:sz w:val="16"/>
                <w:szCs w:val="16"/>
                <w:lang w:val="en-US" w:eastAsia="ja-JP"/>
              </w:rPr>
              <w:t>3</w:t>
            </w:r>
          </w:p>
        </w:tc>
        <w:tc>
          <w:tcPr>
            <w:tcW w:w="270" w:type="dxa"/>
            <w:shd w:val="clear" w:color="000000" w:fill="D9D9D9"/>
            <w:vAlign w:val="center"/>
            <w:hideMark/>
          </w:tcPr>
          <w:p w14:paraId="74666C75" w14:textId="77777777" w:rsidR="009123AC" w:rsidRPr="00F0379B" w:rsidRDefault="009123AC" w:rsidP="009123AC">
            <w:pPr>
              <w:spacing w:after="0" w:line="240" w:lineRule="auto"/>
              <w:rPr>
                <w:rFonts w:ascii="Cambria" w:eastAsia="Times New Roman" w:hAnsi="Cambria" w:cs="Calibri"/>
                <w:b/>
                <w:bCs/>
                <w:color w:val="000000"/>
                <w:sz w:val="16"/>
                <w:szCs w:val="16"/>
                <w:lang w:val="en-US" w:eastAsia="ja-JP"/>
              </w:rPr>
            </w:pPr>
            <w:r w:rsidRPr="00F0379B">
              <w:rPr>
                <w:rFonts w:ascii="Cambria" w:eastAsia="Times New Roman" w:hAnsi="Cambria" w:cs="Calibri"/>
                <w:b/>
                <w:bCs/>
                <w:color w:val="000000"/>
                <w:sz w:val="16"/>
                <w:szCs w:val="16"/>
                <w:lang w:val="en-US" w:eastAsia="ja-JP"/>
              </w:rPr>
              <w:t> </w:t>
            </w:r>
          </w:p>
        </w:tc>
        <w:tc>
          <w:tcPr>
            <w:tcW w:w="649" w:type="dxa"/>
          </w:tcPr>
          <w:p w14:paraId="185BB86C"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723" w:type="dxa"/>
            <w:vAlign w:val="center"/>
            <w:hideMark/>
          </w:tcPr>
          <w:p w14:paraId="11BEBAB7"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eastAsia="ja-JP"/>
              </w:rPr>
              <w:t>10</w:t>
            </w:r>
          </w:p>
        </w:tc>
        <w:tc>
          <w:tcPr>
            <w:tcW w:w="649" w:type="dxa"/>
            <w:vAlign w:val="center"/>
            <w:hideMark/>
          </w:tcPr>
          <w:p w14:paraId="5D0DA9CA"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p>
        </w:tc>
        <w:tc>
          <w:tcPr>
            <w:tcW w:w="708" w:type="dxa"/>
            <w:noWrap/>
            <w:vAlign w:val="center"/>
            <w:hideMark/>
          </w:tcPr>
          <w:p w14:paraId="703783C5"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75</w:t>
            </w:r>
          </w:p>
        </w:tc>
        <w:tc>
          <w:tcPr>
            <w:tcW w:w="709" w:type="dxa"/>
            <w:noWrap/>
            <w:vAlign w:val="center"/>
            <w:hideMark/>
          </w:tcPr>
          <w:p w14:paraId="1CC71128"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75</w:t>
            </w:r>
          </w:p>
        </w:tc>
        <w:tc>
          <w:tcPr>
            <w:tcW w:w="1149" w:type="dxa"/>
            <w:noWrap/>
            <w:vAlign w:val="center"/>
            <w:hideMark/>
          </w:tcPr>
          <w:p w14:paraId="1BE9F749"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75</w:t>
            </w:r>
          </w:p>
        </w:tc>
        <w:tc>
          <w:tcPr>
            <w:tcW w:w="925" w:type="dxa"/>
            <w:vAlign w:val="center"/>
          </w:tcPr>
          <w:p w14:paraId="79C0777E"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75</w:t>
            </w:r>
          </w:p>
        </w:tc>
      </w:tr>
      <w:tr w:rsidR="009123AC" w:rsidRPr="00F0379B" w14:paraId="1B9D764B" w14:textId="77777777" w:rsidTr="00CA749B">
        <w:trPr>
          <w:trHeight w:val="20"/>
        </w:trPr>
        <w:tc>
          <w:tcPr>
            <w:tcW w:w="2384" w:type="dxa"/>
            <w:shd w:val="clear" w:color="auto" w:fill="D9D9D9"/>
            <w:vAlign w:val="center"/>
          </w:tcPr>
          <w:p w14:paraId="2B33A869"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MS Gothic" w:hAnsi="Cambria" w:cs="Times New Roman"/>
                <w:b/>
                <w:sz w:val="16"/>
                <w:szCs w:val="16"/>
                <w:lang w:eastAsia="fr-FR" w:bidi="fr-FR"/>
              </w:rPr>
              <w:t>Cuota inicial</w:t>
            </w:r>
          </w:p>
        </w:tc>
        <w:tc>
          <w:tcPr>
            <w:tcW w:w="1641" w:type="dxa"/>
            <w:shd w:val="clear" w:color="auto" w:fill="D9D9D9"/>
            <w:noWrap/>
            <w:vAlign w:val="center"/>
            <w:hideMark/>
          </w:tcPr>
          <w:p w14:paraId="77D0A0C1" w14:textId="77777777" w:rsidR="009123AC" w:rsidRPr="00F0379B" w:rsidRDefault="009123AC" w:rsidP="009123AC">
            <w:pPr>
              <w:spacing w:after="0" w:line="240" w:lineRule="auto"/>
              <w:jc w:val="right"/>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29" w:type="dxa"/>
            <w:shd w:val="clear" w:color="auto" w:fill="D9D9D9"/>
          </w:tcPr>
          <w:p w14:paraId="19B3F970"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59" w:type="dxa"/>
            <w:shd w:val="clear" w:color="auto" w:fill="D9D9D9"/>
            <w:noWrap/>
            <w:vAlign w:val="center"/>
            <w:hideMark/>
          </w:tcPr>
          <w:p w14:paraId="2874F1C4"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19" w:type="dxa"/>
            <w:shd w:val="clear" w:color="auto" w:fill="D9D9D9"/>
            <w:vAlign w:val="center"/>
            <w:hideMark/>
          </w:tcPr>
          <w:p w14:paraId="296BA8E6"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 </w:t>
            </w:r>
          </w:p>
        </w:tc>
        <w:tc>
          <w:tcPr>
            <w:tcW w:w="649" w:type="dxa"/>
            <w:shd w:val="clear" w:color="auto" w:fill="D9D9D9"/>
            <w:vAlign w:val="center"/>
            <w:hideMark/>
          </w:tcPr>
          <w:p w14:paraId="223B37FA"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49" w:type="dxa"/>
            <w:shd w:val="clear" w:color="auto" w:fill="D9D9D9"/>
            <w:vAlign w:val="center"/>
            <w:hideMark/>
          </w:tcPr>
          <w:p w14:paraId="54DF430B"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49" w:type="dxa"/>
            <w:shd w:val="clear" w:color="auto" w:fill="D9D9D9"/>
            <w:vAlign w:val="center"/>
            <w:hideMark/>
          </w:tcPr>
          <w:p w14:paraId="141BD2F1"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615" w:type="dxa"/>
            <w:shd w:val="clear" w:color="auto" w:fill="D9D9D9"/>
          </w:tcPr>
          <w:p w14:paraId="0A782824" w14:textId="77777777" w:rsidR="009123AC" w:rsidRPr="00F0379B" w:rsidRDefault="009123AC" w:rsidP="009123AC">
            <w:pPr>
              <w:spacing w:after="0" w:line="240" w:lineRule="auto"/>
              <w:rPr>
                <w:rFonts w:ascii="Cambria" w:eastAsia="Times New Roman" w:hAnsi="Cambria" w:cs="Calibri"/>
                <w:color w:val="000000"/>
                <w:sz w:val="16"/>
                <w:szCs w:val="16"/>
                <w:lang w:val="en-US" w:eastAsia="ja-JP"/>
              </w:rPr>
            </w:pPr>
          </w:p>
        </w:tc>
        <w:tc>
          <w:tcPr>
            <w:tcW w:w="270" w:type="dxa"/>
            <w:shd w:val="clear" w:color="auto" w:fill="D9D9D9"/>
            <w:vAlign w:val="center"/>
            <w:hideMark/>
          </w:tcPr>
          <w:p w14:paraId="3EA8B695" w14:textId="77777777" w:rsidR="009123AC" w:rsidRPr="00F0379B" w:rsidRDefault="009123AC" w:rsidP="009123AC">
            <w:pPr>
              <w:spacing w:after="0" w:line="240" w:lineRule="auto"/>
              <w:rPr>
                <w:rFonts w:ascii="Cambria" w:eastAsia="Times New Roman" w:hAnsi="Cambria" w:cs="Calibri"/>
                <w:color w:val="000000"/>
                <w:sz w:val="16"/>
                <w:szCs w:val="16"/>
                <w:lang w:val="en-US" w:eastAsia="ja-JP"/>
              </w:rPr>
            </w:pPr>
            <w:r w:rsidRPr="00F0379B">
              <w:rPr>
                <w:rFonts w:ascii="Cambria" w:eastAsia="Times New Roman" w:hAnsi="Cambria" w:cs="Calibri"/>
                <w:color w:val="000000"/>
                <w:sz w:val="16"/>
                <w:szCs w:val="16"/>
                <w:lang w:val="en-US" w:eastAsia="ja-JP"/>
              </w:rPr>
              <w:t> </w:t>
            </w:r>
          </w:p>
        </w:tc>
        <w:tc>
          <w:tcPr>
            <w:tcW w:w="649" w:type="dxa"/>
            <w:shd w:val="clear" w:color="auto" w:fill="D9D9D9"/>
          </w:tcPr>
          <w:p w14:paraId="6971533C"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723" w:type="dxa"/>
            <w:shd w:val="clear" w:color="auto" w:fill="D9D9D9"/>
            <w:vAlign w:val="center"/>
            <w:hideMark/>
          </w:tcPr>
          <w:p w14:paraId="3B930E39"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51,53</w:t>
            </w:r>
          </w:p>
        </w:tc>
        <w:tc>
          <w:tcPr>
            <w:tcW w:w="649" w:type="dxa"/>
            <w:shd w:val="clear" w:color="auto" w:fill="D9D9D9"/>
            <w:vAlign w:val="center"/>
            <w:hideMark/>
          </w:tcPr>
          <w:p w14:paraId="139569FD"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708" w:type="dxa"/>
            <w:shd w:val="clear" w:color="auto" w:fill="D9D9D9"/>
            <w:vAlign w:val="center"/>
            <w:hideMark/>
          </w:tcPr>
          <w:p w14:paraId="660FDB1C"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224</w:t>
            </w:r>
          </w:p>
        </w:tc>
        <w:tc>
          <w:tcPr>
            <w:tcW w:w="709" w:type="dxa"/>
            <w:shd w:val="clear" w:color="auto" w:fill="D9D9D9"/>
            <w:vAlign w:val="center"/>
            <w:hideMark/>
          </w:tcPr>
          <w:p w14:paraId="0955B6F6"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224</w:t>
            </w:r>
          </w:p>
        </w:tc>
        <w:tc>
          <w:tcPr>
            <w:tcW w:w="1149" w:type="dxa"/>
            <w:shd w:val="clear" w:color="auto" w:fill="D9D9D9"/>
            <w:vAlign w:val="center"/>
            <w:hideMark/>
          </w:tcPr>
          <w:p w14:paraId="3858C386"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224</w:t>
            </w:r>
          </w:p>
        </w:tc>
        <w:tc>
          <w:tcPr>
            <w:tcW w:w="925" w:type="dxa"/>
            <w:shd w:val="clear" w:color="auto" w:fill="D9D9D9"/>
            <w:vAlign w:val="center"/>
          </w:tcPr>
          <w:p w14:paraId="4051C272"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253,14</w:t>
            </w:r>
          </w:p>
        </w:tc>
      </w:tr>
      <w:tr w:rsidR="009123AC" w:rsidRPr="00F0379B" w14:paraId="55B1A63B" w14:textId="77777777" w:rsidTr="00CA749B">
        <w:trPr>
          <w:trHeight w:val="20"/>
        </w:trPr>
        <w:tc>
          <w:tcPr>
            <w:tcW w:w="2384" w:type="dxa"/>
            <w:shd w:val="clear" w:color="auto" w:fill="D9D9D9"/>
            <w:vAlign w:val="center"/>
          </w:tcPr>
          <w:p w14:paraId="02CFDDC9" w14:textId="77777777" w:rsidR="009123AC" w:rsidRPr="00F0379B" w:rsidRDefault="009123AC" w:rsidP="009123AC">
            <w:pPr>
              <w:spacing w:after="0" w:line="240" w:lineRule="auto"/>
              <w:rPr>
                <w:rFonts w:ascii="Cambria" w:eastAsia="MS Gothic" w:hAnsi="Cambria" w:cs="Times New Roman"/>
                <w:b/>
                <w:sz w:val="16"/>
                <w:szCs w:val="16"/>
                <w:lang w:eastAsia="fr-FR" w:bidi="fr-FR"/>
              </w:rPr>
            </w:pPr>
            <w:r w:rsidRPr="00F0379B">
              <w:rPr>
                <w:rFonts w:ascii="Cambria" w:eastAsia="MS Gothic" w:hAnsi="Cambria" w:cs="Times New Roman"/>
                <w:b/>
                <w:sz w:val="16"/>
                <w:szCs w:val="16"/>
                <w:lang w:eastAsia="fr-FR" w:bidi="fr-FR"/>
              </w:rPr>
              <w:t>Cuota ajustada (si procede)</w:t>
            </w:r>
          </w:p>
        </w:tc>
        <w:tc>
          <w:tcPr>
            <w:tcW w:w="1641" w:type="dxa"/>
            <w:shd w:val="clear" w:color="auto" w:fill="D9D9D9"/>
            <w:noWrap/>
            <w:vAlign w:val="center"/>
          </w:tcPr>
          <w:p w14:paraId="7B7C26E2" w14:textId="77777777" w:rsidR="009123AC" w:rsidRPr="00F0379B" w:rsidRDefault="009123AC" w:rsidP="009123AC">
            <w:pPr>
              <w:spacing w:after="0" w:line="240" w:lineRule="auto"/>
              <w:jc w:val="right"/>
              <w:rPr>
                <w:rFonts w:ascii="Cambria" w:eastAsia="Times New Roman" w:hAnsi="Cambria" w:cs="Calibri"/>
                <w:sz w:val="16"/>
                <w:szCs w:val="16"/>
                <w:lang w:eastAsia="ja-JP"/>
              </w:rPr>
            </w:pPr>
          </w:p>
        </w:tc>
        <w:tc>
          <w:tcPr>
            <w:tcW w:w="629" w:type="dxa"/>
            <w:shd w:val="clear" w:color="auto" w:fill="D9D9D9"/>
          </w:tcPr>
          <w:p w14:paraId="64EC9527"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59" w:type="dxa"/>
            <w:shd w:val="clear" w:color="auto" w:fill="D9D9D9"/>
            <w:noWrap/>
            <w:vAlign w:val="center"/>
          </w:tcPr>
          <w:p w14:paraId="6322DD0C"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19" w:type="dxa"/>
            <w:shd w:val="clear" w:color="auto" w:fill="D9D9D9"/>
            <w:vAlign w:val="center"/>
          </w:tcPr>
          <w:p w14:paraId="4B86F411"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49" w:type="dxa"/>
            <w:shd w:val="clear" w:color="auto" w:fill="D9D9D9"/>
            <w:vAlign w:val="center"/>
          </w:tcPr>
          <w:p w14:paraId="134E20CC"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49" w:type="dxa"/>
            <w:shd w:val="clear" w:color="auto" w:fill="D9D9D9"/>
            <w:vAlign w:val="center"/>
          </w:tcPr>
          <w:p w14:paraId="374CE5D0"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49" w:type="dxa"/>
            <w:shd w:val="clear" w:color="auto" w:fill="D9D9D9"/>
            <w:vAlign w:val="center"/>
          </w:tcPr>
          <w:p w14:paraId="1C191CC7"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15" w:type="dxa"/>
            <w:shd w:val="clear" w:color="auto" w:fill="D9D9D9"/>
          </w:tcPr>
          <w:p w14:paraId="0A71CB53" w14:textId="77777777" w:rsidR="009123AC" w:rsidRPr="00F0379B" w:rsidRDefault="009123AC" w:rsidP="009123AC">
            <w:pPr>
              <w:spacing w:after="0" w:line="240" w:lineRule="auto"/>
              <w:rPr>
                <w:rFonts w:ascii="Cambria" w:eastAsia="Times New Roman" w:hAnsi="Cambria" w:cs="Calibri"/>
                <w:color w:val="000000"/>
                <w:sz w:val="16"/>
                <w:szCs w:val="16"/>
                <w:lang w:eastAsia="ja-JP"/>
              </w:rPr>
            </w:pPr>
          </w:p>
        </w:tc>
        <w:tc>
          <w:tcPr>
            <w:tcW w:w="270" w:type="dxa"/>
            <w:shd w:val="clear" w:color="auto" w:fill="D9D9D9"/>
            <w:vAlign w:val="center"/>
          </w:tcPr>
          <w:p w14:paraId="4A91D823" w14:textId="77777777" w:rsidR="009123AC" w:rsidRPr="00F0379B" w:rsidRDefault="009123AC" w:rsidP="009123AC">
            <w:pPr>
              <w:spacing w:after="0" w:line="240" w:lineRule="auto"/>
              <w:rPr>
                <w:rFonts w:ascii="Cambria" w:eastAsia="Times New Roman" w:hAnsi="Cambria" w:cs="Calibri"/>
                <w:color w:val="000000"/>
                <w:sz w:val="16"/>
                <w:szCs w:val="16"/>
                <w:lang w:eastAsia="ja-JP"/>
              </w:rPr>
            </w:pPr>
          </w:p>
        </w:tc>
        <w:tc>
          <w:tcPr>
            <w:tcW w:w="649" w:type="dxa"/>
            <w:shd w:val="clear" w:color="auto" w:fill="D9D9D9"/>
          </w:tcPr>
          <w:p w14:paraId="581D9E44"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723" w:type="dxa"/>
            <w:shd w:val="clear" w:color="auto" w:fill="D9D9D9"/>
            <w:vAlign w:val="center"/>
          </w:tcPr>
          <w:p w14:paraId="034D7198"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649" w:type="dxa"/>
            <w:shd w:val="clear" w:color="auto" w:fill="D9D9D9"/>
            <w:vAlign w:val="center"/>
          </w:tcPr>
          <w:p w14:paraId="4D0B945B"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708" w:type="dxa"/>
            <w:shd w:val="clear" w:color="auto" w:fill="D9D9D9"/>
            <w:vAlign w:val="center"/>
          </w:tcPr>
          <w:p w14:paraId="5047537B"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NA</w:t>
            </w:r>
          </w:p>
        </w:tc>
        <w:tc>
          <w:tcPr>
            <w:tcW w:w="709" w:type="dxa"/>
            <w:shd w:val="clear" w:color="auto" w:fill="D9D9D9"/>
            <w:vAlign w:val="center"/>
          </w:tcPr>
          <w:p w14:paraId="5B5A8028"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NA</w:t>
            </w:r>
          </w:p>
        </w:tc>
        <w:tc>
          <w:tcPr>
            <w:tcW w:w="1149" w:type="dxa"/>
            <w:shd w:val="clear" w:color="auto" w:fill="D9D9D9"/>
            <w:vAlign w:val="center"/>
          </w:tcPr>
          <w:p w14:paraId="39F35CA4"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24 (224 - 200 transferidas a la UE)</w:t>
            </w:r>
          </w:p>
        </w:tc>
        <w:tc>
          <w:tcPr>
            <w:tcW w:w="925" w:type="dxa"/>
            <w:shd w:val="clear" w:color="auto" w:fill="D9D9D9"/>
          </w:tcPr>
          <w:p w14:paraId="4835DED0"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276 (253,14 + 22,86)</w:t>
            </w:r>
          </w:p>
        </w:tc>
      </w:tr>
      <w:tr w:rsidR="009123AC" w:rsidRPr="00F0379B" w14:paraId="376683C4" w14:textId="77777777" w:rsidTr="00CA749B">
        <w:trPr>
          <w:trHeight w:val="20"/>
        </w:trPr>
        <w:tc>
          <w:tcPr>
            <w:tcW w:w="2384" w:type="dxa"/>
            <w:vAlign w:val="center"/>
          </w:tcPr>
          <w:p w14:paraId="1B430904"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MS Gothic" w:hAnsi="Cambria" w:cs="Times New Roman"/>
                <w:b/>
                <w:sz w:val="16"/>
                <w:szCs w:val="16"/>
                <w:lang w:eastAsia="fr-FR" w:bidi="fr-FR"/>
              </w:rPr>
              <w:t>Porcentaje asignado a captura fortuita</w:t>
            </w:r>
          </w:p>
        </w:tc>
        <w:tc>
          <w:tcPr>
            <w:tcW w:w="1641" w:type="dxa"/>
            <w:noWrap/>
            <w:vAlign w:val="center"/>
            <w:hideMark/>
          </w:tcPr>
          <w:p w14:paraId="75BDA149" w14:textId="77777777" w:rsidR="009123AC" w:rsidRPr="00F0379B" w:rsidRDefault="009123AC" w:rsidP="009123AC">
            <w:pPr>
              <w:spacing w:after="0" w:line="240" w:lineRule="auto"/>
              <w:jc w:val="right"/>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29" w:type="dxa"/>
          </w:tcPr>
          <w:p w14:paraId="06E16EA0"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59" w:type="dxa"/>
            <w:noWrap/>
            <w:vAlign w:val="center"/>
            <w:hideMark/>
          </w:tcPr>
          <w:p w14:paraId="115DA268"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19" w:type="dxa"/>
            <w:vAlign w:val="center"/>
            <w:hideMark/>
          </w:tcPr>
          <w:p w14:paraId="502C1EB0"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49" w:type="dxa"/>
            <w:vAlign w:val="center"/>
            <w:hideMark/>
          </w:tcPr>
          <w:p w14:paraId="47A2148A"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49" w:type="dxa"/>
            <w:vAlign w:val="center"/>
            <w:hideMark/>
          </w:tcPr>
          <w:p w14:paraId="2FFABA5D"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49" w:type="dxa"/>
            <w:vAlign w:val="center"/>
            <w:hideMark/>
          </w:tcPr>
          <w:p w14:paraId="40CC5F85"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15" w:type="dxa"/>
          </w:tcPr>
          <w:p w14:paraId="7B795412" w14:textId="77777777" w:rsidR="009123AC" w:rsidRPr="00F0379B" w:rsidRDefault="009123AC" w:rsidP="009123AC">
            <w:pPr>
              <w:spacing w:after="0" w:line="240" w:lineRule="auto"/>
              <w:rPr>
                <w:rFonts w:ascii="Cambria" w:eastAsia="Times New Roman" w:hAnsi="Cambria" w:cs="Calibri"/>
                <w:color w:val="000000"/>
                <w:sz w:val="16"/>
                <w:szCs w:val="16"/>
                <w:lang w:eastAsia="ja-JP"/>
              </w:rPr>
            </w:pPr>
          </w:p>
        </w:tc>
        <w:tc>
          <w:tcPr>
            <w:tcW w:w="270" w:type="dxa"/>
            <w:shd w:val="clear" w:color="000000" w:fill="D9D9D9"/>
            <w:vAlign w:val="center"/>
            <w:hideMark/>
          </w:tcPr>
          <w:p w14:paraId="789B1FCF" w14:textId="77777777" w:rsidR="009123AC" w:rsidRPr="00F0379B" w:rsidRDefault="009123AC" w:rsidP="009123AC">
            <w:pPr>
              <w:spacing w:after="0" w:line="240" w:lineRule="auto"/>
              <w:rPr>
                <w:rFonts w:ascii="Cambria" w:eastAsia="Times New Roman" w:hAnsi="Cambria" w:cs="Calibri"/>
                <w:color w:val="000000"/>
                <w:sz w:val="16"/>
                <w:szCs w:val="16"/>
                <w:lang w:eastAsia="ja-JP"/>
              </w:rPr>
            </w:pPr>
            <w:r w:rsidRPr="00F0379B">
              <w:rPr>
                <w:rFonts w:ascii="Cambria" w:eastAsia="Times New Roman" w:hAnsi="Cambria" w:cs="Calibri"/>
                <w:color w:val="000000"/>
                <w:sz w:val="16"/>
                <w:szCs w:val="16"/>
                <w:lang w:eastAsia="ja-JP"/>
              </w:rPr>
              <w:t> </w:t>
            </w:r>
          </w:p>
        </w:tc>
        <w:tc>
          <w:tcPr>
            <w:tcW w:w="649" w:type="dxa"/>
          </w:tcPr>
          <w:p w14:paraId="72205057"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723" w:type="dxa"/>
            <w:vAlign w:val="center"/>
            <w:hideMark/>
          </w:tcPr>
          <w:p w14:paraId="5CB71B74"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649" w:type="dxa"/>
            <w:vAlign w:val="center"/>
            <w:hideMark/>
          </w:tcPr>
          <w:p w14:paraId="77A52919"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708" w:type="dxa"/>
            <w:vAlign w:val="center"/>
          </w:tcPr>
          <w:p w14:paraId="16269CDF"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5,4%</w:t>
            </w:r>
          </w:p>
        </w:tc>
        <w:tc>
          <w:tcPr>
            <w:tcW w:w="709" w:type="dxa"/>
            <w:vAlign w:val="center"/>
          </w:tcPr>
          <w:p w14:paraId="625CC2FE"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5,4%</w:t>
            </w:r>
          </w:p>
        </w:tc>
        <w:tc>
          <w:tcPr>
            <w:tcW w:w="1149" w:type="dxa"/>
            <w:vAlign w:val="center"/>
          </w:tcPr>
          <w:p w14:paraId="1BB17C04"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10,7%</w:t>
            </w:r>
          </w:p>
        </w:tc>
        <w:tc>
          <w:tcPr>
            <w:tcW w:w="925" w:type="dxa"/>
            <w:vAlign w:val="center"/>
          </w:tcPr>
          <w:p w14:paraId="02EF74F5"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2%</w:t>
            </w:r>
          </w:p>
        </w:tc>
      </w:tr>
      <w:tr w:rsidR="009123AC" w:rsidRPr="00F0379B" w14:paraId="076CDD14" w14:textId="77777777" w:rsidTr="00CA749B">
        <w:trPr>
          <w:trHeight w:val="20"/>
        </w:trPr>
        <w:tc>
          <w:tcPr>
            <w:tcW w:w="2384" w:type="dxa"/>
            <w:vAlign w:val="center"/>
          </w:tcPr>
          <w:p w14:paraId="72D9C8D9"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MS Gothic" w:hAnsi="Cambria" w:cs="Times New Roman"/>
                <w:b/>
                <w:sz w:val="16"/>
                <w:szCs w:val="16"/>
                <w:lang w:eastAsia="fr-FR" w:bidi="fr-FR"/>
              </w:rPr>
              <w:t>Asignación a la captura fortuita</w:t>
            </w:r>
          </w:p>
        </w:tc>
        <w:tc>
          <w:tcPr>
            <w:tcW w:w="1641" w:type="dxa"/>
            <w:noWrap/>
            <w:vAlign w:val="center"/>
            <w:hideMark/>
          </w:tcPr>
          <w:p w14:paraId="27FB2B17" w14:textId="77777777" w:rsidR="009123AC" w:rsidRPr="00F0379B" w:rsidRDefault="009123AC" w:rsidP="009123AC">
            <w:pPr>
              <w:spacing w:after="0" w:line="240" w:lineRule="auto"/>
              <w:jc w:val="right"/>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29" w:type="dxa"/>
          </w:tcPr>
          <w:p w14:paraId="69B0C760"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59" w:type="dxa"/>
            <w:noWrap/>
            <w:vAlign w:val="center"/>
            <w:hideMark/>
          </w:tcPr>
          <w:p w14:paraId="3DDDACA7"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19" w:type="dxa"/>
            <w:vAlign w:val="center"/>
            <w:hideMark/>
          </w:tcPr>
          <w:p w14:paraId="7C356964"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49" w:type="dxa"/>
            <w:vAlign w:val="center"/>
            <w:hideMark/>
          </w:tcPr>
          <w:p w14:paraId="281922A8"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49" w:type="dxa"/>
            <w:vAlign w:val="center"/>
            <w:hideMark/>
          </w:tcPr>
          <w:p w14:paraId="67534E49"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49" w:type="dxa"/>
            <w:vAlign w:val="center"/>
            <w:hideMark/>
          </w:tcPr>
          <w:p w14:paraId="01EF3CC3"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15" w:type="dxa"/>
          </w:tcPr>
          <w:p w14:paraId="51FAAA14" w14:textId="77777777" w:rsidR="009123AC" w:rsidRPr="00F0379B" w:rsidRDefault="009123AC" w:rsidP="009123AC">
            <w:pPr>
              <w:spacing w:after="0" w:line="240" w:lineRule="auto"/>
              <w:rPr>
                <w:rFonts w:ascii="Cambria" w:eastAsia="Times New Roman" w:hAnsi="Cambria" w:cs="Calibri"/>
                <w:color w:val="000000"/>
                <w:sz w:val="16"/>
                <w:szCs w:val="16"/>
                <w:lang w:eastAsia="ja-JP"/>
              </w:rPr>
            </w:pPr>
          </w:p>
        </w:tc>
        <w:tc>
          <w:tcPr>
            <w:tcW w:w="270" w:type="dxa"/>
            <w:shd w:val="clear" w:color="000000" w:fill="D9D9D9"/>
            <w:vAlign w:val="center"/>
            <w:hideMark/>
          </w:tcPr>
          <w:p w14:paraId="185BA5AD" w14:textId="77777777" w:rsidR="009123AC" w:rsidRPr="00F0379B" w:rsidRDefault="009123AC" w:rsidP="009123AC">
            <w:pPr>
              <w:spacing w:after="0" w:line="240" w:lineRule="auto"/>
              <w:rPr>
                <w:rFonts w:ascii="Cambria" w:eastAsia="Times New Roman" w:hAnsi="Cambria" w:cs="Calibri"/>
                <w:color w:val="000000"/>
                <w:sz w:val="16"/>
                <w:szCs w:val="16"/>
                <w:lang w:eastAsia="ja-JP"/>
              </w:rPr>
            </w:pPr>
            <w:r w:rsidRPr="00F0379B">
              <w:rPr>
                <w:rFonts w:ascii="Cambria" w:eastAsia="Times New Roman" w:hAnsi="Cambria" w:cs="Calibri"/>
                <w:color w:val="000000"/>
                <w:sz w:val="16"/>
                <w:szCs w:val="16"/>
                <w:lang w:eastAsia="ja-JP"/>
              </w:rPr>
              <w:t> </w:t>
            </w:r>
          </w:p>
        </w:tc>
        <w:tc>
          <w:tcPr>
            <w:tcW w:w="649" w:type="dxa"/>
          </w:tcPr>
          <w:p w14:paraId="0EEF9140"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723" w:type="dxa"/>
            <w:vAlign w:val="center"/>
            <w:hideMark/>
          </w:tcPr>
          <w:p w14:paraId="17A40EF5"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649" w:type="dxa"/>
            <w:vAlign w:val="center"/>
            <w:hideMark/>
          </w:tcPr>
          <w:p w14:paraId="0BDE8428"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708" w:type="dxa"/>
            <w:vAlign w:val="center"/>
          </w:tcPr>
          <w:p w14:paraId="72809A04"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12</w:t>
            </w:r>
          </w:p>
        </w:tc>
        <w:tc>
          <w:tcPr>
            <w:tcW w:w="709" w:type="dxa"/>
            <w:vAlign w:val="center"/>
          </w:tcPr>
          <w:p w14:paraId="4AA18117"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12</w:t>
            </w:r>
          </w:p>
        </w:tc>
        <w:tc>
          <w:tcPr>
            <w:tcW w:w="1149" w:type="dxa"/>
            <w:vAlign w:val="center"/>
          </w:tcPr>
          <w:p w14:paraId="30E23017"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24</w:t>
            </w:r>
          </w:p>
        </w:tc>
        <w:tc>
          <w:tcPr>
            <w:tcW w:w="925" w:type="dxa"/>
            <w:vAlign w:val="center"/>
          </w:tcPr>
          <w:p w14:paraId="705BA8EF"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sz w:val="16"/>
                <w:szCs w:val="16"/>
                <w:lang w:eastAsia="ja-JP"/>
              </w:rPr>
              <w:t>5</w:t>
            </w:r>
          </w:p>
        </w:tc>
      </w:tr>
      <w:tr w:rsidR="009123AC" w:rsidRPr="00F0379B" w14:paraId="08826CE1" w14:textId="77777777" w:rsidTr="00CA749B">
        <w:trPr>
          <w:trHeight w:val="20"/>
        </w:trPr>
        <w:tc>
          <w:tcPr>
            <w:tcW w:w="2384" w:type="dxa"/>
            <w:vAlign w:val="center"/>
          </w:tcPr>
          <w:p w14:paraId="7669EC4E"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MS Gothic" w:hAnsi="Cambria" w:cs="Times New Roman"/>
                <w:b/>
                <w:sz w:val="16"/>
                <w:szCs w:val="16"/>
                <w:lang w:eastAsia="fr-FR" w:bidi="fr-FR"/>
              </w:rPr>
              <w:t>Cuota para investigación científica (si procede)</w:t>
            </w:r>
          </w:p>
        </w:tc>
        <w:tc>
          <w:tcPr>
            <w:tcW w:w="1641" w:type="dxa"/>
            <w:noWrap/>
            <w:vAlign w:val="center"/>
            <w:hideMark/>
          </w:tcPr>
          <w:p w14:paraId="589B5456" w14:textId="77777777" w:rsidR="009123AC" w:rsidRPr="00F0379B" w:rsidRDefault="009123AC" w:rsidP="009123AC">
            <w:pPr>
              <w:spacing w:after="0" w:line="240" w:lineRule="auto"/>
              <w:jc w:val="right"/>
              <w:rPr>
                <w:rFonts w:ascii="Cambria" w:eastAsia="Times New Roman" w:hAnsi="Cambria" w:cs="Calibri"/>
                <w:b/>
                <w:bCs/>
                <w:sz w:val="16"/>
                <w:szCs w:val="16"/>
                <w:lang w:eastAsia="ja-JP"/>
              </w:rPr>
            </w:pPr>
            <w:r w:rsidRPr="00F0379B">
              <w:rPr>
                <w:rFonts w:ascii="Cambria" w:eastAsia="Times New Roman" w:hAnsi="Cambria" w:cs="Calibri"/>
                <w:b/>
                <w:bCs/>
                <w:sz w:val="16"/>
                <w:szCs w:val="16"/>
                <w:lang w:eastAsia="ja-JP"/>
              </w:rPr>
              <w:t> </w:t>
            </w:r>
          </w:p>
        </w:tc>
        <w:tc>
          <w:tcPr>
            <w:tcW w:w="629" w:type="dxa"/>
          </w:tcPr>
          <w:p w14:paraId="59FF4593"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659" w:type="dxa"/>
            <w:noWrap/>
            <w:vAlign w:val="center"/>
            <w:hideMark/>
          </w:tcPr>
          <w:p w14:paraId="311D0C8B"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b/>
                <w:bCs/>
                <w:sz w:val="16"/>
                <w:szCs w:val="16"/>
                <w:lang w:eastAsia="ja-JP"/>
              </w:rPr>
              <w:t> </w:t>
            </w:r>
          </w:p>
        </w:tc>
        <w:tc>
          <w:tcPr>
            <w:tcW w:w="619" w:type="dxa"/>
            <w:vAlign w:val="center"/>
            <w:hideMark/>
          </w:tcPr>
          <w:p w14:paraId="4276F8CD"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b/>
                <w:bCs/>
                <w:sz w:val="16"/>
                <w:szCs w:val="16"/>
                <w:lang w:eastAsia="ja-JP"/>
              </w:rPr>
              <w:t> </w:t>
            </w:r>
          </w:p>
        </w:tc>
        <w:tc>
          <w:tcPr>
            <w:tcW w:w="649" w:type="dxa"/>
            <w:vAlign w:val="center"/>
            <w:hideMark/>
          </w:tcPr>
          <w:p w14:paraId="6933B52D"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b/>
                <w:bCs/>
                <w:sz w:val="16"/>
                <w:szCs w:val="16"/>
                <w:lang w:eastAsia="ja-JP"/>
              </w:rPr>
              <w:t> </w:t>
            </w:r>
          </w:p>
        </w:tc>
        <w:tc>
          <w:tcPr>
            <w:tcW w:w="649" w:type="dxa"/>
            <w:vAlign w:val="center"/>
            <w:hideMark/>
          </w:tcPr>
          <w:p w14:paraId="7FBA5DFB"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b/>
                <w:bCs/>
                <w:sz w:val="16"/>
                <w:szCs w:val="16"/>
                <w:lang w:eastAsia="ja-JP"/>
              </w:rPr>
              <w:t> </w:t>
            </w:r>
          </w:p>
        </w:tc>
        <w:tc>
          <w:tcPr>
            <w:tcW w:w="649" w:type="dxa"/>
            <w:vAlign w:val="center"/>
            <w:hideMark/>
          </w:tcPr>
          <w:p w14:paraId="2BB44FD6"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b/>
                <w:bCs/>
                <w:sz w:val="16"/>
                <w:szCs w:val="16"/>
                <w:lang w:eastAsia="ja-JP"/>
              </w:rPr>
              <w:t> </w:t>
            </w:r>
          </w:p>
        </w:tc>
        <w:tc>
          <w:tcPr>
            <w:tcW w:w="615" w:type="dxa"/>
          </w:tcPr>
          <w:p w14:paraId="3F677CB7" w14:textId="77777777" w:rsidR="009123AC" w:rsidRPr="00F0379B" w:rsidRDefault="009123AC" w:rsidP="009123AC">
            <w:pPr>
              <w:spacing w:after="0" w:line="240" w:lineRule="auto"/>
              <w:rPr>
                <w:rFonts w:ascii="Cambria" w:eastAsia="Times New Roman" w:hAnsi="Cambria" w:cs="Calibri"/>
                <w:b/>
                <w:bCs/>
                <w:color w:val="000000"/>
                <w:sz w:val="16"/>
                <w:szCs w:val="16"/>
                <w:lang w:eastAsia="ja-JP"/>
              </w:rPr>
            </w:pPr>
          </w:p>
        </w:tc>
        <w:tc>
          <w:tcPr>
            <w:tcW w:w="270" w:type="dxa"/>
            <w:shd w:val="clear" w:color="000000" w:fill="D9D9D9"/>
            <w:vAlign w:val="center"/>
            <w:hideMark/>
          </w:tcPr>
          <w:p w14:paraId="00284643" w14:textId="77777777" w:rsidR="009123AC" w:rsidRPr="00F0379B" w:rsidRDefault="009123AC" w:rsidP="009123AC">
            <w:pPr>
              <w:spacing w:after="0" w:line="240" w:lineRule="auto"/>
              <w:rPr>
                <w:rFonts w:ascii="Cambria" w:eastAsia="Times New Roman" w:hAnsi="Cambria" w:cs="Calibri"/>
                <w:b/>
                <w:bCs/>
                <w:color w:val="000000"/>
                <w:sz w:val="16"/>
                <w:szCs w:val="16"/>
                <w:lang w:eastAsia="ja-JP"/>
              </w:rPr>
            </w:pPr>
            <w:r w:rsidRPr="00F0379B">
              <w:rPr>
                <w:rFonts w:ascii="Cambria" w:eastAsia="Times New Roman" w:hAnsi="Cambria" w:cs="Calibri"/>
                <w:b/>
                <w:bCs/>
                <w:color w:val="000000"/>
                <w:sz w:val="16"/>
                <w:szCs w:val="16"/>
                <w:lang w:eastAsia="ja-JP"/>
              </w:rPr>
              <w:t> </w:t>
            </w:r>
          </w:p>
        </w:tc>
        <w:tc>
          <w:tcPr>
            <w:tcW w:w="649" w:type="dxa"/>
          </w:tcPr>
          <w:p w14:paraId="241C1A49"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723" w:type="dxa"/>
            <w:vAlign w:val="center"/>
            <w:hideMark/>
          </w:tcPr>
          <w:p w14:paraId="652920DC" w14:textId="77777777" w:rsidR="009123AC" w:rsidRPr="00F0379B" w:rsidRDefault="009123AC" w:rsidP="009123AC">
            <w:pPr>
              <w:spacing w:after="0" w:line="240" w:lineRule="auto"/>
              <w:jc w:val="center"/>
              <w:rPr>
                <w:rFonts w:ascii="Cambria" w:eastAsia="Times New Roman" w:hAnsi="Cambria" w:cs="Calibri"/>
                <w:b/>
                <w:bCs/>
                <w:sz w:val="16"/>
                <w:szCs w:val="16"/>
                <w:lang w:eastAsia="ja-JP"/>
              </w:rPr>
            </w:pPr>
          </w:p>
        </w:tc>
        <w:tc>
          <w:tcPr>
            <w:tcW w:w="649" w:type="dxa"/>
            <w:vAlign w:val="center"/>
            <w:hideMark/>
          </w:tcPr>
          <w:p w14:paraId="75DE84F1" w14:textId="77777777" w:rsidR="009123AC" w:rsidRPr="00F0379B" w:rsidRDefault="009123AC" w:rsidP="009123AC">
            <w:pPr>
              <w:spacing w:after="0" w:line="240" w:lineRule="auto"/>
              <w:jc w:val="center"/>
              <w:rPr>
                <w:rFonts w:ascii="Cambria" w:eastAsia="Times New Roman" w:hAnsi="Cambria" w:cs="Calibri"/>
                <w:b/>
                <w:bCs/>
                <w:sz w:val="16"/>
                <w:szCs w:val="16"/>
                <w:lang w:eastAsia="ja-JP"/>
              </w:rPr>
            </w:pPr>
          </w:p>
        </w:tc>
        <w:tc>
          <w:tcPr>
            <w:tcW w:w="708" w:type="dxa"/>
            <w:noWrap/>
            <w:vAlign w:val="center"/>
          </w:tcPr>
          <w:p w14:paraId="749EF667"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709" w:type="dxa"/>
            <w:noWrap/>
            <w:vAlign w:val="center"/>
          </w:tcPr>
          <w:p w14:paraId="115FBA24" w14:textId="77777777" w:rsidR="009123AC" w:rsidRPr="00F0379B" w:rsidRDefault="009123AC" w:rsidP="009123AC">
            <w:pPr>
              <w:spacing w:after="0" w:line="240" w:lineRule="auto"/>
              <w:jc w:val="center"/>
              <w:rPr>
                <w:rFonts w:ascii="Cambria" w:eastAsia="Times New Roman" w:hAnsi="Cambria" w:cs="Calibri"/>
                <w:b/>
                <w:bCs/>
                <w:sz w:val="16"/>
                <w:szCs w:val="16"/>
                <w:lang w:eastAsia="ja-JP"/>
              </w:rPr>
            </w:pPr>
          </w:p>
        </w:tc>
        <w:tc>
          <w:tcPr>
            <w:tcW w:w="1149" w:type="dxa"/>
            <w:noWrap/>
            <w:vAlign w:val="center"/>
          </w:tcPr>
          <w:p w14:paraId="2074C023"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925" w:type="dxa"/>
            <w:vAlign w:val="center"/>
          </w:tcPr>
          <w:p w14:paraId="39FBB603"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r>
      <w:tr w:rsidR="009123AC" w:rsidRPr="00F0379B" w14:paraId="6B280565" w14:textId="77777777" w:rsidTr="00CA749B">
        <w:trPr>
          <w:trHeight w:val="20"/>
        </w:trPr>
        <w:tc>
          <w:tcPr>
            <w:tcW w:w="2384" w:type="dxa"/>
            <w:vAlign w:val="center"/>
          </w:tcPr>
          <w:p w14:paraId="0E97BAC6"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MS Gothic" w:hAnsi="Cambria" w:cs="Times New Roman"/>
                <w:b/>
                <w:sz w:val="16"/>
                <w:szCs w:val="16"/>
                <w:lang w:eastAsia="fr-FR" w:bidi="fr-FR"/>
              </w:rPr>
              <w:t>Tolerancia para pesca deportiva/de recreo (si procede)</w:t>
            </w:r>
          </w:p>
        </w:tc>
        <w:tc>
          <w:tcPr>
            <w:tcW w:w="1641" w:type="dxa"/>
            <w:noWrap/>
            <w:vAlign w:val="center"/>
            <w:hideMark/>
          </w:tcPr>
          <w:p w14:paraId="6DE4F8E5" w14:textId="77777777" w:rsidR="009123AC" w:rsidRPr="00F0379B" w:rsidRDefault="009123AC" w:rsidP="009123AC">
            <w:pPr>
              <w:spacing w:after="0" w:line="240" w:lineRule="auto"/>
              <w:jc w:val="right"/>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29" w:type="dxa"/>
          </w:tcPr>
          <w:p w14:paraId="042D6786"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59" w:type="dxa"/>
            <w:noWrap/>
            <w:vAlign w:val="center"/>
            <w:hideMark/>
          </w:tcPr>
          <w:p w14:paraId="5CE93CBF"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19" w:type="dxa"/>
            <w:vAlign w:val="center"/>
            <w:hideMark/>
          </w:tcPr>
          <w:p w14:paraId="7ACC46A5"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49" w:type="dxa"/>
            <w:vAlign w:val="center"/>
            <w:hideMark/>
          </w:tcPr>
          <w:p w14:paraId="09BF314A"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49" w:type="dxa"/>
            <w:vAlign w:val="center"/>
            <w:hideMark/>
          </w:tcPr>
          <w:p w14:paraId="06D2956A"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49" w:type="dxa"/>
            <w:vAlign w:val="center"/>
            <w:hideMark/>
          </w:tcPr>
          <w:p w14:paraId="57BAB974"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15" w:type="dxa"/>
          </w:tcPr>
          <w:p w14:paraId="31698EF4"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70" w:type="dxa"/>
            <w:shd w:val="clear" w:color="auto" w:fill="D9D9D9"/>
            <w:vAlign w:val="center"/>
            <w:hideMark/>
          </w:tcPr>
          <w:p w14:paraId="399DEB20"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649" w:type="dxa"/>
          </w:tcPr>
          <w:p w14:paraId="7A520536"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723" w:type="dxa"/>
            <w:vAlign w:val="center"/>
          </w:tcPr>
          <w:p w14:paraId="379ED99C"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649" w:type="dxa"/>
            <w:vAlign w:val="center"/>
          </w:tcPr>
          <w:p w14:paraId="640F0C36"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708" w:type="dxa"/>
            <w:vAlign w:val="center"/>
          </w:tcPr>
          <w:p w14:paraId="30546BF4"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709" w:type="dxa"/>
            <w:vAlign w:val="center"/>
          </w:tcPr>
          <w:p w14:paraId="31BE3E8B"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1149" w:type="dxa"/>
            <w:vAlign w:val="center"/>
          </w:tcPr>
          <w:p w14:paraId="6A72183C"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925" w:type="dxa"/>
            <w:vAlign w:val="center"/>
          </w:tcPr>
          <w:p w14:paraId="3618A96A"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r>
      <w:tr w:rsidR="009123AC" w:rsidRPr="00F0379B" w14:paraId="0764E34A" w14:textId="77777777" w:rsidTr="00CA749B">
        <w:trPr>
          <w:trHeight w:val="20"/>
        </w:trPr>
        <w:tc>
          <w:tcPr>
            <w:tcW w:w="2384" w:type="dxa"/>
            <w:vAlign w:val="center"/>
          </w:tcPr>
          <w:p w14:paraId="7963F53D" w14:textId="77777777" w:rsidR="009123AC" w:rsidRPr="00F0379B" w:rsidRDefault="009123AC" w:rsidP="009123AC">
            <w:pPr>
              <w:spacing w:after="0" w:line="240" w:lineRule="auto"/>
              <w:rPr>
                <w:rFonts w:ascii="Cambria" w:eastAsia="MS Gothic" w:hAnsi="Cambria" w:cs="Times New Roman"/>
                <w:b/>
                <w:sz w:val="16"/>
                <w:szCs w:val="16"/>
                <w:lang w:eastAsia="fr-FR" w:bidi="fr-FR"/>
              </w:rPr>
            </w:pPr>
            <w:r w:rsidRPr="00F0379B">
              <w:rPr>
                <w:rFonts w:ascii="Cambria" w:eastAsia="MS Gothic" w:hAnsi="Cambria" w:cs="Times New Roman"/>
                <w:b/>
                <w:sz w:val="16"/>
                <w:szCs w:val="16"/>
                <w:lang w:eastAsia="fr-FR" w:bidi="fr-FR"/>
              </w:rPr>
              <w:t>Cuota disponible</w:t>
            </w:r>
          </w:p>
        </w:tc>
        <w:tc>
          <w:tcPr>
            <w:tcW w:w="1641" w:type="dxa"/>
            <w:noWrap/>
            <w:vAlign w:val="center"/>
          </w:tcPr>
          <w:p w14:paraId="0AC4279D" w14:textId="77777777" w:rsidR="009123AC" w:rsidRPr="00F0379B" w:rsidRDefault="009123AC" w:rsidP="009123AC">
            <w:pPr>
              <w:spacing w:after="0" w:line="240" w:lineRule="auto"/>
              <w:jc w:val="right"/>
              <w:rPr>
                <w:rFonts w:ascii="Cambria" w:eastAsia="Times New Roman" w:hAnsi="Cambria" w:cs="Calibri"/>
                <w:sz w:val="16"/>
                <w:szCs w:val="16"/>
                <w:lang w:eastAsia="ja-JP"/>
              </w:rPr>
            </w:pPr>
          </w:p>
        </w:tc>
        <w:tc>
          <w:tcPr>
            <w:tcW w:w="629" w:type="dxa"/>
          </w:tcPr>
          <w:p w14:paraId="22306EA7"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59" w:type="dxa"/>
            <w:noWrap/>
            <w:vAlign w:val="center"/>
          </w:tcPr>
          <w:p w14:paraId="3711D47C"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19" w:type="dxa"/>
            <w:vAlign w:val="center"/>
          </w:tcPr>
          <w:p w14:paraId="42116E64"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49" w:type="dxa"/>
            <w:vAlign w:val="center"/>
          </w:tcPr>
          <w:p w14:paraId="31C4C7E6"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49" w:type="dxa"/>
            <w:vAlign w:val="center"/>
          </w:tcPr>
          <w:p w14:paraId="653586AA"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49" w:type="dxa"/>
            <w:vAlign w:val="center"/>
          </w:tcPr>
          <w:p w14:paraId="517C05DE"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15" w:type="dxa"/>
          </w:tcPr>
          <w:p w14:paraId="1DF9F4E2"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70" w:type="dxa"/>
            <w:shd w:val="clear" w:color="auto" w:fill="D9D9D9"/>
            <w:vAlign w:val="center"/>
          </w:tcPr>
          <w:p w14:paraId="193456C6"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49" w:type="dxa"/>
          </w:tcPr>
          <w:p w14:paraId="07F1A726"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723" w:type="dxa"/>
            <w:vAlign w:val="center"/>
          </w:tcPr>
          <w:p w14:paraId="5CA61FA4"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649" w:type="dxa"/>
            <w:vAlign w:val="center"/>
          </w:tcPr>
          <w:p w14:paraId="6C18B150"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708" w:type="dxa"/>
            <w:vAlign w:val="center"/>
          </w:tcPr>
          <w:p w14:paraId="0A5748FF" w14:textId="77777777" w:rsidR="009123AC" w:rsidRPr="00F0379B" w:rsidRDefault="009123AC" w:rsidP="009123AC">
            <w:pPr>
              <w:spacing w:after="0" w:line="240" w:lineRule="auto"/>
              <w:ind w:left="-124"/>
              <w:jc w:val="center"/>
              <w:rPr>
                <w:rFonts w:ascii="Cambria" w:eastAsia="Times New Roman" w:hAnsi="Cambria" w:cs="Calibri"/>
                <w:sz w:val="16"/>
                <w:szCs w:val="16"/>
                <w:lang w:val="en-US" w:eastAsia="ja-JP"/>
              </w:rPr>
            </w:pPr>
            <w:r w:rsidRPr="00F0379B">
              <w:rPr>
                <w:rFonts w:ascii="Cambria" w:eastAsia="Times New Roman" w:hAnsi="Cambria" w:cs="Calibri"/>
                <w:b/>
                <w:bCs/>
                <w:color w:val="000000"/>
                <w:sz w:val="16"/>
                <w:szCs w:val="16"/>
                <w:lang w:eastAsia="ja-JP" w:bidi="fr-FR"/>
              </w:rPr>
              <w:t>212 (224 - 12)</w:t>
            </w:r>
          </w:p>
        </w:tc>
        <w:tc>
          <w:tcPr>
            <w:tcW w:w="709" w:type="dxa"/>
            <w:vAlign w:val="center"/>
          </w:tcPr>
          <w:p w14:paraId="519806B9"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b/>
                <w:bCs/>
                <w:color w:val="000000"/>
                <w:sz w:val="16"/>
                <w:szCs w:val="16"/>
                <w:lang w:eastAsia="ja-JP" w:bidi="fr-FR"/>
              </w:rPr>
              <w:t>212 (224 - 12)</w:t>
            </w:r>
          </w:p>
        </w:tc>
        <w:tc>
          <w:tcPr>
            <w:tcW w:w="1149" w:type="dxa"/>
            <w:vAlign w:val="center"/>
          </w:tcPr>
          <w:p w14:paraId="5046C7DD"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b/>
                <w:bCs/>
                <w:color w:val="000000"/>
                <w:sz w:val="16"/>
                <w:szCs w:val="16"/>
                <w:lang w:eastAsia="ja-JP" w:bidi="fr-FR"/>
              </w:rPr>
              <w:t>0 (24 - 24)</w:t>
            </w:r>
          </w:p>
        </w:tc>
        <w:tc>
          <w:tcPr>
            <w:tcW w:w="925" w:type="dxa"/>
          </w:tcPr>
          <w:p w14:paraId="466E4F43" w14:textId="77777777" w:rsidR="009123AC" w:rsidRPr="00F0379B" w:rsidRDefault="009123AC" w:rsidP="009123AC">
            <w:pPr>
              <w:spacing w:after="0" w:line="240" w:lineRule="auto"/>
              <w:jc w:val="center"/>
              <w:rPr>
                <w:rFonts w:ascii="Cambria" w:eastAsia="Times New Roman" w:hAnsi="Cambria" w:cs="Calibri"/>
                <w:b/>
                <w:bCs/>
                <w:color w:val="000000"/>
                <w:sz w:val="16"/>
                <w:szCs w:val="16"/>
                <w:lang w:eastAsia="ja-JP" w:bidi="fr-FR"/>
              </w:rPr>
            </w:pPr>
            <w:r w:rsidRPr="00F0379B">
              <w:rPr>
                <w:rFonts w:ascii="Cambria" w:eastAsia="Times New Roman" w:hAnsi="Cambria" w:cs="Calibri"/>
                <w:b/>
                <w:bCs/>
                <w:color w:val="000000"/>
                <w:sz w:val="16"/>
                <w:szCs w:val="16"/>
                <w:lang w:eastAsia="ja-JP" w:bidi="fr-FR"/>
              </w:rPr>
              <w:t>271</w:t>
            </w:r>
          </w:p>
          <w:p w14:paraId="10E39F59" w14:textId="77777777" w:rsidR="009123AC" w:rsidRPr="00F0379B" w:rsidRDefault="009123AC" w:rsidP="009123AC">
            <w:pPr>
              <w:spacing w:after="0" w:line="240" w:lineRule="auto"/>
              <w:jc w:val="center"/>
              <w:rPr>
                <w:rFonts w:ascii="Cambria" w:eastAsia="Times New Roman" w:hAnsi="Cambria" w:cs="Calibri"/>
                <w:b/>
                <w:bCs/>
                <w:color w:val="000000"/>
                <w:sz w:val="16"/>
                <w:szCs w:val="16"/>
                <w:lang w:eastAsia="ja-JP" w:bidi="fr-FR"/>
              </w:rPr>
            </w:pPr>
            <w:r w:rsidRPr="00F0379B">
              <w:rPr>
                <w:rFonts w:ascii="Cambria" w:eastAsia="Times New Roman" w:hAnsi="Cambria" w:cs="Calibri"/>
                <w:b/>
                <w:bCs/>
                <w:color w:val="000000"/>
                <w:sz w:val="16"/>
                <w:szCs w:val="16"/>
                <w:lang w:eastAsia="ja-JP" w:bidi="fr-FR"/>
              </w:rPr>
              <w:t>(276 - 5)</w:t>
            </w:r>
          </w:p>
        </w:tc>
      </w:tr>
      <w:tr w:rsidR="009123AC" w:rsidRPr="00F0379B" w14:paraId="54E49AF1" w14:textId="77777777" w:rsidTr="00CA749B">
        <w:trPr>
          <w:trHeight w:val="20"/>
        </w:trPr>
        <w:tc>
          <w:tcPr>
            <w:tcW w:w="2384" w:type="dxa"/>
            <w:shd w:val="clear" w:color="auto" w:fill="D9D9D9"/>
            <w:vAlign w:val="center"/>
          </w:tcPr>
          <w:p w14:paraId="44704C13" w14:textId="77777777" w:rsidR="009123AC" w:rsidRPr="00F0379B" w:rsidRDefault="009123AC" w:rsidP="009123AC">
            <w:pPr>
              <w:spacing w:after="0" w:line="240" w:lineRule="auto"/>
              <w:rPr>
                <w:rFonts w:ascii="Cambria" w:eastAsia="MS Gothic" w:hAnsi="Cambria" w:cs="Times New Roman"/>
                <w:b/>
                <w:sz w:val="16"/>
                <w:szCs w:val="16"/>
                <w:lang w:eastAsia="fr-FR" w:bidi="fr-FR"/>
              </w:rPr>
            </w:pPr>
            <w:proofErr w:type="spellStart"/>
            <w:r w:rsidRPr="00F0379B">
              <w:rPr>
                <w:rFonts w:ascii="Cambria" w:eastAsia="MS Gothic" w:hAnsi="Cambria" w:cs="Times New Roman"/>
                <w:b/>
                <w:sz w:val="16"/>
                <w:szCs w:val="16"/>
                <w:lang w:eastAsia="fr-FR" w:bidi="fr-FR"/>
              </w:rPr>
              <w:t>Subcapacidad</w:t>
            </w:r>
            <w:proofErr w:type="spellEnd"/>
            <w:r w:rsidRPr="00F0379B">
              <w:rPr>
                <w:rFonts w:ascii="Cambria" w:eastAsia="MS Gothic" w:hAnsi="Cambria" w:cs="Times New Roman"/>
                <w:b/>
                <w:sz w:val="16"/>
                <w:szCs w:val="16"/>
                <w:lang w:eastAsia="fr-FR" w:bidi="fr-FR"/>
              </w:rPr>
              <w:t>/exceso de capacidad</w:t>
            </w:r>
          </w:p>
        </w:tc>
        <w:tc>
          <w:tcPr>
            <w:tcW w:w="1641" w:type="dxa"/>
            <w:shd w:val="clear" w:color="auto" w:fill="D9D9D9"/>
            <w:noWrap/>
            <w:vAlign w:val="center"/>
          </w:tcPr>
          <w:p w14:paraId="2323459A" w14:textId="77777777" w:rsidR="009123AC" w:rsidRPr="00F0379B" w:rsidRDefault="009123AC" w:rsidP="009123AC">
            <w:pPr>
              <w:spacing w:after="0" w:line="240" w:lineRule="auto"/>
              <w:jc w:val="right"/>
              <w:rPr>
                <w:rFonts w:ascii="Cambria" w:eastAsia="Times New Roman" w:hAnsi="Cambria" w:cs="Calibri"/>
                <w:sz w:val="16"/>
                <w:szCs w:val="16"/>
                <w:lang w:eastAsia="ja-JP"/>
              </w:rPr>
            </w:pPr>
          </w:p>
        </w:tc>
        <w:tc>
          <w:tcPr>
            <w:tcW w:w="629" w:type="dxa"/>
            <w:shd w:val="clear" w:color="auto" w:fill="D9D9D9"/>
          </w:tcPr>
          <w:p w14:paraId="1B31F07A"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59" w:type="dxa"/>
            <w:shd w:val="clear" w:color="auto" w:fill="D9D9D9"/>
            <w:noWrap/>
            <w:vAlign w:val="center"/>
          </w:tcPr>
          <w:p w14:paraId="65E32F64"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19" w:type="dxa"/>
            <w:shd w:val="clear" w:color="auto" w:fill="D9D9D9"/>
            <w:vAlign w:val="center"/>
          </w:tcPr>
          <w:p w14:paraId="579DFC93"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49" w:type="dxa"/>
            <w:shd w:val="clear" w:color="auto" w:fill="D9D9D9"/>
            <w:vAlign w:val="center"/>
          </w:tcPr>
          <w:p w14:paraId="62EF66CC"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49" w:type="dxa"/>
            <w:shd w:val="clear" w:color="auto" w:fill="D9D9D9"/>
            <w:vAlign w:val="center"/>
          </w:tcPr>
          <w:p w14:paraId="15478052"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49" w:type="dxa"/>
            <w:shd w:val="clear" w:color="auto" w:fill="D9D9D9"/>
            <w:vAlign w:val="center"/>
          </w:tcPr>
          <w:p w14:paraId="731285F4"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15" w:type="dxa"/>
            <w:shd w:val="clear" w:color="auto" w:fill="D9D9D9"/>
          </w:tcPr>
          <w:p w14:paraId="28A9DC60"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70" w:type="dxa"/>
            <w:shd w:val="clear" w:color="auto" w:fill="D9D9D9"/>
            <w:vAlign w:val="center"/>
          </w:tcPr>
          <w:p w14:paraId="177816BC"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649" w:type="dxa"/>
            <w:shd w:val="clear" w:color="auto" w:fill="D9D9D9"/>
          </w:tcPr>
          <w:p w14:paraId="750CE530"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723" w:type="dxa"/>
            <w:shd w:val="clear" w:color="auto" w:fill="D9D9D9"/>
            <w:vAlign w:val="center"/>
          </w:tcPr>
          <w:p w14:paraId="0AC159CD"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 </w:t>
            </w:r>
            <w:r w:rsidRPr="00F0379B">
              <w:rPr>
                <w:rFonts w:ascii="Cambria" w:eastAsia="MS Gothic" w:hAnsi="Cambria" w:cs="Times New Roman"/>
                <w:color w:val="000000"/>
                <w:sz w:val="16"/>
                <w:szCs w:val="16"/>
                <w:lang w:eastAsia="fr-FR" w:bidi="fr-FR"/>
              </w:rPr>
              <w:t>-41,53</w:t>
            </w:r>
          </w:p>
        </w:tc>
        <w:tc>
          <w:tcPr>
            <w:tcW w:w="649" w:type="dxa"/>
            <w:shd w:val="clear" w:color="auto" w:fill="D9D9D9"/>
            <w:vAlign w:val="center"/>
          </w:tcPr>
          <w:p w14:paraId="369ECE96"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 </w:t>
            </w:r>
          </w:p>
        </w:tc>
        <w:tc>
          <w:tcPr>
            <w:tcW w:w="708" w:type="dxa"/>
            <w:shd w:val="clear" w:color="auto" w:fill="D9D9D9"/>
            <w:vAlign w:val="center"/>
          </w:tcPr>
          <w:p w14:paraId="0568246A"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 -137</w:t>
            </w:r>
          </w:p>
        </w:tc>
        <w:tc>
          <w:tcPr>
            <w:tcW w:w="709" w:type="dxa"/>
            <w:shd w:val="clear" w:color="auto" w:fill="D9D9D9"/>
            <w:vAlign w:val="center"/>
          </w:tcPr>
          <w:p w14:paraId="0749BAC5"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val="en-GB" w:eastAsia="fr-FR" w:bidi="fr-FR"/>
              </w:rPr>
              <w:t>-137</w:t>
            </w:r>
            <w:r w:rsidRPr="00F0379B">
              <w:rPr>
                <w:rFonts w:ascii="Cambria" w:eastAsia="Times New Roman" w:hAnsi="Cambria" w:cs="Calibri"/>
                <w:color w:val="000000"/>
                <w:sz w:val="16"/>
                <w:szCs w:val="16"/>
                <w:lang w:eastAsia="ja-JP" w:bidi="fr-FR"/>
              </w:rPr>
              <w:t> </w:t>
            </w:r>
          </w:p>
        </w:tc>
        <w:tc>
          <w:tcPr>
            <w:tcW w:w="1149" w:type="dxa"/>
            <w:shd w:val="clear" w:color="auto" w:fill="D9D9D9"/>
            <w:vAlign w:val="center"/>
          </w:tcPr>
          <w:p w14:paraId="328EDD40"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75</w:t>
            </w:r>
          </w:p>
        </w:tc>
        <w:tc>
          <w:tcPr>
            <w:tcW w:w="925" w:type="dxa"/>
            <w:shd w:val="clear" w:color="auto" w:fill="D9D9D9"/>
            <w:vAlign w:val="center"/>
          </w:tcPr>
          <w:p w14:paraId="2DCAB73E"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val="en-GB" w:eastAsia="fr-FR" w:bidi="fr-FR"/>
              </w:rPr>
              <w:t>-</w:t>
            </w:r>
            <w:r w:rsidRPr="00F0379B">
              <w:rPr>
                <w:rFonts w:ascii="Cambria" w:eastAsia="Times New Roman" w:hAnsi="Cambria" w:cs="Calibri"/>
                <w:color w:val="000000"/>
                <w:sz w:val="16"/>
                <w:szCs w:val="16"/>
                <w:lang w:eastAsia="ja-JP" w:bidi="fr-FR"/>
              </w:rPr>
              <w:t>196</w:t>
            </w:r>
          </w:p>
        </w:tc>
      </w:tr>
    </w:tbl>
    <w:p w14:paraId="6118EC16" w14:textId="77777777" w:rsidR="009123AC" w:rsidRPr="00F0379B" w:rsidRDefault="009123AC" w:rsidP="009123AC">
      <w:pPr>
        <w:spacing w:after="0" w:line="240" w:lineRule="auto"/>
        <w:rPr>
          <w:rFonts w:ascii="Cambria" w:eastAsiaTheme="minorEastAsia" w:hAnsi="Cambria"/>
          <w:i/>
          <w:kern w:val="2"/>
          <w:sz w:val="20"/>
          <w:szCs w:val="20"/>
          <w:lang w:eastAsia="ja-JP"/>
          <w14:ligatures w14:val="standardContextual"/>
        </w:rPr>
      </w:pPr>
    </w:p>
    <w:p w14:paraId="1425EE59" w14:textId="77777777" w:rsidR="009123AC" w:rsidRPr="00F0379B" w:rsidRDefault="009123AC" w:rsidP="009123AC">
      <w:pPr>
        <w:tabs>
          <w:tab w:val="left" w:pos="142"/>
        </w:tabs>
        <w:spacing w:after="0" w:line="240" w:lineRule="auto"/>
        <w:rPr>
          <w:rFonts w:ascii="Cambria" w:eastAsiaTheme="minorEastAsia" w:hAnsi="Cambria"/>
          <w:kern w:val="2"/>
          <w:sz w:val="20"/>
          <w:szCs w:val="20"/>
          <w:lang w:val="en-US" w:eastAsia="ja-JP"/>
          <w14:ligatures w14:val="standardContextual"/>
        </w:rPr>
      </w:pPr>
    </w:p>
    <w:p w14:paraId="0E358475"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sectPr w:rsidR="009123AC" w:rsidRPr="00F0379B" w:rsidSect="009123AC">
          <w:headerReference w:type="default" r:id="rId134"/>
          <w:footerReference w:type="default" r:id="rId135"/>
          <w:footnotePr>
            <w:numFmt w:val="chicago"/>
          </w:footnotePr>
          <w:pgSz w:w="16838" w:h="11906" w:orient="landscape" w:code="9"/>
          <w:pgMar w:top="1418" w:right="1418" w:bottom="1418" w:left="1418" w:header="851" w:footer="1134" w:gutter="0"/>
          <w:cols w:space="425"/>
          <w:docGrid w:linePitch="360"/>
        </w:sectPr>
      </w:pPr>
    </w:p>
    <w:p w14:paraId="362731DB" w14:textId="6BF9EC72" w:rsidR="009123AC" w:rsidRPr="00F0379B" w:rsidRDefault="009123AC" w:rsidP="009123AC">
      <w:pPr>
        <w:spacing w:after="0" w:line="240" w:lineRule="auto"/>
        <w:rPr>
          <w:rFonts w:ascii="Cambria" w:eastAsia="Aptos" w:hAnsi="Cambria" w:cs="Aptos"/>
          <w:kern w:val="2"/>
          <w:sz w:val="20"/>
          <w:szCs w:val="20"/>
          <w:lang w:val="en-US" w:eastAsia="en-GB"/>
          <w14:ligatures w14:val="standardContextual"/>
        </w:rPr>
      </w:pPr>
      <w:r w:rsidRPr="00F0379B">
        <w:rPr>
          <w:rFonts w:ascii="Cambria" w:eastAsia="MS Gothic" w:hAnsi="Cambria" w:cs="Times New Roman"/>
          <w:b/>
          <w:sz w:val="20"/>
          <w:szCs w:val="20"/>
          <w:lang w:eastAsia="fr-FR" w:bidi="fr-FR"/>
          <w14:ligatures w14:val="standardContextual"/>
        </w:rPr>
        <w:t>Japón</w:t>
      </w:r>
    </w:p>
    <w:p w14:paraId="18B05EA0"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412ADF37" w14:textId="77777777" w:rsidR="009123AC" w:rsidRPr="00F0379B" w:rsidRDefault="009123AC" w:rsidP="009123AC">
      <w:pPr>
        <w:spacing w:after="0" w:line="240" w:lineRule="auto"/>
        <w:jc w:val="both"/>
        <w:rPr>
          <w:rFonts w:ascii="Cambria" w:eastAsia="MS Gothic" w:hAnsi="Cambria" w:cs="Times New Roman"/>
          <w:b/>
          <w:sz w:val="20"/>
          <w:szCs w:val="20"/>
          <w:lang w:eastAsia="fr-FR" w:bidi="fr-FR"/>
          <w14:ligatures w14:val="standardContextual"/>
        </w:rPr>
      </w:pPr>
      <w:r w:rsidRPr="00F0379B">
        <w:rPr>
          <w:rFonts w:ascii="Cambria" w:eastAsia="MS Gothic" w:hAnsi="Cambria" w:cs="Times New Roman"/>
          <w:b/>
          <w:sz w:val="20"/>
          <w:szCs w:val="20"/>
          <w:lang w:eastAsia="fr-FR" w:bidi="fr-FR"/>
          <w14:ligatures w14:val="standardContextual"/>
        </w:rPr>
        <w:t>Año del plan de pesca: 2026</w:t>
      </w:r>
    </w:p>
    <w:p w14:paraId="24C21893" w14:textId="77777777" w:rsidR="009123AC" w:rsidRPr="00F0379B" w:rsidRDefault="009123AC" w:rsidP="009123AC">
      <w:pPr>
        <w:spacing w:after="0" w:line="240" w:lineRule="auto"/>
        <w:jc w:val="both"/>
        <w:rPr>
          <w:rFonts w:ascii="Cambria" w:eastAsia="MS Gothic" w:hAnsi="Cambria" w:cs="Times New Roman"/>
          <w:b/>
          <w:sz w:val="20"/>
          <w:szCs w:val="20"/>
          <w:lang w:eastAsia="fr-FR" w:bidi="fr-FR"/>
          <w14:ligatures w14:val="standardContextual"/>
        </w:rPr>
      </w:pPr>
    </w:p>
    <w:p w14:paraId="45357FD7" w14:textId="77777777" w:rsidR="009123AC" w:rsidRPr="00F0379B" w:rsidRDefault="009123AC" w:rsidP="00CE0EC8">
      <w:pPr>
        <w:numPr>
          <w:ilvl w:val="0"/>
          <w:numId w:val="53"/>
        </w:numPr>
        <w:spacing w:after="0" w:line="240" w:lineRule="auto"/>
        <w:ind w:left="426" w:hanging="426"/>
        <w:contextualSpacing/>
        <w:jc w:val="both"/>
        <w:rPr>
          <w:rFonts w:ascii="Cambria" w:eastAsia="MS Gothic" w:hAnsi="Cambria"/>
          <w:i/>
          <w:kern w:val="2"/>
          <w:sz w:val="20"/>
          <w:szCs w:val="20"/>
          <w:lang w:eastAsia="fr-FR" w:bidi="fr-FR"/>
          <w14:ligatures w14:val="standardContextual"/>
        </w:rPr>
      </w:pPr>
      <w:r w:rsidRPr="00F0379B">
        <w:rPr>
          <w:rFonts w:ascii="Cambria" w:eastAsia="MS Gothic" w:hAnsi="Cambria"/>
          <w:kern w:val="2"/>
          <w:sz w:val="20"/>
          <w:szCs w:val="20"/>
          <w:lang w:eastAsia="fr-FR" w:bidi="fr-FR"/>
          <w14:ligatures w14:val="standardContextual"/>
        </w:rPr>
        <w:t xml:space="preserve">Detalles del plan anual de pesca para los buques de captura y las almadrabas </w:t>
      </w:r>
    </w:p>
    <w:p w14:paraId="30763D0A" w14:textId="77777777" w:rsidR="009123AC" w:rsidRPr="00F0379B" w:rsidRDefault="009123AC" w:rsidP="009123AC">
      <w:pPr>
        <w:spacing w:after="0" w:line="240" w:lineRule="auto"/>
        <w:jc w:val="both"/>
        <w:rPr>
          <w:rFonts w:ascii="Cambria" w:eastAsia="MS Gothic" w:hAnsi="Cambria" w:cs="Times New Roman"/>
          <w:b/>
          <w:sz w:val="20"/>
          <w:szCs w:val="20"/>
          <w:lang w:eastAsia="fr-FR" w:bidi="fr-FR"/>
          <w14:ligatures w14:val="standardContextual"/>
        </w:rPr>
      </w:pPr>
    </w:p>
    <w:p w14:paraId="43106B9E" w14:textId="77777777" w:rsidR="009123AC" w:rsidRPr="00F0379B" w:rsidRDefault="009123AC" w:rsidP="009123AC">
      <w:pPr>
        <w:spacing w:after="0" w:line="240" w:lineRule="auto"/>
        <w:jc w:val="both"/>
        <w:rPr>
          <w:rFonts w:ascii="Cambria" w:eastAsia="MS Gothic" w:hAnsi="Cambria" w:cs="Times New Roman"/>
          <w:b/>
          <w:i/>
          <w:iCs/>
          <w:sz w:val="20"/>
          <w:szCs w:val="20"/>
          <w:lang w:eastAsia="fr-FR" w:bidi="fr-FR"/>
          <w14:ligatures w14:val="standardContextual"/>
        </w:rPr>
      </w:pPr>
      <w:r w:rsidRPr="00F0379B">
        <w:rPr>
          <w:rFonts w:ascii="Cambria" w:eastAsia="MS Gothic" w:hAnsi="Cambria" w:cs="Times New Roman"/>
          <w:b/>
          <w:i/>
          <w:iCs/>
          <w:sz w:val="20"/>
          <w:szCs w:val="20"/>
          <w:lang w:eastAsia="fr-FR" w:bidi="fr-FR"/>
          <w14:ligatures w14:val="standardContextual"/>
        </w:rPr>
        <w:t xml:space="preserve">1 a) Presentación general </w:t>
      </w:r>
      <w:r w:rsidRPr="00F0379B">
        <w:rPr>
          <w:rFonts w:ascii="Cambria" w:eastAsia="MS Gothic" w:hAnsi="Cambria" w:cs="Times New Roman"/>
          <w:b/>
          <w:bCs/>
          <w:i/>
          <w:sz w:val="20"/>
          <w:szCs w:val="20"/>
          <w:lang w:eastAsia="fr-FR" w:bidi="fr-FR"/>
          <w14:ligatures w14:val="standardContextual"/>
        </w:rPr>
        <w:t>(párrafo 12)</w:t>
      </w:r>
    </w:p>
    <w:p w14:paraId="67FD7512" w14:textId="77777777" w:rsidR="009123AC" w:rsidRPr="00F0379B" w:rsidRDefault="009123AC" w:rsidP="009123AC">
      <w:pPr>
        <w:spacing w:after="0" w:line="240" w:lineRule="auto"/>
        <w:jc w:val="both"/>
        <w:rPr>
          <w:rFonts w:ascii="Cambria" w:eastAsia="MS Gothic" w:hAnsi="Cambria" w:cs="Times New Roman"/>
          <w:i/>
          <w:color w:val="000000"/>
          <w:sz w:val="20"/>
          <w:szCs w:val="20"/>
          <w:bdr w:val="nil"/>
          <w:lang w:eastAsia="fr-FR" w:bidi="fr-FR"/>
          <w14:ligatures w14:val="standardContextual"/>
        </w:rPr>
      </w:pPr>
    </w:p>
    <w:p w14:paraId="01812A3B"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La cuota inicial de Japón para la temporada de pesca de 2026 (del 1 de agosto de 2026 al 31 de julio de 2027) es de 3.559,41 t. A fecha de 21 de enero de 2026, la cuota disponible para 2026 en la tabla de capacidad es de 4.008,16 t, lo que incluye la transferencia del 14,89 % de su cuota de 2025 a 2026, los descartes muertos y la cuota de capturas fortuitas. Consulte «1 b) Traspaso» para ver el cálculo específico.</w:t>
      </w:r>
    </w:p>
    <w:p w14:paraId="533DC21E"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034CEAF2"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Todos los buques pesqueros japoneses que capturan atún rojo en el Atlántico este son grandes palangreros atuneros (LSTLV). El Ministro de Agricultura, Silvicultura y Pesca, cuyas competencias fueron asignadas por la legislación pesquera, ha introducido la Ordenanza Ministerial para establecer un sistema de ordenación legalmente vinculante que incluye cuotas individuales. La Agencia de Pesca de Japón (FAJ) es una oficina </w:t>
      </w:r>
      <w:proofErr w:type="spellStart"/>
      <w:r w:rsidRPr="00F0379B">
        <w:rPr>
          <w:rFonts w:ascii="Cambria" w:eastAsia="MS Gothic" w:hAnsi="Cambria" w:cs="Times New Roman"/>
          <w:color w:val="000000"/>
          <w:sz w:val="20"/>
          <w:szCs w:val="20"/>
          <w:lang w:eastAsia="fr-FR" w:bidi="fr-FR"/>
          <w14:ligatures w14:val="standardContextual"/>
        </w:rPr>
        <w:t>extraministerial</w:t>
      </w:r>
      <w:proofErr w:type="spellEnd"/>
      <w:r w:rsidRPr="00F0379B">
        <w:rPr>
          <w:rFonts w:ascii="Cambria" w:eastAsia="MS Gothic" w:hAnsi="Cambria" w:cs="Times New Roman"/>
          <w:color w:val="000000"/>
          <w:sz w:val="20"/>
          <w:szCs w:val="20"/>
          <w:lang w:eastAsia="fr-FR" w:bidi="fr-FR"/>
          <w14:ligatures w14:val="standardContextual"/>
        </w:rPr>
        <w:t xml:space="preserve"> del Ministerio de Agricultura, Silvicultura y Pesca que ejecuta la Ley de pesca y la Ordenanza Ministerial para los pescadores japoneses.</w:t>
      </w:r>
    </w:p>
    <w:p w14:paraId="38DDF006"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p>
    <w:p w14:paraId="354DF32B"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El ministro requiere a los operadores pesqueros que comuniquen las capturas de atún rojo diarias (lo que incluye informes de capturas cero) cada dos días de conformidad con la Ordenanza. Dicho informe tiene que recoger información pertinente, incluida la fecha, hora, localización (latitud y longitud), cantidades de capturas, pesos de cada ejemplar de atún rojo, números de marcas, y número de liberaciones de ejemplares vivos y descartes de ejemplares muertos, incluidos los ejemplares de talla inferior a la regulada. La FAJ realiza un seguimiento de la captura de cada buque con respecto a la cuota individual del buque.</w:t>
      </w:r>
    </w:p>
    <w:p w14:paraId="0A769310"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p>
    <w:p w14:paraId="01F48982"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En cuanto a la captura fortuita, todos los buques de captura japoneses que no se dirigen al atún rojo operan alrededor del ecuador o más al sur: la posibilidad de captura fortuita de atún rojo es </w:t>
      </w:r>
      <w:r w:rsidRPr="00F0379B">
        <w:rPr>
          <w:rFonts w:ascii="Cambria" w:eastAsiaTheme="minorEastAsia" w:hAnsi="Cambria"/>
          <w:i/>
          <w:kern w:val="2"/>
          <w:sz w:val="20"/>
          <w:szCs w:val="20"/>
          <w:lang w:eastAsia="ja-JP"/>
          <w14:ligatures w14:val="standardContextual"/>
        </w:rPr>
        <w:t>de minimis</w:t>
      </w:r>
      <w:r w:rsidRPr="00F0379B">
        <w:rPr>
          <w:rFonts w:ascii="Cambria" w:eastAsia="MS Gothic" w:hAnsi="Cambria" w:cs="Times New Roman"/>
          <w:color w:val="000000"/>
          <w:sz w:val="20"/>
          <w:szCs w:val="20"/>
          <w:lang w:eastAsia="fr-FR" w:bidi="fr-FR"/>
          <w14:ligatures w14:val="standardContextual"/>
        </w:rPr>
        <w:t>. Dadas las circunstancias, el ministro reserva 1 t de captura fortuita. De hecho, en 2025 solo se comunicó la captura fortuita de once peces, y todos se liberaron desde el costado del buque y no se retuvieron a bordo.</w:t>
      </w:r>
    </w:p>
    <w:p w14:paraId="1D4BF8A6"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p>
    <w:p w14:paraId="068EC988"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La Ordenanza ministerial prohíbe el desembarque en puertos, excepto en el caso de los puertos designados. La Ordenanza ministerial solo permite a los pescadores de atún rojo el desembarque en diez puertos nacionales designados por la Ordenanza. En los diez puertos, el desembarque de atún rojo, tanto por parte de los buques pesqueros como por parte de los buques de transporte, será objeto de una inspección del 100 % realizada por inspectores oficiales de la FAJ que comprobarán el peso total y las marcas, contarán el número de atunes rojos y compararán la información recopilada con los datos previamente comunicados, lo que incluye los informes diarios. </w:t>
      </w:r>
    </w:p>
    <w:p w14:paraId="2ED62CFD"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p>
    <w:p w14:paraId="6988C3CB"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Los buques pesqueros japoneses operan casi en el mismo periodo, entre el fin de septiembre y principios de enero sin entrar en puerto durante dicho periodo. Por lo tanto, los observadores se encuentran a bordo de los buques de atún rojo designados y supervisan las operaciones de pesca de atún rojo durante toda la campaña pesquera, con el objetivo de cubrir al menos el 20 % de sus buques activos. Además, dado que la principal zona de pesca del atún rojo suele estar situada en una zona muy limitada frente a la costa de Irlanda, no debería haber mucha preocupación por la representación espacial. Tras la temporada principal de pesca, la cuota restante podrá consumirse en otras zonas de pesca, de conformidad con la Recomendación 25-04.</w:t>
      </w:r>
    </w:p>
    <w:p w14:paraId="3ECC3370" w14:textId="77777777" w:rsidR="009123AC" w:rsidRPr="00F0379B" w:rsidRDefault="009123AC" w:rsidP="009123AC">
      <w:pPr>
        <w:spacing w:after="0" w:line="240" w:lineRule="auto"/>
        <w:jc w:val="both"/>
        <w:rPr>
          <w:rFonts w:ascii="Cambria" w:eastAsia="MS Gothic" w:hAnsi="Cambria" w:cs="Times New Roman"/>
          <w:b/>
          <w:bCs/>
          <w:i/>
          <w:sz w:val="20"/>
          <w:szCs w:val="20"/>
          <w:lang w:eastAsia="fr-FR" w:bidi="fr-FR"/>
          <w14:ligatures w14:val="standardContextual"/>
        </w:rPr>
      </w:pPr>
    </w:p>
    <w:p w14:paraId="3ADE30B8" w14:textId="77777777" w:rsidR="009123AC" w:rsidRPr="00F0379B" w:rsidRDefault="009123AC" w:rsidP="009123AC">
      <w:pPr>
        <w:spacing w:after="0" w:line="240" w:lineRule="auto"/>
        <w:jc w:val="both"/>
        <w:rPr>
          <w:rFonts w:ascii="Cambria" w:eastAsia="MS Gothic" w:hAnsi="Cambria" w:cs="Times New Roman"/>
          <w:b/>
          <w:bCs/>
          <w:i/>
          <w:sz w:val="20"/>
          <w:szCs w:val="20"/>
          <w:lang w:eastAsia="fr-FR" w:bidi="fr-FR"/>
          <w14:ligatures w14:val="standardContextual"/>
        </w:rPr>
      </w:pPr>
      <w:r w:rsidRPr="00F0379B">
        <w:rPr>
          <w:rFonts w:ascii="Cambria" w:eastAsia="MS Gothic" w:hAnsi="Cambria" w:cs="Times New Roman"/>
          <w:b/>
          <w:bCs/>
          <w:i/>
          <w:sz w:val="20"/>
          <w:szCs w:val="20"/>
          <w:lang w:eastAsia="fr-FR" w:bidi="fr-FR"/>
          <w14:ligatures w14:val="standardContextual"/>
        </w:rPr>
        <w:t>1 b) Traspaso (párrafo 6)</w:t>
      </w:r>
    </w:p>
    <w:p w14:paraId="78FFE54C" w14:textId="77777777" w:rsidR="009123AC" w:rsidRPr="00F0379B" w:rsidRDefault="009123AC" w:rsidP="009123AC">
      <w:pPr>
        <w:spacing w:after="0" w:line="240" w:lineRule="auto"/>
        <w:jc w:val="both"/>
        <w:rPr>
          <w:rFonts w:ascii="Cambria" w:eastAsia="MS Gothic" w:hAnsi="Cambria" w:cs="Times New Roman"/>
          <w:i/>
          <w:sz w:val="20"/>
          <w:szCs w:val="20"/>
          <w:lang w:eastAsia="fr-FR" w:bidi="fr-FR"/>
          <w14:ligatures w14:val="standardContextual"/>
        </w:rPr>
      </w:pPr>
    </w:p>
    <w:p w14:paraId="0C0C8861" w14:textId="77777777" w:rsidR="009123AC" w:rsidRPr="00F0379B" w:rsidRDefault="009123AC" w:rsidP="009123AC">
      <w:pPr>
        <w:spacing w:after="0" w:line="240" w:lineRule="auto"/>
        <w:jc w:val="both"/>
        <w:rPr>
          <w:rFonts w:ascii="Cambria" w:eastAsia="MS Gothic" w:hAnsi="Cambria" w:cs="Times New Roman"/>
          <w:iCs/>
          <w:sz w:val="20"/>
          <w:szCs w:val="20"/>
          <w:lang w:eastAsia="fr-FR" w:bidi="fr-FR"/>
          <w14:ligatures w14:val="standardContextual"/>
        </w:rPr>
      </w:pPr>
      <w:r w:rsidRPr="00F0379B">
        <w:rPr>
          <w:rFonts w:ascii="Cambria" w:eastAsia="MS Gothic" w:hAnsi="Cambria" w:cs="Times New Roman"/>
          <w:iCs/>
          <w:sz w:val="20"/>
          <w:szCs w:val="20"/>
          <w:lang w:eastAsia="fr-FR" w:bidi="fr-FR"/>
          <w14:ligatures w14:val="standardContextual"/>
        </w:rPr>
        <w:t xml:space="preserve">De conformidad con el párrafo 6 de la Recomendación 25-04, Japón desea solicitar la transferencia de su cuota de 2025 a 2026. La captura de BFT-E en la temporada de pesca de 2025, a fecha de 21 de enero de 2026, fue de 2.805,95 t, lo que incluye 1,58 t de descartes muertos. La cantidad de capturas está sujeta a cambios, ya que algunos buques siguen faenando. En este momento, 3.269,70 t (cuota de captura para 2025) menos 2.805,95 t equivalen a 463,75 t (14,89 %), que se transfieren a la temporada de pesca de 2026 como remanente de capturas. Además, se reservan la cuota reservada para descartes muertos (14 t) y la cuota de capturas fortuitas para los buques sin cuota individual de atún rojo (1 t). </w:t>
      </w:r>
    </w:p>
    <w:p w14:paraId="57D896C7" w14:textId="77777777" w:rsidR="009123AC" w:rsidRPr="00F0379B" w:rsidRDefault="009123AC" w:rsidP="009123AC">
      <w:pPr>
        <w:spacing w:after="0" w:line="240" w:lineRule="auto"/>
        <w:jc w:val="both"/>
        <w:rPr>
          <w:rFonts w:ascii="Cambria" w:eastAsia="MS Gothic" w:hAnsi="Cambria" w:cs="Times New Roman"/>
          <w:iCs/>
          <w:sz w:val="20"/>
          <w:szCs w:val="20"/>
          <w:lang w:eastAsia="fr-FR" w:bidi="fr-FR"/>
          <w14:ligatures w14:val="standardContextual"/>
        </w:rPr>
      </w:pPr>
    </w:p>
    <w:p w14:paraId="2B1D2A35" w14:textId="77777777" w:rsidR="009123AC" w:rsidRPr="00F0379B" w:rsidRDefault="009123AC" w:rsidP="009123AC">
      <w:pPr>
        <w:spacing w:after="0" w:line="240" w:lineRule="auto"/>
        <w:jc w:val="both"/>
        <w:rPr>
          <w:rFonts w:ascii="Cambria" w:eastAsia="MS Gothic" w:hAnsi="Cambria" w:cs="Times New Roman"/>
          <w:iCs/>
          <w:sz w:val="20"/>
          <w:szCs w:val="20"/>
          <w:lang w:eastAsia="fr-FR" w:bidi="fr-FR"/>
          <w14:ligatures w14:val="standardContextual"/>
        </w:rPr>
      </w:pPr>
      <w:r w:rsidRPr="00F0379B">
        <w:rPr>
          <w:rFonts w:ascii="Cambria" w:eastAsia="MS Gothic" w:hAnsi="Cambria" w:cs="Times New Roman"/>
          <w:iCs/>
          <w:sz w:val="20"/>
          <w:szCs w:val="20"/>
          <w:lang w:eastAsia="fr-FR" w:bidi="fr-FR"/>
          <w14:ligatures w14:val="standardContextual"/>
        </w:rPr>
        <w:t xml:space="preserve">En conclusión, la cuota disponible para 2026 en la tabla de capacidad es, por consiguiente, de 4.008,16 t: </w:t>
      </w:r>
    </w:p>
    <w:p w14:paraId="18E90BE6" w14:textId="77777777" w:rsidR="009123AC" w:rsidRPr="00F0379B" w:rsidRDefault="009123AC" w:rsidP="009123AC">
      <w:pPr>
        <w:spacing w:after="0" w:line="240" w:lineRule="auto"/>
        <w:jc w:val="both"/>
        <w:rPr>
          <w:rFonts w:ascii="Cambria" w:eastAsia="MS Gothic" w:hAnsi="Cambria" w:cs="Times New Roman"/>
          <w:sz w:val="20"/>
          <w:szCs w:val="20"/>
          <w:lang w:eastAsia="ja-JP" w:bidi="fr-FR"/>
          <w14:ligatures w14:val="standardContextual"/>
        </w:rPr>
      </w:pPr>
    </w:p>
    <w:p w14:paraId="3F7A2576" w14:textId="77777777" w:rsidR="009123AC" w:rsidRPr="00F0379B" w:rsidRDefault="009123AC" w:rsidP="009123AC">
      <w:pPr>
        <w:spacing w:after="0" w:line="240" w:lineRule="auto"/>
        <w:jc w:val="both"/>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AQ: cuota ajustada (IQ ± transferencias + traspaso – exceso de captura) = 3.559,41 + 0 + 463,75 – 0 = 4.023,16 t</w:t>
      </w:r>
    </w:p>
    <w:p w14:paraId="4BFBEE77" w14:textId="25A93346" w:rsidR="009123AC" w:rsidRPr="00F0379B" w:rsidRDefault="009123AC" w:rsidP="009123AC">
      <w:pPr>
        <w:spacing w:after="0" w:line="240" w:lineRule="auto"/>
        <w:jc w:val="both"/>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Cuota disponible (AQ – (captura fortuita + investigación científica + tolerancia para las pesquerías de recreo/</w:t>
      </w:r>
      <w:r w:rsidR="001B54FD" w:rsidRPr="00F0379B">
        <w:rPr>
          <w:rFonts w:ascii="Cambria" w:eastAsia="MS Gothic" w:hAnsi="Cambria" w:cs="Times New Roman"/>
          <w:sz w:val="20"/>
          <w:szCs w:val="20"/>
          <w:lang w:eastAsia="ja-JP" w:bidi="fr-FR"/>
          <w14:ligatures w14:val="standardContextual"/>
        </w:rPr>
        <w:t>deportiva)</w:t>
      </w:r>
      <w:r w:rsidRPr="00F0379B">
        <w:rPr>
          <w:rFonts w:ascii="Cambria" w:eastAsia="MS Gothic" w:hAnsi="Cambria" w:cs="Times New Roman"/>
          <w:sz w:val="20"/>
          <w:szCs w:val="20"/>
          <w:lang w:eastAsia="ja-JP" w:bidi="fr-FR"/>
          <w14:ligatures w14:val="standardContextual"/>
        </w:rPr>
        <w:t xml:space="preserve"> – descartes muertos) = </w:t>
      </w:r>
      <w:r w:rsidRPr="00F0379B">
        <w:rPr>
          <w:rFonts w:ascii="Cambria" w:eastAsia="MS Gothic" w:hAnsi="Cambria" w:cs="Times New Roman"/>
          <w:sz w:val="20"/>
          <w:szCs w:val="20"/>
          <w:lang w:eastAsia="fr-FR" w:bidi="fr-FR"/>
          <w14:ligatures w14:val="standardContextual"/>
        </w:rPr>
        <w:t xml:space="preserve">4.023,16 </w:t>
      </w:r>
      <w:r w:rsidRPr="00F0379B">
        <w:rPr>
          <w:rFonts w:ascii="Cambria" w:eastAsia="MS Gothic" w:hAnsi="Cambria" w:cs="Times New Roman"/>
          <w:sz w:val="20"/>
          <w:szCs w:val="20"/>
          <w:lang w:eastAsia="ja-JP" w:bidi="fr-FR"/>
          <w14:ligatures w14:val="standardContextual"/>
        </w:rPr>
        <w:t xml:space="preserve">– (1 + 0 + 0) – </w:t>
      </w:r>
      <w:r w:rsidRPr="00F0379B">
        <w:rPr>
          <w:rFonts w:ascii="Cambria" w:eastAsia="MS Gothic" w:hAnsi="Cambria" w:cs="Times New Roman"/>
          <w:sz w:val="20"/>
          <w:szCs w:val="20"/>
          <w:lang w:eastAsia="fr-FR" w:bidi="fr-FR"/>
          <w14:ligatures w14:val="standardContextual"/>
        </w:rPr>
        <w:t>14 = 4.008,</w:t>
      </w:r>
      <w:r w:rsidRPr="00F0379B">
        <w:rPr>
          <w:rFonts w:ascii="Cambria" w:eastAsia="MS Gothic" w:hAnsi="Cambria" w:cs="Times New Roman"/>
          <w:sz w:val="20"/>
          <w:szCs w:val="20"/>
          <w:lang w:eastAsia="ja-JP" w:bidi="fr-FR"/>
          <w14:ligatures w14:val="standardContextual"/>
        </w:rPr>
        <w:t>16 t</w:t>
      </w:r>
    </w:p>
    <w:p w14:paraId="1AF839D4" w14:textId="77777777" w:rsidR="009123AC" w:rsidRPr="00F0379B" w:rsidRDefault="009123AC" w:rsidP="009123AC">
      <w:pPr>
        <w:spacing w:after="0" w:line="240" w:lineRule="auto"/>
        <w:jc w:val="both"/>
        <w:rPr>
          <w:rFonts w:ascii="Cambria" w:eastAsia="MS Gothic" w:hAnsi="Cambria" w:cs="Times New Roman"/>
          <w:iCs/>
          <w:sz w:val="20"/>
          <w:szCs w:val="20"/>
          <w:lang w:eastAsia="fr-FR" w:bidi="fr-FR"/>
          <w14:ligatures w14:val="standardContextual"/>
        </w:rPr>
      </w:pPr>
    </w:p>
    <w:p w14:paraId="3FCF3163" w14:textId="77777777" w:rsidR="009123AC" w:rsidRPr="00F0379B" w:rsidRDefault="009123AC" w:rsidP="009123AC">
      <w:pPr>
        <w:spacing w:after="0" w:line="240" w:lineRule="auto"/>
        <w:jc w:val="both"/>
        <w:rPr>
          <w:rFonts w:ascii="Cambria" w:eastAsia="MS Gothic" w:hAnsi="Cambria" w:cs="Times New Roman"/>
          <w:iCs/>
          <w:sz w:val="20"/>
          <w:szCs w:val="20"/>
          <w:lang w:eastAsia="fr-FR" w:bidi="fr-FR"/>
          <w14:ligatures w14:val="standardContextual"/>
        </w:rPr>
      </w:pPr>
      <w:r w:rsidRPr="00F0379B">
        <w:rPr>
          <w:rFonts w:ascii="Cambria" w:eastAsia="MS Gothic" w:hAnsi="Cambria" w:cs="Times New Roman"/>
          <w:iCs/>
          <w:sz w:val="20"/>
          <w:szCs w:val="20"/>
          <w:lang w:eastAsia="fr-FR" w:bidi="fr-FR"/>
          <w14:ligatures w14:val="standardContextual"/>
        </w:rPr>
        <w:t>Tenga en cuenta que la cuota ajustada para 2026 podría estar sujeta a nuevos ajustes en función de la captura total definitiva de la temporada de pesca de 2025 y, por consiguiente, de la cuota disponible.</w:t>
      </w:r>
    </w:p>
    <w:p w14:paraId="0AA685B9" w14:textId="77777777" w:rsidR="009123AC" w:rsidRPr="00F0379B" w:rsidRDefault="009123AC" w:rsidP="009123AC">
      <w:pPr>
        <w:spacing w:after="0" w:line="240" w:lineRule="auto"/>
        <w:jc w:val="both"/>
        <w:rPr>
          <w:rFonts w:ascii="Cambria" w:eastAsia="MS Gothic" w:hAnsi="Cambria" w:cs="Times New Roman"/>
          <w:iCs/>
          <w:sz w:val="20"/>
          <w:szCs w:val="20"/>
          <w:lang w:eastAsia="fr-FR" w:bidi="fr-FR"/>
          <w14:ligatures w14:val="standardContextual"/>
        </w:rPr>
      </w:pPr>
    </w:p>
    <w:p w14:paraId="3164CD1F" w14:textId="77777777" w:rsidR="009123AC" w:rsidRPr="00F0379B" w:rsidRDefault="009123AC" w:rsidP="009123AC">
      <w:pPr>
        <w:spacing w:after="0" w:line="240" w:lineRule="auto"/>
        <w:jc w:val="both"/>
        <w:rPr>
          <w:rFonts w:ascii="Cambria" w:eastAsia="MS Gothic" w:hAnsi="Cambria" w:cs="Times New Roman"/>
          <w:i/>
          <w:sz w:val="20"/>
          <w:szCs w:val="20"/>
          <w:lang w:eastAsia="fr-FR" w:bidi="fr-FR"/>
          <w14:ligatures w14:val="standardContextual"/>
        </w:rPr>
      </w:pPr>
    </w:p>
    <w:p w14:paraId="031DD99C" w14:textId="77777777" w:rsidR="009123AC" w:rsidRPr="00F0379B" w:rsidRDefault="009123AC" w:rsidP="009123AC">
      <w:pPr>
        <w:spacing w:after="0" w:line="240" w:lineRule="auto"/>
        <w:jc w:val="both"/>
        <w:rPr>
          <w:rFonts w:ascii="Cambria" w:eastAsia="MS Gothic" w:hAnsi="Cambria" w:cs="Times New Roman"/>
          <w:b/>
          <w:bCs/>
          <w:i/>
          <w:sz w:val="20"/>
          <w:szCs w:val="20"/>
          <w:lang w:eastAsia="fr-FR" w:bidi="fr-FR"/>
          <w14:ligatures w14:val="standardContextual"/>
        </w:rPr>
      </w:pPr>
      <w:r w:rsidRPr="00F0379B">
        <w:rPr>
          <w:rFonts w:ascii="Cambria" w:eastAsia="MS Gothic" w:hAnsi="Cambria" w:cs="Times New Roman"/>
          <w:b/>
          <w:bCs/>
          <w:i/>
          <w:sz w:val="20"/>
          <w:szCs w:val="20"/>
          <w:lang w:eastAsia="fr-FR" w:bidi="fr-FR"/>
          <w14:ligatures w14:val="standardContextual"/>
        </w:rPr>
        <w:t>1 c) Destino de las capturas</w:t>
      </w:r>
    </w:p>
    <w:p w14:paraId="2B31E3C1" w14:textId="77777777" w:rsidR="009123AC" w:rsidRPr="00F0379B" w:rsidRDefault="009123AC" w:rsidP="009123AC">
      <w:pPr>
        <w:spacing w:after="0" w:line="240" w:lineRule="auto"/>
        <w:jc w:val="both"/>
        <w:rPr>
          <w:rFonts w:ascii="Cambria" w:eastAsia="MS Gothic" w:hAnsi="Cambria" w:cs="Times New Roman"/>
          <w:i/>
          <w:sz w:val="20"/>
          <w:szCs w:val="20"/>
          <w:lang w:eastAsia="fr-FR" w:bidi="fr-FR"/>
          <w14:ligatures w14:val="standardContextual"/>
        </w:rPr>
      </w:pPr>
    </w:p>
    <w:p w14:paraId="33FB31CB" w14:textId="77777777" w:rsidR="009123AC" w:rsidRPr="00F0379B" w:rsidRDefault="009123AC" w:rsidP="009123AC">
      <w:pPr>
        <w:spacing w:after="0" w:line="240" w:lineRule="auto"/>
        <w:jc w:val="both"/>
        <w:rPr>
          <w:rFonts w:ascii="Cambria" w:eastAsia="MS Gothic" w:hAnsi="Cambria" w:cs="Times New Roman"/>
          <w:iCs/>
          <w:sz w:val="20"/>
          <w:szCs w:val="20"/>
          <w:lang w:eastAsia="fr-FR" w:bidi="fr-FR"/>
          <w14:ligatures w14:val="standardContextual"/>
        </w:rPr>
      </w:pPr>
      <w:r w:rsidRPr="00F0379B">
        <w:rPr>
          <w:rFonts w:ascii="Cambria" w:eastAsia="MS Gothic" w:hAnsi="Cambria" w:cs="Times New Roman"/>
          <w:iCs/>
          <w:sz w:val="20"/>
          <w:szCs w:val="20"/>
          <w:lang w:eastAsia="fr-FR" w:bidi="fr-FR"/>
          <w14:ligatures w14:val="standardContextual"/>
        </w:rPr>
        <w:t>Todos los atunes rojos capturados por buques japoneses se destinarán al desembarque.</w:t>
      </w:r>
    </w:p>
    <w:p w14:paraId="46B1F896" w14:textId="77777777" w:rsidR="009123AC" w:rsidRPr="00F0379B" w:rsidRDefault="009123AC" w:rsidP="009123AC">
      <w:pPr>
        <w:spacing w:after="0" w:line="240" w:lineRule="auto"/>
        <w:jc w:val="both"/>
        <w:rPr>
          <w:rFonts w:ascii="Cambria" w:eastAsia="MS Gothic" w:hAnsi="Cambria" w:cs="Times New Roman"/>
          <w:b/>
          <w:bCs/>
          <w:i/>
          <w:sz w:val="20"/>
          <w:szCs w:val="20"/>
          <w:lang w:eastAsia="fr-FR" w:bidi="fr-FR"/>
          <w14:ligatures w14:val="standardContextual"/>
        </w:rPr>
      </w:pPr>
    </w:p>
    <w:p w14:paraId="349A630B" w14:textId="77777777" w:rsidR="009123AC" w:rsidRPr="00F0379B" w:rsidRDefault="009123AC" w:rsidP="009123AC">
      <w:pPr>
        <w:spacing w:after="0" w:line="240" w:lineRule="auto"/>
        <w:rPr>
          <w:rFonts w:ascii="Cambria" w:eastAsia="MS Gothic" w:hAnsi="Cambria" w:cs="Times New Roman"/>
          <w:b/>
          <w:bCs/>
          <w:i/>
          <w:sz w:val="20"/>
          <w:szCs w:val="20"/>
          <w:lang w:eastAsia="fr-FR" w:bidi="fr-FR"/>
          <w14:ligatures w14:val="standardContextual"/>
        </w:rPr>
      </w:pPr>
      <w:r w:rsidRPr="00F0379B">
        <w:rPr>
          <w:rFonts w:ascii="Cambria" w:eastAsia="MS Gothic" w:hAnsi="Cambria" w:cs="Times New Roman"/>
          <w:b/>
          <w:bCs/>
          <w:i/>
          <w:sz w:val="20"/>
          <w:szCs w:val="20"/>
          <w:lang w:eastAsia="fr-FR" w:bidi="fr-FR"/>
          <w14:ligatures w14:val="standardContextual"/>
        </w:rPr>
        <w:t xml:space="preserve">1 d) </w:t>
      </w:r>
    </w:p>
    <w:p w14:paraId="21D65A97" w14:textId="77777777" w:rsidR="009123AC" w:rsidRPr="00F0379B" w:rsidRDefault="009123AC" w:rsidP="009123AC">
      <w:pPr>
        <w:spacing w:after="0" w:line="240" w:lineRule="auto"/>
        <w:rPr>
          <w:rFonts w:ascii="Cambria" w:eastAsia="MS Gothic" w:hAnsi="Cambria" w:cs="Times New Roman"/>
          <w:i/>
          <w:sz w:val="20"/>
          <w:szCs w:val="20"/>
          <w:lang w:eastAsia="fr-FR" w:bidi="fr-FR"/>
          <w14:ligatures w14:val="standardContextual"/>
        </w:rPr>
      </w:pPr>
    </w:p>
    <w:tbl>
      <w:tblPr>
        <w:tblStyle w:val="TableGrid"/>
        <w:tblW w:w="0" w:type="auto"/>
        <w:tblLook w:val="04A0" w:firstRow="1" w:lastRow="0" w:firstColumn="1" w:lastColumn="0" w:noHBand="0" w:noVBand="1"/>
      </w:tblPr>
      <w:tblGrid>
        <w:gridCol w:w="453"/>
        <w:gridCol w:w="3285"/>
        <w:gridCol w:w="2251"/>
        <w:gridCol w:w="1887"/>
        <w:gridCol w:w="1184"/>
      </w:tblGrid>
      <w:tr w:rsidR="009123AC" w:rsidRPr="00F0379B" w14:paraId="761E4EF3" w14:textId="77777777" w:rsidTr="00CA749B">
        <w:tc>
          <w:tcPr>
            <w:tcW w:w="336" w:type="dxa"/>
          </w:tcPr>
          <w:p w14:paraId="375E122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3345" w:type="dxa"/>
            <w:vAlign w:val="center"/>
          </w:tcPr>
          <w:p w14:paraId="2EEBE81E"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 xml:space="preserve">Requisito ICCAT </w:t>
            </w:r>
          </w:p>
          <w:p w14:paraId="2B34A157"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 xml:space="preserve">(según </w:t>
            </w:r>
            <w:hyperlink r:id="rId136" w:history="1">
              <w:r w:rsidRPr="00F0379B">
                <w:rPr>
                  <w:rFonts w:ascii="Cambria" w:eastAsiaTheme="minorEastAsia" w:hAnsi="Cambria"/>
                  <w:i/>
                  <w:color w:val="0563C1"/>
                  <w:kern w:val="2"/>
                  <w:sz w:val="20"/>
                  <w:szCs w:val="20"/>
                  <w:lang w:eastAsia="ja-JP"/>
                  <w14:ligatures w14:val="standardContextual"/>
                </w:rPr>
                <w:t>Rec. 25-04</w:t>
              </w:r>
            </w:hyperlink>
            <w:r w:rsidRPr="00F0379B">
              <w:rPr>
                <w:rFonts w:ascii="Cambria" w:eastAsiaTheme="minorEastAsia" w:hAnsi="Cambria"/>
                <w:i/>
                <w:kern w:val="2"/>
                <w:sz w:val="20"/>
                <w:szCs w:val="20"/>
                <w:lang w:eastAsia="ja-JP"/>
                <w14:ligatures w14:val="standardContextual"/>
              </w:rPr>
              <w:t>)</w:t>
            </w:r>
          </w:p>
        </w:tc>
        <w:tc>
          <w:tcPr>
            <w:tcW w:w="2268" w:type="dxa"/>
            <w:vAlign w:val="center"/>
          </w:tcPr>
          <w:p w14:paraId="1D1E434D"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Explicación de las acciones emprendidas por la CPC con fines de implementación</w:t>
            </w:r>
          </w:p>
        </w:tc>
        <w:tc>
          <w:tcPr>
            <w:tcW w:w="1908" w:type="dxa"/>
            <w:vAlign w:val="center"/>
          </w:tcPr>
          <w:p w14:paraId="2D089965"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Leyes o reglamentos internos pertinentes (si procede)</w:t>
            </w:r>
          </w:p>
        </w:tc>
        <w:tc>
          <w:tcPr>
            <w:tcW w:w="1203" w:type="dxa"/>
            <w:vAlign w:val="center"/>
          </w:tcPr>
          <w:p w14:paraId="3DF188EA"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Nota</w:t>
            </w:r>
          </w:p>
        </w:tc>
      </w:tr>
      <w:tr w:rsidR="009123AC" w:rsidRPr="00F0379B" w14:paraId="2CAA71C2" w14:textId="77777777" w:rsidTr="00CA749B">
        <w:tc>
          <w:tcPr>
            <w:tcW w:w="336" w:type="dxa"/>
          </w:tcPr>
          <w:p w14:paraId="03C7A73C"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w:t>
            </w:r>
          </w:p>
        </w:tc>
        <w:tc>
          <w:tcPr>
            <w:tcW w:w="3345" w:type="dxa"/>
          </w:tcPr>
          <w:p w14:paraId="1D674C17"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Consignación y comunicación de la captura (párrs. 74-88)</w:t>
            </w:r>
          </w:p>
        </w:tc>
        <w:tc>
          <w:tcPr>
            <w:tcW w:w="2268" w:type="dxa"/>
          </w:tcPr>
          <w:p w14:paraId="1EDED70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ministro requiere a los operadores pesqueros que comuniquen a la FAJ diariamente la información, lo que incluye la fecha, hora, localización, peso y número del atún rojo capturado en el Atlántico oriental (incluidas liberaciones y descartes de peces muertos con una talla inferior a la regulada) cada dos días. Además, el ministro requiere también a los operadores que mantengan un cuaderno de pesca encuadernado o electrónico de sus operaciones.</w:t>
            </w:r>
          </w:p>
        </w:tc>
        <w:tc>
          <w:tcPr>
            <w:tcW w:w="1908" w:type="dxa"/>
          </w:tcPr>
          <w:p w14:paraId="65EC557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pesca, Artículos 26, 52.</w:t>
            </w:r>
          </w:p>
          <w:p w14:paraId="36970D2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BE1162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51B560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Ordenanza ministerial del Ministro de Agricultura, Silvicultura y Pesca, Artículos 14 y 26</w:t>
            </w:r>
          </w:p>
        </w:tc>
        <w:tc>
          <w:tcPr>
            <w:tcW w:w="1203" w:type="dxa"/>
          </w:tcPr>
          <w:p w14:paraId="64BFC9B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03D6127E" w14:textId="77777777" w:rsidTr="00CA749B">
        <w:tc>
          <w:tcPr>
            <w:tcW w:w="336" w:type="dxa"/>
          </w:tcPr>
          <w:p w14:paraId="21DAF81E"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2</w:t>
            </w:r>
          </w:p>
        </w:tc>
        <w:tc>
          <w:tcPr>
            <w:tcW w:w="3345" w:type="dxa"/>
          </w:tcPr>
          <w:p w14:paraId="686D6C2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Temporadas de pesca abiertas (párrs. 28-32</w:t>
            </w:r>
            <w:r w:rsidRPr="00F0379B">
              <w:rPr>
                <w:rFonts w:ascii="Cambria" w:eastAsiaTheme="minorEastAsia" w:hAnsi="Cambria"/>
                <w:b/>
                <w:bCs/>
                <w:kern w:val="2"/>
                <w:sz w:val="20"/>
                <w:szCs w:val="20"/>
                <w:lang w:eastAsia="ja-JP"/>
                <w14:ligatures w14:val="standardContextual"/>
              </w:rPr>
              <w:t>)</w:t>
            </w:r>
          </w:p>
        </w:tc>
        <w:tc>
          <w:tcPr>
            <w:tcW w:w="2268" w:type="dxa"/>
          </w:tcPr>
          <w:p w14:paraId="03F3B97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ministro prohibió a los operadores pescar atún rojo en la zona limitada por el oeste de 10º W y el norte de 42º N durante el periodo del 1 de febrero al 31 de julio y en otras zonas durante el periodo del 1 de junio al 31 de diciembre.</w:t>
            </w:r>
          </w:p>
          <w:p w14:paraId="48DB7C38" w14:textId="77777777" w:rsidR="00CA0EF5" w:rsidRPr="00F0379B" w:rsidRDefault="00CA0EF5" w:rsidP="009123AC">
            <w:pPr>
              <w:spacing w:line="240" w:lineRule="auto"/>
              <w:rPr>
                <w:rFonts w:ascii="Cambria" w:eastAsiaTheme="minorEastAsia" w:hAnsi="Cambria"/>
                <w:kern w:val="2"/>
                <w:sz w:val="20"/>
                <w:szCs w:val="20"/>
                <w:lang w:eastAsia="ja-JP"/>
                <w14:ligatures w14:val="standardContextual"/>
              </w:rPr>
            </w:pPr>
          </w:p>
        </w:tc>
        <w:tc>
          <w:tcPr>
            <w:tcW w:w="1908" w:type="dxa"/>
          </w:tcPr>
          <w:p w14:paraId="27395EF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Ordenanza ministerial del Ministro de Agricultura, Silvicultura y Pesca, Artículo 23.</w:t>
            </w:r>
          </w:p>
        </w:tc>
        <w:tc>
          <w:tcPr>
            <w:tcW w:w="1203" w:type="dxa"/>
          </w:tcPr>
          <w:p w14:paraId="5EFBFAE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2E4F04C4" w14:textId="77777777" w:rsidTr="00CA749B">
        <w:tc>
          <w:tcPr>
            <w:tcW w:w="336" w:type="dxa"/>
          </w:tcPr>
          <w:p w14:paraId="46902EAF"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3</w:t>
            </w:r>
          </w:p>
        </w:tc>
        <w:tc>
          <w:tcPr>
            <w:tcW w:w="3345" w:type="dxa"/>
          </w:tcPr>
          <w:p w14:paraId="245BD148"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Talla mínima (párrs. 33-35)</w:t>
            </w:r>
          </w:p>
        </w:tc>
        <w:tc>
          <w:tcPr>
            <w:tcW w:w="2268" w:type="dxa"/>
          </w:tcPr>
          <w:p w14:paraId="71788B9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El ministro prohíbe a los operadores pesqueros capturar atún rojo con un peso inferior a 30 kg. </w:t>
            </w:r>
          </w:p>
          <w:p w14:paraId="3890619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15FDE01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478B79B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buque pesquero dejará de operar y se desplazará de la zona de pesca cuando el número de atunes rojos que pesen de 8 a 30 kg sea superior al 5 % del número total de atunes rojos capturados en el día. El peso de los descartes muertos de atún rojo por debajo del peso mínimo se contabiliza en la cuota de Japón.</w:t>
            </w:r>
          </w:p>
        </w:tc>
        <w:tc>
          <w:tcPr>
            <w:tcW w:w="1908" w:type="dxa"/>
          </w:tcPr>
          <w:p w14:paraId="4CC9891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Ordenanza ministerial del Ministro de Agricultura, Silvicultura y Pesca, Artículo 23.</w:t>
            </w:r>
          </w:p>
        </w:tc>
        <w:tc>
          <w:tcPr>
            <w:tcW w:w="1203" w:type="dxa"/>
          </w:tcPr>
          <w:p w14:paraId="6A9D443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71F3B98A" w14:textId="77777777" w:rsidTr="00CA749B">
        <w:tc>
          <w:tcPr>
            <w:tcW w:w="336" w:type="dxa"/>
          </w:tcPr>
          <w:p w14:paraId="2876A6AD"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4</w:t>
            </w:r>
          </w:p>
        </w:tc>
        <w:tc>
          <w:tcPr>
            <w:tcW w:w="3345" w:type="dxa"/>
          </w:tcPr>
          <w:p w14:paraId="6AE4FBA9"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Captura fortuita (párr. 37)</w:t>
            </w:r>
          </w:p>
        </w:tc>
        <w:tc>
          <w:tcPr>
            <w:tcW w:w="2268" w:type="dxa"/>
          </w:tcPr>
          <w:p w14:paraId="6D9760C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ministro prohíbe a los buques sin cuota de atún rojo que capturen, transborden o desembarquen atún rojo.</w:t>
            </w:r>
          </w:p>
          <w:p w14:paraId="6369939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644F7F6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Todos los buques de captura japoneses cuyo objetivo sea otro pez que no sea el atún rojo operan alrededor del Ecuador o más al sur, por lo que la posibilidad de captura fortuita de atún rojo es </w:t>
            </w:r>
            <w:r w:rsidRPr="00F0379B">
              <w:rPr>
                <w:rFonts w:ascii="Cambria" w:eastAsiaTheme="minorEastAsia" w:hAnsi="Cambria"/>
                <w:i/>
                <w:iCs/>
                <w:kern w:val="2"/>
                <w:sz w:val="20"/>
                <w:szCs w:val="20"/>
                <w:lang w:eastAsia="ja-JP"/>
                <w14:ligatures w14:val="standardContextual"/>
              </w:rPr>
              <w:t>de minimis</w:t>
            </w:r>
            <w:r w:rsidRPr="00F0379B">
              <w:rPr>
                <w:rFonts w:ascii="Cambria" w:eastAsiaTheme="minorEastAsia" w:hAnsi="Cambria"/>
                <w:kern w:val="2"/>
                <w:sz w:val="20"/>
                <w:szCs w:val="20"/>
                <w:lang w:eastAsia="ja-JP"/>
                <w14:ligatures w14:val="standardContextual"/>
              </w:rPr>
              <w:t xml:space="preserve">. </w:t>
            </w:r>
          </w:p>
          <w:p w14:paraId="58D6E50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Dadas las circunstancias, el ministro reserva como mínimo 1 t (es decir, menos de 0,04 %) para la captura fortuita.</w:t>
            </w:r>
          </w:p>
        </w:tc>
        <w:tc>
          <w:tcPr>
            <w:tcW w:w="1908" w:type="dxa"/>
          </w:tcPr>
          <w:p w14:paraId="471C7B1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pesca, Artículos 19 y 25.</w:t>
            </w:r>
          </w:p>
          <w:p w14:paraId="2AAAAA0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203" w:type="dxa"/>
          </w:tcPr>
          <w:p w14:paraId="704A6AE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705704DF" w14:textId="77777777" w:rsidTr="00CA749B">
        <w:tc>
          <w:tcPr>
            <w:tcW w:w="336" w:type="dxa"/>
          </w:tcPr>
          <w:p w14:paraId="2E21E822"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5</w:t>
            </w:r>
          </w:p>
        </w:tc>
        <w:tc>
          <w:tcPr>
            <w:tcW w:w="3345" w:type="dxa"/>
          </w:tcPr>
          <w:p w14:paraId="65D323B6"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Pesquerías deportivas y de recreo (párrs. 35-46)</w:t>
            </w:r>
          </w:p>
        </w:tc>
        <w:tc>
          <w:tcPr>
            <w:tcW w:w="2268" w:type="dxa"/>
          </w:tcPr>
          <w:p w14:paraId="700DE24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hay pesquerías deportivas o de recreo en la zona de ICCAT.</w:t>
            </w:r>
          </w:p>
        </w:tc>
        <w:tc>
          <w:tcPr>
            <w:tcW w:w="1908" w:type="dxa"/>
          </w:tcPr>
          <w:p w14:paraId="5FAE532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aplicable</w:t>
            </w:r>
          </w:p>
        </w:tc>
        <w:tc>
          <w:tcPr>
            <w:tcW w:w="1203" w:type="dxa"/>
          </w:tcPr>
          <w:p w14:paraId="3DB8A9C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39DFACF5" w14:textId="77777777" w:rsidTr="00CA749B">
        <w:tc>
          <w:tcPr>
            <w:tcW w:w="336" w:type="dxa"/>
          </w:tcPr>
          <w:p w14:paraId="5562D253"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6</w:t>
            </w:r>
          </w:p>
        </w:tc>
        <w:tc>
          <w:tcPr>
            <w:tcW w:w="3345" w:type="dxa"/>
          </w:tcPr>
          <w:p w14:paraId="4B2BA8F9"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Transbordo </w:t>
            </w:r>
          </w:p>
          <w:p w14:paraId="64FE24BB"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89-94)</w:t>
            </w:r>
          </w:p>
        </w:tc>
        <w:tc>
          <w:tcPr>
            <w:tcW w:w="2268" w:type="dxa"/>
          </w:tcPr>
          <w:p w14:paraId="04D416B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ministro prohíbe el transbordo de atún rojo en el mar y solo permite el transbordo en puertos registrados en el sitio web de ICCAT con una autorización previa.</w:t>
            </w:r>
          </w:p>
        </w:tc>
        <w:tc>
          <w:tcPr>
            <w:tcW w:w="1908" w:type="dxa"/>
          </w:tcPr>
          <w:p w14:paraId="5777485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Ordenanza ministerial del Ministro de Agricultura, Silvicultura y Pesca, Artículo 59.</w:t>
            </w:r>
          </w:p>
        </w:tc>
        <w:tc>
          <w:tcPr>
            <w:tcW w:w="1203" w:type="dxa"/>
          </w:tcPr>
          <w:p w14:paraId="161EE26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4701AB3B" w14:textId="77777777" w:rsidTr="00CA749B">
        <w:tc>
          <w:tcPr>
            <w:tcW w:w="336" w:type="dxa"/>
          </w:tcPr>
          <w:p w14:paraId="54FB074C"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7</w:t>
            </w:r>
          </w:p>
        </w:tc>
        <w:tc>
          <w:tcPr>
            <w:tcW w:w="3345" w:type="dxa"/>
          </w:tcPr>
          <w:p w14:paraId="3D53D5B6"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VMS (párrs. </w:t>
            </w:r>
            <w:proofErr w:type="gramStart"/>
            <w:r w:rsidRPr="00F0379B">
              <w:rPr>
                <w:rFonts w:ascii="Cambria" w:eastAsiaTheme="minorEastAsia" w:hAnsi="Cambria"/>
                <w:b/>
                <w:kern w:val="2"/>
                <w:sz w:val="20"/>
                <w:szCs w:val="20"/>
                <w:lang w:val="fr-BE" w:eastAsia="ja-JP"/>
                <w14:ligatures w14:val="standardContextual"/>
              </w:rPr>
              <w:t>párrs</w:t>
            </w:r>
            <w:proofErr w:type="gramEnd"/>
            <w:r w:rsidRPr="00F0379B">
              <w:rPr>
                <w:rFonts w:ascii="Cambria" w:eastAsiaTheme="minorEastAsia" w:hAnsi="Cambria"/>
                <w:b/>
                <w:kern w:val="2"/>
                <w:sz w:val="20"/>
                <w:szCs w:val="20"/>
                <w:lang w:val="fr-BE" w:eastAsia="ja-JP"/>
                <w14:ligatures w14:val="standardContextual"/>
              </w:rPr>
              <w:t>. </w:t>
            </w:r>
            <w:r w:rsidRPr="00F0379B">
              <w:rPr>
                <w:rFonts w:ascii="Cambria" w:eastAsiaTheme="minorEastAsia" w:hAnsi="Cambria"/>
                <w:b/>
                <w:kern w:val="2"/>
                <w:sz w:val="20"/>
                <w:szCs w:val="20"/>
                <w:lang w:eastAsia="ja-JP"/>
                <w14:ligatures w14:val="standardContextual"/>
              </w:rPr>
              <w:t>222-228)</w:t>
            </w:r>
          </w:p>
        </w:tc>
        <w:tc>
          <w:tcPr>
            <w:tcW w:w="2268" w:type="dxa"/>
          </w:tcPr>
          <w:p w14:paraId="543A7E8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ministro requiere que los buques pesqueros estén equipados con VMS que transmitirá automáticamente los datos a la FAJ cada dos horas.</w:t>
            </w:r>
          </w:p>
          <w:p w14:paraId="63160CD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FF671B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FAJ transmite a la Secretaría de ICCAT los datos de VMS de los buques pesqueros de atún rojo.</w:t>
            </w:r>
          </w:p>
        </w:tc>
        <w:tc>
          <w:tcPr>
            <w:tcW w:w="1908" w:type="dxa"/>
          </w:tcPr>
          <w:p w14:paraId="0C7621E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pesca, Artículo 52</w:t>
            </w:r>
          </w:p>
          <w:p w14:paraId="2AFF3DE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Ordenanza ministerial del Ministro de Agricultura, Silvicultura y Pesca, Artículo 15.</w:t>
            </w:r>
          </w:p>
        </w:tc>
        <w:tc>
          <w:tcPr>
            <w:tcW w:w="1203" w:type="dxa"/>
          </w:tcPr>
          <w:p w14:paraId="1CF6E6D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6F07CE6B" w14:textId="77777777" w:rsidTr="00CA749B">
        <w:tc>
          <w:tcPr>
            <w:tcW w:w="336" w:type="dxa"/>
          </w:tcPr>
          <w:p w14:paraId="2612BEF7"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8</w:t>
            </w:r>
          </w:p>
        </w:tc>
        <w:tc>
          <w:tcPr>
            <w:tcW w:w="3345" w:type="dxa"/>
          </w:tcPr>
          <w:p w14:paraId="3834DCF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Programa de observadores de las CPC (párr. 95-100)</w:t>
            </w:r>
          </w:p>
        </w:tc>
        <w:tc>
          <w:tcPr>
            <w:tcW w:w="2268" w:type="dxa"/>
          </w:tcPr>
          <w:p w14:paraId="5F0E3517" w14:textId="3AD79A4C"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FAJ se asegurará de que </w:t>
            </w:r>
            <w:r w:rsidR="00CA0EF5" w:rsidRPr="00F0379B">
              <w:rPr>
                <w:rFonts w:ascii="Cambria" w:eastAsiaTheme="minorEastAsia" w:hAnsi="Cambria"/>
                <w:kern w:val="2"/>
                <w:sz w:val="20"/>
                <w:szCs w:val="20"/>
                <w:lang w:eastAsia="ja-JP"/>
                <w14:ligatures w14:val="standardContextual"/>
              </w:rPr>
              <w:t>hay una</w:t>
            </w:r>
            <w:r w:rsidRPr="00F0379B">
              <w:rPr>
                <w:rFonts w:ascii="Cambria" w:eastAsiaTheme="minorEastAsia" w:hAnsi="Cambria"/>
                <w:kern w:val="2"/>
                <w:sz w:val="20"/>
                <w:szCs w:val="20"/>
                <w:lang w:eastAsia="ja-JP"/>
                <w14:ligatures w14:val="standardContextual"/>
              </w:rPr>
              <w:t xml:space="preserve"> cobertura de observadores del 20 % del número de LSTLV con permiso para pescar atún rojo.</w:t>
            </w:r>
          </w:p>
        </w:tc>
        <w:tc>
          <w:tcPr>
            <w:tcW w:w="1908" w:type="dxa"/>
          </w:tcPr>
          <w:p w14:paraId="3F179E2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aplicable</w:t>
            </w:r>
          </w:p>
        </w:tc>
        <w:tc>
          <w:tcPr>
            <w:tcW w:w="1203" w:type="dxa"/>
          </w:tcPr>
          <w:p w14:paraId="081A2B9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49F0FF58" w14:textId="77777777" w:rsidTr="00CA749B">
        <w:tc>
          <w:tcPr>
            <w:tcW w:w="336" w:type="dxa"/>
          </w:tcPr>
          <w:p w14:paraId="1986DB68"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9</w:t>
            </w:r>
          </w:p>
        </w:tc>
        <w:tc>
          <w:tcPr>
            <w:tcW w:w="3345" w:type="dxa"/>
          </w:tcPr>
          <w:p w14:paraId="659BD40F"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val="pt-BR" w:eastAsia="ja-JP"/>
                <w14:ligatures w14:val="standardContextual"/>
              </w:rPr>
              <w:t>Programa regional de observadores (</w:t>
            </w:r>
            <w:proofErr w:type="spellStart"/>
            <w:r w:rsidRPr="00F0379B">
              <w:rPr>
                <w:rFonts w:ascii="Cambria" w:eastAsiaTheme="minorEastAsia" w:hAnsi="Cambria"/>
                <w:b/>
                <w:kern w:val="2"/>
                <w:sz w:val="20"/>
                <w:szCs w:val="20"/>
                <w:lang w:val="pt-BR" w:eastAsia="ja-JP"/>
                <w14:ligatures w14:val="standardContextual"/>
              </w:rPr>
              <w:t>párr</w:t>
            </w:r>
            <w:proofErr w:type="spellEnd"/>
            <w:r w:rsidRPr="00F0379B">
              <w:rPr>
                <w:rFonts w:ascii="Cambria" w:eastAsiaTheme="minorEastAsia" w:hAnsi="Cambria"/>
                <w:b/>
                <w:kern w:val="2"/>
                <w:sz w:val="20"/>
                <w:szCs w:val="20"/>
                <w:lang w:val="pt-BR" w:eastAsia="ja-JP"/>
                <w14:ligatures w14:val="standardContextual"/>
              </w:rPr>
              <w:t xml:space="preserve">. </w:t>
            </w:r>
            <w:r w:rsidRPr="00F0379B">
              <w:rPr>
                <w:rFonts w:ascii="Cambria" w:eastAsiaTheme="minorEastAsia" w:hAnsi="Cambria"/>
                <w:b/>
                <w:kern w:val="2"/>
                <w:sz w:val="20"/>
                <w:szCs w:val="20"/>
                <w:lang w:eastAsia="ja-JP"/>
                <w14:ligatures w14:val="standardContextual"/>
              </w:rPr>
              <w:t>101-107)</w:t>
            </w:r>
          </w:p>
        </w:tc>
        <w:tc>
          <w:tcPr>
            <w:tcW w:w="2268" w:type="dxa"/>
          </w:tcPr>
          <w:p w14:paraId="262334E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buques pesqueros japoneses que capturan atún rojo no son cerqueros y Japón no tiene ninguna granja de atún rojo del este registrada.</w:t>
            </w:r>
          </w:p>
        </w:tc>
        <w:tc>
          <w:tcPr>
            <w:tcW w:w="1908" w:type="dxa"/>
          </w:tcPr>
          <w:p w14:paraId="2FB0E8D1"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aplicable</w:t>
            </w:r>
          </w:p>
          <w:p w14:paraId="30E0798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203" w:type="dxa"/>
          </w:tcPr>
          <w:p w14:paraId="2EA34DE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3633901C" w14:textId="77777777" w:rsidTr="00CA749B">
        <w:tc>
          <w:tcPr>
            <w:tcW w:w="336" w:type="dxa"/>
          </w:tcPr>
          <w:p w14:paraId="3D80BE0B"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10</w:t>
            </w:r>
          </w:p>
        </w:tc>
        <w:tc>
          <w:tcPr>
            <w:tcW w:w="3345" w:type="dxa"/>
          </w:tcPr>
          <w:p w14:paraId="0F077521"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Legislación nacional </w:t>
            </w:r>
          </w:p>
          <w:p w14:paraId="2C253141"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p>
        </w:tc>
        <w:tc>
          <w:tcPr>
            <w:tcW w:w="2268" w:type="dxa"/>
          </w:tcPr>
          <w:p w14:paraId="29DF6248"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Las Recomendaciones pertinentes se han transpuesto a la legislación nacional japonesa. Véanse las leyes o reglamentos nacionales pertinentes (según proceda) </w:t>
            </w:r>
          </w:p>
          <w:p w14:paraId="79CA2B8F"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p>
        </w:tc>
        <w:tc>
          <w:tcPr>
            <w:tcW w:w="1908" w:type="dxa"/>
          </w:tcPr>
          <w:p w14:paraId="5BF6111F" w14:textId="77777777" w:rsidR="009123AC" w:rsidRPr="00F0379B" w:rsidRDefault="009123AC" w:rsidP="009123AC">
            <w:pPr>
              <w:spacing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w:t>
            </w:r>
            <w:r w:rsidRPr="00F0379B">
              <w:rPr>
                <w:rFonts w:ascii="Cambria" w:eastAsiaTheme="minorEastAsia" w:hAnsi="Cambria"/>
                <w:bCs/>
                <w:kern w:val="2"/>
                <w:sz w:val="20"/>
                <w:szCs w:val="20"/>
                <w:lang w:eastAsia="ja-JP"/>
                <w14:ligatures w14:val="standardContextual"/>
              </w:rPr>
              <w:t>Ley de Pesca</w:t>
            </w:r>
          </w:p>
          <w:p w14:paraId="09FBBBF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w:t>
            </w:r>
            <w:r w:rsidRPr="00F0379B">
              <w:rPr>
                <w:rFonts w:ascii="Cambria" w:eastAsiaTheme="minorEastAsia" w:hAnsi="Cambria"/>
                <w:bCs/>
                <w:kern w:val="2"/>
                <w:sz w:val="20"/>
                <w:szCs w:val="20"/>
                <w:lang w:eastAsia="ja-JP"/>
                <w14:ligatures w14:val="standardContextual"/>
              </w:rPr>
              <w:t>Orden Ministerial del Ministerio de Agricultura, Silvicultura y Pesca</w:t>
            </w:r>
          </w:p>
        </w:tc>
        <w:tc>
          <w:tcPr>
            <w:tcW w:w="1203" w:type="dxa"/>
          </w:tcPr>
          <w:p w14:paraId="196797B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5401CD4F" w14:textId="77777777" w:rsidTr="00CA749B">
        <w:tc>
          <w:tcPr>
            <w:tcW w:w="336" w:type="dxa"/>
          </w:tcPr>
          <w:p w14:paraId="732C5317"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p>
        </w:tc>
        <w:tc>
          <w:tcPr>
            <w:tcW w:w="3345" w:type="dxa"/>
          </w:tcPr>
          <w:p w14:paraId="067CA028"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Otros requisitos, como:</w:t>
            </w:r>
          </w:p>
          <w:p w14:paraId="7618C950"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programa de marcado (párr. 44)</w:t>
            </w:r>
          </w:p>
        </w:tc>
        <w:tc>
          <w:tcPr>
            <w:tcW w:w="2268" w:type="dxa"/>
          </w:tcPr>
          <w:p w14:paraId="2FEFF76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908" w:type="dxa"/>
          </w:tcPr>
          <w:p w14:paraId="23F2EF4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203" w:type="dxa"/>
          </w:tcPr>
          <w:p w14:paraId="39D24DD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bl>
    <w:p w14:paraId="642E281D"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59C5C743" w14:textId="77777777" w:rsidR="009123AC" w:rsidRPr="00F0379B" w:rsidRDefault="009123AC" w:rsidP="009123AC">
      <w:pPr>
        <w:spacing w:after="0" w:line="240" w:lineRule="auto"/>
        <w:rPr>
          <w:rFonts w:ascii="Cambria" w:eastAsia="MS Gothic" w:hAnsi="Cambria" w:cs="Times New Roman"/>
          <w:b/>
          <w:i/>
          <w:iCs/>
          <w:sz w:val="20"/>
          <w:szCs w:val="20"/>
          <w:lang w:eastAsia="ja-JP" w:bidi="fr-FR"/>
          <w14:ligatures w14:val="standardContextual"/>
        </w:rPr>
      </w:pPr>
      <w:r w:rsidRPr="00F0379B">
        <w:rPr>
          <w:rFonts w:ascii="Cambria" w:eastAsia="MS Gothic" w:hAnsi="Cambria" w:cs="Times New Roman"/>
          <w:b/>
          <w:i/>
          <w:iCs/>
          <w:sz w:val="20"/>
          <w:szCs w:val="20"/>
          <w:lang w:eastAsia="ja-JP" w:bidi="fr-FR"/>
          <w14:ligatures w14:val="standardContextual"/>
        </w:rPr>
        <w:t>1 e) Puertos designados (párr. 80)</w:t>
      </w:r>
    </w:p>
    <w:p w14:paraId="137A304E" w14:textId="77777777" w:rsidR="009123AC" w:rsidRPr="00F0379B" w:rsidRDefault="009123AC" w:rsidP="009123AC">
      <w:pPr>
        <w:spacing w:after="0" w:line="240" w:lineRule="auto"/>
        <w:rPr>
          <w:rFonts w:ascii="Cambria" w:eastAsia="MS Gothic" w:hAnsi="Cambria" w:cs="Times New Roman"/>
          <w:bCs/>
          <w:sz w:val="20"/>
          <w:szCs w:val="20"/>
          <w:lang w:eastAsia="ja-JP" w:bidi="fr-FR"/>
          <w14:ligatures w14:val="standardContextual"/>
        </w:rPr>
      </w:pPr>
    </w:p>
    <w:p w14:paraId="519BE771" w14:textId="77777777" w:rsidR="009123AC" w:rsidRPr="00F0379B" w:rsidRDefault="009123AC" w:rsidP="009123AC">
      <w:pPr>
        <w:spacing w:after="0" w:line="240" w:lineRule="auto"/>
        <w:rPr>
          <w:rFonts w:ascii="Cambria" w:eastAsia="MS Gothic" w:hAnsi="Cambria" w:cs="Times New Roman"/>
          <w:b/>
          <w:bCs/>
          <w:sz w:val="20"/>
          <w:szCs w:val="20"/>
          <w:lang w:eastAsia="ja-JP" w:bidi="fr-FR"/>
          <w14:ligatures w14:val="standardContextual"/>
        </w:rPr>
      </w:pPr>
      <w:r w:rsidRPr="00F0379B">
        <w:rPr>
          <w:rFonts w:ascii="Cambria" w:eastAsia="MS Gothic" w:hAnsi="Cambria" w:cs="Times New Roman"/>
          <w:b/>
          <w:bCs/>
          <w:sz w:val="20"/>
          <w:szCs w:val="20"/>
          <w:lang w:eastAsia="ja-JP" w:bidi="fr-FR"/>
          <w14:ligatures w14:val="standardContextual"/>
        </w:rPr>
        <w:t>Lista de puertos nacionales para el desembarque:</w:t>
      </w:r>
    </w:p>
    <w:p w14:paraId="650AC259" w14:textId="77777777" w:rsidR="009123AC" w:rsidRPr="00F0379B" w:rsidRDefault="009123AC" w:rsidP="009123AC">
      <w:pPr>
        <w:spacing w:after="0" w:line="240" w:lineRule="auto"/>
        <w:rPr>
          <w:rFonts w:ascii="Cambria" w:eastAsia="MS Gothic" w:hAnsi="Cambria" w:cs="Times New Roman"/>
          <w:b/>
          <w:bCs/>
          <w:sz w:val="20"/>
          <w:szCs w:val="20"/>
          <w:lang w:eastAsia="ja-JP" w:bidi="fr-FR"/>
          <w14:ligatures w14:val="standardContextual"/>
        </w:rPr>
      </w:pPr>
    </w:p>
    <w:tbl>
      <w:tblPr>
        <w:tblStyle w:val="TableGrid"/>
        <w:tblW w:w="0" w:type="auto"/>
        <w:tblLook w:val="04A0" w:firstRow="1" w:lastRow="0" w:firstColumn="1" w:lastColumn="0" w:noHBand="0" w:noVBand="1"/>
      </w:tblPr>
      <w:tblGrid>
        <w:gridCol w:w="453"/>
        <w:gridCol w:w="1527"/>
      </w:tblGrid>
      <w:tr w:rsidR="009123AC" w:rsidRPr="00F0379B" w14:paraId="1D615631" w14:textId="77777777" w:rsidTr="00CA749B">
        <w:tc>
          <w:tcPr>
            <w:tcW w:w="453" w:type="dxa"/>
            <w:tcBorders>
              <w:top w:val="single" w:sz="4" w:space="0" w:color="auto"/>
              <w:left w:val="single" w:sz="4" w:space="0" w:color="auto"/>
              <w:bottom w:val="single" w:sz="4" w:space="0" w:color="auto"/>
              <w:right w:val="single" w:sz="4" w:space="0" w:color="auto"/>
            </w:tcBorders>
            <w:hideMark/>
          </w:tcPr>
          <w:p w14:paraId="68CECA8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1</w:t>
            </w:r>
          </w:p>
        </w:tc>
        <w:tc>
          <w:tcPr>
            <w:tcW w:w="1527" w:type="dxa"/>
            <w:tcBorders>
              <w:top w:val="single" w:sz="4" w:space="0" w:color="auto"/>
              <w:left w:val="nil"/>
              <w:bottom w:val="single" w:sz="4" w:space="0" w:color="auto"/>
              <w:right w:val="single" w:sz="4" w:space="0" w:color="auto"/>
            </w:tcBorders>
            <w:vAlign w:val="bottom"/>
            <w:hideMark/>
          </w:tcPr>
          <w:p w14:paraId="603CF3C9" w14:textId="77777777" w:rsidR="009123AC" w:rsidRPr="00F0379B" w:rsidRDefault="009123AC" w:rsidP="009123AC">
            <w:pPr>
              <w:spacing w:line="240" w:lineRule="auto"/>
              <w:rPr>
                <w:rFonts w:ascii="Cambria" w:eastAsiaTheme="minorEastAsia" w:hAnsi="Cambria"/>
                <w:b/>
                <w:b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Tokyo</w:t>
            </w:r>
          </w:p>
        </w:tc>
      </w:tr>
      <w:tr w:rsidR="009123AC" w:rsidRPr="00F0379B" w14:paraId="2C20B753" w14:textId="77777777" w:rsidTr="00CA749B">
        <w:tc>
          <w:tcPr>
            <w:tcW w:w="453" w:type="dxa"/>
            <w:tcBorders>
              <w:top w:val="single" w:sz="4" w:space="0" w:color="auto"/>
              <w:left w:val="single" w:sz="4" w:space="0" w:color="auto"/>
              <w:bottom w:val="single" w:sz="4" w:space="0" w:color="auto"/>
              <w:right w:val="single" w:sz="4" w:space="0" w:color="auto"/>
            </w:tcBorders>
            <w:hideMark/>
          </w:tcPr>
          <w:p w14:paraId="3A34460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2</w:t>
            </w:r>
          </w:p>
        </w:tc>
        <w:tc>
          <w:tcPr>
            <w:tcW w:w="1527" w:type="dxa"/>
            <w:tcBorders>
              <w:top w:val="single" w:sz="4" w:space="0" w:color="auto"/>
              <w:left w:val="nil"/>
              <w:bottom w:val="single" w:sz="4" w:space="0" w:color="auto"/>
              <w:right w:val="single" w:sz="4" w:space="0" w:color="auto"/>
            </w:tcBorders>
            <w:vAlign w:val="bottom"/>
            <w:hideMark/>
          </w:tcPr>
          <w:p w14:paraId="02706008" w14:textId="77777777" w:rsidR="009123AC" w:rsidRPr="00F0379B" w:rsidRDefault="009123AC" w:rsidP="009123AC">
            <w:pPr>
              <w:spacing w:line="240" w:lineRule="auto"/>
              <w:rPr>
                <w:rFonts w:ascii="Cambria" w:eastAsiaTheme="minorEastAsia" w:hAnsi="Cambria"/>
                <w:b/>
                <w:b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Kawasaki</w:t>
            </w:r>
          </w:p>
        </w:tc>
      </w:tr>
      <w:tr w:rsidR="009123AC" w:rsidRPr="00F0379B" w14:paraId="551B2B21" w14:textId="77777777" w:rsidTr="00CA749B">
        <w:tc>
          <w:tcPr>
            <w:tcW w:w="453" w:type="dxa"/>
            <w:tcBorders>
              <w:top w:val="single" w:sz="4" w:space="0" w:color="auto"/>
              <w:left w:val="single" w:sz="4" w:space="0" w:color="auto"/>
              <w:bottom w:val="single" w:sz="4" w:space="0" w:color="auto"/>
              <w:right w:val="single" w:sz="4" w:space="0" w:color="auto"/>
            </w:tcBorders>
            <w:hideMark/>
          </w:tcPr>
          <w:p w14:paraId="7E25A94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3</w:t>
            </w:r>
          </w:p>
        </w:tc>
        <w:tc>
          <w:tcPr>
            <w:tcW w:w="1527" w:type="dxa"/>
            <w:tcBorders>
              <w:top w:val="single" w:sz="4" w:space="0" w:color="auto"/>
              <w:left w:val="nil"/>
              <w:bottom w:val="single" w:sz="4" w:space="0" w:color="auto"/>
              <w:right w:val="single" w:sz="4" w:space="0" w:color="auto"/>
            </w:tcBorders>
            <w:vAlign w:val="bottom"/>
            <w:hideMark/>
          </w:tcPr>
          <w:p w14:paraId="05DB9CCD" w14:textId="77777777" w:rsidR="009123AC" w:rsidRPr="00F0379B" w:rsidRDefault="009123AC" w:rsidP="009123AC">
            <w:pPr>
              <w:spacing w:line="240" w:lineRule="auto"/>
              <w:rPr>
                <w:rFonts w:ascii="Cambria" w:eastAsiaTheme="minorEastAsia" w:hAnsi="Cambria"/>
                <w:b/>
                <w:b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Yokohama</w:t>
            </w:r>
          </w:p>
        </w:tc>
      </w:tr>
      <w:tr w:rsidR="009123AC" w:rsidRPr="00F0379B" w14:paraId="1803BF42" w14:textId="77777777" w:rsidTr="00CA749B">
        <w:tc>
          <w:tcPr>
            <w:tcW w:w="453" w:type="dxa"/>
            <w:tcBorders>
              <w:top w:val="single" w:sz="4" w:space="0" w:color="auto"/>
              <w:left w:val="single" w:sz="4" w:space="0" w:color="auto"/>
              <w:bottom w:val="single" w:sz="4" w:space="0" w:color="auto"/>
              <w:right w:val="single" w:sz="4" w:space="0" w:color="auto"/>
            </w:tcBorders>
            <w:hideMark/>
          </w:tcPr>
          <w:p w14:paraId="0E5275D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4</w:t>
            </w:r>
          </w:p>
        </w:tc>
        <w:tc>
          <w:tcPr>
            <w:tcW w:w="1527" w:type="dxa"/>
            <w:tcBorders>
              <w:top w:val="single" w:sz="4" w:space="0" w:color="auto"/>
              <w:left w:val="nil"/>
              <w:bottom w:val="single" w:sz="4" w:space="0" w:color="auto"/>
              <w:right w:val="single" w:sz="4" w:space="0" w:color="auto"/>
            </w:tcBorders>
            <w:vAlign w:val="bottom"/>
            <w:hideMark/>
          </w:tcPr>
          <w:p w14:paraId="0C7FA5AE" w14:textId="77777777" w:rsidR="009123AC" w:rsidRPr="00F0379B" w:rsidRDefault="009123AC" w:rsidP="009123AC">
            <w:pPr>
              <w:spacing w:line="240" w:lineRule="auto"/>
              <w:rPr>
                <w:rFonts w:ascii="Cambria" w:eastAsiaTheme="minorEastAsia" w:hAnsi="Cambria"/>
                <w:b/>
                <w:bCs/>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Yokosuka</w:t>
            </w:r>
            <w:proofErr w:type="spellEnd"/>
          </w:p>
        </w:tc>
      </w:tr>
      <w:tr w:rsidR="009123AC" w:rsidRPr="00F0379B" w14:paraId="28ECF685" w14:textId="77777777" w:rsidTr="00CA749B">
        <w:tc>
          <w:tcPr>
            <w:tcW w:w="453" w:type="dxa"/>
            <w:tcBorders>
              <w:top w:val="single" w:sz="4" w:space="0" w:color="auto"/>
              <w:left w:val="single" w:sz="4" w:space="0" w:color="auto"/>
              <w:bottom w:val="single" w:sz="4" w:space="0" w:color="auto"/>
              <w:right w:val="single" w:sz="4" w:space="0" w:color="auto"/>
            </w:tcBorders>
            <w:hideMark/>
          </w:tcPr>
          <w:p w14:paraId="62CCFF8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5</w:t>
            </w:r>
          </w:p>
        </w:tc>
        <w:tc>
          <w:tcPr>
            <w:tcW w:w="1527" w:type="dxa"/>
            <w:tcBorders>
              <w:top w:val="single" w:sz="4" w:space="0" w:color="auto"/>
              <w:left w:val="nil"/>
              <w:bottom w:val="single" w:sz="4" w:space="0" w:color="auto"/>
              <w:right w:val="single" w:sz="4" w:space="0" w:color="auto"/>
            </w:tcBorders>
            <w:vAlign w:val="bottom"/>
            <w:hideMark/>
          </w:tcPr>
          <w:p w14:paraId="6D747D04" w14:textId="77777777" w:rsidR="009123AC" w:rsidRPr="00F0379B" w:rsidRDefault="009123AC" w:rsidP="009123AC">
            <w:pPr>
              <w:spacing w:line="240" w:lineRule="auto"/>
              <w:rPr>
                <w:rFonts w:ascii="Cambria" w:eastAsiaTheme="minorEastAsia" w:hAnsi="Cambria"/>
                <w:b/>
                <w:b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Misaki</w:t>
            </w:r>
          </w:p>
        </w:tc>
      </w:tr>
      <w:tr w:rsidR="009123AC" w:rsidRPr="00F0379B" w14:paraId="355531ED" w14:textId="77777777" w:rsidTr="00CA749B">
        <w:tc>
          <w:tcPr>
            <w:tcW w:w="453" w:type="dxa"/>
            <w:tcBorders>
              <w:top w:val="single" w:sz="4" w:space="0" w:color="auto"/>
              <w:left w:val="single" w:sz="4" w:space="0" w:color="auto"/>
              <w:bottom w:val="single" w:sz="4" w:space="0" w:color="auto"/>
              <w:right w:val="single" w:sz="4" w:space="0" w:color="auto"/>
            </w:tcBorders>
            <w:hideMark/>
          </w:tcPr>
          <w:p w14:paraId="25BA0DB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6</w:t>
            </w:r>
          </w:p>
        </w:tc>
        <w:tc>
          <w:tcPr>
            <w:tcW w:w="1527" w:type="dxa"/>
            <w:tcBorders>
              <w:top w:val="single" w:sz="4" w:space="0" w:color="auto"/>
              <w:left w:val="nil"/>
              <w:bottom w:val="single" w:sz="4" w:space="0" w:color="auto"/>
              <w:right w:val="single" w:sz="4" w:space="0" w:color="auto"/>
            </w:tcBorders>
            <w:vAlign w:val="bottom"/>
            <w:hideMark/>
          </w:tcPr>
          <w:p w14:paraId="6DAD885C" w14:textId="77777777" w:rsidR="009123AC" w:rsidRPr="00F0379B" w:rsidRDefault="009123AC" w:rsidP="009123AC">
            <w:pPr>
              <w:spacing w:line="240" w:lineRule="auto"/>
              <w:rPr>
                <w:rFonts w:ascii="Cambria" w:eastAsiaTheme="minorEastAsia" w:hAnsi="Cambria"/>
                <w:b/>
                <w:b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Shimizu</w:t>
            </w:r>
          </w:p>
        </w:tc>
      </w:tr>
      <w:tr w:rsidR="009123AC" w:rsidRPr="00F0379B" w14:paraId="51F3DE6D" w14:textId="77777777" w:rsidTr="00CA749B">
        <w:tc>
          <w:tcPr>
            <w:tcW w:w="453" w:type="dxa"/>
            <w:tcBorders>
              <w:top w:val="single" w:sz="4" w:space="0" w:color="auto"/>
              <w:left w:val="single" w:sz="4" w:space="0" w:color="auto"/>
              <w:bottom w:val="single" w:sz="4" w:space="0" w:color="auto"/>
              <w:right w:val="single" w:sz="4" w:space="0" w:color="auto"/>
            </w:tcBorders>
            <w:hideMark/>
          </w:tcPr>
          <w:p w14:paraId="2069185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7</w:t>
            </w:r>
          </w:p>
        </w:tc>
        <w:tc>
          <w:tcPr>
            <w:tcW w:w="1527" w:type="dxa"/>
            <w:tcBorders>
              <w:top w:val="single" w:sz="4" w:space="0" w:color="auto"/>
              <w:left w:val="nil"/>
              <w:bottom w:val="single" w:sz="4" w:space="0" w:color="auto"/>
              <w:right w:val="single" w:sz="4" w:space="0" w:color="auto"/>
            </w:tcBorders>
            <w:vAlign w:val="bottom"/>
            <w:hideMark/>
          </w:tcPr>
          <w:p w14:paraId="7AD82AEE" w14:textId="77777777" w:rsidR="009123AC" w:rsidRPr="00F0379B" w:rsidRDefault="009123AC" w:rsidP="009123AC">
            <w:pPr>
              <w:spacing w:line="240" w:lineRule="auto"/>
              <w:rPr>
                <w:rFonts w:ascii="Cambria" w:eastAsiaTheme="minorEastAsia" w:hAnsi="Cambria"/>
                <w:b/>
                <w:bCs/>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Oigawa</w:t>
            </w:r>
            <w:proofErr w:type="spellEnd"/>
          </w:p>
        </w:tc>
      </w:tr>
      <w:tr w:rsidR="009123AC" w:rsidRPr="00F0379B" w14:paraId="04968E4A" w14:textId="77777777" w:rsidTr="00CA749B">
        <w:tc>
          <w:tcPr>
            <w:tcW w:w="453" w:type="dxa"/>
            <w:tcBorders>
              <w:top w:val="single" w:sz="4" w:space="0" w:color="auto"/>
              <w:left w:val="single" w:sz="4" w:space="0" w:color="auto"/>
              <w:bottom w:val="single" w:sz="4" w:space="0" w:color="auto"/>
              <w:right w:val="single" w:sz="4" w:space="0" w:color="auto"/>
            </w:tcBorders>
            <w:hideMark/>
          </w:tcPr>
          <w:p w14:paraId="13A8E01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8</w:t>
            </w:r>
          </w:p>
        </w:tc>
        <w:tc>
          <w:tcPr>
            <w:tcW w:w="1527" w:type="dxa"/>
            <w:tcBorders>
              <w:top w:val="single" w:sz="4" w:space="0" w:color="auto"/>
              <w:left w:val="nil"/>
              <w:bottom w:val="single" w:sz="4" w:space="0" w:color="auto"/>
              <w:right w:val="single" w:sz="4" w:space="0" w:color="auto"/>
            </w:tcBorders>
            <w:vAlign w:val="bottom"/>
            <w:hideMark/>
          </w:tcPr>
          <w:p w14:paraId="50A928FF" w14:textId="77777777" w:rsidR="009123AC" w:rsidRPr="00F0379B" w:rsidRDefault="009123AC" w:rsidP="009123AC">
            <w:pPr>
              <w:spacing w:line="240" w:lineRule="auto"/>
              <w:rPr>
                <w:rFonts w:ascii="Cambria" w:eastAsiaTheme="minorEastAsia" w:hAnsi="Cambria"/>
                <w:b/>
                <w:bCs/>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Yaizu</w:t>
            </w:r>
            <w:proofErr w:type="spellEnd"/>
          </w:p>
        </w:tc>
      </w:tr>
      <w:tr w:rsidR="009123AC" w:rsidRPr="00F0379B" w14:paraId="3840EA68" w14:textId="77777777" w:rsidTr="00CA749B">
        <w:tc>
          <w:tcPr>
            <w:tcW w:w="453" w:type="dxa"/>
            <w:tcBorders>
              <w:top w:val="single" w:sz="4" w:space="0" w:color="auto"/>
              <w:left w:val="single" w:sz="4" w:space="0" w:color="auto"/>
              <w:bottom w:val="single" w:sz="4" w:space="0" w:color="auto"/>
              <w:right w:val="single" w:sz="4" w:space="0" w:color="auto"/>
            </w:tcBorders>
            <w:hideMark/>
          </w:tcPr>
          <w:p w14:paraId="1EDD639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9</w:t>
            </w:r>
          </w:p>
        </w:tc>
        <w:tc>
          <w:tcPr>
            <w:tcW w:w="1527" w:type="dxa"/>
            <w:tcBorders>
              <w:top w:val="single" w:sz="4" w:space="0" w:color="auto"/>
              <w:left w:val="nil"/>
              <w:bottom w:val="single" w:sz="4" w:space="0" w:color="auto"/>
              <w:right w:val="single" w:sz="4" w:space="0" w:color="auto"/>
            </w:tcBorders>
            <w:vAlign w:val="bottom"/>
            <w:hideMark/>
          </w:tcPr>
          <w:p w14:paraId="2E42158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Kesennuma</w:t>
            </w:r>
            <w:proofErr w:type="spellEnd"/>
          </w:p>
        </w:tc>
      </w:tr>
      <w:tr w:rsidR="009123AC" w:rsidRPr="00F0379B" w14:paraId="06C6F728" w14:textId="77777777" w:rsidTr="00CA749B">
        <w:tc>
          <w:tcPr>
            <w:tcW w:w="453" w:type="dxa"/>
            <w:tcBorders>
              <w:top w:val="single" w:sz="4" w:space="0" w:color="auto"/>
              <w:left w:val="single" w:sz="4" w:space="0" w:color="auto"/>
              <w:bottom w:val="single" w:sz="4" w:space="0" w:color="auto"/>
              <w:right w:val="single" w:sz="4" w:space="0" w:color="auto"/>
            </w:tcBorders>
            <w:hideMark/>
          </w:tcPr>
          <w:p w14:paraId="2D6D761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10</w:t>
            </w:r>
          </w:p>
        </w:tc>
        <w:tc>
          <w:tcPr>
            <w:tcW w:w="1527" w:type="dxa"/>
            <w:tcBorders>
              <w:top w:val="single" w:sz="4" w:space="0" w:color="auto"/>
              <w:left w:val="nil"/>
              <w:bottom w:val="single" w:sz="4" w:space="0" w:color="auto"/>
              <w:right w:val="single" w:sz="4" w:space="0" w:color="auto"/>
            </w:tcBorders>
            <w:vAlign w:val="bottom"/>
            <w:hideMark/>
          </w:tcPr>
          <w:p w14:paraId="5B592AA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Kushikino</w:t>
            </w:r>
            <w:proofErr w:type="spellEnd"/>
          </w:p>
        </w:tc>
      </w:tr>
    </w:tbl>
    <w:p w14:paraId="1A0477E0" w14:textId="77777777" w:rsidR="009123AC" w:rsidRPr="00F0379B" w:rsidRDefault="009123AC" w:rsidP="009123AC">
      <w:pPr>
        <w:spacing w:after="0" w:line="240" w:lineRule="auto"/>
        <w:rPr>
          <w:rFonts w:ascii="Cambria" w:eastAsia="MS Gothic" w:hAnsi="Cambria" w:cs="Times New Roman"/>
          <w:b/>
          <w:bCs/>
          <w:sz w:val="20"/>
          <w:szCs w:val="20"/>
          <w:lang w:eastAsia="ja-JP" w:bidi="fr-FR"/>
          <w14:ligatures w14:val="standardContextual"/>
        </w:rPr>
      </w:pPr>
    </w:p>
    <w:p w14:paraId="387784A6" w14:textId="77777777" w:rsidR="009123AC" w:rsidRPr="00F0379B" w:rsidRDefault="009123AC" w:rsidP="009123AC">
      <w:pPr>
        <w:spacing w:line="259" w:lineRule="auto"/>
        <w:rPr>
          <w:rFonts w:ascii="Cambria" w:eastAsia="MS Gothic" w:hAnsi="Cambria" w:cs="Times New Roman"/>
          <w:b/>
          <w:bCs/>
          <w:sz w:val="20"/>
          <w:szCs w:val="20"/>
          <w:lang w:eastAsia="ja-JP" w:bidi="fr-FR"/>
          <w14:ligatures w14:val="standardContextual"/>
        </w:rPr>
      </w:pPr>
      <w:r w:rsidRPr="00F0379B">
        <w:rPr>
          <w:rFonts w:ascii="Cambria" w:eastAsia="MS Gothic" w:hAnsi="Cambria" w:cs="Times New Roman"/>
          <w:b/>
          <w:bCs/>
          <w:sz w:val="20"/>
          <w:szCs w:val="20"/>
          <w:lang w:eastAsia="ja-JP" w:bidi="fr-FR"/>
          <w14:ligatures w14:val="standardContextual"/>
        </w:rPr>
        <w:br w:type="page"/>
      </w:r>
    </w:p>
    <w:p w14:paraId="5C289797" w14:textId="77777777" w:rsidR="009123AC" w:rsidRPr="00F0379B" w:rsidRDefault="009123AC" w:rsidP="009123AC">
      <w:pPr>
        <w:spacing w:after="0" w:line="240" w:lineRule="auto"/>
        <w:rPr>
          <w:rFonts w:ascii="Cambria" w:eastAsia="MS Gothic" w:hAnsi="Cambria" w:cs="Times New Roman"/>
          <w:b/>
          <w:bCs/>
          <w:sz w:val="20"/>
          <w:szCs w:val="20"/>
          <w:lang w:eastAsia="ja-JP" w:bidi="fr-FR"/>
          <w14:ligatures w14:val="standardContextual"/>
        </w:rPr>
      </w:pPr>
      <w:r w:rsidRPr="00F0379B">
        <w:rPr>
          <w:rFonts w:ascii="Cambria" w:eastAsia="MS Gothic" w:hAnsi="Cambria" w:cs="Times New Roman"/>
          <w:b/>
          <w:bCs/>
          <w:sz w:val="20"/>
          <w:szCs w:val="20"/>
          <w:lang w:eastAsia="ja-JP" w:bidi="fr-FR"/>
          <w14:ligatures w14:val="standardContextual"/>
        </w:rPr>
        <w:t>Lista de puertos de terceras partes para el transbordo:</w:t>
      </w:r>
    </w:p>
    <w:p w14:paraId="1C4C5A0B" w14:textId="77777777" w:rsidR="009123AC" w:rsidRPr="00F0379B" w:rsidRDefault="009123AC" w:rsidP="009123AC">
      <w:pPr>
        <w:spacing w:after="0" w:line="240" w:lineRule="auto"/>
        <w:rPr>
          <w:rFonts w:ascii="Cambria" w:eastAsia="MS Gothic" w:hAnsi="Cambria" w:cs="Times New Roman"/>
          <w:b/>
          <w:bCs/>
          <w:sz w:val="20"/>
          <w:szCs w:val="20"/>
          <w:lang w:eastAsia="ja-JP" w:bidi="fr-FR"/>
          <w14:ligatures w14:val="standardContextual"/>
        </w:rPr>
      </w:pPr>
    </w:p>
    <w:tbl>
      <w:tblPr>
        <w:tblW w:w="5167" w:type="dxa"/>
        <w:tblInd w:w="-5" w:type="dxa"/>
        <w:tblCellMar>
          <w:left w:w="99" w:type="dxa"/>
          <w:right w:w="99" w:type="dxa"/>
        </w:tblCellMar>
        <w:tblLook w:val="04A0" w:firstRow="1" w:lastRow="0" w:firstColumn="1" w:lastColumn="0" w:noHBand="0" w:noVBand="1"/>
      </w:tblPr>
      <w:tblGrid>
        <w:gridCol w:w="1032"/>
        <w:gridCol w:w="2009"/>
        <w:gridCol w:w="2126"/>
      </w:tblGrid>
      <w:tr w:rsidR="009123AC" w:rsidRPr="00F0379B" w14:paraId="30D1AE6C" w14:textId="77777777" w:rsidTr="00CA749B">
        <w:trPr>
          <w:trHeight w:val="240"/>
        </w:trPr>
        <w:tc>
          <w:tcPr>
            <w:tcW w:w="1032" w:type="dxa"/>
            <w:tcBorders>
              <w:top w:val="single" w:sz="4" w:space="0" w:color="auto"/>
              <w:left w:val="single" w:sz="4" w:space="0" w:color="auto"/>
              <w:bottom w:val="single" w:sz="4" w:space="0" w:color="auto"/>
              <w:right w:val="single" w:sz="4" w:space="0" w:color="auto"/>
            </w:tcBorders>
          </w:tcPr>
          <w:p w14:paraId="382717D6"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p>
        </w:tc>
        <w:tc>
          <w:tcPr>
            <w:tcW w:w="2009" w:type="dxa"/>
            <w:tcBorders>
              <w:top w:val="single" w:sz="4" w:space="0" w:color="auto"/>
              <w:left w:val="single" w:sz="4" w:space="0" w:color="auto"/>
              <w:bottom w:val="single" w:sz="4" w:space="0" w:color="auto"/>
              <w:right w:val="single" w:sz="4" w:space="0" w:color="auto"/>
            </w:tcBorders>
            <w:noWrap/>
            <w:vAlign w:val="center"/>
            <w:hideMark/>
          </w:tcPr>
          <w:p w14:paraId="4ECA3D4A" w14:textId="77777777" w:rsidR="009123AC" w:rsidRPr="00F0379B" w:rsidRDefault="009123AC" w:rsidP="009123AC">
            <w:pPr>
              <w:spacing w:after="0" w:line="240" w:lineRule="auto"/>
              <w:rPr>
                <w:rFonts w:ascii="Cambria" w:eastAsia="MS Gothic" w:hAnsi="Cambria" w:cs="Times New Roman"/>
                <w:b/>
                <w:bCs/>
                <w:sz w:val="20"/>
                <w:szCs w:val="20"/>
                <w:lang w:eastAsia="ja-JP" w:bidi="fr-FR"/>
                <w14:ligatures w14:val="standardContextual"/>
              </w:rPr>
            </w:pPr>
            <w:r w:rsidRPr="00F0379B">
              <w:rPr>
                <w:rFonts w:ascii="Cambria" w:eastAsia="MS Gothic" w:hAnsi="Cambria" w:cs="Times New Roman"/>
                <w:b/>
                <w:bCs/>
                <w:sz w:val="20"/>
                <w:szCs w:val="20"/>
                <w:lang w:eastAsia="ja-JP" w:bidi="fr-FR"/>
                <w14:ligatures w14:val="standardContextual"/>
              </w:rPr>
              <w:t>País</w:t>
            </w:r>
          </w:p>
        </w:tc>
        <w:tc>
          <w:tcPr>
            <w:tcW w:w="2126" w:type="dxa"/>
            <w:tcBorders>
              <w:top w:val="single" w:sz="4" w:space="0" w:color="auto"/>
              <w:left w:val="nil"/>
              <w:bottom w:val="single" w:sz="4" w:space="0" w:color="auto"/>
              <w:right w:val="single" w:sz="4" w:space="0" w:color="auto"/>
            </w:tcBorders>
            <w:noWrap/>
            <w:vAlign w:val="center"/>
            <w:hideMark/>
          </w:tcPr>
          <w:p w14:paraId="3F9E23D6" w14:textId="77777777" w:rsidR="009123AC" w:rsidRPr="00F0379B" w:rsidRDefault="009123AC" w:rsidP="009123AC">
            <w:pPr>
              <w:spacing w:after="0" w:line="240" w:lineRule="auto"/>
              <w:rPr>
                <w:rFonts w:ascii="Cambria" w:eastAsia="MS Gothic" w:hAnsi="Cambria" w:cs="Times New Roman"/>
                <w:b/>
                <w:bCs/>
                <w:sz w:val="20"/>
                <w:szCs w:val="20"/>
                <w:lang w:eastAsia="ja-JP" w:bidi="fr-FR"/>
                <w14:ligatures w14:val="standardContextual"/>
              </w:rPr>
            </w:pPr>
            <w:r w:rsidRPr="00F0379B">
              <w:rPr>
                <w:rFonts w:ascii="Cambria" w:eastAsia="MS Gothic" w:hAnsi="Cambria" w:cs="Times New Roman"/>
                <w:b/>
                <w:bCs/>
                <w:sz w:val="20"/>
                <w:szCs w:val="20"/>
                <w:lang w:eastAsia="ja-JP" w:bidi="fr-FR"/>
                <w14:ligatures w14:val="standardContextual"/>
              </w:rPr>
              <w:t>Puerto</w:t>
            </w:r>
          </w:p>
        </w:tc>
      </w:tr>
      <w:tr w:rsidR="009123AC" w:rsidRPr="00F0379B" w14:paraId="004BC985" w14:textId="77777777" w:rsidTr="00CA749B">
        <w:trPr>
          <w:trHeight w:val="240"/>
        </w:trPr>
        <w:tc>
          <w:tcPr>
            <w:tcW w:w="1032" w:type="dxa"/>
            <w:tcBorders>
              <w:top w:val="nil"/>
              <w:left w:val="single" w:sz="4" w:space="0" w:color="auto"/>
              <w:bottom w:val="single" w:sz="4" w:space="0" w:color="auto"/>
              <w:right w:val="single" w:sz="4" w:space="0" w:color="auto"/>
            </w:tcBorders>
            <w:hideMark/>
          </w:tcPr>
          <w:p w14:paraId="771D2B5D"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1</w:t>
            </w:r>
          </w:p>
        </w:tc>
        <w:tc>
          <w:tcPr>
            <w:tcW w:w="2009" w:type="dxa"/>
            <w:tcBorders>
              <w:top w:val="nil"/>
              <w:left w:val="single" w:sz="4" w:space="0" w:color="auto"/>
              <w:bottom w:val="single" w:sz="4" w:space="0" w:color="auto"/>
              <w:right w:val="single" w:sz="4" w:space="0" w:color="auto"/>
            </w:tcBorders>
            <w:noWrap/>
            <w:vAlign w:val="center"/>
            <w:hideMark/>
          </w:tcPr>
          <w:p w14:paraId="35158F96"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Cabo Verde</w:t>
            </w:r>
          </w:p>
        </w:tc>
        <w:tc>
          <w:tcPr>
            <w:tcW w:w="2126" w:type="dxa"/>
            <w:tcBorders>
              <w:top w:val="nil"/>
              <w:left w:val="nil"/>
              <w:bottom w:val="single" w:sz="4" w:space="0" w:color="auto"/>
              <w:right w:val="single" w:sz="4" w:space="0" w:color="auto"/>
            </w:tcBorders>
            <w:noWrap/>
            <w:vAlign w:val="center"/>
            <w:hideMark/>
          </w:tcPr>
          <w:p w14:paraId="173250A0"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proofErr w:type="spellStart"/>
            <w:r w:rsidRPr="00F0379B">
              <w:rPr>
                <w:rFonts w:ascii="Cambria" w:eastAsia="MS Gothic" w:hAnsi="Cambria" w:cs="Times New Roman"/>
                <w:sz w:val="20"/>
                <w:szCs w:val="20"/>
                <w:lang w:eastAsia="ja-JP" w:bidi="fr-FR"/>
                <w14:ligatures w14:val="standardContextual"/>
              </w:rPr>
              <w:t>Mindelo</w:t>
            </w:r>
            <w:proofErr w:type="spellEnd"/>
          </w:p>
        </w:tc>
      </w:tr>
      <w:tr w:rsidR="009123AC" w:rsidRPr="00F0379B" w14:paraId="67C0BA56" w14:textId="77777777" w:rsidTr="00CA749B">
        <w:trPr>
          <w:trHeight w:val="240"/>
        </w:trPr>
        <w:tc>
          <w:tcPr>
            <w:tcW w:w="1032" w:type="dxa"/>
            <w:tcBorders>
              <w:top w:val="nil"/>
              <w:left w:val="single" w:sz="4" w:space="0" w:color="auto"/>
              <w:bottom w:val="single" w:sz="4" w:space="0" w:color="auto"/>
              <w:right w:val="single" w:sz="4" w:space="0" w:color="auto"/>
            </w:tcBorders>
            <w:hideMark/>
          </w:tcPr>
          <w:p w14:paraId="767E9A0D"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2</w:t>
            </w:r>
          </w:p>
        </w:tc>
        <w:tc>
          <w:tcPr>
            <w:tcW w:w="2009" w:type="dxa"/>
            <w:tcBorders>
              <w:top w:val="nil"/>
              <w:left w:val="single" w:sz="4" w:space="0" w:color="auto"/>
              <w:bottom w:val="single" w:sz="4" w:space="0" w:color="auto"/>
              <w:right w:val="single" w:sz="4" w:space="0" w:color="auto"/>
            </w:tcBorders>
            <w:noWrap/>
            <w:vAlign w:val="center"/>
            <w:hideMark/>
          </w:tcPr>
          <w:p w14:paraId="71E8E167"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Islandia</w:t>
            </w:r>
          </w:p>
        </w:tc>
        <w:tc>
          <w:tcPr>
            <w:tcW w:w="2126" w:type="dxa"/>
            <w:tcBorders>
              <w:top w:val="nil"/>
              <w:left w:val="nil"/>
              <w:bottom w:val="single" w:sz="4" w:space="0" w:color="auto"/>
              <w:right w:val="single" w:sz="4" w:space="0" w:color="auto"/>
            </w:tcBorders>
            <w:noWrap/>
            <w:vAlign w:val="center"/>
            <w:hideMark/>
          </w:tcPr>
          <w:p w14:paraId="0E1C1E3D"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proofErr w:type="spellStart"/>
            <w:r w:rsidRPr="00F0379B">
              <w:rPr>
                <w:rFonts w:ascii="Cambria" w:eastAsia="MS Gothic" w:hAnsi="Cambria" w:cs="Times New Roman"/>
                <w:sz w:val="20"/>
                <w:szCs w:val="20"/>
                <w:lang w:eastAsia="ja-JP" w:bidi="fr-FR"/>
                <w14:ligatures w14:val="standardContextual"/>
              </w:rPr>
              <w:t>Reykjavík</w:t>
            </w:r>
            <w:proofErr w:type="spellEnd"/>
          </w:p>
        </w:tc>
      </w:tr>
      <w:tr w:rsidR="009123AC" w:rsidRPr="00F0379B" w14:paraId="0B36B18A" w14:textId="77777777" w:rsidTr="00CA749B">
        <w:trPr>
          <w:trHeight w:val="240"/>
        </w:trPr>
        <w:tc>
          <w:tcPr>
            <w:tcW w:w="1032" w:type="dxa"/>
            <w:tcBorders>
              <w:top w:val="nil"/>
              <w:left w:val="single" w:sz="4" w:space="0" w:color="auto"/>
              <w:bottom w:val="single" w:sz="4" w:space="0" w:color="auto"/>
              <w:right w:val="single" w:sz="4" w:space="0" w:color="auto"/>
            </w:tcBorders>
          </w:tcPr>
          <w:p w14:paraId="67B96D93"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3</w:t>
            </w:r>
          </w:p>
        </w:tc>
        <w:tc>
          <w:tcPr>
            <w:tcW w:w="2009" w:type="dxa"/>
            <w:tcBorders>
              <w:top w:val="nil"/>
              <w:left w:val="single" w:sz="4" w:space="0" w:color="auto"/>
              <w:bottom w:val="single" w:sz="4" w:space="0" w:color="auto"/>
              <w:right w:val="single" w:sz="4" w:space="0" w:color="auto"/>
            </w:tcBorders>
            <w:noWrap/>
            <w:vAlign w:val="center"/>
          </w:tcPr>
          <w:p w14:paraId="4FAD95AA"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Marruecos</w:t>
            </w:r>
          </w:p>
        </w:tc>
        <w:tc>
          <w:tcPr>
            <w:tcW w:w="2126" w:type="dxa"/>
            <w:tcBorders>
              <w:top w:val="nil"/>
              <w:left w:val="nil"/>
              <w:bottom w:val="single" w:sz="4" w:space="0" w:color="auto"/>
              <w:right w:val="single" w:sz="4" w:space="0" w:color="auto"/>
            </w:tcBorders>
            <w:noWrap/>
            <w:vAlign w:val="center"/>
          </w:tcPr>
          <w:p w14:paraId="51537EDC"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Tánger Ville</w:t>
            </w:r>
          </w:p>
        </w:tc>
      </w:tr>
      <w:tr w:rsidR="009123AC" w:rsidRPr="00F0379B" w14:paraId="48F710D5" w14:textId="77777777" w:rsidTr="00CA749B">
        <w:trPr>
          <w:trHeight w:val="240"/>
        </w:trPr>
        <w:tc>
          <w:tcPr>
            <w:tcW w:w="1032" w:type="dxa"/>
            <w:tcBorders>
              <w:top w:val="nil"/>
              <w:left w:val="single" w:sz="4" w:space="0" w:color="auto"/>
              <w:bottom w:val="single" w:sz="4" w:space="0" w:color="auto"/>
              <w:right w:val="single" w:sz="4" w:space="0" w:color="auto"/>
            </w:tcBorders>
            <w:hideMark/>
          </w:tcPr>
          <w:p w14:paraId="4C45B906"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4</w:t>
            </w:r>
          </w:p>
        </w:tc>
        <w:tc>
          <w:tcPr>
            <w:tcW w:w="2009" w:type="dxa"/>
            <w:vMerge w:val="restart"/>
            <w:tcBorders>
              <w:top w:val="nil"/>
              <w:left w:val="single" w:sz="4" w:space="0" w:color="auto"/>
              <w:bottom w:val="single" w:sz="4" w:space="0" w:color="auto"/>
              <w:right w:val="single" w:sz="4" w:space="0" w:color="auto"/>
            </w:tcBorders>
            <w:noWrap/>
            <w:vAlign w:val="center"/>
            <w:hideMark/>
          </w:tcPr>
          <w:p w14:paraId="29D7F65E"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Panamá</w:t>
            </w:r>
          </w:p>
        </w:tc>
        <w:tc>
          <w:tcPr>
            <w:tcW w:w="2126" w:type="dxa"/>
            <w:tcBorders>
              <w:top w:val="nil"/>
              <w:left w:val="nil"/>
              <w:bottom w:val="single" w:sz="4" w:space="0" w:color="auto"/>
              <w:right w:val="single" w:sz="4" w:space="0" w:color="auto"/>
            </w:tcBorders>
            <w:noWrap/>
            <w:vAlign w:val="center"/>
            <w:hideMark/>
          </w:tcPr>
          <w:p w14:paraId="5D135029"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Cristóbal</w:t>
            </w:r>
          </w:p>
        </w:tc>
      </w:tr>
      <w:tr w:rsidR="009123AC" w:rsidRPr="00F0379B" w14:paraId="280C8884" w14:textId="77777777" w:rsidTr="00CA749B">
        <w:trPr>
          <w:trHeight w:val="240"/>
        </w:trPr>
        <w:tc>
          <w:tcPr>
            <w:tcW w:w="1032" w:type="dxa"/>
            <w:tcBorders>
              <w:top w:val="nil"/>
              <w:left w:val="single" w:sz="4" w:space="0" w:color="auto"/>
              <w:bottom w:val="single" w:sz="4" w:space="0" w:color="auto"/>
              <w:right w:val="single" w:sz="4" w:space="0" w:color="auto"/>
            </w:tcBorders>
            <w:hideMark/>
          </w:tcPr>
          <w:p w14:paraId="494D9059"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5</w:t>
            </w:r>
          </w:p>
        </w:tc>
        <w:tc>
          <w:tcPr>
            <w:tcW w:w="2009" w:type="dxa"/>
            <w:vMerge/>
            <w:tcBorders>
              <w:top w:val="nil"/>
              <w:left w:val="single" w:sz="4" w:space="0" w:color="auto"/>
              <w:bottom w:val="single" w:sz="4" w:space="0" w:color="auto"/>
              <w:right w:val="single" w:sz="4" w:space="0" w:color="auto"/>
            </w:tcBorders>
            <w:vAlign w:val="center"/>
            <w:hideMark/>
          </w:tcPr>
          <w:p w14:paraId="3FA77F6C"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p>
        </w:tc>
        <w:tc>
          <w:tcPr>
            <w:tcW w:w="2126" w:type="dxa"/>
            <w:tcBorders>
              <w:top w:val="nil"/>
              <w:left w:val="nil"/>
              <w:bottom w:val="single" w:sz="4" w:space="0" w:color="auto"/>
              <w:right w:val="single" w:sz="4" w:space="0" w:color="auto"/>
            </w:tcBorders>
            <w:noWrap/>
            <w:vAlign w:val="center"/>
            <w:hideMark/>
          </w:tcPr>
          <w:p w14:paraId="17D02AF4"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Balboa</w:t>
            </w:r>
          </w:p>
        </w:tc>
      </w:tr>
      <w:tr w:rsidR="009123AC" w:rsidRPr="00F0379B" w14:paraId="535ECAFF" w14:textId="77777777" w:rsidTr="00CA749B">
        <w:trPr>
          <w:trHeight w:val="240"/>
        </w:trPr>
        <w:tc>
          <w:tcPr>
            <w:tcW w:w="1032" w:type="dxa"/>
            <w:tcBorders>
              <w:top w:val="nil"/>
              <w:left w:val="single" w:sz="4" w:space="0" w:color="auto"/>
              <w:bottom w:val="single" w:sz="4" w:space="0" w:color="auto"/>
              <w:right w:val="single" w:sz="4" w:space="0" w:color="auto"/>
            </w:tcBorders>
            <w:hideMark/>
          </w:tcPr>
          <w:p w14:paraId="03DDFA70"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6</w:t>
            </w:r>
          </w:p>
        </w:tc>
        <w:tc>
          <w:tcPr>
            <w:tcW w:w="2009" w:type="dxa"/>
            <w:tcBorders>
              <w:top w:val="nil"/>
              <w:left w:val="single" w:sz="4" w:space="0" w:color="auto"/>
              <w:bottom w:val="single" w:sz="4" w:space="0" w:color="auto"/>
              <w:right w:val="single" w:sz="4" w:space="0" w:color="auto"/>
            </w:tcBorders>
            <w:noWrap/>
            <w:vAlign w:val="center"/>
            <w:hideMark/>
          </w:tcPr>
          <w:p w14:paraId="75DD3CED"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Sudáfrica</w:t>
            </w:r>
          </w:p>
        </w:tc>
        <w:tc>
          <w:tcPr>
            <w:tcW w:w="2126" w:type="dxa"/>
            <w:tcBorders>
              <w:top w:val="nil"/>
              <w:left w:val="nil"/>
              <w:bottom w:val="single" w:sz="4" w:space="0" w:color="auto"/>
              <w:right w:val="single" w:sz="4" w:space="0" w:color="auto"/>
            </w:tcBorders>
            <w:noWrap/>
            <w:vAlign w:val="center"/>
            <w:hideMark/>
          </w:tcPr>
          <w:p w14:paraId="437750AD"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Ciudad del Cabo</w:t>
            </w:r>
          </w:p>
        </w:tc>
      </w:tr>
      <w:tr w:rsidR="009123AC" w:rsidRPr="00F0379B" w14:paraId="7D2206B0" w14:textId="77777777" w:rsidTr="00CA749B">
        <w:trPr>
          <w:trHeight w:val="240"/>
        </w:trPr>
        <w:tc>
          <w:tcPr>
            <w:tcW w:w="1032" w:type="dxa"/>
            <w:tcBorders>
              <w:top w:val="nil"/>
              <w:left w:val="single" w:sz="4" w:space="0" w:color="auto"/>
              <w:bottom w:val="single" w:sz="4" w:space="0" w:color="auto"/>
              <w:right w:val="single" w:sz="4" w:space="0" w:color="auto"/>
            </w:tcBorders>
            <w:hideMark/>
          </w:tcPr>
          <w:p w14:paraId="769E83C8"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7</w:t>
            </w:r>
          </w:p>
        </w:tc>
        <w:tc>
          <w:tcPr>
            <w:tcW w:w="2009" w:type="dxa"/>
            <w:tcBorders>
              <w:top w:val="nil"/>
              <w:left w:val="single" w:sz="4" w:space="0" w:color="auto"/>
              <w:bottom w:val="single" w:sz="4" w:space="0" w:color="auto"/>
              <w:right w:val="single" w:sz="4" w:space="0" w:color="auto"/>
            </w:tcBorders>
            <w:noWrap/>
            <w:vAlign w:val="center"/>
            <w:hideMark/>
          </w:tcPr>
          <w:p w14:paraId="3A32861E"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UE-España</w:t>
            </w:r>
          </w:p>
        </w:tc>
        <w:tc>
          <w:tcPr>
            <w:tcW w:w="2126" w:type="dxa"/>
            <w:tcBorders>
              <w:top w:val="nil"/>
              <w:left w:val="nil"/>
              <w:bottom w:val="single" w:sz="4" w:space="0" w:color="auto"/>
              <w:right w:val="single" w:sz="4" w:space="0" w:color="auto"/>
            </w:tcBorders>
            <w:noWrap/>
            <w:vAlign w:val="center"/>
            <w:hideMark/>
          </w:tcPr>
          <w:p w14:paraId="3F500D7B" w14:textId="77777777" w:rsidR="009123AC" w:rsidRPr="00F0379B" w:rsidRDefault="009123AC" w:rsidP="009123AC">
            <w:pPr>
              <w:spacing w:after="0" w:line="240" w:lineRule="auto"/>
              <w:rPr>
                <w:rFonts w:ascii="Cambria" w:eastAsia="MS Gothic" w:hAnsi="Cambria" w:cs="Times New Roman"/>
                <w:sz w:val="20"/>
                <w:szCs w:val="20"/>
                <w:lang w:eastAsia="ja-JP" w:bidi="fr-FR"/>
                <w14:ligatures w14:val="standardContextual"/>
              </w:rPr>
            </w:pPr>
            <w:r w:rsidRPr="00F0379B">
              <w:rPr>
                <w:rFonts w:ascii="Cambria" w:eastAsia="MS Gothic" w:hAnsi="Cambria" w:cs="Times New Roman"/>
                <w:sz w:val="20"/>
                <w:szCs w:val="20"/>
                <w:lang w:eastAsia="ja-JP" w:bidi="fr-FR"/>
                <w14:ligatures w14:val="standardContextual"/>
              </w:rPr>
              <w:t>Las Palmas</w:t>
            </w:r>
          </w:p>
        </w:tc>
      </w:tr>
    </w:tbl>
    <w:p w14:paraId="1D679A6E" w14:textId="77777777" w:rsidR="009123AC" w:rsidRPr="00F0379B" w:rsidRDefault="009123AC" w:rsidP="009123AC">
      <w:pPr>
        <w:spacing w:after="0" w:line="240" w:lineRule="auto"/>
        <w:rPr>
          <w:rFonts w:ascii="Cambria" w:eastAsia="MS Gothic" w:hAnsi="Cambria" w:cs="Times New Roman"/>
          <w:b/>
          <w:sz w:val="20"/>
          <w:szCs w:val="20"/>
          <w:lang w:eastAsia="ja-JP" w:bidi="fr-FR"/>
          <w14:ligatures w14:val="standardContextual"/>
        </w:rPr>
      </w:pPr>
    </w:p>
    <w:p w14:paraId="2A9C379E" w14:textId="77777777" w:rsidR="009123AC" w:rsidRPr="00F0379B" w:rsidRDefault="009123AC" w:rsidP="009123AC">
      <w:pPr>
        <w:spacing w:after="0" w:line="240" w:lineRule="auto"/>
        <w:rPr>
          <w:rFonts w:ascii="Cambria" w:eastAsia="MS Gothic" w:hAnsi="Cambria" w:cs="Times New Roman"/>
          <w:b/>
          <w:sz w:val="20"/>
          <w:szCs w:val="20"/>
          <w:lang w:eastAsia="ja-JP" w:bidi="fr-FR"/>
          <w14:ligatures w14:val="standardContextual"/>
        </w:rPr>
      </w:pPr>
    </w:p>
    <w:p w14:paraId="460E7114" w14:textId="77777777" w:rsidR="009123AC" w:rsidRPr="00F0379B" w:rsidRDefault="009123AC" w:rsidP="00CE0EC8">
      <w:pPr>
        <w:numPr>
          <w:ilvl w:val="0"/>
          <w:numId w:val="53"/>
        </w:numPr>
        <w:spacing w:after="0" w:line="240" w:lineRule="auto"/>
        <w:ind w:left="425" w:hanging="425"/>
        <w:contextualSpacing/>
        <w:jc w:val="both"/>
        <w:rPr>
          <w:rFonts w:ascii="Cambria" w:eastAsia="MS Gothic" w:hAnsi="Cambria"/>
          <w:b/>
          <w:bCs/>
          <w:iCs/>
          <w:kern w:val="2"/>
          <w:sz w:val="20"/>
          <w:szCs w:val="20"/>
          <w:lang w:eastAsia="fr-FR" w:bidi="fr-FR"/>
          <w14:ligatures w14:val="standardContextual"/>
        </w:rPr>
      </w:pPr>
      <w:r w:rsidRPr="00F0379B">
        <w:rPr>
          <w:rFonts w:ascii="Cambria" w:eastAsia="MS Gothic" w:hAnsi="Cambria"/>
          <w:b/>
          <w:bCs/>
          <w:iCs/>
          <w:kern w:val="2"/>
          <w:sz w:val="20"/>
          <w:szCs w:val="20"/>
          <w:lang w:eastAsia="fr-FR" w:bidi="fr-FR"/>
          <w14:ligatures w14:val="standardContextual"/>
        </w:rPr>
        <w:t>Plan anual de ordenación de la capacidad pesquera (párrs. 14-21)</w:t>
      </w:r>
    </w:p>
    <w:p w14:paraId="3314ED73" w14:textId="77777777" w:rsidR="009123AC" w:rsidRPr="00F0379B" w:rsidRDefault="009123AC" w:rsidP="009123AC">
      <w:pPr>
        <w:spacing w:after="0" w:line="240" w:lineRule="auto"/>
        <w:jc w:val="both"/>
        <w:rPr>
          <w:rFonts w:ascii="Cambria" w:eastAsia="MS Gothic" w:hAnsi="Cambria" w:cs="Times New Roman"/>
          <w:b/>
          <w:sz w:val="20"/>
          <w:szCs w:val="20"/>
          <w:lang w:eastAsia="fr-FR" w:bidi="fr-FR"/>
          <w14:ligatures w14:val="standardContextual"/>
        </w:rPr>
      </w:pPr>
    </w:p>
    <w:p w14:paraId="44E61ECE"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El ministro asignará a cada LSTLV una cuota individual, que sea superior a la cantidad de captura recomendada (25 t por LSTLV de más de 40 m) estimada por el SCRS (véase la Tabla de capacidad). Por tanto, Japón, que ha cumplido su obligación respecto al ajuste de la capacidad establecida en la Rec. 25-04, se asegura de que su capacidad pesquera es acorde con su cuota asignada.</w:t>
      </w:r>
    </w:p>
    <w:p w14:paraId="4B38B05C" w14:textId="77777777" w:rsidR="009123AC" w:rsidRPr="00F0379B" w:rsidRDefault="009123AC" w:rsidP="009123AC">
      <w:pPr>
        <w:spacing w:after="0" w:line="240" w:lineRule="auto"/>
        <w:jc w:val="both"/>
        <w:rPr>
          <w:rFonts w:ascii="Cambria" w:eastAsia="MS Gothic" w:hAnsi="Cambria" w:cs="Times New Roman"/>
          <w:iCs/>
          <w:color w:val="FF0000"/>
          <w:sz w:val="20"/>
          <w:szCs w:val="20"/>
          <w:lang w:eastAsia="fr-FR" w:bidi="fr-FR"/>
          <w14:ligatures w14:val="standardContextual"/>
        </w:rPr>
      </w:pPr>
    </w:p>
    <w:p w14:paraId="58D285FF" w14:textId="77777777" w:rsidR="009123AC" w:rsidRPr="00F0379B" w:rsidRDefault="009123AC" w:rsidP="009123AC">
      <w:pPr>
        <w:spacing w:after="0" w:line="240" w:lineRule="auto"/>
        <w:jc w:val="both"/>
        <w:rPr>
          <w:rFonts w:ascii="Cambria" w:eastAsia="MS Gothic" w:hAnsi="Cambria" w:cs="Times New Roman"/>
          <w:iCs/>
          <w:color w:val="FF0000"/>
          <w:sz w:val="20"/>
          <w:szCs w:val="20"/>
          <w:lang w:eastAsia="fr-FR" w:bidi="fr-FR"/>
          <w14:ligatures w14:val="standardContextual"/>
        </w:rPr>
      </w:pPr>
    </w:p>
    <w:p w14:paraId="1F6B79E8" w14:textId="77777777" w:rsidR="009123AC" w:rsidRPr="00F0379B" w:rsidRDefault="009123AC" w:rsidP="00CE0EC8">
      <w:pPr>
        <w:numPr>
          <w:ilvl w:val="0"/>
          <w:numId w:val="53"/>
        </w:numPr>
        <w:spacing w:after="0" w:line="240" w:lineRule="auto"/>
        <w:ind w:left="426" w:hanging="426"/>
        <w:contextualSpacing/>
        <w:jc w:val="both"/>
        <w:rPr>
          <w:rFonts w:ascii="Cambria" w:eastAsia="MS Gothic" w:hAnsi="Cambria"/>
          <w:b/>
          <w:bCs/>
          <w:iCs/>
          <w:kern w:val="2"/>
          <w:sz w:val="20"/>
          <w:szCs w:val="20"/>
          <w:lang w:eastAsia="fr-FR" w:bidi="fr-FR"/>
          <w14:ligatures w14:val="standardContextual"/>
        </w:rPr>
      </w:pPr>
      <w:r w:rsidRPr="00F0379B">
        <w:rPr>
          <w:rFonts w:ascii="Cambria" w:eastAsia="MS Gothic" w:hAnsi="Cambria"/>
          <w:b/>
          <w:bCs/>
          <w:iCs/>
          <w:kern w:val="2"/>
          <w:sz w:val="20"/>
          <w:szCs w:val="20"/>
          <w:lang w:eastAsia="fr-FR" w:bidi="fr-FR"/>
          <w14:ligatures w14:val="standardContextual"/>
        </w:rPr>
        <w:t>Plan anual de ordenación de la cría (párrs. 22 y 23), si es aplicable</w:t>
      </w:r>
    </w:p>
    <w:p w14:paraId="79306CD4" w14:textId="77777777" w:rsidR="009123AC" w:rsidRPr="00F0379B" w:rsidRDefault="009123AC" w:rsidP="009123AC">
      <w:pPr>
        <w:spacing w:after="0" w:line="240" w:lineRule="auto"/>
        <w:jc w:val="both"/>
        <w:rPr>
          <w:rFonts w:ascii="Cambria" w:eastAsia="MS Gothic" w:hAnsi="Cambria" w:cs="Times New Roman"/>
          <w:b/>
          <w:sz w:val="20"/>
          <w:szCs w:val="20"/>
          <w:lang w:eastAsia="fr-FR" w:bidi="fr-FR"/>
          <w14:ligatures w14:val="standardContextual"/>
        </w:rPr>
      </w:pPr>
    </w:p>
    <w:p w14:paraId="51CC0005"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No aplicable.</w:t>
      </w:r>
    </w:p>
    <w:p w14:paraId="1A29952A" w14:textId="77777777" w:rsidR="009123AC" w:rsidRPr="00F0379B" w:rsidRDefault="009123AC" w:rsidP="009123AC">
      <w:pPr>
        <w:spacing w:after="0" w:line="240" w:lineRule="auto"/>
        <w:jc w:val="both"/>
        <w:rPr>
          <w:rFonts w:ascii="Cambria" w:eastAsia="MS Gothic" w:hAnsi="Cambria" w:cs="Times New Roman"/>
          <w:b/>
          <w:sz w:val="20"/>
          <w:szCs w:val="20"/>
          <w:lang w:eastAsia="ja-JP" w:bidi="fr-FR"/>
          <w14:ligatures w14:val="standardContextual"/>
        </w:rPr>
      </w:pPr>
    </w:p>
    <w:p w14:paraId="484C1B76" w14:textId="77777777" w:rsidR="009123AC" w:rsidRPr="00F0379B" w:rsidRDefault="009123AC" w:rsidP="009123AC">
      <w:pPr>
        <w:spacing w:after="0" w:line="240" w:lineRule="auto"/>
        <w:jc w:val="both"/>
        <w:rPr>
          <w:rFonts w:ascii="Cambria" w:eastAsia="MS Gothic" w:hAnsi="Cambria" w:cs="Times New Roman"/>
          <w:b/>
          <w:sz w:val="20"/>
          <w:szCs w:val="20"/>
          <w:lang w:eastAsia="ja-JP" w:bidi="fr-FR"/>
          <w14:ligatures w14:val="standardContextual"/>
        </w:rPr>
      </w:pPr>
    </w:p>
    <w:p w14:paraId="2AC66858" w14:textId="77777777" w:rsidR="009123AC" w:rsidRPr="00F0379B" w:rsidRDefault="009123AC" w:rsidP="00CE0EC8">
      <w:pPr>
        <w:numPr>
          <w:ilvl w:val="0"/>
          <w:numId w:val="53"/>
        </w:numPr>
        <w:spacing w:after="0" w:line="240" w:lineRule="auto"/>
        <w:ind w:left="426" w:hanging="426"/>
        <w:contextualSpacing/>
        <w:jc w:val="both"/>
        <w:rPr>
          <w:rFonts w:ascii="Cambria" w:eastAsia="MS Gothic" w:hAnsi="Cambria"/>
          <w:b/>
          <w:bCs/>
          <w:iCs/>
          <w:kern w:val="2"/>
          <w:sz w:val="20"/>
          <w:szCs w:val="20"/>
          <w:lang w:eastAsia="fr-FR" w:bidi="fr-FR"/>
          <w14:ligatures w14:val="standardContextual"/>
        </w:rPr>
      </w:pPr>
      <w:r w:rsidRPr="00F0379B">
        <w:rPr>
          <w:rFonts w:ascii="Cambria" w:eastAsia="MS Gothic" w:hAnsi="Cambria"/>
          <w:b/>
          <w:bCs/>
          <w:iCs/>
          <w:kern w:val="2"/>
          <w:sz w:val="20"/>
          <w:szCs w:val="20"/>
          <w:lang w:eastAsia="fr-FR" w:bidi="fr-FR"/>
          <w14:ligatures w14:val="standardContextual"/>
        </w:rPr>
        <w:t xml:space="preserve">Plan de inspección y control (párr. 10 e de la </w:t>
      </w:r>
      <w:hyperlink r:id="rId137" w:history="1">
        <w:r w:rsidRPr="00F0379B">
          <w:rPr>
            <w:rFonts w:ascii="Cambria" w:eastAsia="MS Gothic" w:hAnsi="Cambria"/>
            <w:b/>
            <w:bCs/>
            <w:iCs/>
            <w:color w:val="000000"/>
            <w:kern w:val="2"/>
            <w:sz w:val="20"/>
            <w:szCs w:val="20"/>
            <w:lang w:eastAsia="fr-FR" w:bidi="fr-FR"/>
            <w14:ligatures w14:val="standardContextual"/>
          </w:rPr>
          <w:t xml:space="preserve"> </w:t>
        </w:r>
        <w:hyperlink r:id="rId138" w:history="1">
          <w:r w:rsidRPr="00F0379B">
            <w:rPr>
              <w:rFonts w:ascii="Cambria" w:eastAsiaTheme="minorEastAsia" w:hAnsi="Cambria"/>
              <w:b/>
              <w:bCs/>
              <w:iCs/>
              <w:color w:val="0563C1" w:themeColor="hyperlink"/>
              <w:kern w:val="2"/>
              <w:sz w:val="20"/>
              <w:szCs w:val="20"/>
              <w:lang w:eastAsia="fr-FR" w:bidi="fr-FR"/>
              <w14:ligatures w14:val="standardContextual"/>
            </w:rPr>
            <w:t>Rec. 25-04</w:t>
          </w:r>
        </w:hyperlink>
        <w:r w:rsidRPr="00F0379B">
          <w:rPr>
            <w:rFonts w:ascii="Cambria" w:eastAsia="MS Gothic" w:hAnsi="Cambria"/>
            <w:b/>
            <w:bCs/>
            <w:iCs/>
            <w:color w:val="0563C1"/>
            <w:kern w:val="2"/>
            <w:sz w:val="20"/>
            <w:szCs w:val="20"/>
            <w:lang w:eastAsia="fr-FR" w:bidi="fr-FR"/>
            <w14:ligatures w14:val="standardContextual"/>
          </w:rPr>
          <w:t xml:space="preserve"> </w:t>
        </w:r>
      </w:hyperlink>
      <w:r w:rsidRPr="00F0379B">
        <w:rPr>
          <w:rFonts w:ascii="Cambria" w:eastAsia="MS Gothic" w:hAnsi="Cambria"/>
          <w:b/>
          <w:bCs/>
          <w:iCs/>
          <w:kern w:val="2"/>
          <w:sz w:val="20"/>
          <w:szCs w:val="20"/>
          <w:lang w:eastAsia="fr-FR" w:bidi="fr-FR"/>
          <w14:ligatures w14:val="standardContextual"/>
        </w:rPr>
        <w:t xml:space="preserve">de conformidad con la </w:t>
      </w:r>
      <w:hyperlink r:id="rId139" w:history="1">
        <w:r w:rsidRPr="00F0379B">
          <w:rPr>
            <w:rFonts w:ascii="Cambria" w:eastAsia="MS Gothic" w:hAnsi="Cambria"/>
            <w:b/>
            <w:bCs/>
            <w:iCs/>
            <w:color w:val="0563C1"/>
            <w:kern w:val="2"/>
            <w:sz w:val="20"/>
            <w:szCs w:val="20"/>
            <w:lang w:eastAsia="fr-FR" w:bidi="fr-FR"/>
            <w14:ligatures w14:val="standardContextual"/>
          </w:rPr>
          <w:t>Rec. 24-07</w:t>
        </w:r>
      </w:hyperlink>
      <w:r w:rsidRPr="00F0379B">
        <w:rPr>
          <w:rFonts w:ascii="Cambria" w:eastAsia="MS Gothic" w:hAnsi="Cambria"/>
          <w:b/>
          <w:bCs/>
          <w:iCs/>
          <w:kern w:val="2"/>
          <w:sz w:val="20"/>
          <w:szCs w:val="20"/>
          <w:lang w:eastAsia="fr-FR" w:bidi="fr-FR"/>
          <w14:ligatures w14:val="standardContextual"/>
        </w:rPr>
        <w:t>), si es aplicable</w:t>
      </w:r>
    </w:p>
    <w:p w14:paraId="189DAFB8" w14:textId="77777777" w:rsidR="009123AC" w:rsidRPr="00F0379B" w:rsidRDefault="009123AC" w:rsidP="009123AC">
      <w:pPr>
        <w:spacing w:after="0" w:line="240" w:lineRule="auto"/>
        <w:jc w:val="both"/>
        <w:rPr>
          <w:rFonts w:ascii="Cambria" w:eastAsia="MS Gothic" w:hAnsi="Cambria" w:cs="Times New Roman"/>
          <w:b/>
          <w:sz w:val="20"/>
          <w:szCs w:val="20"/>
          <w:lang w:eastAsia="fr-FR" w:bidi="fr-FR"/>
          <w14:ligatures w14:val="standardContextual"/>
        </w:rPr>
      </w:pPr>
    </w:p>
    <w:p w14:paraId="746ADEB6" w14:textId="77777777" w:rsidR="009123AC" w:rsidRPr="00F0379B" w:rsidRDefault="009123AC" w:rsidP="009123AC">
      <w:pPr>
        <w:spacing w:after="0" w:line="240" w:lineRule="auto"/>
        <w:jc w:val="both"/>
        <w:rPr>
          <w:rFonts w:ascii="Cambria" w:eastAsia="MS Gothic" w:hAnsi="Cambria" w:cs="Times New Roman"/>
          <w:bCs/>
          <w:sz w:val="20"/>
          <w:szCs w:val="20"/>
          <w:lang w:eastAsia="fr-FR" w:bidi="fr-FR"/>
          <w14:ligatures w14:val="standardContextual"/>
        </w:rPr>
      </w:pPr>
      <w:r w:rsidRPr="00F0379B">
        <w:rPr>
          <w:rFonts w:ascii="Cambria" w:eastAsia="MS Gothic" w:hAnsi="Cambria" w:cs="Times New Roman"/>
          <w:bCs/>
          <w:sz w:val="20"/>
          <w:szCs w:val="20"/>
          <w:lang w:eastAsia="fr-FR" w:bidi="fr-FR"/>
          <w14:ligatures w14:val="standardContextual"/>
        </w:rPr>
        <w:t>No aplicable.</w:t>
      </w:r>
    </w:p>
    <w:p w14:paraId="42EEE726" w14:textId="77777777" w:rsidR="009123AC" w:rsidRPr="00F0379B" w:rsidRDefault="009123AC" w:rsidP="009123AC">
      <w:pPr>
        <w:spacing w:after="0" w:line="240" w:lineRule="auto"/>
        <w:jc w:val="both"/>
        <w:rPr>
          <w:rFonts w:ascii="Cambria" w:eastAsia="MS Gothic" w:hAnsi="Cambria" w:cs="Times New Roman"/>
          <w:bCs/>
          <w:sz w:val="20"/>
          <w:szCs w:val="20"/>
          <w:lang w:eastAsia="fr-FR" w:bidi="fr-FR"/>
          <w14:ligatures w14:val="standardContextual"/>
        </w:rPr>
      </w:pPr>
    </w:p>
    <w:p w14:paraId="62268088" w14:textId="77777777" w:rsidR="009123AC" w:rsidRPr="00F0379B" w:rsidRDefault="009123AC" w:rsidP="00CE0EC8">
      <w:pPr>
        <w:widowControl w:val="0"/>
        <w:numPr>
          <w:ilvl w:val="0"/>
          <w:numId w:val="68"/>
        </w:numPr>
        <w:spacing w:after="0" w:line="240" w:lineRule="auto"/>
        <w:ind w:left="426" w:hanging="426"/>
        <w:contextualSpacing/>
        <w:jc w:val="both"/>
        <w:rPr>
          <w:rFonts w:ascii="Cambria" w:eastAsia="MS Gothic" w:hAnsi="Cambria" w:cs="Times New Roman"/>
          <w:b/>
          <w:sz w:val="20"/>
          <w:szCs w:val="20"/>
          <w:lang w:eastAsia="fr-FR" w:bidi="fr-FR"/>
          <w14:ligatures w14:val="standardContextual"/>
        </w:rPr>
      </w:pPr>
      <w:r w:rsidRPr="00F0379B">
        <w:rPr>
          <w:rFonts w:ascii="Cambria" w:eastAsia="MS Gothic" w:hAnsi="Cambria" w:cs="Times New Roman"/>
          <w:b/>
          <w:sz w:val="20"/>
          <w:szCs w:val="20"/>
          <w:lang w:eastAsia="fr-FR" w:bidi="fr-FR"/>
          <w14:ligatures w14:val="standardContextual"/>
        </w:rPr>
        <w:t>Plan de inspección, control y seguimiento</w:t>
      </w:r>
    </w:p>
    <w:p w14:paraId="7A1DD88A" w14:textId="77777777" w:rsidR="009123AC" w:rsidRPr="00F0379B" w:rsidRDefault="009123AC" w:rsidP="009123AC">
      <w:pPr>
        <w:spacing w:after="0" w:line="240" w:lineRule="auto"/>
        <w:jc w:val="both"/>
        <w:rPr>
          <w:rFonts w:ascii="Cambria" w:eastAsia="MS Gothic" w:hAnsi="Cambria" w:cs="Times New Roman"/>
          <w:b/>
          <w:sz w:val="20"/>
          <w:szCs w:val="20"/>
          <w:lang w:eastAsia="fr-FR" w:bidi="fr-FR"/>
          <w14:ligatures w14:val="standardContextual"/>
        </w:rPr>
      </w:pPr>
    </w:p>
    <w:p w14:paraId="66091EFD" w14:textId="77777777" w:rsidR="009123AC" w:rsidRPr="00F0379B" w:rsidRDefault="009123AC" w:rsidP="009123AC">
      <w:pPr>
        <w:spacing w:after="0" w:line="240" w:lineRule="auto"/>
        <w:jc w:val="both"/>
        <w:rPr>
          <w:rFonts w:ascii="Cambria" w:eastAsia="MS Gothic" w:hAnsi="Cambria" w:cs="Times New Roman"/>
          <w:b/>
          <w:i/>
          <w:iCs/>
          <w:sz w:val="20"/>
          <w:szCs w:val="20"/>
          <w:lang w:eastAsia="fr-FR" w:bidi="fr-FR"/>
          <w14:ligatures w14:val="standardContextual"/>
        </w:rPr>
      </w:pPr>
      <w:r w:rsidRPr="00F0379B">
        <w:rPr>
          <w:rFonts w:ascii="Cambria" w:eastAsia="MS Gothic" w:hAnsi="Cambria" w:cs="Times New Roman"/>
          <w:b/>
          <w:i/>
          <w:iCs/>
          <w:sz w:val="20"/>
          <w:szCs w:val="20"/>
          <w:lang w:eastAsia="fr-FR" w:bidi="fr-FR"/>
          <w14:ligatures w14:val="standardContextual"/>
        </w:rPr>
        <w:t>5 a) Inspección, control y seguimiento de la CPC (párr. 10c)</w:t>
      </w:r>
    </w:p>
    <w:p w14:paraId="06F6CFAB" w14:textId="77777777" w:rsidR="009123AC" w:rsidRPr="00F0379B" w:rsidRDefault="009123AC" w:rsidP="009123AC">
      <w:pPr>
        <w:spacing w:after="0" w:line="240" w:lineRule="auto"/>
        <w:jc w:val="both"/>
        <w:rPr>
          <w:rFonts w:ascii="Cambria" w:eastAsia="MS Gothic" w:hAnsi="Cambria" w:cs="Times New Roman"/>
          <w:b/>
          <w:sz w:val="20"/>
          <w:szCs w:val="20"/>
          <w:lang w:eastAsia="fr-FR" w:bidi="fr-FR"/>
          <w14:ligatures w14:val="standardContextual"/>
        </w:rPr>
      </w:pPr>
    </w:p>
    <w:p w14:paraId="45897AFC" w14:textId="77777777" w:rsidR="009123AC" w:rsidRPr="00F0379B" w:rsidRDefault="009123AC" w:rsidP="009123AC">
      <w:pPr>
        <w:widowControl w:val="0"/>
        <w:numPr>
          <w:ilvl w:val="0"/>
          <w:numId w:val="2"/>
        </w:numPr>
        <w:tabs>
          <w:tab w:val="left" w:pos="426"/>
        </w:tabs>
        <w:spacing w:after="0" w:line="240" w:lineRule="auto"/>
        <w:ind w:left="0" w:hanging="11"/>
        <w:contextualSpacing/>
        <w:jc w:val="both"/>
        <w:rPr>
          <w:rFonts w:ascii="Cambria" w:eastAsia="MS Gothic" w:hAnsi="Cambria" w:cs="Times New Roman"/>
          <w:i/>
          <w:color w:val="000000"/>
          <w:sz w:val="20"/>
          <w:szCs w:val="20"/>
          <w:lang w:eastAsia="fr-FR" w:bidi="fr-FR"/>
          <w14:ligatures w14:val="standardContextual"/>
        </w:rPr>
      </w:pPr>
      <w:r w:rsidRPr="00F0379B">
        <w:rPr>
          <w:rFonts w:ascii="Cambria" w:eastAsia="MS Gothic" w:hAnsi="Cambria" w:cs="Times New Roman"/>
          <w:i/>
          <w:color w:val="000000"/>
          <w:sz w:val="20"/>
          <w:szCs w:val="20"/>
          <w:lang w:eastAsia="fr-FR" w:bidi="fr-FR"/>
          <w14:ligatures w14:val="standardContextual"/>
        </w:rPr>
        <w:t xml:space="preserve">Características de la pesquería japonesa de atún rojo </w:t>
      </w:r>
    </w:p>
    <w:p w14:paraId="463FE14D" w14:textId="77777777" w:rsidR="009123AC" w:rsidRPr="00F0379B" w:rsidRDefault="009123AC" w:rsidP="009123AC">
      <w:pPr>
        <w:spacing w:after="0" w:line="240" w:lineRule="auto"/>
        <w:ind w:hanging="11"/>
        <w:contextualSpacing/>
        <w:jc w:val="both"/>
        <w:rPr>
          <w:rFonts w:ascii="Cambria" w:eastAsia="MS Gothic" w:hAnsi="Cambria" w:cs="Times New Roman"/>
          <w:b/>
          <w:color w:val="000000"/>
          <w:sz w:val="20"/>
          <w:szCs w:val="20"/>
          <w:lang w:eastAsia="ja-JP" w:bidi="fr-FR"/>
          <w14:ligatures w14:val="standardContextual"/>
        </w:rPr>
      </w:pPr>
    </w:p>
    <w:p w14:paraId="1BB312F4"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El océano Atlántico nororiental en aguas de la costa occidental de Irlanda es el principal caladero de atún rojo del este de la flota japonesa. La temporada de pesca empieza generalmente a finales de septiembre y dura hasta principios de enero. La zona de pesca de atún rojo del este está lejos de las zonas de pesca de patudo, que es otra especie objetivo principal de la flota japonesa y se captura cerca del Ecuador. Esto significa que los LSTLV que se dirigen al atún rojo del este se distinguen por su localización de los LSTLV que se dirigen a otras especies como el patudo. </w:t>
      </w:r>
    </w:p>
    <w:p w14:paraId="3FEAD529"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ja-JP" w:bidi="fr-FR"/>
          <w14:ligatures w14:val="standardContextual"/>
        </w:rPr>
      </w:pPr>
    </w:p>
    <w:p w14:paraId="2F005A6A" w14:textId="77777777" w:rsidR="009123AC" w:rsidRPr="00F0379B" w:rsidRDefault="009123AC" w:rsidP="009123AC">
      <w:pPr>
        <w:widowControl w:val="0"/>
        <w:numPr>
          <w:ilvl w:val="0"/>
          <w:numId w:val="2"/>
        </w:numPr>
        <w:spacing w:after="0" w:line="240" w:lineRule="auto"/>
        <w:ind w:left="426" w:hanging="437"/>
        <w:contextualSpacing/>
        <w:jc w:val="both"/>
        <w:rPr>
          <w:rFonts w:ascii="Cambria" w:eastAsia="MS Gothic" w:hAnsi="Cambria" w:cs="Times New Roman"/>
          <w:i/>
          <w:color w:val="000000"/>
          <w:sz w:val="20"/>
          <w:szCs w:val="20"/>
          <w:lang w:eastAsia="fr-FR" w:bidi="fr-FR"/>
          <w14:ligatures w14:val="standardContextual"/>
        </w:rPr>
      </w:pPr>
      <w:r w:rsidRPr="00F0379B">
        <w:rPr>
          <w:rFonts w:ascii="Cambria" w:eastAsia="MS Gothic" w:hAnsi="Cambria" w:cs="Times New Roman"/>
          <w:i/>
          <w:color w:val="000000"/>
          <w:sz w:val="20"/>
          <w:szCs w:val="20"/>
          <w:lang w:eastAsia="fr-FR" w:bidi="fr-FR"/>
          <w14:ligatures w14:val="standardContextual"/>
        </w:rPr>
        <w:t xml:space="preserve">Seguimiento de la pesquería de atún rojo del este de conformidad con la </w:t>
      </w:r>
      <w:hyperlink r:id="rId140" w:history="1">
        <w:r w:rsidRPr="00F0379B">
          <w:rPr>
            <w:rFonts w:ascii="Cambria" w:eastAsia="MS Gothic" w:hAnsi="Cambria"/>
            <w:i/>
            <w:iCs/>
            <w:color w:val="0563C1" w:themeColor="hyperlink"/>
            <w:kern w:val="2"/>
            <w:sz w:val="20"/>
            <w:szCs w:val="20"/>
            <w:lang w:eastAsia="fr-FR" w:bidi="fr-FR"/>
            <w14:ligatures w14:val="standardContextual"/>
          </w:rPr>
          <w:t>Rec. 25-04</w:t>
        </w:r>
      </w:hyperlink>
      <w:r w:rsidRPr="00F0379B">
        <w:rPr>
          <w:rFonts w:ascii="Cambria" w:eastAsia="MS Gothic" w:hAnsi="Cambria" w:cs="Times New Roman"/>
          <w:i/>
          <w:iCs/>
          <w:color w:val="000000"/>
          <w:sz w:val="20"/>
          <w:szCs w:val="20"/>
          <w:lang w:eastAsia="fr-FR" w:bidi="fr-FR"/>
          <w14:ligatures w14:val="standardContextual"/>
        </w:rPr>
        <w:t xml:space="preserve"> </w:t>
      </w:r>
      <w:r w:rsidRPr="00F0379B">
        <w:rPr>
          <w:rFonts w:ascii="Cambria" w:eastAsia="MS Gothic" w:hAnsi="Cambria" w:cs="Times New Roman"/>
          <w:i/>
          <w:color w:val="000000"/>
          <w:sz w:val="20"/>
          <w:szCs w:val="20"/>
          <w:lang w:eastAsia="fr-FR" w:bidi="fr-FR"/>
          <w14:ligatures w14:val="standardContextual"/>
        </w:rPr>
        <w:t>y otras medidas de ICCAT</w:t>
      </w:r>
    </w:p>
    <w:p w14:paraId="3B996A27"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ja-JP" w:bidi="fr-FR"/>
          <w14:ligatures w14:val="standardContextual"/>
        </w:rPr>
      </w:pPr>
    </w:p>
    <w:p w14:paraId="078A2540"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La FAJ hace un seguimiento constante de las localizaciones de los LSTLV en todo el Atlántico mediante el VMS. La agencia expide autorizaciones a los LSTLV para realizar actividades pesqueras de atún rojo del este y asigna cuotas a dichos buques. La FAJ se asegura mediante el VMS de que los LSTLV sin autorización ni cuota no operan en el caladero de atún rojo del este. Además, la FAJ requiere a los buques autorizados que transmitan diariamente informes de captura a la FAJ durante la temporada de pesca de atún rojo. La FAJ realiza un estrecho seguimiento de las capturas acumuladas para asegurar que los buques autorizados cumplen sus cuotas. </w:t>
      </w:r>
    </w:p>
    <w:p w14:paraId="59C3BBE0"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ja-JP" w:bidi="fr-FR"/>
          <w14:ligatures w14:val="standardContextual"/>
        </w:rPr>
      </w:pPr>
    </w:p>
    <w:p w14:paraId="450B5FFC"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La FAJ distribuye marcas oficiales únicamente a los LSTLV que tienen cuota de atún rojo del este. La Ordenanza Ministerial requiere a los pescadores japoneses que coloquen la marca a cada atún rojo que capturan. El desembarque de cualquier ejemplar de atún rojo del este sin marca constituye una infracción de la Ordenanza ministerial. </w:t>
      </w:r>
    </w:p>
    <w:p w14:paraId="606E17B1"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ja-JP" w:bidi="fr-FR"/>
          <w14:ligatures w14:val="standardContextual"/>
        </w:rPr>
      </w:pPr>
    </w:p>
    <w:p w14:paraId="7A8FD6A3"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La Ordenanza ministerial establece también los requisitos de comunicación en relación con los transbordos. Los LSTLV deben obtener la autorización de la FAJ antes de transbordar en los puertos. La FAJ recibe también la declaración de transbordo de conformidad con la Recomendación de ICCAT. La FAJ examina dicha información y comprueba su coherencia con la cantidad de captura acumulada. Dicha información será verificada mediante las inspecciones de desembarque que realizan los inspectores de la FAJ cuando el atún rojo se desembarca en Japón.  </w:t>
      </w:r>
    </w:p>
    <w:p w14:paraId="7B2A1649" w14:textId="77777777" w:rsidR="009123AC" w:rsidRPr="00F0379B" w:rsidRDefault="009123AC" w:rsidP="009123AC">
      <w:pPr>
        <w:spacing w:after="0" w:line="240" w:lineRule="auto"/>
        <w:ind w:hanging="11"/>
        <w:contextualSpacing/>
        <w:jc w:val="both"/>
        <w:rPr>
          <w:rFonts w:ascii="Cambria" w:eastAsia="MS Gothic" w:hAnsi="Cambria" w:cs="Times New Roman"/>
          <w:b/>
          <w:color w:val="000000"/>
          <w:sz w:val="20"/>
          <w:szCs w:val="20"/>
          <w:lang w:eastAsia="ja-JP" w:bidi="fr-FR"/>
          <w14:ligatures w14:val="standardContextual"/>
        </w:rPr>
      </w:pPr>
    </w:p>
    <w:p w14:paraId="18A5DE17" w14:textId="77777777" w:rsidR="009123AC" w:rsidRPr="00F0379B" w:rsidRDefault="009123AC" w:rsidP="009123AC">
      <w:pPr>
        <w:widowControl w:val="0"/>
        <w:numPr>
          <w:ilvl w:val="0"/>
          <w:numId w:val="2"/>
        </w:numPr>
        <w:spacing w:after="0" w:line="240" w:lineRule="auto"/>
        <w:ind w:left="426" w:hanging="437"/>
        <w:contextualSpacing/>
        <w:jc w:val="both"/>
        <w:rPr>
          <w:rFonts w:ascii="Cambria" w:eastAsia="MS Gothic" w:hAnsi="Cambria" w:cs="Times New Roman"/>
          <w:i/>
          <w:color w:val="000000"/>
          <w:sz w:val="20"/>
          <w:szCs w:val="20"/>
          <w:lang w:eastAsia="fr-FR" w:bidi="fr-FR"/>
          <w14:ligatures w14:val="standardContextual"/>
        </w:rPr>
      </w:pPr>
      <w:r w:rsidRPr="00F0379B">
        <w:rPr>
          <w:rFonts w:ascii="Cambria" w:eastAsia="MS Gothic" w:hAnsi="Cambria" w:cs="Times New Roman"/>
          <w:i/>
          <w:color w:val="000000"/>
          <w:sz w:val="20"/>
          <w:szCs w:val="20"/>
          <w:lang w:eastAsia="fr-FR" w:bidi="fr-FR"/>
          <w14:ligatures w14:val="standardContextual"/>
        </w:rPr>
        <w:t xml:space="preserve">Medidas adicionales adoptadas por la FAJ (1) - muy poca capacidad de </w:t>
      </w:r>
      <w:r w:rsidRPr="00F0379B">
        <w:rPr>
          <w:rFonts w:ascii="Cambria" w:eastAsia="MS Gothic" w:hAnsi="Cambria" w:cs="Times New Roman"/>
          <w:color w:val="000000"/>
          <w:sz w:val="20"/>
          <w:szCs w:val="20"/>
          <w:lang w:eastAsia="fr-FR" w:bidi="fr-FR"/>
          <w14:ligatures w14:val="standardContextual"/>
        </w:rPr>
        <w:t xml:space="preserve">LSTLV </w:t>
      </w:r>
      <w:r w:rsidRPr="00F0379B">
        <w:rPr>
          <w:rFonts w:ascii="Cambria" w:eastAsia="MS Gothic" w:hAnsi="Cambria" w:cs="Times New Roman"/>
          <w:i/>
          <w:color w:val="000000"/>
          <w:sz w:val="20"/>
          <w:szCs w:val="20"/>
          <w:lang w:eastAsia="fr-FR" w:bidi="fr-FR"/>
          <w14:ligatures w14:val="standardContextual"/>
        </w:rPr>
        <w:t>japoneses</w:t>
      </w:r>
    </w:p>
    <w:p w14:paraId="2E45DDAA"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ja-JP" w:bidi="fr-FR"/>
          <w14:ligatures w14:val="standardContextual"/>
        </w:rPr>
      </w:pPr>
    </w:p>
    <w:p w14:paraId="49559D45"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Además, la FAJ limitará el número de buques de captura que pesca atún rojo a un número muy por debajo del límite establecido en la </w:t>
      </w:r>
      <w:hyperlink r:id="rId141" w:history="1">
        <w:r w:rsidRPr="00F0379B">
          <w:rPr>
            <w:rFonts w:ascii="Cambria" w:eastAsia="MS Gothic" w:hAnsi="Cambria"/>
            <w:color w:val="0563C1" w:themeColor="hyperlink"/>
            <w:kern w:val="2"/>
            <w:sz w:val="20"/>
            <w:szCs w:val="20"/>
            <w:lang w:eastAsia="fr-FR" w:bidi="fr-FR"/>
            <w14:ligatures w14:val="standardContextual"/>
          </w:rPr>
          <w:t>Rec. 25-04</w:t>
        </w:r>
      </w:hyperlink>
      <w:r w:rsidRPr="00F0379B">
        <w:rPr>
          <w:rFonts w:ascii="Cambria" w:eastAsia="MS Gothic" w:hAnsi="Cambria" w:cs="Times New Roman"/>
          <w:color w:val="000000"/>
          <w:sz w:val="20"/>
          <w:szCs w:val="20"/>
          <w:lang w:eastAsia="fr-FR" w:bidi="fr-FR"/>
          <w14:ligatures w14:val="standardContextual"/>
        </w:rPr>
        <w:t xml:space="preserve">. La Tabla de capacidad muestra que el número de buques de la flota japonesa dirigida al atún rojo del este ha sido muy pequeño (40 buques en la temporada de pesca de 2026, previstos a 21 de enero de 2026) en comparación con el límite calculado de conformidad con la </w:t>
      </w:r>
      <w:hyperlink r:id="rId142" w:history="1">
        <w:r w:rsidRPr="00F0379B">
          <w:rPr>
            <w:rFonts w:ascii="Cambria" w:eastAsia="MS Gothic" w:hAnsi="Cambria"/>
            <w:color w:val="0563C1" w:themeColor="hyperlink"/>
            <w:kern w:val="2"/>
            <w:sz w:val="20"/>
            <w:szCs w:val="20"/>
            <w:lang w:eastAsia="fr-FR" w:bidi="fr-FR"/>
            <w14:ligatures w14:val="standardContextual"/>
          </w:rPr>
          <w:t>Rec. 25-04</w:t>
        </w:r>
      </w:hyperlink>
      <w:r w:rsidRPr="00F0379B">
        <w:rPr>
          <w:rFonts w:ascii="Cambria" w:eastAsia="MS Gothic" w:hAnsi="Cambria" w:cs="Times New Roman"/>
          <w:color w:val="000000"/>
          <w:sz w:val="20"/>
          <w:szCs w:val="20"/>
          <w:lang w:eastAsia="fr-FR" w:bidi="fr-FR"/>
          <w14:ligatures w14:val="standardContextual"/>
        </w:rPr>
        <w:t xml:space="preserve"> y sus predecesoras, (</w:t>
      </w:r>
      <w:r w:rsidRPr="00F0379B">
        <w:rPr>
          <w:rFonts w:ascii="Cambria" w:eastAsiaTheme="minorEastAsia" w:hAnsi="Cambria"/>
          <w:kern w:val="2"/>
          <w:sz w:val="20"/>
          <w:szCs w:val="20"/>
          <w:lang w:eastAsia="ja-JP"/>
          <w14:ligatures w14:val="standardContextual"/>
        </w:rPr>
        <w:t>4.008,16</w:t>
      </w:r>
      <w:r w:rsidRPr="00F0379B">
        <w:rPr>
          <w:rFonts w:ascii="Cambria" w:eastAsiaTheme="minorEastAsia" w:hAnsi="Cambria"/>
          <w:color w:val="000000" w:themeColor="text1"/>
          <w:kern w:val="2"/>
          <w:sz w:val="20"/>
          <w:szCs w:val="20"/>
          <w:lang w:eastAsia="ja-JP"/>
          <w14:ligatures w14:val="standardContextual"/>
        </w:rPr>
        <w:t xml:space="preserve"> t</w:t>
      </w:r>
      <w:r w:rsidRPr="00F0379B">
        <w:rPr>
          <w:rFonts w:ascii="Cambria" w:eastAsia="MS Gothic" w:hAnsi="Cambria" w:cs="Times New Roman"/>
          <w:color w:val="000000"/>
          <w:sz w:val="20"/>
          <w:szCs w:val="20"/>
          <w:lang w:eastAsia="fr-FR" w:bidi="fr-FR"/>
          <w14:ligatures w14:val="standardContextual"/>
        </w:rPr>
        <w:t xml:space="preserve"> (cuota </w:t>
      </w:r>
      <w:proofErr w:type="gramStart"/>
      <w:r w:rsidRPr="00F0379B">
        <w:rPr>
          <w:rFonts w:ascii="Cambria" w:eastAsia="MS Gothic" w:hAnsi="Cambria" w:cs="Times New Roman"/>
          <w:color w:val="000000"/>
          <w:sz w:val="20"/>
          <w:szCs w:val="20"/>
          <w:lang w:eastAsia="fr-FR" w:bidi="fr-FR"/>
          <w14:ligatures w14:val="standardContextual"/>
        </w:rPr>
        <w:t>disponible)/</w:t>
      </w:r>
      <w:proofErr w:type="gramEnd"/>
      <w:r w:rsidRPr="00F0379B">
        <w:rPr>
          <w:rFonts w:ascii="Cambria" w:eastAsia="MS Gothic" w:hAnsi="Cambria" w:cs="Times New Roman"/>
          <w:color w:val="000000"/>
          <w:sz w:val="20"/>
          <w:szCs w:val="20"/>
          <w:lang w:eastAsia="fr-FR" w:bidi="fr-FR"/>
          <w14:ligatures w14:val="standardContextual"/>
        </w:rPr>
        <w:t>25 t (para un LSTLV de más de 40 m) =160,33 buques).</w:t>
      </w:r>
    </w:p>
    <w:p w14:paraId="747F4A16"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fr-FR" w:bidi="fr-FR"/>
          <w14:ligatures w14:val="standardContextual"/>
        </w:rPr>
      </w:pPr>
    </w:p>
    <w:p w14:paraId="524A2F05" w14:textId="77777777" w:rsidR="009123AC" w:rsidRPr="00F0379B" w:rsidRDefault="009123AC" w:rsidP="009123AC">
      <w:pPr>
        <w:widowControl w:val="0"/>
        <w:numPr>
          <w:ilvl w:val="0"/>
          <w:numId w:val="2"/>
        </w:numPr>
        <w:spacing w:after="0" w:line="240" w:lineRule="auto"/>
        <w:ind w:left="426" w:hanging="437"/>
        <w:contextualSpacing/>
        <w:jc w:val="both"/>
        <w:rPr>
          <w:rFonts w:ascii="Cambria" w:eastAsia="MS Gothic" w:hAnsi="Cambria" w:cs="Times New Roman"/>
          <w:i/>
          <w:color w:val="000000"/>
          <w:sz w:val="20"/>
          <w:szCs w:val="20"/>
          <w:lang w:eastAsia="fr-FR" w:bidi="fr-FR"/>
          <w14:ligatures w14:val="standardContextual"/>
        </w:rPr>
      </w:pPr>
      <w:r w:rsidRPr="00F0379B">
        <w:rPr>
          <w:rFonts w:ascii="Cambria" w:eastAsia="MS Gothic" w:hAnsi="Cambria" w:cs="Times New Roman"/>
          <w:i/>
          <w:color w:val="000000"/>
          <w:sz w:val="20"/>
          <w:szCs w:val="20"/>
          <w:lang w:eastAsia="fr-FR" w:bidi="fr-FR"/>
          <w14:ligatures w14:val="standardContextual"/>
        </w:rPr>
        <w:t xml:space="preserve">Medida adicional adoptada por la FAJ (2) - Inspección del 100 % de los desembarques por parte de funcionarios de la FAJ </w:t>
      </w:r>
    </w:p>
    <w:p w14:paraId="02FAA491" w14:textId="77777777" w:rsidR="009123AC" w:rsidRPr="00F0379B" w:rsidRDefault="009123AC" w:rsidP="009123AC">
      <w:pPr>
        <w:spacing w:after="0" w:line="240" w:lineRule="auto"/>
        <w:ind w:hanging="11"/>
        <w:jc w:val="both"/>
        <w:rPr>
          <w:rFonts w:ascii="Cambria" w:eastAsia="MS Gothic" w:hAnsi="Cambria" w:cs="Times New Roman"/>
          <w:b/>
          <w:color w:val="000000"/>
          <w:sz w:val="20"/>
          <w:szCs w:val="20"/>
          <w:lang w:eastAsia="ja-JP" w:bidi="fr-FR"/>
          <w14:ligatures w14:val="standardContextual"/>
        </w:rPr>
      </w:pPr>
    </w:p>
    <w:p w14:paraId="648808AB" w14:textId="77777777" w:rsidR="009123AC" w:rsidRPr="00F0379B" w:rsidRDefault="009123AC" w:rsidP="009123AC">
      <w:pPr>
        <w:spacing w:after="0" w:line="240" w:lineRule="auto"/>
        <w:jc w:val="both"/>
        <w:rPr>
          <w:rFonts w:ascii="Cambria" w:eastAsia="MS Gothic" w:hAnsi="Cambria" w:cs="Times New Roman"/>
          <w:color w:val="000000"/>
          <w:sz w:val="20"/>
          <w:szCs w:val="20"/>
          <w:lang w:val="es-AR"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La Ordenanza Ministerial prohíbe el desembarque de atún rojo en cualquier puerto extranjero. Todo el atún rojo capturado por los pescadores japoneses, incluido el que llevan los buques de transporte, debe ser desembarcado en los 10 puertos designados en Japón. Dichos puertos son el destino final del atún rojo capturado por los pescadores japoneses, este sistema permite a la FAJ realizar inspecciones directas de los desembarques del atún rojo del este desembarcado. De hecho, la FAJ lleva inspeccionando el 100 % de los desembarques del atún rojo del este capturado por los LSTLV japoneses desde 2009. Gran parte de la información recopilada a través de las medidas de SCV mencionadas (por ejemplo, el peso y número de atunes rojos del este, la colocación de las marcas plásticas) se utiliza en las inspecciones de los desembarques. </w:t>
      </w:r>
      <w:r w:rsidRPr="00F0379B">
        <w:rPr>
          <w:rFonts w:ascii="Cambria" w:eastAsia="MS Gothic" w:hAnsi="Cambria" w:cs="Times New Roman"/>
          <w:color w:val="000000"/>
          <w:sz w:val="20"/>
          <w:szCs w:val="20"/>
          <w:lang w:val="es-AR" w:eastAsia="fr-FR" w:bidi="fr-FR"/>
          <w14:ligatures w14:val="standardContextual"/>
        </w:rPr>
        <w:t xml:space="preserve">Esta inspección del 100 % de los desembarques se aplica como una de las medidas alternativas de conformidad con la </w:t>
      </w:r>
      <w:hyperlink r:id="rId143" w:history="1">
        <w:r w:rsidRPr="00F0379B">
          <w:rPr>
            <w:rFonts w:ascii="Cambria" w:eastAsia="MS Gothic" w:hAnsi="Cambria"/>
            <w:color w:val="0563C1" w:themeColor="hyperlink"/>
            <w:kern w:val="2"/>
            <w:sz w:val="20"/>
            <w:szCs w:val="20"/>
            <w:lang w:eastAsia="fr-FR" w:bidi="fr-FR"/>
            <w14:ligatures w14:val="standardContextual"/>
          </w:rPr>
          <w:t>Rec. 25-04</w:t>
        </w:r>
      </w:hyperlink>
      <w:r w:rsidRPr="00F0379B">
        <w:rPr>
          <w:rFonts w:ascii="Cambria" w:eastAsia="MS Gothic" w:hAnsi="Cambria" w:cs="Times New Roman"/>
          <w:color w:val="000000"/>
          <w:sz w:val="20"/>
          <w:szCs w:val="20"/>
          <w:lang w:val="es-AR" w:eastAsia="fr-FR" w:bidi="fr-FR"/>
          <w14:ligatures w14:val="standardContextual"/>
        </w:rPr>
        <w:t>, párrafo 234.</w:t>
      </w:r>
    </w:p>
    <w:p w14:paraId="51C17897"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fr-FR" w:bidi="fr-FR"/>
          <w14:ligatures w14:val="standardContextual"/>
        </w:rPr>
      </w:pPr>
    </w:p>
    <w:p w14:paraId="063C1BFD" w14:textId="77777777" w:rsidR="009123AC" w:rsidRPr="00F0379B" w:rsidRDefault="009123AC" w:rsidP="009123AC">
      <w:pPr>
        <w:spacing w:after="0" w:line="240" w:lineRule="auto"/>
        <w:ind w:firstLineChars="350" w:firstLine="700"/>
        <w:jc w:val="both"/>
        <w:rPr>
          <w:rFonts w:ascii="Cambria" w:eastAsia="MS Gothic" w:hAnsi="Cambria" w:cs="Times New Roman"/>
          <w:color w:val="000000"/>
          <w:sz w:val="20"/>
          <w:szCs w:val="20"/>
          <w:lang w:eastAsia="ja-JP" w:bidi="fr-FR"/>
          <w14:ligatures w14:val="standardContextual"/>
        </w:rPr>
      </w:pPr>
    </w:p>
    <w:p w14:paraId="4B0A784D" w14:textId="77777777" w:rsidR="009123AC" w:rsidRPr="00F0379B" w:rsidRDefault="009123AC" w:rsidP="009123AC">
      <w:pPr>
        <w:widowControl w:val="0"/>
        <w:numPr>
          <w:ilvl w:val="0"/>
          <w:numId w:val="2"/>
        </w:numPr>
        <w:spacing w:after="0" w:line="240" w:lineRule="auto"/>
        <w:ind w:left="426" w:hanging="437"/>
        <w:contextualSpacing/>
        <w:jc w:val="both"/>
        <w:rPr>
          <w:rFonts w:ascii="Cambria" w:eastAsia="MS Gothic" w:hAnsi="Cambria" w:cs="Times New Roman"/>
          <w:i/>
          <w:color w:val="000000"/>
          <w:sz w:val="20"/>
          <w:szCs w:val="20"/>
          <w:lang w:eastAsia="fr-FR" w:bidi="fr-FR"/>
          <w14:ligatures w14:val="standardContextual"/>
        </w:rPr>
      </w:pPr>
      <w:r w:rsidRPr="00F0379B">
        <w:rPr>
          <w:rFonts w:ascii="Cambria" w:eastAsia="MS Gothic" w:hAnsi="Cambria" w:cs="Times New Roman"/>
          <w:i/>
          <w:color w:val="000000"/>
          <w:sz w:val="20"/>
          <w:szCs w:val="20"/>
          <w:lang w:eastAsia="fr-FR" w:bidi="fr-FR"/>
          <w14:ligatures w14:val="standardContextual"/>
        </w:rPr>
        <w:t>Colaboración con el Estado rector del puerto y el Estado importador</w:t>
      </w:r>
    </w:p>
    <w:p w14:paraId="6BB5EF12" w14:textId="77777777" w:rsidR="009123AC" w:rsidRPr="00F0379B" w:rsidRDefault="009123AC" w:rsidP="009123AC">
      <w:pPr>
        <w:spacing w:after="0" w:line="240" w:lineRule="auto"/>
        <w:ind w:hanging="11"/>
        <w:jc w:val="both"/>
        <w:rPr>
          <w:rFonts w:ascii="Cambria" w:eastAsia="MS Gothic" w:hAnsi="Cambria" w:cs="Times New Roman"/>
          <w:b/>
          <w:color w:val="000000"/>
          <w:sz w:val="20"/>
          <w:szCs w:val="20"/>
          <w:lang w:eastAsia="ja-JP" w:bidi="fr-FR"/>
          <w14:ligatures w14:val="standardContextual"/>
        </w:rPr>
      </w:pPr>
    </w:p>
    <w:p w14:paraId="3DA18238" w14:textId="77777777" w:rsidR="009123AC" w:rsidRPr="00F0379B" w:rsidRDefault="009123AC" w:rsidP="009123AC">
      <w:pPr>
        <w:spacing w:after="0" w:line="240" w:lineRule="auto"/>
        <w:jc w:val="both"/>
        <w:rPr>
          <w:rFonts w:ascii="Cambria" w:eastAsia="MS Gothic" w:hAnsi="Cambria" w:cs="Times New Roman"/>
          <w:color w:val="000000"/>
          <w:sz w:val="20"/>
          <w:szCs w:val="20"/>
          <w:lang w:val="es-AR" w:eastAsia="fr-FR" w:bidi="fr-FR"/>
          <w14:ligatures w14:val="standardContextual"/>
        </w:rPr>
      </w:pPr>
      <w:r w:rsidRPr="00F0379B">
        <w:rPr>
          <w:rFonts w:ascii="Cambria" w:eastAsia="MS Gothic" w:hAnsi="Cambria" w:cs="Times New Roman"/>
          <w:color w:val="000000"/>
          <w:sz w:val="20"/>
          <w:szCs w:val="20"/>
          <w:lang w:val="es-AR" w:eastAsia="fr-FR" w:bidi="fr-FR"/>
          <w14:ligatures w14:val="standardContextual"/>
        </w:rPr>
        <w:t xml:space="preserve">Muchos de los atunes rojos del este capturados por los LSTLV japoneses también están sujetos a inspección en puerto por parte de las CPC costeras. Cuando los LSTLV agotan sus cuotas individuales de atún rojo, normalmente se dirigen a uno de los siete puertos extranjeros designados (véase 1e) para transbordos de atún rojo en puerto de acuerdo con la Recomendación </w:t>
      </w:r>
      <w:hyperlink r:id="rId144" w:history="1">
        <w:r w:rsidRPr="00F0379B">
          <w:rPr>
            <w:rFonts w:ascii="Cambria" w:eastAsia="MS Gothic" w:hAnsi="Cambria"/>
            <w:color w:val="0563C1" w:themeColor="hyperlink"/>
            <w:kern w:val="2"/>
            <w:sz w:val="20"/>
            <w:szCs w:val="20"/>
            <w:lang w:eastAsia="fr-FR" w:bidi="fr-FR"/>
            <w14:ligatures w14:val="standardContextual"/>
          </w:rPr>
          <w:t>Rec. 25-04</w:t>
        </w:r>
      </w:hyperlink>
      <w:r w:rsidRPr="00F0379B">
        <w:rPr>
          <w:rFonts w:ascii="Cambria" w:eastAsia="MS Gothic" w:hAnsi="Cambria" w:cs="Times New Roman"/>
          <w:color w:val="000000"/>
          <w:sz w:val="20"/>
          <w:szCs w:val="20"/>
          <w:lang w:val="es-AR" w:eastAsia="fr-FR" w:bidi="fr-FR"/>
          <w14:ligatures w14:val="standardContextual"/>
        </w:rPr>
        <w:t xml:space="preserve">. Durante estos transbordos en puerto, los LSTLV pueden ser sometidos a inspecciones por parte del Estado rector del puerto de acuerdo con la </w:t>
      </w:r>
      <w:hyperlink r:id="rId145" w:history="1">
        <w:r w:rsidRPr="00F0379B">
          <w:rPr>
            <w:rFonts w:ascii="Cambria" w:eastAsia="MS Gothic" w:hAnsi="Cambria"/>
            <w:color w:val="0563C1" w:themeColor="hyperlink"/>
            <w:kern w:val="2"/>
            <w:sz w:val="20"/>
            <w:szCs w:val="20"/>
            <w:lang w:eastAsia="fr-FR" w:bidi="fr-FR"/>
            <w14:ligatures w14:val="standardContextual"/>
          </w:rPr>
          <w:t>Rec. 25-11</w:t>
        </w:r>
      </w:hyperlink>
      <w:r w:rsidRPr="00F0379B">
        <w:rPr>
          <w:rFonts w:ascii="Cambria" w:eastAsia="MS Gothic" w:hAnsi="Cambria" w:cs="Times New Roman"/>
          <w:color w:val="000000"/>
          <w:sz w:val="20"/>
          <w:szCs w:val="20"/>
          <w:lang w:val="es-AR" w:eastAsia="fr-FR" w:bidi="fr-FR"/>
          <w14:ligatures w14:val="standardContextual"/>
        </w:rPr>
        <w:t>.</w:t>
      </w:r>
    </w:p>
    <w:p w14:paraId="780D81C5" w14:textId="77777777" w:rsidR="009123AC" w:rsidRPr="00F0379B" w:rsidRDefault="009123AC" w:rsidP="009123AC">
      <w:pPr>
        <w:spacing w:after="0" w:line="240" w:lineRule="auto"/>
        <w:jc w:val="both"/>
        <w:rPr>
          <w:rFonts w:ascii="Cambria" w:eastAsia="MS Gothic" w:hAnsi="Cambria" w:cs="Times New Roman"/>
          <w:color w:val="000000"/>
          <w:sz w:val="20"/>
          <w:szCs w:val="20"/>
          <w:lang w:val="es-AR" w:eastAsia="fr-FR" w:bidi="fr-FR"/>
          <w14:ligatures w14:val="standardContextual"/>
        </w:rPr>
      </w:pPr>
    </w:p>
    <w:p w14:paraId="39386431"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val="es-AR" w:eastAsia="fr-FR" w:bidi="fr-FR"/>
          <w14:ligatures w14:val="standardContextual"/>
        </w:rPr>
        <w:t>Japón exige que los atunes rojos del este capturados por buques japoneses sean desembarcados en uno de los puertos japoneses designados. Por consiguiente, los buques de transporte tienen que ir a Japón para desembarcar el atún rojo del este.</w:t>
      </w:r>
      <w:r w:rsidRPr="00F0379B">
        <w:rPr>
          <w:rFonts w:ascii="Cambria" w:eastAsia="MS Gothic" w:hAnsi="Cambria" w:cs="Times New Roman"/>
          <w:color w:val="000000"/>
          <w:sz w:val="20"/>
          <w:szCs w:val="20"/>
          <w:lang w:eastAsia="fr-FR" w:bidi="fr-FR"/>
          <w14:ligatures w14:val="standardContextual"/>
        </w:rPr>
        <w:t xml:space="preserve"> Es raro que un buque de captura que lleva atún rojo del este vuelva a Japón al finalizar la temporada de pesca de atún rojo dado que, en muchos casos, los LSTLV japoneses cambian su especie objetivo para dirigir su actividad al patudo (trasladándose al sur) y continúan operando en la zona de ICCAT.</w:t>
      </w:r>
    </w:p>
    <w:p w14:paraId="43688EEE"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fr-FR" w:bidi="fr-FR"/>
          <w14:ligatures w14:val="standardContextual"/>
        </w:rPr>
      </w:pPr>
    </w:p>
    <w:p w14:paraId="1D402637" w14:textId="77777777" w:rsidR="009123AC" w:rsidRPr="00F0379B" w:rsidRDefault="009123AC" w:rsidP="009123AC">
      <w:pPr>
        <w:widowControl w:val="0"/>
        <w:numPr>
          <w:ilvl w:val="0"/>
          <w:numId w:val="2"/>
        </w:numPr>
        <w:spacing w:after="0" w:line="240" w:lineRule="auto"/>
        <w:ind w:left="426" w:hanging="437"/>
        <w:contextualSpacing/>
        <w:jc w:val="both"/>
        <w:rPr>
          <w:rFonts w:ascii="Cambria" w:eastAsia="MS Gothic" w:hAnsi="Cambria" w:cs="Times New Roman"/>
          <w:i/>
          <w:color w:val="000000"/>
          <w:sz w:val="20"/>
          <w:szCs w:val="20"/>
          <w:lang w:eastAsia="fr-FR" w:bidi="fr-FR"/>
          <w14:ligatures w14:val="standardContextual"/>
        </w:rPr>
      </w:pPr>
      <w:r w:rsidRPr="00F0379B">
        <w:rPr>
          <w:rFonts w:ascii="Cambria" w:eastAsia="MS Gothic" w:hAnsi="Cambria" w:cs="Times New Roman"/>
          <w:i/>
          <w:color w:val="000000"/>
          <w:sz w:val="20"/>
          <w:szCs w:val="20"/>
          <w:lang w:eastAsia="fr-FR" w:bidi="fr-FR"/>
          <w14:ligatures w14:val="standardContextual"/>
        </w:rPr>
        <w:t xml:space="preserve">Análisis de riesgo de la pesca de atún rojo ilegal </w:t>
      </w:r>
    </w:p>
    <w:p w14:paraId="4106D915" w14:textId="77777777" w:rsidR="009123AC" w:rsidRPr="00F0379B" w:rsidRDefault="009123AC" w:rsidP="009123AC">
      <w:pPr>
        <w:spacing w:after="0" w:line="240" w:lineRule="auto"/>
        <w:ind w:hanging="11"/>
        <w:jc w:val="both"/>
        <w:rPr>
          <w:rFonts w:ascii="Cambria" w:eastAsia="MS Gothic" w:hAnsi="Cambria" w:cs="Times New Roman"/>
          <w:b/>
          <w:color w:val="000000"/>
          <w:sz w:val="20"/>
          <w:szCs w:val="20"/>
          <w:lang w:eastAsia="ja-JP" w:bidi="fr-FR"/>
          <w14:ligatures w14:val="standardContextual"/>
        </w:rPr>
      </w:pPr>
    </w:p>
    <w:p w14:paraId="3EC2D0F2"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En el hipotético caso de que un LSTLV pesque furtivamente atún rojo del este a pesar de las medidas de SCV descritas más arriba, el buque debe vender el pescado en alguna parte del mundo. El Estado importador, especialmente si es un miembro de ICCAT, requerirá el documento electrónico de captura de atún rojo (eBCD) para importar el atún rojo del este. Sin embargo, la FAJ nunca validará el eBCD para la exportación de estos peces a los estados comerciales.  </w:t>
      </w:r>
    </w:p>
    <w:p w14:paraId="52D6B758"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ja-JP" w:bidi="fr-FR"/>
          <w14:ligatures w14:val="standardContextual"/>
        </w:rPr>
      </w:pPr>
    </w:p>
    <w:p w14:paraId="1244863C"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En otro hipotético caso, un LSTLV japonés pesca furtivamente el atún rojo del este e intenta llevar el pescado a Japón, dicho pescado capturado ilegalmente tiene prohibido el desembarque y puede ser fácilmente identificado por las inspecciones de desembarques de la FAJ o los operadores comerciales de Japón porque no lleva colocada a marca oficial y no va acompañado de un eBCD. Además, los operadores comerciales tienen prohibido, por la Ordenanza Ministerial, comprar dicho pescado ilegal.   </w:t>
      </w:r>
    </w:p>
    <w:p w14:paraId="14588254" w14:textId="77777777" w:rsidR="009123AC" w:rsidRPr="00F0379B" w:rsidRDefault="009123AC" w:rsidP="009123AC">
      <w:pPr>
        <w:widowControl w:val="0"/>
        <w:numPr>
          <w:ilvl w:val="0"/>
          <w:numId w:val="2"/>
        </w:numPr>
        <w:spacing w:after="0" w:line="240" w:lineRule="auto"/>
        <w:ind w:left="426" w:hanging="437"/>
        <w:contextualSpacing/>
        <w:jc w:val="both"/>
        <w:rPr>
          <w:rFonts w:ascii="Cambria" w:eastAsia="MS Gothic" w:hAnsi="Cambria" w:cs="Times New Roman"/>
          <w:i/>
          <w:color w:val="000000"/>
          <w:sz w:val="20"/>
          <w:szCs w:val="20"/>
          <w:lang w:val="en-GB" w:eastAsia="fr-FR" w:bidi="fr-FR"/>
          <w14:ligatures w14:val="standardContextual"/>
        </w:rPr>
      </w:pPr>
      <w:r w:rsidRPr="00F0379B">
        <w:rPr>
          <w:rFonts w:ascii="Cambria" w:eastAsia="MS Gothic" w:hAnsi="Cambria" w:cs="Times New Roman"/>
          <w:i/>
          <w:color w:val="000000"/>
          <w:sz w:val="20"/>
          <w:szCs w:val="20"/>
          <w:lang w:eastAsia="fr-FR" w:bidi="fr-FR"/>
          <w14:ligatures w14:val="standardContextual"/>
        </w:rPr>
        <w:t>Punto</w:t>
      </w:r>
      <w:r w:rsidRPr="00F0379B">
        <w:rPr>
          <w:rFonts w:ascii="Cambria" w:eastAsia="MS Gothic" w:hAnsi="Cambria" w:cs="Times New Roman"/>
          <w:i/>
          <w:color w:val="000000"/>
          <w:sz w:val="20"/>
          <w:szCs w:val="20"/>
          <w:lang w:val="en-GB" w:eastAsia="ja-JP" w:bidi="fr-FR"/>
          <w14:ligatures w14:val="standardContextual"/>
        </w:rPr>
        <w:t xml:space="preserve"> de </w:t>
      </w:r>
      <w:proofErr w:type="spellStart"/>
      <w:r w:rsidRPr="00F0379B">
        <w:rPr>
          <w:rFonts w:ascii="Cambria" w:eastAsia="MS Gothic" w:hAnsi="Cambria" w:cs="Times New Roman"/>
          <w:i/>
          <w:color w:val="000000"/>
          <w:sz w:val="20"/>
          <w:szCs w:val="20"/>
          <w:lang w:val="en-GB" w:eastAsia="ja-JP" w:bidi="fr-FR"/>
          <w14:ligatures w14:val="standardContextual"/>
        </w:rPr>
        <w:t>contacto</w:t>
      </w:r>
      <w:proofErr w:type="spellEnd"/>
    </w:p>
    <w:p w14:paraId="228C7F7F" w14:textId="77777777" w:rsidR="009123AC" w:rsidRPr="00F0379B" w:rsidRDefault="009123AC" w:rsidP="009123AC">
      <w:pPr>
        <w:spacing w:after="0" w:line="240" w:lineRule="auto"/>
        <w:ind w:left="426"/>
        <w:contextualSpacing/>
        <w:jc w:val="both"/>
        <w:rPr>
          <w:rFonts w:ascii="Cambria" w:eastAsia="MS Gothic" w:hAnsi="Cambria" w:cs="Times New Roman"/>
          <w:i/>
          <w:color w:val="000000"/>
          <w:sz w:val="20"/>
          <w:szCs w:val="20"/>
          <w:lang w:val="en-GB" w:eastAsia="fr-FR" w:bidi="fr-FR"/>
          <w14:ligatures w14:val="standardContextual"/>
        </w:rPr>
      </w:pPr>
    </w:p>
    <w:tbl>
      <w:tblPr>
        <w:tblStyle w:val="TableGrid"/>
        <w:tblW w:w="0" w:type="auto"/>
        <w:tblInd w:w="279" w:type="dxa"/>
        <w:tblLook w:val="04A0" w:firstRow="1" w:lastRow="0" w:firstColumn="1" w:lastColumn="0" w:noHBand="0" w:noVBand="1"/>
      </w:tblPr>
      <w:tblGrid>
        <w:gridCol w:w="2109"/>
        <w:gridCol w:w="3515"/>
        <w:gridCol w:w="3157"/>
      </w:tblGrid>
      <w:tr w:rsidR="009123AC" w:rsidRPr="00F0379B" w14:paraId="1F34DFEE" w14:textId="77777777" w:rsidTr="00CA749B">
        <w:tc>
          <w:tcPr>
            <w:tcW w:w="2109" w:type="dxa"/>
          </w:tcPr>
          <w:p w14:paraId="030400B5" w14:textId="77777777" w:rsidR="009123AC" w:rsidRPr="00F0379B" w:rsidRDefault="009123AC" w:rsidP="009123AC">
            <w:pPr>
              <w:spacing w:line="240" w:lineRule="auto"/>
              <w:contextualSpacing/>
              <w:jc w:val="both"/>
              <w:rPr>
                <w:rFonts w:ascii="Cambria" w:eastAsiaTheme="minorEastAsia" w:hAnsi="Cambria"/>
                <w:iCs/>
                <w:kern w:val="2"/>
                <w:sz w:val="20"/>
                <w:szCs w:val="20"/>
                <w:lang w:val="en-GB" w:eastAsia="ja-JP"/>
                <w14:ligatures w14:val="standardContextual"/>
              </w:rPr>
            </w:pPr>
            <w:r w:rsidRPr="00F0379B">
              <w:rPr>
                <w:rFonts w:ascii="Cambria" w:eastAsiaTheme="minorEastAsia" w:hAnsi="Cambria"/>
                <w:iCs/>
                <w:kern w:val="2"/>
                <w:sz w:val="20"/>
                <w:szCs w:val="20"/>
                <w:lang w:val="en-GB" w:eastAsia="ja-JP"/>
                <w14:ligatures w14:val="standardContextual"/>
              </w:rPr>
              <w:t>Nombre</w:t>
            </w:r>
          </w:p>
        </w:tc>
        <w:tc>
          <w:tcPr>
            <w:tcW w:w="3515" w:type="dxa"/>
          </w:tcPr>
          <w:p w14:paraId="4B9BE3DD" w14:textId="77777777" w:rsidR="009123AC" w:rsidRPr="00F0379B" w:rsidRDefault="009123AC" w:rsidP="009123AC">
            <w:pPr>
              <w:spacing w:line="240" w:lineRule="auto"/>
              <w:contextualSpacing/>
              <w:jc w:val="both"/>
              <w:rPr>
                <w:rFonts w:ascii="Cambria" w:eastAsiaTheme="minorEastAsia" w:hAnsi="Cambria"/>
                <w:iCs/>
                <w:kern w:val="2"/>
                <w:sz w:val="20"/>
                <w:szCs w:val="20"/>
                <w:lang w:val="en-GB" w:eastAsia="ja-JP"/>
                <w14:ligatures w14:val="standardContextual"/>
              </w:rPr>
            </w:pPr>
            <w:proofErr w:type="spellStart"/>
            <w:r w:rsidRPr="00F0379B">
              <w:rPr>
                <w:rFonts w:ascii="Cambria" w:eastAsiaTheme="minorEastAsia" w:hAnsi="Cambria"/>
                <w:iCs/>
                <w:kern w:val="2"/>
                <w:sz w:val="20"/>
                <w:szCs w:val="20"/>
                <w:lang w:val="en-GB" w:eastAsia="ja-JP"/>
                <w14:ligatures w14:val="standardContextual"/>
              </w:rPr>
              <w:t>Dirección</w:t>
            </w:r>
            <w:proofErr w:type="spellEnd"/>
            <w:r w:rsidRPr="00F0379B">
              <w:rPr>
                <w:rFonts w:ascii="Cambria" w:eastAsiaTheme="minorEastAsia" w:hAnsi="Cambria"/>
                <w:iCs/>
                <w:kern w:val="2"/>
                <w:sz w:val="20"/>
                <w:szCs w:val="20"/>
                <w:lang w:val="en-GB" w:eastAsia="ja-JP"/>
                <w14:ligatures w14:val="standardContextual"/>
              </w:rPr>
              <w:t xml:space="preserve"> </w:t>
            </w:r>
            <w:proofErr w:type="spellStart"/>
            <w:r w:rsidRPr="00F0379B">
              <w:rPr>
                <w:rFonts w:ascii="Cambria" w:eastAsiaTheme="minorEastAsia" w:hAnsi="Cambria"/>
                <w:iCs/>
                <w:kern w:val="2"/>
                <w:sz w:val="20"/>
                <w:szCs w:val="20"/>
                <w:lang w:val="en-GB" w:eastAsia="ja-JP"/>
                <w14:ligatures w14:val="standardContextual"/>
              </w:rPr>
              <w:t>profesional</w:t>
            </w:r>
            <w:proofErr w:type="spellEnd"/>
          </w:p>
        </w:tc>
        <w:tc>
          <w:tcPr>
            <w:tcW w:w="3157" w:type="dxa"/>
          </w:tcPr>
          <w:p w14:paraId="36817366" w14:textId="77777777" w:rsidR="009123AC" w:rsidRPr="00F0379B" w:rsidRDefault="009123AC" w:rsidP="009123AC">
            <w:pPr>
              <w:spacing w:line="240" w:lineRule="auto"/>
              <w:contextualSpacing/>
              <w:jc w:val="both"/>
              <w:rPr>
                <w:rFonts w:ascii="Cambria" w:eastAsiaTheme="minorEastAsia" w:hAnsi="Cambria"/>
                <w:iCs/>
                <w:kern w:val="2"/>
                <w:sz w:val="20"/>
                <w:szCs w:val="20"/>
                <w:lang w:val="en-GB" w:eastAsia="ja-JP"/>
                <w14:ligatures w14:val="standardContextual"/>
              </w:rPr>
            </w:pPr>
            <w:r w:rsidRPr="00F0379B">
              <w:rPr>
                <w:rFonts w:ascii="Cambria" w:eastAsiaTheme="minorEastAsia" w:hAnsi="Cambria"/>
                <w:iCs/>
                <w:kern w:val="2"/>
                <w:sz w:val="20"/>
                <w:szCs w:val="20"/>
                <w:lang w:val="en-GB" w:eastAsia="ja-JP"/>
                <w14:ligatures w14:val="standardContextual"/>
              </w:rPr>
              <w:t xml:space="preserve">Correo </w:t>
            </w:r>
            <w:proofErr w:type="spellStart"/>
            <w:r w:rsidRPr="00F0379B">
              <w:rPr>
                <w:rFonts w:ascii="Cambria" w:eastAsiaTheme="minorEastAsia" w:hAnsi="Cambria"/>
                <w:iCs/>
                <w:kern w:val="2"/>
                <w:sz w:val="20"/>
                <w:szCs w:val="20"/>
                <w:lang w:val="en-GB" w:eastAsia="ja-JP"/>
                <w14:ligatures w14:val="standardContextual"/>
              </w:rPr>
              <w:t>electrónico</w:t>
            </w:r>
            <w:proofErr w:type="spellEnd"/>
          </w:p>
        </w:tc>
      </w:tr>
      <w:tr w:rsidR="009123AC" w:rsidRPr="00F0379B" w14:paraId="1A328195" w14:textId="77777777" w:rsidTr="00CA749B">
        <w:tc>
          <w:tcPr>
            <w:tcW w:w="2109" w:type="dxa"/>
          </w:tcPr>
          <w:p w14:paraId="4A7F7910" w14:textId="77777777" w:rsidR="009123AC" w:rsidRPr="00F0379B" w:rsidRDefault="009123AC" w:rsidP="009123AC">
            <w:pPr>
              <w:spacing w:line="240" w:lineRule="auto"/>
              <w:contextualSpacing/>
              <w:jc w:val="both"/>
              <w:rPr>
                <w:rFonts w:ascii="Cambria" w:eastAsiaTheme="minorEastAsia" w:hAnsi="Cambria"/>
                <w:iCs/>
                <w:kern w:val="2"/>
                <w:sz w:val="20"/>
                <w:szCs w:val="20"/>
                <w:lang w:val="en-GB" w:eastAsia="ja-JP"/>
                <w14:ligatures w14:val="standardContextual"/>
              </w:rPr>
            </w:pPr>
            <w:r w:rsidRPr="00F0379B">
              <w:rPr>
                <w:rFonts w:ascii="Cambria" w:eastAsiaTheme="minorEastAsia" w:hAnsi="Cambria"/>
                <w:kern w:val="2"/>
                <w:sz w:val="20"/>
                <w:szCs w:val="20"/>
                <w:lang w:eastAsia="ja-JP"/>
                <w14:ligatures w14:val="standardContextual"/>
              </w:rPr>
              <w:t>Chika FUKUGAMA</w:t>
            </w:r>
          </w:p>
        </w:tc>
        <w:tc>
          <w:tcPr>
            <w:tcW w:w="3515" w:type="dxa"/>
          </w:tcPr>
          <w:p w14:paraId="17543F38" w14:textId="77777777" w:rsidR="009123AC" w:rsidRPr="00F0379B" w:rsidRDefault="009123AC" w:rsidP="009123AC">
            <w:pPr>
              <w:spacing w:line="240" w:lineRule="auto"/>
              <w:contextualSpacing/>
              <w:jc w:val="both"/>
              <w:rPr>
                <w:rFonts w:ascii="Cambria" w:eastAsiaTheme="minorEastAsia" w:hAnsi="Cambria"/>
                <w:iCs/>
                <w:kern w:val="2"/>
                <w:sz w:val="20"/>
                <w:szCs w:val="20"/>
                <w:lang w:eastAsia="ja-JP"/>
                <w14:ligatures w14:val="standardContextual"/>
              </w:rPr>
            </w:pPr>
            <w:r w:rsidRPr="00F0379B">
              <w:rPr>
                <w:rFonts w:ascii="Cambria" w:eastAsiaTheme="minorEastAsia" w:hAnsi="Cambria"/>
                <w:iCs/>
                <w:kern w:val="2"/>
                <w:sz w:val="20"/>
                <w:szCs w:val="20"/>
                <w:lang w:eastAsia="ja-JP"/>
                <w14:ligatures w14:val="standardContextual"/>
              </w:rPr>
              <w:t>División de Asuntos Internacionales, Agencia de Pesca de Japón</w:t>
            </w:r>
          </w:p>
        </w:tc>
        <w:tc>
          <w:tcPr>
            <w:tcW w:w="3157" w:type="dxa"/>
          </w:tcPr>
          <w:p w14:paraId="160A0A1C" w14:textId="77777777" w:rsidR="009123AC" w:rsidRPr="00F0379B" w:rsidRDefault="009123AC" w:rsidP="009123AC">
            <w:pPr>
              <w:spacing w:line="240" w:lineRule="auto"/>
              <w:contextualSpacing/>
              <w:jc w:val="both"/>
              <w:rPr>
                <w:rFonts w:ascii="Cambria" w:eastAsiaTheme="minorEastAsia" w:hAnsi="Cambria"/>
                <w:iCs/>
                <w:kern w:val="2"/>
                <w:sz w:val="20"/>
                <w:szCs w:val="20"/>
                <w:lang w:eastAsia="ja-JP"/>
                <w14:ligatures w14:val="standardContextual"/>
              </w:rPr>
            </w:pPr>
            <w:hyperlink r:id="rId146" w:history="1">
              <w:r w:rsidRPr="00F0379B">
                <w:rPr>
                  <w:rFonts w:ascii="Cambria" w:eastAsiaTheme="minorEastAsia" w:hAnsi="Cambria"/>
                  <w:iCs/>
                  <w:color w:val="0563C1" w:themeColor="hyperlink"/>
                  <w:kern w:val="2"/>
                  <w:sz w:val="20"/>
                  <w:szCs w:val="20"/>
                  <w:lang w:eastAsia="ja-JP"/>
                  <w14:ligatures w14:val="standardContextual"/>
                </w:rPr>
                <w:t>chika_fukugama740@maff.go.jp</w:t>
              </w:r>
            </w:hyperlink>
          </w:p>
        </w:tc>
      </w:tr>
      <w:tr w:rsidR="009123AC" w:rsidRPr="000B5464" w14:paraId="1704B256" w14:textId="77777777" w:rsidTr="00CA749B">
        <w:tc>
          <w:tcPr>
            <w:tcW w:w="2109" w:type="dxa"/>
          </w:tcPr>
          <w:p w14:paraId="1EA1E774" w14:textId="77777777" w:rsidR="009123AC" w:rsidRPr="00F0379B" w:rsidRDefault="009123AC" w:rsidP="009123AC">
            <w:pPr>
              <w:spacing w:line="240" w:lineRule="auto"/>
              <w:contextualSpacing/>
              <w:jc w:val="both"/>
              <w:rPr>
                <w:rFonts w:ascii="Cambria" w:eastAsiaTheme="minorEastAsia" w:hAnsi="Cambria"/>
                <w:iCs/>
                <w:kern w:val="2"/>
                <w:sz w:val="20"/>
                <w:szCs w:val="20"/>
                <w:lang w:val="en-GB" w:eastAsia="ja-JP"/>
                <w14:ligatures w14:val="standardContextual"/>
              </w:rPr>
            </w:pPr>
            <w:r w:rsidRPr="00F0379B">
              <w:rPr>
                <w:rFonts w:ascii="Cambria" w:eastAsiaTheme="minorEastAsia" w:hAnsi="Cambria"/>
                <w:kern w:val="2"/>
                <w:sz w:val="20"/>
                <w:szCs w:val="20"/>
                <w:lang w:eastAsia="ja-JP"/>
                <w14:ligatures w14:val="standardContextual"/>
              </w:rPr>
              <w:t>Masataka KAWANO</w:t>
            </w:r>
          </w:p>
        </w:tc>
        <w:tc>
          <w:tcPr>
            <w:tcW w:w="3515" w:type="dxa"/>
          </w:tcPr>
          <w:p w14:paraId="44391B11" w14:textId="77777777" w:rsidR="009123AC" w:rsidRPr="00F0379B" w:rsidRDefault="009123AC" w:rsidP="009123AC">
            <w:pPr>
              <w:spacing w:line="240" w:lineRule="auto"/>
              <w:contextualSpacing/>
              <w:jc w:val="both"/>
              <w:rPr>
                <w:rFonts w:ascii="Cambria" w:eastAsiaTheme="minorEastAsia" w:hAnsi="Cambria"/>
                <w:iCs/>
                <w:kern w:val="2"/>
                <w:sz w:val="20"/>
                <w:szCs w:val="20"/>
                <w:lang w:val="en-US" w:eastAsia="ja-JP"/>
                <w14:ligatures w14:val="standardContextual"/>
              </w:rPr>
            </w:pPr>
            <w:r w:rsidRPr="00F0379B">
              <w:rPr>
                <w:rFonts w:ascii="Cambria" w:eastAsiaTheme="minorEastAsia" w:hAnsi="Cambria"/>
                <w:kern w:val="2"/>
                <w:sz w:val="20"/>
                <w:szCs w:val="20"/>
                <w:lang w:val="en-US" w:eastAsia="ja-JP"/>
                <w14:ligatures w14:val="standardContextual"/>
              </w:rPr>
              <w:t>International Affairs Division, Fisheries Agency of Japan</w:t>
            </w:r>
          </w:p>
        </w:tc>
        <w:tc>
          <w:tcPr>
            <w:tcW w:w="3157" w:type="dxa"/>
          </w:tcPr>
          <w:p w14:paraId="5DD0316B" w14:textId="77777777" w:rsidR="009123AC" w:rsidRPr="00F0379B" w:rsidRDefault="009123AC" w:rsidP="009123AC">
            <w:pPr>
              <w:spacing w:line="240" w:lineRule="auto"/>
              <w:contextualSpacing/>
              <w:jc w:val="both"/>
              <w:rPr>
                <w:rFonts w:ascii="Cambria" w:eastAsiaTheme="minorEastAsia" w:hAnsi="Cambria"/>
                <w:kern w:val="2"/>
                <w:sz w:val="20"/>
                <w:szCs w:val="20"/>
                <w:lang w:val="en-US" w:eastAsia="ja-JP"/>
                <w14:ligatures w14:val="standardContextual"/>
              </w:rPr>
            </w:pPr>
            <w:hyperlink r:id="rId147" w:history="1">
              <w:r w:rsidRPr="00F0379B">
                <w:rPr>
                  <w:rFonts w:ascii="Cambria" w:eastAsiaTheme="minorEastAsia" w:hAnsi="Cambria"/>
                  <w:color w:val="0563C1" w:themeColor="hyperlink"/>
                  <w:kern w:val="2"/>
                  <w:sz w:val="20"/>
                  <w:szCs w:val="20"/>
                  <w:lang w:val="en-US" w:eastAsia="ja-JP"/>
                  <w14:ligatures w14:val="standardContextual"/>
                </w:rPr>
                <w:t>masataka_kawano320@maff.go.jp</w:t>
              </w:r>
            </w:hyperlink>
            <w:r w:rsidRPr="00F0379B">
              <w:rPr>
                <w:rFonts w:ascii="Cambria" w:eastAsiaTheme="minorEastAsia" w:hAnsi="Cambria"/>
                <w:kern w:val="2"/>
                <w:sz w:val="20"/>
                <w:szCs w:val="20"/>
                <w:lang w:eastAsia="ja-JP"/>
                <w14:ligatures w14:val="standardContextual"/>
              </w:rPr>
              <w:t xml:space="preserve">　</w:t>
            </w:r>
          </w:p>
        </w:tc>
      </w:tr>
    </w:tbl>
    <w:p w14:paraId="2A3A4644" w14:textId="77777777" w:rsidR="009123AC" w:rsidRPr="00F0379B" w:rsidRDefault="009123AC" w:rsidP="009123AC">
      <w:pPr>
        <w:spacing w:after="0" w:line="240" w:lineRule="auto"/>
        <w:ind w:left="426"/>
        <w:contextualSpacing/>
        <w:jc w:val="both"/>
        <w:rPr>
          <w:rFonts w:ascii="Cambria" w:eastAsia="MS Gothic" w:hAnsi="Cambria" w:cs="Times New Roman"/>
          <w:i/>
          <w:color w:val="000000"/>
          <w:sz w:val="20"/>
          <w:szCs w:val="20"/>
          <w:lang w:val="en-US" w:eastAsia="ja-JP" w:bidi="fr-FR"/>
          <w14:ligatures w14:val="standardContextual"/>
        </w:rPr>
      </w:pPr>
    </w:p>
    <w:p w14:paraId="18A65AF3" w14:textId="77777777" w:rsidR="009123AC" w:rsidRPr="00F0379B" w:rsidRDefault="009123AC" w:rsidP="009123AC">
      <w:pPr>
        <w:widowControl w:val="0"/>
        <w:numPr>
          <w:ilvl w:val="0"/>
          <w:numId w:val="2"/>
        </w:numPr>
        <w:spacing w:after="0" w:line="240" w:lineRule="auto"/>
        <w:ind w:left="426" w:hanging="437"/>
        <w:contextualSpacing/>
        <w:jc w:val="both"/>
        <w:rPr>
          <w:rFonts w:ascii="Cambria" w:eastAsia="MS Gothic" w:hAnsi="Cambria" w:cs="Times New Roman"/>
          <w:i/>
          <w:color w:val="000000"/>
          <w:sz w:val="20"/>
          <w:szCs w:val="20"/>
          <w:lang w:eastAsia="fr-FR" w:bidi="fr-FR"/>
          <w14:ligatures w14:val="standardContextual"/>
        </w:rPr>
      </w:pPr>
      <w:r w:rsidRPr="00F0379B">
        <w:rPr>
          <w:rFonts w:ascii="Cambria" w:eastAsia="MS Gothic" w:hAnsi="Cambria" w:cs="Times New Roman"/>
          <w:i/>
          <w:color w:val="000000"/>
          <w:sz w:val="20"/>
          <w:szCs w:val="20"/>
          <w:lang w:eastAsia="fr-FR" w:bidi="fr-FR"/>
          <w14:ligatures w14:val="standardContextual"/>
        </w:rPr>
        <w:t>Conclusión</w:t>
      </w:r>
    </w:p>
    <w:p w14:paraId="40FBD140" w14:textId="77777777" w:rsidR="009123AC" w:rsidRPr="00F0379B" w:rsidRDefault="009123AC" w:rsidP="009123AC">
      <w:pPr>
        <w:spacing w:after="0" w:line="240" w:lineRule="auto"/>
        <w:contextualSpacing/>
        <w:jc w:val="both"/>
        <w:rPr>
          <w:rFonts w:ascii="Cambria" w:eastAsia="MS Gothic" w:hAnsi="Cambria" w:cs="Times New Roman"/>
          <w:i/>
          <w:color w:val="000000"/>
          <w:sz w:val="20"/>
          <w:szCs w:val="20"/>
          <w:lang w:eastAsia="fr-FR" w:bidi="fr-FR"/>
          <w14:ligatures w14:val="standardContextual"/>
        </w:rPr>
      </w:pPr>
    </w:p>
    <w:p w14:paraId="17976E34" w14:textId="77777777" w:rsidR="009123AC" w:rsidRPr="00F0379B" w:rsidRDefault="009123AC" w:rsidP="009123AC">
      <w:pPr>
        <w:spacing w:after="0" w:line="240" w:lineRule="auto"/>
        <w:ind w:hanging="11"/>
        <w:contextualSpacing/>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Para concluir, Japón implementa plenamente medidas de SCV y controles de capacidad tal y como requiere la recomendación pertinente de ICCAT. Además, Japón adopta algunas medidas adicionales de SCV muy eficaces, incluidas las inspecciones del 100 % de los desembarques. Asimismo, el cumplimiento de los LSTLV japoneses está garantizado mediante la ayuda y cooperación de los Estados rectores del puerto y los posibles estados comerciales. Se prevé que estas medidas combinadas eliminen cualquier posibilidad de pesca IUU de atún rojo del este por parte de los buques japoneses. Dada la eficacia de estas medidas combinadas, la FAJ no va a enviar a su buque de inspección de la pesca de atún rojo. </w:t>
      </w:r>
    </w:p>
    <w:p w14:paraId="276B6E39"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5F70566C" w14:textId="77777777" w:rsidR="009123AC" w:rsidRPr="00F0379B" w:rsidRDefault="009123AC" w:rsidP="009123AC">
      <w:pPr>
        <w:tabs>
          <w:tab w:val="left" w:pos="426"/>
        </w:tabs>
        <w:spacing w:after="0" w:line="240" w:lineRule="auto"/>
        <w:jc w:val="both"/>
        <w:rPr>
          <w:rFonts w:ascii="Cambria" w:eastAsia="MS Gothic" w:hAnsi="Cambria" w:cs="Times New Roman"/>
          <w:b/>
          <w:i/>
          <w:iCs/>
          <w:sz w:val="20"/>
          <w:szCs w:val="20"/>
          <w:lang w:eastAsia="fr-FR" w:bidi="fr-FR"/>
          <w14:ligatures w14:val="standardContextual"/>
        </w:rPr>
      </w:pPr>
      <w:r w:rsidRPr="00F0379B">
        <w:rPr>
          <w:rFonts w:ascii="Cambria" w:eastAsia="MS Gothic" w:hAnsi="Cambria" w:cs="Times New Roman"/>
          <w:b/>
          <w:i/>
          <w:iCs/>
          <w:sz w:val="20"/>
          <w:szCs w:val="20"/>
          <w:lang w:eastAsia="fr-FR" w:bidi="fr-FR"/>
          <w14:ligatures w14:val="standardContextual"/>
        </w:rPr>
        <w:t>5 b)</w:t>
      </w:r>
      <w:r w:rsidRPr="00F0379B">
        <w:rPr>
          <w:rFonts w:ascii="Cambria" w:eastAsia="MS Gothic" w:hAnsi="Cambria" w:cs="Times New Roman"/>
          <w:b/>
          <w:i/>
          <w:iCs/>
          <w:sz w:val="20"/>
          <w:szCs w:val="20"/>
          <w:lang w:eastAsia="fr-FR" w:bidi="fr-FR"/>
          <w14:ligatures w14:val="standardContextual"/>
        </w:rPr>
        <w:tab/>
        <w:t>Programa conjunto de Inspección internacional (párrs. 232-235)</w:t>
      </w:r>
    </w:p>
    <w:p w14:paraId="73B065A4" w14:textId="77777777" w:rsidR="009123AC" w:rsidRPr="00F0379B" w:rsidRDefault="009123AC" w:rsidP="009123AC">
      <w:pPr>
        <w:spacing w:after="0" w:line="240" w:lineRule="auto"/>
        <w:jc w:val="both"/>
        <w:rPr>
          <w:rFonts w:ascii="Cambria" w:eastAsia="MS Gothic" w:hAnsi="Cambria" w:cs="Times New Roman"/>
          <w:i/>
          <w:color w:val="FF0000"/>
          <w:sz w:val="20"/>
          <w:szCs w:val="20"/>
          <w:lang w:eastAsia="fr-FR" w:bidi="fr-FR"/>
          <w14:ligatures w14:val="standardContextual"/>
        </w:rPr>
      </w:pPr>
    </w:p>
    <w:p w14:paraId="513840CF" w14:textId="77777777" w:rsidR="009123AC" w:rsidRPr="00F0379B" w:rsidRDefault="009123AC" w:rsidP="009123AC">
      <w:pPr>
        <w:spacing w:after="0" w:line="240" w:lineRule="auto"/>
        <w:jc w:val="both"/>
        <w:rPr>
          <w:rFonts w:ascii="Cambria" w:eastAsia="MS Gothic" w:hAnsi="Cambria" w:cs="Times New Roman"/>
          <w:color w:val="000000"/>
          <w:sz w:val="20"/>
          <w:szCs w:val="20"/>
          <w:lang w:eastAsia="fr-FR" w:bidi="fr-FR"/>
          <w14:ligatures w14:val="standardContextual"/>
        </w:rPr>
      </w:pPr>
      <w:r w:rsidRPr="00F0379B">
        <w:rPr>
          <w:rFonts w:ascii="Cambria" w:eastAsia="MS Gothic" w:hAnsi="Cambria" w:cs="Times New Roman"/>
          <w:color w:val="000000"/>
          <w:sz w:val="20"/>
          <w:szCs w:val="20"/>
          <w:lang w:eastAsia="fr-FR" w:bidi="fr-FR"/>
          <w14:ligatures w14:val="standardContextual"/>
        </w:rPr>
        <w:t xml:space="preserve">Japón no formará parte del plan de inspección internacional conjunta de ICCAT debido a las medidas alternativas descritas más arriba. </w:t>
      </w:r>
    </w:p>
    <w:p w14:paraId="761B2554" w14:textId="77777777" w:rsidR="009123AC" w:rsidRPr="00F0379B" w:rsidRDefault="009123AC" w:rsidP="009123AC">
      <w:pPr>
        <w:spacing w:after="0" w:line="240" w:lineRule="auto"/>
        <w:jc w:val="both"/>
        <w:rPr>
          <w:rFonts w:ascii="Cambria" w:eastAsia="MS Gothic" w:hAnsi="Cambria" w:cs="Times New Roman"/>
          <w:iCs/>
          <w:sz w:val="20"/>
          <w:szCs w:val="20"/>
          <w:lang w:eastAsia="fr-FR" w:bidi="fr-FR"/>
          <w14:ligatures w14:val="standardContextual"/>
        </w:rPr>
      </w:pPr>
    </w:p>
    <w:p w14:paraId="0A740972" w14:textId="77777777" w:rsidR="009123AC" w:rsidRPr="00F0379B" w:rsidRDefault="009123AC" w:rsidP="009123AC">
      <w:pPr>
        <w:spacing w:after="0" w:line="240" w:lineRule="auto"/>
        <w:jc w:val="both"/>
        <w:rPr>
          <w:rFonts w:ascii="Cambria" w:eastAsia="MS Gothic" w:hAnsi="Cambria" w:cs="Times New Roman"/>
          <w:iCs/>
          <w:sz w:val="20"/>
          <w:szCs w:val="20"/>
          <w:lang w:eastAsia="fr-FR" w:bidi="fr-FR"/>
          <w14:ligatures w14:val="standardContextual"/>
        </w:rPr>
      </w:pPr>
    </w:p>
    <w:p w14:paraId="209B0CB1" w14:textId="77777777" w:rsidR="009123AC" w:rsidRPr="00F0379B" w:rsidRDefault="009123AC" w:rsidP="00CE0EC8">
      <w:pPr>
        <w:numPr>
          <w:ilvl w:val="0"/>
          <w:numId w:val="68"/>
        </w:numPr>
        <w:spacing w:after="0" w:line="240" w:lineRule="auto"/>
        <w:ind w:left="426" w:hanging="426"/>
        <w:contextualSpacing/>
        <w:jc w:val="both"/>
        <w:rPr>
          <w:rFonts w:ascii="Cambria" w:eastAsia="MS Gothic" w:hAnsi="Cambria"/>
          <w:i/>
          <w:iCs/>
          <w:kern w:val="2"/>
          <w:sz w:val="20"/>
          <w:szCs w:val="20"/>
          <w:lang w:eastAsia="fr-FR" w:bidi="fr-FR"/>
          <w14:ligatures w14:val="standardContextual"/>
        </w:rPr>
      </w:pPr>
      <w:r w:rsidRPr="00F0379B">
        <w:rPr>
          <w:rFonts w:ascii="Cambria" w:eastAsia="MS Gothic" w:hAnsi="Cambria"/>
          <w:iCs/>
          <w:kern w:val="2"/>
          <w:sz w:val="20"/>
          <w:szCs w:val="20"/>
          <w:lang w:eastAsia="fr-FR" w:bidi="fr-FR"/>
          <w14:ligatures w14:val="standardContextual"/>
        </w:rPr>
        <w:t>Otros</w:t>
      </w:r>
    </w:p>
    <w:p w14:paraId="7742B791" w14:textId="77777777" w:rsidR="009123AC" w:rsidRPr="00F0379B" w:rsidRDefault="009123AC" w:rsidP="009123AC">
      <w:pPr>
        <w:spacing w:after="0" w:line="240" w:lineRule="auto"/>
        <w:rPr>
          <w:rFonts w:ascii="Cambria" w:eastAsia="MS Gothic" w:hAnsi="Cambria" w:cs="Times New Roman"/>
          <w:color w:val="000000"/>
          <w:sz w:val="20"/>
          <w:szCs w:val="20"/>
          <w:lang w:eastAsia="fr-FR" w:bidi="fr-FR"/>
          <w14:ligatures w14:val="standardContextual"/>
        </w:rPr>
      </w:pPr>
    </w:p>
    <w:p w14:paraId="55892AA3" w14:textId="77777777" w:rsidR="009123AC" w:rsidRPr="00F0379B" w:rsidRDefault="009123AC" w:rsidP="009123AC">
      <w:pPr>
        <w:spacing w:after="0" w:line="240" w:lineRule="auto"/>
        <w:rPr>
          <w:rFonts w:ascii="Cambria" w:eastAsia="MS Gothic" w:hAnsi="Cambria" w:cs="Times New Roman"/>
          <w:bCs/>
          <w:sz w:val="20"/>
          <w:szCs w:val="20"/>
          <w:lang w:val="en-GB" w:eastAsia="ja-JP" w:bidi="fr-FR"/>
          <w14:ligatures w14:val="standardContextual"/>
        </w:rPr>
      </w:pPr>
      <w:r w:rsidRPr="00F0379B">
        <w:rPr>
          <w:rFonts w:ascii="Cambria" w:eastAsia="MS Gothic" w:hAnsi="Cambria" w:cs="Times New Roman"/>
          <w:color w:val="000000"/>
          <w:sz w:val="20"/>
          <w:szCs w:val="20"/>
          <w:lang w:eastAsia="fr-FR" w:bidi="fr-FR"/>
          <w14:ligatures w14:val="standardContextual"/>
        </w:rPr>
        <w:t>No aplicable.</w:t>
      </w:r>
    </w:p>
    <w:p w14:paraId="0A359DE3" w14:textId="77777777" w:rsidR="009123AC" w:rsidRPr="00F0379B" w:rsidRDefault="009123AC" w:rsidP="009123AC">
      <w:pPr>
        <w:spacing w:after="0" w:line="240" w:lineRule="auto"/>
        <w:rPr>
          <w:rFonts w:ascii="Cambria" w:eastAsia="MS Gothic" w:hAnsi="Cambria" w:cs="Times New Roman"/>
          <w:color w:val="FF0000"/>
          <w:sz w:val="20"/>
          <w:szCs w:val="20"/>
          <w:lang w:eastAsia="ja-JP" w:bidi="fr-FR"/>
          <w14:ligatures w14:val="standardContextual"/>
        </w:rPr>
        <w:sectPr w:rsidR="009123AC" w:rsidRPr="00F0379B" w:rsidSect="009123AC">
          <w:footnotePr>
            <w:numFmt w:val="chicago"/>
          </w:footnotePr>
          <w:pgSz w:w="11906" w:h="16838" w:code="9"/>
          <w:pgMar w:top="1418" w:right="1418" w:bottom="1418" w:left="1418" w:header="851" w:footer="1134" w:gutter="0"/>
          <w:cols w:space="425"/>
          <w:docGrid w:linePitch="360"/>
        </w:sectPr>
      </w:pPr>
    </w:p>
    <w:p w14:paraId="45F6CBCE" w14:textId="77777777" w:rsidR="009123AC" w:rsidRPr="00F0379B" w:rsidRDefault="009123AC" w:rsidP="009123AC">
      <w:pPr>
        <w:spacing w:line="259" w:lineRule="auto"/>
        <w:rPr>
          <w:rFonts w:ascii="Cambria" w:eastAsia="MS Gothic" w:hAnsi="Cambria" w:cs="Times New Roman"/>
          <w:b/>
          <w:bCs/>
          <w:noProof/>
          <w:color w:val="000000"/>
          <w:sz w:val="20"/>
          <w:szCs w:val="20"/>
          <w:lang w:eastAsia="fr-FR" w:bidi="fr-FR"/>
          <w14:ligatures w14:val="standardContextual"/>
        </w:rPr>
      </w:pPr>
    </w:p>
    <w:p w14:paraId="27F57C79" w14:textId="77777777" w:rsidR="009123AC" w:rsidRPr="00F0379B" w:rsidRDefault="009123AC" w:rsidP="009123AC">
      <w:pPr>
        <w:spacing w:after="0" w:line="240" w:lineRule="auto"/>
        <w:rPr>
          <w:rFonts w:ascii="Cambria" w:eastAsia="MS Gothic" w:hAnsi="Cambria" w:cs="Times New Roman"/>
          <w:b/>
          <w:bCs/>
          <w:noProof/>
          <w:color w:val="000000"/>
          <w:sz w:val="20"/>
          <w:szCs w:val="20"/>
          <w:lang w:eastAsia="fr-FR" w:bidi="fr-FR"/>
          <w14:ligatures w14:val="standardContextual"/>
        </w:rPr>
      </w:pPr>
      <w:r w:rsidRPr="00F0379B">
        <w:rPr>
          <w:rFonts w:ascii="Cambria" w:eastAsia="MS Gothic" w:hAnsi="Cambria" w:cs="Times New Roman"/>
          <w:b/>
          <w:bCs/>
          <w:noProof/>
          <w:color w:val="000000"/>
          <w:sz w:val="20"/>
          <w:szCs w:val="20"/>
          <w:lang w:eastAsia="fr-FR" w:bidi="fr-FR"/>
          <w14:ligatures w14:val="standardContextual"/>
        </w:rPr>
        <w:t>Tabla de capacidad</w:t>
      </w:r>
    </w:p>
    <w:tbl>
      <w:tblPr>
        <w:tblW w:w="15990" w:type="dxa"/>
        <w:tblInd w:w="-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1"/>
        <w:gridCol w:w="1020"/>
        <w:gridCol w:w="615"/>
        <w:gridCol w:w="615"/>
        <w:gridCol w:w="615"/>
        <w:gridCol w:w="615"/>
        <w:gridCol w:w="615"/>
        <w:gridCol w:w="615"/>
        <w:gridCol w:w="615"/>
        <w:gridCol w:w="256"/>
        <w:gridCol w:w="895"/>
        <w:gridCol w:w="960"/>
        <w:gridCol w:w="1200"/>
        <w:gridCol w:w="1080"/>
        <w:gridCol w:w="1080"/>
        <w:gridCol w:w="1080"/>
        <w:gridCol w:w="1023"/>
      </w:tblGrid>
      <w:tr w:rsidR="009123AC" w:rsidRPr="00F0379B" w14:paraId="5515833B" w14:textId="77777777" w:rsidTr="00CA749B">
        <w:trPr>
          <w:trHeight w:val="20"/>
        </w:trPr>
        <w:tc>
          <w:tcPr>
            <w:tcW w:w="3091" w:type="dxa"/>
            <w:noWrap/>
            <w:vAlign w:val="center"/>
            <w:hideMark/>
          </w:tcPr>
          <w:p w14:paraId="0FB4F13F" w14:textId="77777777" w:rsidR="009123AC" w:rsidRPr="00F0379B" w:rsidRDefault="009123AC" w:rsidP="009123AC">
            <w:pPr>
              <w:widowControl w:val="0"/>
              <w:spacing w:after="0" w:line="240" w:lineRule="auto"/>
              <w:jc w:val="center"/>
              <w:rPr>
                <w:rFonts w:ascii="Cambria" w:eastAsia="Times New Roman" w:hAnsi="Cambria" w:cs="Calibri"/>
                <w:i/>
                <w:iCs/>
                <w:color w:val="000000"/>
                <w:sz w:val="16"/>
                <w:lang w:eastAsia="fr-FR" w:bidi="fr-FR"/>
              </w:rPr>
            </w:pPr>
            <w:r w:rsidRPr="00F0379B">
              <w:rPr>
                <w:rFonts w:ascii="Cambria" w:eastAsia="MS Gothic" w:hAnsi="Cambria" w:cs="Times New Roman"/>
                <w:i/>
                <w:color w:val="000000"/>
                <w:sz w:val="16"/>
                <w:lang w:eastAsia="fr-FR" w:bidi="fr-FR"/>
              </w:rPr>
              <w:t>Tipo de buques atuneros</w:t>
            </w:r>
          </w:p>
        </w:tc>
        <w:tc>
          <w:tcPr>
            <w:tcW w:w="1020" w:type="dxa"/>
            <w:noWrap/>
            <w:vAlign w:val="center"/>
            <w:hideMark/>
          </w:tcPr>
          <w:p w14:paraId="2B97B5B6" w14:textId="77777777" w:rsidR="009123AC" w:rsidRPr="00F0379B" w:rsidRDefault="009123AC" w:rsidP="009123AC">
            <w:pPr>
              <w:widowControl w:val="0"/>
              <w:spacing w:after="0" w:line="240" w:lineRule="auto"/>
              <w:jc w:val="center"/>
              <w:rPr>
                <w:rFonts w:ascii="Calibri" w:eastAsia="Times New Roman" w:hAnsi="Calibri" w:cs="Calibri"/>
                <w:color w:val="000000"/>
                <w:sz w:val="16"/>
                <w:lang w:eastAsia="ja-JP" w:bidi="fr-FR"/>
              </w:rPr>
            </w:pPr>
          </w:p>
        </w:tc>
        <w:tc>
          <w:tcPr>
            <w:tcW w:w="1845" w:type="dxa"/>
            <w:gridSpan w:val="3"/>
          </w:tcPr>
          <w:p w14:paraId="7622C6F4" w14:textId="77777777" w:rsidR="009123AC" w:rsidRPr="00F0379B" w:rsidRDefault="009123AC" w:rsidP="009123AC">
            <w:pPr>
              <w:widowControl w:val="0"/>
              <w:spacing w:after="0" w:line="240" w:lineRule="auto"/>
              <w:jc w:val="center"/>
              <w:rPr>
                <w:rFonts w:ascii="Cambria" w:eastAsia="Times New Roman" w:hAnsi="Cambria" w:cs="Calibri"/>
                <w:i/>
                <w:iCs/>
                <w:color w:val="000000"/>
                <w:sz w:val="16"/>
                <w:lang w:eastAsia="fr-FR" w:bidi="fr-FR"/>
              </w:rPr>
            </w:pPr>
            <w:r w:rsidRPr="00F0379B">
              <w:rPr>
                <w:rFonts w:ascii="Cambria" w:eastAsia="MS Gothic" w:hAnsi="Cambria" w:cs="Times New Roman"/>
                <w:i/>
                <w:color w:val="000000"/>
                <w:sz w:val="16"/>
                <w:lang w:eastAsia="fr-FR" w:bidi="fr-FR"/>
              </w:rPr>
              <w:t>Años de referencia</w:t>
            </w:r>
          </w:p>
        </w:tc>
        <w:tc>
          <w:tcPr>
            <w:tcW w:w="2460" w:type="dxa"/>
            <w:gridSpan w:val="4"/>
            <w:vAlign w:val="center"/>
          </w:tcPr>
          <w:p w14:paraId="2F37758E" w14:textId="77777777" w:rsidR="009123AC" w:rsidRPr="00F0379B" w:rsidRDefault="009123AC" w:rsidP="009123AC">
            <w:pPr>
              <w:widowControl w:val="0"/>
              <w:spacing w:after="0" w:line="240" w:lineRule="auto"/>
              <w:jc w:val="center"/>
              <w:rPr>
                <w:rFonts w:ascii="Times New Roman" w:eastAsia="Times New Roman" w:hAnsi="Times New Roman" w:cs="Times New Roman"/>
                <w:color w:val="000000"/>
                <w:sz w:val="16"/>
                <w:lang w:eastAsia="fr-FR" w:bidi="fr-FR"/>
              </w:rPr>
            </w:pPr>
            <w:r w:rsidRPr="00F0379B">
              <w:rPr>
                <w:rFonts w:ascii="Cambria" w:eastAsia="MS Gothic" w:hAnsi="Cambria" w:cs="Times New Roman"/>
                <w:i/>
                <w:color w:val="000000"/>
                <w:sz w:val="16"/>
                <w:lang w:eastAsia="fr-FR" w:bidi="fr-FR"/>
              </w:rPr>
              <w:t>N.º de buques</w:t>
            </w:r>
          </w:p>
        </w:tc>
        <w:tc>
          <w:tcPr>
            <w:tcW w:w="256" w:type="dxa"/>
            <w:shd w:val="clear" w:color="auto" w:fill="D9D9D9"/>
            <w:vAlign w:val="center"/>
            <w:hideMark/>
          </w:tcPr>
          <w:p w14:paraId="7DA58640" w14:textId="77777777" w:rsidR="009123AC" w:rsidRPr="00F0379B" w:rsidRDefault="009123AC" w:rsidP="009123AC">
            <w:pPr>
              <w:widowControl w:val="0"/>
              <w:spacing w:after="0" w:line="240" w:lineRule="auto"/>
              <w:jc w:val="center"/>
              <w:rPr>
                <w:rFonts w:ascii="Times New Roman" w:eastAsia="Times New Roman" w:hAnsi="Times New Roman" w:cs="Times New Roman"/>
                <w:color w:val="000000"/>
                <w:sz w:val="16"/>
                <w:lang w:eastAsia="ja-JP" w:bidi="fr-FR"/>
              </w:rPr>
            </w:pPr>
          </w:p>
        </w:tc>
        <w:tc>
          <w:tcPr>
            <w:tcW w:w="3055" w:type="dxa"/>
            <w:gridSpan w:val="3"/>
          </w:tcPr>
          <w:p w14:paraId="521C31E5" w14:textId="77777777" w:rsidR="009123AC" w:rsidRPr="00F0379B" w:rsidRDefault="009123AC" w:rsidP="009123AC">
            <w:pPr>
              <w:widowControl w:val="0"/>
              <w:spacing w:after="0" w:line="240" w:lineRule="auto"/>
              <w:jc w:val="center"/>
              <w:rPr>
                <w:rFonts w:ascii="Cambria" w:eastAsia="Times New Roman" w:hAnsi="Cambria" w:cs="Calibri"/>
                <w:i/>
                <w:iCs/>
                <w:color w:val="000000"/>
                <w:sz w:val="16"/>
                <w:lang w:eastAsia="fr-FR" w:bidi="fr-FR"/>
              </w:rPr>
            </w:pPr>
            <w:r w:rsidRPr="00F0379B">
              <w:rPr>
                <w:rFonts w:ascii="Cambria" w:eastAsia="MS Gothic" w:hAnsi="Cambria" w:cs="Times New Roman"/>
                <w:i/>
                <w:color w:val="000000"/>
                <w:sz w:val="16"/>
                <w:lang w:eastAsia="fr-FR" w:bidi="fr-FR"/>
              </w:rPr>
              <w:t>Años de referencia</w:t>
            </w:r>
          </w:p>
        </w:tc>
        <w:tc>
          <w:tcPr>
            <w:tcW w:w="4263" w:type="dxa"/>
            <w:gridSpan w:val="4"/>
          </w:tcPr>
          <w:p w14:paraId="1EB306B8" w14:textId="77777777" w:rsidR="009123AC" w:rsidRPr="00F0379B" w:rsidRDefault="009123AC" w:rsidP="009123AC">
            <w:pPr>
              <w:widowControl w:val="0"/>
              <w:spacing w:after="0" w:line="240" w:lineRule="auto"/>
              <w:jc w:val="center"/>
              <w:rPr>
                <w:rFonts w:ascii="Cambria" w:eastAsia="Times New Roman" w:hAnsi="Cambria" w:cs="Calibri"/>
                <w:i/>
                <w:iCs/>
                <w:color w:val="000000"/>
                <w:sz w:val="16"/>
                <w:lang w:eastAsia="fr-FR" w:bidi="fr-FR"/>
              </w:rPr>
            </w:pPr>
            <w:r w:rsidRPr="00F0379B">
              <w:rPr>
                <w:rFonts w:ascii="Cambria" w:eastAsia="MS Gothic" w:hAnsi="Cambria" w:cs="Times New Roman"/>
                <w:i/>
                <w:color w:val="000000"/>
                <w:sz w:val="16"/>
                <w:lang w:eastAsia="fr-FR" w:bidi="fr-FR"/>
              </w:rPr>
              <w:t>Capacidad de pesca</w:t>
            </w:r>
          </w:p>
        </w:tc>
      </w:tr>
      <w:tr w:rsidR="009123AC" w:rsidRPr="00F0379B" w14:paraId="6F02B99C" w14:textId="77777777" w:rsidTr="00CA749B">
        <w:trPr>
          <w:trHeight w:val="20"/>
        </w:trPr>
        <w:tc>
          <w:tcPr>
            <w:tcW w:w="3091" w:type="dxa"/>
            <w:noWrap/>
            <w:vAlign w:val="center"/>
            <w:hideMark/>
          </w:tcPr>
          <w:p w14:paraId="355845BA"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Tipo</w:t>
            </w:r>
          </w:p>
        </w:tc>
        <w:tc>
          <w:tcPr>
            <w:tcW w:w="1020" w:type="dxa"/>
            <w:vAlign w:val="center"/>
            <w:hideMark/>
          </w:tcPr>
          <w:p w14:paraId="1677BB80" w14:textId="77777777" w:rsidR="009123AC" w:rsidRPr="00F0379B" w:rsidRDefault="009123AC" w:rsidP="009123AC">
            <w:pPr>
              <w:widowControl w:val="0"/>
              <w:spacing w:after="0" w:line="240" w:lineRule="auto"/>
              <w:jc w:val="center"/>
              <w:rPr>
                <w:rFonts w:ascii="Cambria" w:eastAsia="Times New Roman" w:hAnsi="Cambria" w:cs="Calibri"/>
                <w:color w:val="000000"/>
                <w:sz w:val="12"/>
                <w:szCs w:val="18"/>
                <w:lang w:eastAsia="fr-FR" w:bidi="fr-FR"/>
              </w:rPr>
            </w:pPr>
            <w:r w:rsidRPr="00F0379B">
              <w:rPr>
                <w:rFonts w:ascii="Cambria" w:eastAsia="MS Gothic" w:hAnsi="Cambria" w:cs="Times New Roman"/>
                <w:color w:val="000000"/>
                <w:sz w:val="12"/>
                <w:szCs w:val="18"/>
                <w:lang w:eastAsia="fr-FR" w:bidi="fr-FR"/>
              </w:rPr>
              <w:t xml:space="preserve">Mejores tasas de captura definidas por el SCRS </w:t>
            </w:r>
          </w:p>
          <w:p w14:paraId="0A60E98E" w14:textId="77777777" w:rsidR="009123AC" w:rsidRPr="00F0379B" w:rsidRDefault="009123AC" w:rsidP="009123AC">
            <w:pPr>
              <w:widowControl w:val="0"/>
              <w:spacing w:after="0" w:line="240" w:lineRule="auto"/>
              <w:jc w:val="center"/>
              <w:rPr>
                <w:rFonts w:ascii="Cambria" w:eastAsia="MS Gothic" w:hAnsi="Cambria" w:cs="Times New Roman"/>
                <w:color w:val="000000"/>
                <w:sz w:val="12"/>
                <w:szCs w:val="18"/>
                <w:vertAlign w:val="superscript"/>
                <w:lang w:eastAsia="fr-FR" w:bidi="fr-FR"/>
              </w:rPr>
            </w:pPr>
            <w:r w:rsidRPr="00F0379B">
              <w:rPr>
                <w:rFonts w:ascii="Cambria" w:eastAsia="MS Gothic" w:hAnsi="Cambria" w:cs="Times New Roman"/>
                <w:color w:val="000000"/>
                <w:sz w:val="12"/>
                <w:szCs w:val="18"/>
                <w:lang w:eastAsia="fr-FR" w:bidi="fr-FR"/>
              </w:rPr>
              <w:t>en 2009 (t)</w:t>
            </w:r>
          </w:p>
        </w:tc>
        <w:tc>
          <w:tcPr>
            <w:tcW w:w="615" w:type="dxa"/>
            <w:vAlign w:val="center"/>
          </w:tcPr>
          <w:p w14:paraId="42ECAE1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2006</w:t>
            </w:r>
          </w:p>
        </w:tc>
        <w:tc>
          <w:tcPr>
            <w:tcW w:w="615" w:type="dxa"/>
            <w:noWrap/>
            <w:vAlign w:val="center"/>
            <w:hideMark/>
          </w:tcPr>
          <w:p w14:paraId="0CDEDF4E"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2008</w:t>
            </w:r>
          </w:p>
        </w:tc>
        <w:tc>
          <w:tcPr>
            <w:tcW w:w="615" w:type="dxa"/>
            <w:vAlign w:val="center"/>
            <w:hideMark/>
          </w:tcPr>
          <w:p w14:paraId="5D2962F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2018</w:t>
            </w:r>
          </w:p>
        </w:tc>
        <w:tc>
          <w:tcPr>
            <w:tcW w:w="615" w:type="dxa"/>
            <w:vAlign w:val="center"/>
            <w:hideMark/>
          </w:tcPr>
          <w:p w14:paraId="17C771D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2023</w:t>
            </w:r>
          </w:p>
        </w:tc>
        <w:tc>
          <w:tcPr>
            <w:tcW w:w="615" w:type="dxa"/>
            <w:vAlign w:val="center"/>
            <w:hideMark/>
          </w:tcPr>
          <w:p w14:paraId="5966BDC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2024</w:t>
            </w:r>
          </w:p>
        </w:tc>
        <w:tc>
          <w:tcPr>
            <w:tcW w:w="615" w:type="dxa"/>
            <w:vAlign w:val="center"/>
          </w:tcPr>
          <w:p w14:paraId="558AC35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2025</w:t>
            </w:r>
          </w:p>
        </w:tc>
        <w:tc>
          <w:tcPr>
            <w:tcW w:w="615" w:type="dxa"/>
            <w:vAlign w:val="center"/>
          </w:tcPr>
          <w:p w14:paraId="477406B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2026</w:t>
            </w:r>
          </w:p>
        </w:tc>
        <w:tc>
          <w:tcPr>
            <w:tcW w:w="256" w:type="dxa"/>
            <w:shd w:val="clear" w:color="000000" w:fill="D9D9D9"/>
            <w:vAlign w:val="center"/>
            <w:hideMark/>
          </w:tcPr>
          <w:p w14:paraId="49318F5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895" w:type="dxa"/>
            <w:vAlign w:val="center"/>
          </w:tcPr>
          <w:p w14:paraId="0D54CAA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2006</w:t>
            </w:r>
          </w:p>
        </w:tc>
        <w:tc>
          <w:tcPr>
            <w:tcW w:w="960" w:type="dxa"/>
            <w:vAlign w:val="center"/>
            <w:hideMark/>
          </w:tcPr>
          <w:p w14:paraId="08F0596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2008</w:t>
            </w:r>
          </w:p>
        </w:tc>
        <w:tc>
          <w:tcPr>
            <w:tcW w:w="1200" w:type="dxa"/>
            <w:vAlign w:val="center"/>
            <w:hideMark/>
          </w:tcPr>
          <w:p w14:paraId="07A2258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2018</w:t>
            </w:r>
          </w:p>
        </w:tc>
        <w:tc>
          <w:tcPr>
            <w:tcW w:w="1080" w:type="dxa"/>
            <w:vAlign w:val="center"/>
            <w:hideMark/>
          </w:tcPr>
          <w:p w14:paraId="72874BF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2023</w:t>
            </w:r>
          </w:p>
        </w:tc>
        <w:tc>
          <w:tcPr>
            <w:tcW w:w="1080" w:type="dxa"/>
            <w:vAlign w:val="center"/>
            <w:hideMark/>
          </w:tcPr>
          <w:p w14:paraId="4B7B2AD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2024</w:t>
            </w:r>
          </w:p>
        </w:tc>
        <w:tc>
          <w:tcPr>
            <w:tcW w:w="1080" w:type="dxa"/>
            <w:vAlign w:val="center"/>
            <w:hideMark/>
          </w:tcPr>
          <w:p w14:paraId="4F272C6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2025</w:t>
            </w:r>
          </w:p>
        </w:tc>
        <w:tc>
          <w:tcPr>
            <w:tcW w:w="1023" w:type="dxa"/>
            <w:vAlign w:val="center"/>
          </w:tcPr>
          <w:p w14:paraId="2CDE80D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2026</w:t>
            </w:r>
          </w:p>
        </w:tc>
      </w:tr>
      <w:tr w:rsidR="009123AC" w:rsidRPr="00F0379B" w14:paraId="3BEEFEAB" w14:textId="77777777" w:rsidTr="00CA749B">
        <w:trPr>
          <w:trHeight w:val="20"/>
        </w:trPr>
        <w:tc>
          <w:tcPr>
            <w:tcW w:w="3091" w:type="dxa"/>
            <w:noWrap/>
            <w:vAlign w:val="center"/>
            <w:hideMark/>
          </w:tcPr>
          <w:p w14:paraId="56978444"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Cerqueros de más de 40 m</w:t>
            </w:r>
          </w:p>
        </w:tc>
        <w:tc>
          <w:tcPr>
            <w:tcW w:w="1020" w:type="dxa"/>
            <w:noWrap/>
            <w:vAlign w:val="center"/>
            <w:hideMark/>
          </w:tcPr>
          <w:p w14:paraId="0DBA027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70,66</w:t>
            </w:r>
          </w:p>
        </w:tc>
        <w:tc>
          <w:tcPr>
            <w:tcW w:w="615" w:type="dxa"/>
          </w:tcPr>
          <w:p w14:paraId="33FC6572"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noWrap/>
            <w:vAlign w:val="center"/>
            <w:hideMark/>
          </w:tcPr>
          <w:p w14:paraId="74CC8952"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65BD16DB"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2222CA5E"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2BBA46D3"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tcPr>
          <w:p w14:paraId="243BDBDB"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tcPr>
          <w:p w14:paraId="276E13D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56" w:type="dxa"/>
            <w:shd w:val="clear" w:color="000000" w:fill="D9D9D9"/>
            <w:vAlign w:val="center"/>
            <w:hideMark/>
          </w:tcPr>
          <w:p w14:paraId="44FACF54"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895" w:type="dxa"/>
          </w:tcPr>
          <w:p w14:paraId="64F0AF44"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960" w:type="dxa"/>
            <w:vAlign w:val="center"/>
            <w:hideMark/>
          </w:tcPr>
          <w:p w14:paraId="0080B72C"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1200" w:type="dxa"/>
            <w:vAlign w:val="center"/>
            <w:hideMark/>
          </w:tcPr>
          <w:p w14:paraId="64FFC2F0"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42E6549E"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19491821"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242F5E97"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1023" w:type="dxa"/>
          </w:tcPr>
          <w:p w14:paraId="484C8DF6"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r>
      <w:tr w:rsidR="009123AC" w:rsidRPr="00F0379B" w14:paraId="1E99C3CE" w14:textId="77777777" w:rsidTr="00CA749B">
        <w:trPr>
          <w:trHeight w:val="20"/>
        </w:trPr>
        <w:tc>
          <w:tcPr>
            <w:tcW w:w="3091" w:type="dxa"/>
            <w:noWrap/>
            <w:vAlign w:val="center"/>
            <w:hideMark/>
          </w:tcPr>
          <w:p w14:paraId="5AACB9F7"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Cerqueros entre 24 y 40 m</w:t>
            </w:r>
          </w:p>
        </w:tc>
        <w:tc>
          <w:tcPr>
            <w:tcW w:w="1020" w:type="dxa"/>
            <w:noWrap/>
            <w:vAlign w:val="center"/>
            <w:hideMark/>
          </w:tcPr>
          <w:p w14:paraId="2F671C6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49,78</w:t>
            </w:r>
          </w:p>
        </w:tc>
        <w:tc>
          <w:tcPr>
            <w:tcW w:w="615" w:type="dxa"/>
          </w:tcPr>
          <w:p w14:paraId="21B8CBC5"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noWrap/>
            <w:vAlign w:val="center"/>
            <w:hideMark/>
          </w:tcPr>
          <w:p w14:paraId="496E1B2F"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2015B304"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7B816B3A"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2EFB9AEA"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tcPr>
          <w:p w14:paraId="0572CCD1"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tcPr>
          <w:p w14:paraId="20281E2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56" w:type="dxa"/>
            <w:shd w:val="clear" w:color="000000" w:fill="D9D9D9"/>
            <w:vAlign w:val="center"/>
            <w:hideMark/>
          </w:tcPr>
          <w:p w14:paraId="3E1AA3A7"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895" w:type="dxa"/>
          </w:tcPr>
          <w:p w14:paraId="1F050873"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960" w:type="dxa"/>
            <w:vAlign w:val="center"/>
            <w:hideMark/>
          </w:tcPr>
          <w:p w14:paraId="1F21E1E5"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1200" w:type="dxa"/>
            <w:vAlign w:val="center"/>
            <w:hideMark/>
          </w:tcPr>
          <w:p w14:paraId="71E3D7EB"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4CDF4862"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2CE8B4BD"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766A8807"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1023" w:type="dxa"/>
          </w:tcPr>
          <w:p w14:paraId="6FF17EC8"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r>
      <w:tr w:rsidR="009123AC" w:rsidRPr="00F0379B" w14:paraId="36DADDEE" w14:textId="77777777" w:rsidTr="00CA749B">
        <w:trPr>
          <w:trHeight w:val="20"/>
        </w:trPr>
        <w:tc>
          <w:tcPr>
            <w:tcW w:w="3091" w:type="dxa"/>
            <w:noWrap/>
            <w:vAlign w:val="center"/>
            <w:hideMark/>
          </w:tcPr>
          <w:p w14:paraId="0BF98723"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Cerqueros de menos de 24 m</w:t>
            </w:r>
          </w:p>
        </w:tc>
        <w:tc>
          <w:tcPr>
            <w:tcW w:w="1020" w:type="dxa"/>
            <w:noWrap/>
            <w:vAlign w:val="center"/>
            <w:hideMark/>
          </w:tcPr>
          <w:p w14:paraId="7EC2004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33,68</w:t>
            </w:r>
          </w:p>
        </w:tc>
        <w:tc>
          <w:tcPr>
            <w:tcW w:w="615" w:type="dxa"/>
          </w:tcPr>
          <w:p w14:paraId="7390ED2B"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noWrap/>
            <w:vAlign w:val="center"/>
            <w:hideMark/>
          </w:tcPr>
          <w:p w14:paraId="19E77AF1"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60642DD1"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7E3E8297"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3F24C8A0"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tcPr>
          <w:p w14:paraId="01318004"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tcPr>
          <w:p w14:paraId="6308BD6B"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56" w:type="dxa"/>
            <w:shd w:val="clear" w:color="000000" w:fill="D9D9D9"/>
            <w:vAlign w:val="center"/>
            <w:hideMark/>
          </w:tcPr>
          <w:p w14:paraId="615792E7"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895" w:type="dxa"/>
          </w:tcPr>
          <w:p w14:paraId="77AB95D6"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960" w:type="dxa"/>
            <w:vAlign w:val="center"/>
            <w:hideMark/>
          </w:tcPr>
          <w:p w14:paraId="0CA01E7E"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1200" w:type="dxa"/>
            <w:vAlign w:val="center"/>
            <w:hideMark/>
          </w:tcPr>
          <w:p w14:paraId="75BE830A"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28B60A79"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6ABC96E6"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5FF5F8AD"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1023" w:type="dxa"/>
          </w:tcPr>
          <w:p w14:paraId="7A52001A"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r>
      <w:tr w:rsidR="009123AC" w:rsidRPr="00F0379B" w14:paraId="6D33A884" w14:textId="77777777" w:rsidTr="00CA749B">
        <w:trPr>
          <w:trHeight w:val="20"/>
        </w:trPr>
        <w:tc>
          <w:tcPr>
            <w:tcW w:w="3091" w:type="dxa"/>
            <w:noWrap/>
            <w:vAlign w:val="center"/>
            <w:hideMark/>
          </w:tcPr>
          <w:p w14:paraId="0580D04D"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Total flota de cerco 2</w:t>
            </w:r>
          </w:p>
        </w:tc>
        <w:tc>
          <w:tcPr>
            <w:tcW w:w="1020" w:type="dxa"/>
            <w:noWrap/>
            <w:vAlign w:val="center"/>
            <w:hideMark/>
          </w:tcPr>
          <w:p w14:paraId="39C3CF79" w14:textId="77777777" w:rsidR="009123AC" w:rsidRPr="00F0379B" w:rsidRDefault="009123AC" w:rsidP="009123AC">
            <w:pPr>
              <w:widowControl w:val="0"/>
              <w:spacing w:after="0" w:line="240" w:lineRule="auto"/>
              <w:jc w:val="both"/>
              <w:rPr>
                <w:rFonts w:ascii="Times New Roman" w:eastAsia="Times New Roman" w:hAnsi="Times New Roman" w:cs="Times New Roman"/>
                <w:color w:val="000000"/>
                <w:sz w:val="16"/>
                <w:lang w:eastAsia="fr-FR" w:bidi="fr-FR"/>
              </w:rPr>
            </w:pPr>
            <w:r w:rsidRPr="00F0379B">
              <w:rPr>
                <w:rFonts w:ascii="Times New Roman" w:eastAsia="MS Gothic" w:hAnsi="Times New Roman" w:cs="Times New Roman"/>
                <w:color w:val="000000"/>
                <w:sz w:val="16"/>
                <w:lang w:eastAsia="fr-FR" w:bidi="fr-FR"/>
              </w:rPr>
              <w:t> </w:t>
            </w:r>
          </w:p>
        </w:tc>
        <w:tc>
          <w:tcPr>
            <w:tcW w:w="615" w:type="dxa"/>
          </w:tcPr>
          <w:p w14:paraId="27FB22F6"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noWrap/>
            <w:vAlign w:val="center"/>
            <w:hideMark/>
          </w:tcPr>
          <w:p w14:paraId="6878EE36"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 </w:t>
            </w:r>
          </w:p>
        </w:tc>
        <w:tc>
          <w:tcPr>
            <w:tcW w:w="615" w:type="dxa"/>
            <w:vAlign w:val="center"/>
            <w:hideMark/>
          </w:tcPr>
          <w:p w14:paraId="02578C53"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 </w:t>
            </w:r>
          </w:p>
        </w:tc>
        <w:tc>
          <w:tcPr>
            <w:tcW w:w="615" w:type="dxa"/>
            <w:vAlign w:val="center"/>
            <w:hideMark/>
          </w:tcPr>
          <w:p w14:paraId="73AF058B"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 </w:t>
            </w:r>
          </w:p>
        </w:tc>
        <w:tc>
          <w:tcPr>
            <w:tcW w:w="615" w:type="dxa"/>
            <w:vAlign w:val="center"/>
            <w:hideMark/>
          </w:tcPr>
          <w:p w14:paraId="1C74AAF3"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 </w:t>
            </w:r>
          </w:p>
        </w:tc>
        <w:tc>
          <w:tcPr>
            <w:tcW w:w="615" w:type="dxa"/>
          </w:tcPr>
          <w:p w14:paraId="42CEE3A6"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tcPr>
          <w:p w14:paraId="16003A1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56" w:type="dxa"/>
            <w:shd w:val="clear" w:color="000000" w:fill="D9D9D9"/>
            <w:vAlign w:val="center"/>
            <w:hideMark/>
          </w:tcPr>
          <w:p w14:paraId="21C03ABA"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 </w:t>
            </w:r>
          </w:p>
        </w:tc>
        <w:tc>
          <w:tcPr>
            <w:tcW w:w="895" w:type="dxa"/>
          </w:tcPr>
          <w:p w14:paraId="6699ACE9"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960" w:type="dxa"/>
            <w:vAlign w:val="center"/>
            <w:hideMark/>
          </w:tcPr>
          <w:p w14:paraId="308B6174"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 </w:t>
            </w:r>
          </w:p>
        </w:tc>
        <w:tc>
          <w:tcPr>
            <w:tcW w:w="1200" w:type="dxa"/>
            <w:vAlign w:val="center"/>
            <w:hideMark/>
          </w:tcPr>
          <w:p w14:paraId="6E266DD0"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 </w:t>
            </w:r>
          </w:p>
        </w:tc>
        <w:tc>
          <w:tcPr>
            <w:tcW w:w="1080" w:type="dxa"/>
            <w:vAlign w:val="center"/>
            <w:hideMark/>
          </w:tcPr>
          <w:p w14:paraId="534FBA20"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 </w:t>
            </w:r>
          </w:p>
        </w:tc>
        <w:tc>
          <w:tcPr>
            <w:tcW w:w="1080" w:type="dxa"/>
            <w:vAlign w:val="center"/>
            <w:hideMark/>
          </w:tcPr>
          <w:p w14:paraId="34A43751"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 </w:t>
            </w:r>
          </w:p>
        </w:tc>
        <w:tc>
          <w:tcPr>
            <w:tcW w:w="1080" w:type="dxa"/>
            <w:vAlign w:val="center"/>
            <w:hideMark/>
          </w:tcPr>
          <w:p w14:paraId="1AEAE22A"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 </w:t>
            </w:r>
          </w:p>
        </w:tc>
        <w:tc>
          <w:tcPr>
            <w:tcW w:w="1023" w:type="dxa"/>
          </w:tcPr>
          <w:p w14:paraId="3FF32087"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r>
      <w:tr w:rsidR="009123AC" w:rsidRPr="00F0379B" w14:paraId="228DC147" w14:textId="77777777" w:rsidTr="00CA749B">
        <w:trPr>
          <w:trHeight w:val="20"/>
        </w:trPr>
        <w:tc>
          <w:tcPr>
            <w:tcW w:w="3091" w:type="dxa"/>
            <w:noWrap/>
            <w:vAlign w:val="center"/>
            <w:hideMark/>
          </w:tcPr>
          <w:p w14:paraId="71D4C91C"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Palangreros de más de 40 m</w:t>
            </w:r>
          </w:p>
        </w:tc>
        <w:tc>
          <w:tcPr>
            <w:tcW w:w="1020" w:type="dxa"/>
            <w:noWrap/>
            <w:vAlign w:val="center"/>
            <w:hideMark/>
          </w:tcPr>
          <w:p w14:paraId="0B342C7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25</w:t>
            </w:r>
          </w:p>
        </w:tc>
        <w:tc>
          <w:tcPr>
            <w:tcW w:w="615" w:type="dxa"/>
          </w:tcPr>
          <w:p w14:paraId="6B998280"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sz w:val="16"/>
                <w:lang w:eastAsia="fr-FR" w:bidi="fr-FR"/>
              </w:rPr>
              <w:t>47</w:t>
            </w:r>
          </w:p>
        </w:tc>
        <w:tc>
          <w:tcPr>
            <w:tcW w:w="615" w:type="dxa"/>
            <w:noWrap/>
            <w:vAlign w:val="center"/>
            <w:hideMark/>
          </w:tcPr>
          <w:p w14:paraId="7B306314"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49</w:t>
            </w:r>
          </w:p>
        </w:tc>
        <w:tc>
          <w:tcPr>
            <w:tcW w:w="615" w:type="dxa"/>
            <w:vAlign w:val="center"/>
            <w:hideMark/>
          </w:tcPr>
          <w:p w14:paraId="0A55FCC4"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36</w:t>
            </w:r>
          </w:p>
        </w:tc>
        <w:tc>
          <w:tcPr>
            <w:tcW w:w="615" w:type="dxa"/>
            <w:vAlign w:val="center"/>
            <w:hideMark/>
          </w:tcPr>
          <w:p w14:paraId="1FCEA07B"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41</w:t>
            </w:r>
          </w:p>
        </w:tc>
        <w:tc>
          <w:tcPr>
            <w:tcW w:w="615" w:type="dxa"/>
            <w:vAlign w:val="center"/>
            <w:hideMark/>
          </w:tcPr>
          <w:p w14:paraId="54EF47C7"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42</w:t>
            </w:r>
          </w:p>
        </w:tc>
        <w:tc>
          <w:tcPr>
            <w:tcW w:w="615" w:type="dxa"/>
          </w:tcPr>
          <w:p w14:paraId="7AA186DD"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40</w:t>
            </w:r>
          </w:p>
        </w:tc>
        <w:tc>
          <w:tcPr>
            <w:tcW w:w="615" w:type="dxa"/>
          </w:tcPr>
          <w:p w14:paraId="21BFC9DE"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40</w:t>
            </w:r>
          </w:p>
        </w:tc>
        <w:tc>
          <w:tcPr>
            <w:tcW w:w="256" w:type="dxa"/>
            <w:shd w:val="clear" w:color="000000" w:fill="D9D9D9"/>
            <w:vAlign w:val="center"/>
            <w:hideMark/>
          </w:tcPr>
          <w:p w14:paraId="55B00D9B"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895" w:type="dxa"/>
          </w:tcPr>
          <w:p w14:paraId="5E06E9D8"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1.175</w:t>
            </w:r>
          </w:p>
        </w:tc>
        <w:tc>
          <w:tcPr>
            <w:tcW w:w="960" w:type="dxa"/>
            <w:vAlign w:val="center"/>
            <w:hideMark/>
          </w:tcPr>
          <w:p w14:paraId="4A45EAF2"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1.225</w:t>
            </w:r>
          </w:p>
        </w:tc>
        <w:tc>
          <w:tcPr>
            <w:tcW w:w="1200" w:type="dxa"/>
            <w:vAlign w:val="center"/>
            <w:hideMark/>
          </w:tcPr>
          <w:p w14:paraId="775319D5"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900</w:t>
            </w:r>
          </w:p>
        </w:tc>
        <w:tc>
          <w:tcPr>
            <w:tcW w:w="1080" w:type="dxa"/>
            <w:vAlign w:val="center"/>
            <w:hideMark/>
          </w:tcPr>
          <w:p w14:paraId="4A12EB00"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1.025</w:t>
            </w:r>
          </w:p>
        </w:tc>
        <w:tc>
          <w:tcPr>
            <w:tcW w:w="1080" w:type="dxa"/>
            <w:vAlign w:val="center"/>
            <w:hideMark/>
          </w:tcPr>
          <w:p w14:paraId="52CE4B1F"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1.050</w:t>
            </w:r>
          </w:p>
        </w:tc>
        <w:tc>
          <w:tcPr>
            <w:tcW w:w="1080" w:type="dxa"/>
            <w:vAlign w:val="center"/>
            <w:hideMark/>
          </w:tcPr>
          <w:p w14:paraId="4F24C239"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1.000</w:t>
            </w:r>
          </w:p>
        </w:tc>
        <w:tc>
          <w:tcPr>
            <w:tcW w:w="1023" w:type="dxa"/>
          </w:tcPr>
          <w:p w14:paraId="503BD601"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1.000</w:t>
            </w:r>
          </w:p>
        </w:tc>
      </w:tr>
      <w:tr w:rsidR="009123AC" w:rsidRPr="00F0379B" w14:paraId="1CC6D725" w14:textId="77777777" w:rsidTr="00CA749B">
        <w:trPr>
          <w:trHeight w:val="20"/>
        </w:trPr>
        <w:tc>
          <w:tcPr>
            <w:tcW w:w="3091" w:type="dxa"/>
            <w:noWrap/>
            <w:vAlign w:val="center"/>
            <w:hideMark/>
          </w:tcPr>
          <w:p w14:paraId="333C7D43"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Palangreros entre 24 y 40 m</w:t>
            </w:r>
          </w:p>
        </w:tc>
        <w:tc>
          <w:tcPr>
            <w:tcW w:w="1020" w:type="dxa"/>
            <w:noWrap/>
            <w:vAlign w:val="center"/>
            <w:hideMark/>
          </w:tcPr>
          <w:p w14:paraId="329E3D38"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5,68</w:t>
            </w:r>
          </w:p>
        </w:tc>
        <w:tc>
          <w:tcPr>
            <w:tcW w:w="615" w:type="dxa"/>
          </w:tcPr>
          <w:p w14:paraId="7B9F6AED"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615" w:type="dxa"/>
            <w:noWrap/>
            <w:vAlign w:val="center"/>
            <w:hideMark/>
          </w:tcPr>
          <w:p w14:paraId="2DD60148"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05FBF250"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2D8BA1A8"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60C58584"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tcPr>
          <w:p w14:paraId="14A010D7"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615" w:type="dxa"/>
          </w:tcPr>
          <w:p w14:paraId="5BB2D38F"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256" w:type="dxa"/>
            <w:shd w:val="clear" w:color="000000" w:fill="D9D9D9"/>
            <w:vAlign w:val="center"/>
            <w:hideMark/>
          </w:tcPr>
          <w:p w14:paraId="766AEB6A"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895" w:type="dxa"/>
          </w:tcPr>
          <w:p w14:paraId="7ED632DF"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960" w:type="dxa"/>
            <w:vAlign w:val="center"/>
            <w:hideMark/>
          </w:tcPr>
          <w:p w14:paraId="7A6A8E78"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200" w:type="dxa"/>
            <w:vAlign w:val="center"/>
            <w:hideMark/>
          </w:tcPr>
          <w:p w14:paraId="64E87C5D"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45F7F5D8"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p>
        </w:tc>
        <w:tc>
          <w:tcPr>
            <w:tcW w:w="1080" w:type="dxa"/>
            <w:vAlign w:val="center"/>
            <w:hideMark/>
          </w:tcPr>
          <w:p w14:paraId="549F3530"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p>
        </w:tc>
        <w:tc>
          <w:tcPr>
            <w:tcW w:w="1080" w:type="dxa"/>
            <w:vAlign w:val="center"/>
            <w:hideMark/>
          </w:tcPr>
          <w:p w14:paraId="7AC8447B"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p>
        </w:tc>
        <w:tc>
          <w:tcPr>
            <w:tcW w:w="1023" w:type="dxa"/>
          </w:tcPr>
          <w:p w14:paraId="6FF81EEA"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r>
      <w:tr w:rsidR="009123AC" w:rsidRPr="00F0379B" w14:paraId="4BDB8354" w14:textId="77777777" w:rsidTr="00CA749B">
        <w:trPr>
          <w:trHeight w:val="20"/>
        </w:trPr>
        <w:tc>
          <w:tcPr>
            <w:tcW w:w="3091" w:type="dxa"/>
            <w:noWrap/>
            <w:vAlign w:val="center"/>
            <w:hideMark/>
          </w:tcPr>
          <w:p w14:paraId="13385BB8"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Palangreros de menos de 24 m</w:t>
            </w:r>
          </w:p>
        </w:tc>
        <w:tc>
          <w:tcPr>
            <w:tcW w:w="1020" w:type="dxa"/>
            <w:noWrap/>
            <w:vAlign w:val="center"/>
            <w:hideMark/>
          </w:tcPr>
          <w:p w14:paraId="74235AF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w:t>
            </w:r>
          </w:p>
        </w:tc>
        <w:tc>
          <w:tcPr>
            <w:tcW w:w="615" w:type="dxa"/>
          </w:tcPr>
          <w:p w14:paraId="0B6492C4"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615" w:type="dxa"/>
            <w:noWrap/>
            <w:vAlign w:val="center"/>
          </w:tcPr>
          <w:p w14:paraId="2C5F1A22"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615" w:type="dxa"/>
            <w:vAlign w:val="center"/>
          </w:tcPr>
          <w:p w14:paraId="577A5547"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615" w:type="dxa"/>
            <w:vAlign w:val="center"/>
          </w:tcPr>
          <w:p w14:paraId="0B267736"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615" w:type="dxa"/>
            <w:vAlign w:val="center"/>
          </w:tcPr>
          <w:p w14:paraId="5DB8141A"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615" w:type="dxa"/>
          </w:tcPr>
          <w:p w14:paraId="79E82034"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615" w:type="dxa"/>
          </w:tcPr>
          <w:p w14:paraId="59286745"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256" w:type="dxa"/>
            <w:shd w:val="clear" w:color="000000" w:fill="D9D9D9"/>
            <w:vAlign w:val="center"/>
          </w:tcPr>
          <w:p w14:paraId="7E0EAFFC"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895" w:type="dxa"/>
          </w:tcPr>
          <w:p w14:paraId="1482424C"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960" w:type="dxa"/>
            <w:vAlign w:val="center"/>
          </w:tcPr>
          <w:p w14:paraId="643618E0"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1200" w:type="dxa"/>
            <w:vAlign w:val="center"/>
          </w:tcPr>
          <w:p w14:paraId="0A653D38"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1080" w:type="dxa"/>
            <w:vAlign w:val="center"/>
          </w:tcPr>
          <w:p w14:paraId="68EA39C6"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1080" w:type="dxa"/>
            <w:vAlign w:val="center"/>
          </w:tcPr>
          <w:p w14:paraId="7CB7561D"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1080" w:type="dxa"/>
            <w:vAlign w:val="center"/>
          </w:tcPr>
          <w:p w14:paraId="206F9A09"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1023" w:type="dxa"/>
          </w:tcPr>
          <w:p w14:paraId="74751CB7"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r>
      <w:tr w:rsidR="009123AC" w:rsidRPr="00F0379B" w14:paraId="4796C9E8" w14:textId="77777777" w:rsidTr="00CA749B">
        <w:trPr>
          <w:trHeight w:val="20"/>
        </w:trPr>
        <w:tc>
          <w:tcPr>
            <w:tcW w:w="3091" w:type="dxa"/>
            <w:noWrap/>
            <w:vAlign w:val="center"/>
            <w:hideMark/>
          </w:tcPr>
          <w:p w14:paraId="3F4A0841"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Total flota de palangre</w:t>
            </w:r>
          </w:p>
        </w:tc>
        <w:tc>
          <w:tcPr>
            <w:tcW w:w="1020" w:type="dxa"/>
            <w:noWrap/>
            <w:vAlign w:val="center"/>
            <w:hideMark/>
          </w:tcPr>
          <w:p w14:paraId="162B7E2E" w14:textId="77777777" w:rsidR="009123AC" w:rsidRPr="00F0379B" w:rsidRDefault="009123AC" w:rsidP="009123AC">
            <w:pPr>
              <w:widowControl w:val="0"/>
              <w:spacing w:after="0" w:line="240" w:lineRule="auto"/>
              <w:jc w:val="both"/>
              <w:rPr>
                <w:rFonts w:ascii="Times New Roman" w:eastAsia="Times New Roman" w:hAnsi="Times New Roman" w:cs="Times New Roman"/>
                <w:color w:val="000000"/>
                <w:sz w:val="16"/>
                <w:lang w:eastAsia="fr-FR" w:bidi="fr-FR"/>
              </w:rPr>
            </w:pPr>
            <w:r w:rsidRPr="00F0379B">
              <w:rPr>
                <w:rFonts w:ascii="Times New Roman" w:eastAsia="MS Gothic" w:hAnsi="Times New Roman" w:cs="Times New Roman"/>
                <w:color w:val="000000"/>
                <w:sz w:val="16"/>
                <w:lang w:eastAsia="fr-FR" w:bidi="fr-FR"/>
              </w:rPr>
              <w:t> </w:t>
            </w:r>
          </w:p>
        </w:tc>
        <w:tc>
          <w:tcPr>
            <w:tcW w:w="615" w:type="dxa"/>
          </w:tcPr>
          <w:p w14:paraId="1D947903"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47</w:t>
            </w:r>
          </w:p>
        </w:tc>
        <w:tc>
          <w:tcPr>
            <w:tcW w:w="615" w:type="dxa"/>
            <w:noWrap/>
            <w:vAlign w:val="center"/>
            <w:hideMark/>
          </w:tcPr>
          <w:p w14:paraId="63F33ACF"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49</w:t>
            </w:r>
          </w:p>
        </w:tc>
        <w:tc>
          <w:tcPr>
            <w:tcW w:w="615" w:type="dxa"/>
            <w:vAlign w:val="center"/>
            <w:hideMark/>
          </w:tcPr>
          <w:p w14:paraId="0524056C"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36</w:t>
            </w:r>
          </w:p>
        </w:tc>
        <w:tc>
          <w:tcPr>
            <w:tcW w:w="615" w:type="dxa"/>
            <w:vAlign w:val="center"/>
            <w:hideMark/>
          </w:tcPr>
          <w:p w14:paraId="51F0BB21"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41</w:t>
            </w:r>
          </w:p>
        </w:tc>
        <w:tc>
          <w:tcPr>
            <w:tcW w:w="615" w:type="dxa"/>
            <w:vAlign w:val="center"/>
            <w:hideMark/>
          </w:tcPr>
          <w:p w14:paraId="1B47B1FD"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42</w:t>
            </w:r>
          </w:p>
        </w:tc>
        <w:tc>
          <w:tcPr>
            <w:tcW w:w="615" w:type="dxa"/>
          </w:tcPr>
          <w:p w14:paraId="2883F7F3"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40</w:t>
            </w:r>
          </w:p>
        </w:tc>
        <w:tc>
          <w:tcPr>
            <w:tcW w:w="615" w:type="dxa"/>
          </w:tcPr>
          <w:p w14:paraId="69CBF23A"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40</w:t>
            </w:r>
          </w:p>
        </w:tc>
        <w:tc>
          <w:tcPr>
            <w:tcW w:w="256" w:type="dxa"/>
            <w:shd w:val="clear" w:color="000000" w:fill="D9D9D9"/>
            <w:vAlign w:val="center"/>
            <w:hideMark/>
          </w:tcPr>
          <w:p w14:paraId="501889D0"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895" w:type="dxa"/>
          </w:tcPr>
          <w:p w14:paraId="586BDC3C" w14:textId="77777777" w:rsidR="009123AC" w:rsidRPr="00F0379B" w:rsidRDefault="009123AC" w:rsidP="009123AC">
            <w:pPr>
              <w:widowControl w:val="0"/>
              <w:spacing w:after="0" w:line="240" w:lineRule="auto"/>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1.175</w:t>
            </w:r>
          </w:p>
        </w:tc>
        <w:tc>
          <w:tcPr>
            <w:tcW w:w="960" w:type="dxa"/>
            <w:vAlign w:val="center"/>
            <w:hideMark/>
          </w:tcPr>
          <w:p w14:paraId="3CECC450" w14:textId="77777777" w:rsidR="009123AC" w:rsidRPr="00F0379B" w:rsidRDefault="009123AC" w:rsidP="009123AC">
            <w:pPr>
              <w:widowControl w:val="0"/>
              <w:spacing w:after="0" w:line="240" w:lineRule="auto"/>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1.225</w:t>
            </w:r>
          </w:p>
        </w:tc>
        <w:tc>
          <w:tcPr>
            <w:tcW w:w="1200" w:type="dxa"/>
            <w:vAlign w:val="center"/>
            <w:hideMark/>
          </w:tcPr>
          <w:p w14:paraId="6233F4B9" w14:textId="77777777" w:rsidR="009123AC" w:rsidRPr="00F0379B" w:rsidRDefault="009123AC" w:rsidP="009123AC">
            <w:pPr>
              <w:widowControl w:val="0"/>
              <w:spacing w:after="0" w:line="240" w:lineRule="auto"/>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900</w:t>
            </w:r>
          </w:p>
        </w:tc>
        <w:tc>
          <w:tcPr>
            <w:tcW w:w="1080" w:type="dxa"/>
            <w:vAlign w:val="center"/>
            <w:hideMark/>
          </w:tcPr>
          <w:p w14:paraId="7E4037DE"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1.025</w:t>
            </w:r>
          </w:p>
        </w:tc>
        <w:tc>
          <w:tcPr>
            <w:tcW w:w="1080" w:type="dxa"/>
            <w:vAlign w:val="center"/>
            <w:hideMark/>
          </w:tcPr>
          <w:p w14:paraId="00AC379D"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1.050</w:t>
            </w:r>
          </w:p>
        </w:tc>
        <w:tc>
          <w:tcPr>
            <w:tcW w:w="1080" w:type="dxa"/>
            <w:vAlign w:val="center"/>
            <w:hideMark/>
          </w:tcPr>
          <w:p w14:paraId="69DE2E2A"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1.000</w:t>
            </w:r>
          </w:p>
        </w:tc>
        <w:tc>
          <w:tcPr>
            <w:tcW w:w="1023" w:type="dxa"/>
          </w:tcPr>
          <w:p w14:paraId="0B9E00F1"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1.000</w:t>
            </w:r>
          </w:p>
        </w:tc>
      </w:tr>
      <w:tr w:rsidR="009123AC" w:rsidRPr="00F0379B" w14:paraId="531A5FD3" w14:textId="77777777" w:rsidTr="00CA749B">
        <w:trPr>
          <w:trHeight w:val="20"/>
        </w:trPr>
        <w:tc>
          <w:tcPr>
            <w:tcW w:w="3091" w:type="dxa"/>
            <w:noWrap/>
            <w:vAlign w:val="center"/>
            <w:hideMark/>
          </w:tcPr>
          <w:p w14:paraId="7ECCB77F"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Cebo vivo</w:t>
            </w:r>
          </w:p>
        </w:tc>
        <w:tc>
          <w:tcPr>
            <w:tcW w:w="1020" w:type="dxa"/>
            <w:noWrap/>
            <w:vAlign w:val="center"/>
            <w:hideMark/>
          </w:tcPr>
          <w:p w14:paraId="0EA88AC3"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19,75</w:t>
            </w:r>
          </w:p>
        </w:tc>
        <w:tc>
          <w:tcPr>
            <w:tcW w:w="615" w:type="dxa"/>
          </w:tcPr>
          <w:p w14:paraId="72E0059F"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615" w:type="dxa"/>
            <w:noWrap/>
            <w:vAlign w:val="center"/>
            <w:hideMark/>
          </w:tcPr>
          <w:p w14:paraId="17449A1A"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3DD89C4E"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39F13367"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754DD2CD"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tcPr>
          <w:p w14:paraId="459D0140"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615" w:type="dxa"/>
          </w:tcPr>
          <w:p w14:paraId="3345DAFA"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256" w:type="dxa"/>
            <w:shd w:val="clear" w:color="000000" w:fill="D9D9D9"/>
            <w:vAlign w:val="center"/>
            <w:hideMark/>
          </w:tcPr>
          <w:p w14:paraId="19EE83C9"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895" w:type="dxa"/>
          </w:tcPr>
          <w:p w14:paraId="6E427D20"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960" w:type="dxa"/>
            <w:vAlign w:val="center"/>
            <w:hideMark/>
          </w:tcPr>
          <w:p w14:paraId="07C71CEE"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200" w:type="dxa"/>
            <w:vAlign w:val="center"/>
            <w:hideMark/>
          </w:tcPr>
          <w:p w14:paraId="7CAD83F0"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27AB9835"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7CFAF334"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42511CCF"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23" w:type="dxa"/>
          </w:tcPr>
          <w:p w14:paraId="3CCB020C"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r>
      <w:tr w:rsidR="009123AC" w:rsidRPr="00F0379B" w14:paraId="088D8CF6" w14:textId="77777777" w:rsidTr="00CA749B">
        <w:trPr>
          <w:trHeight w:val="20"/>
        </w:trPr>
        <w:tc>
          <w:tcPr>
            <w:tcW w:w="3091" w:type="dxa"/>
            <w:noWrap/>
            <w:vAlign w:val="center"/>
            <w:hideMark/>
          </w:tcPr>
          <w:p w14:paraId="35DAF6D9"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Liña de mano</w:t>
            </w:r>
          </w:p>
        </w:tc>
        <w:tc>
          <w:tcPr>
            <w:tcW w:w="1020" w:type="dxa"/>
            <w:noWrap/>
            <w:vAlign w:val="center"/>
            <w:hideMark/>
          </w:tcPr>
          <w:p w14:paraId="2C3CAA7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w:t>
            </w:r>
          </w:p>
        </w:tc>
        <w:tc>
          <w:tcPr>
            <w:tcW w:w="615" w:type="dxa"/>
          </w:tcPr>
          <w:p w14:paraId="2E646395"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615" w:type="dxa"/>
            <w:noWrap/>
            <w:vAlign w:val="center"/>
            <w:hideMark/>
          </w:tcPr>
          <w:p w14:paraId="5C4D287D"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171729B1"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6EA71C74"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1BFB6DFA"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tcPr>
          <w:p w14:paraId="17B6CF96"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615" w:type="dxa"/>
          </w:tcPr>
          <w:p w14:paraId="5B467712"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256" w:type="dxa"/>
            <w:shd w:val="clear" w:color="000000" w:fill="D9D9D9"/>
            <w:vAlign w:val="center"/>
            <w:hideMark/>
          </w:tcPr>
          <w:p w14:paraId="3952D59D"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895" w:type="dxa"/>
          </w:tcPr>
          <w:p w14:paraId="39D9CD57"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960" w:type="dxa"/>
            <w:vAlign w:val="center"/>
            <w:hideMark/>
          </w:tcPr>
          <w:p w14:paraId="73A74C42"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200" w:type="dxa"/>
            <w:vAlign w:val="center"/>
            <w:hideMark/>
          </w:tcPr>
          <w:p w14:paraId="74256F04"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5B20F426"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1A432DD9"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1E42A1B8"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23" w:type="dxa"/>
          </w:tcPr>
          <w:p w14:paraId="7D42D90C"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r>
      <w:tr w:rsidR="009123AC" w:rsidRPr="00F0379B" w14:paraId="20B2B163" w14:textId="77777777" w:rsidTr="00CA749B">
        <w:trPr>
          <w:trHeight w:val="20"/>
        </w:trPr>
        <w:tc>
          <w:tcPr>
            <w:tcW w:w="3091" w:type="dxa"/>
            <w:noWrap/>
            <w:vAlign w:val="center"/>
            <w:hideMark/>
          </w:tcPr>
          <w:p w14:paraId="3965668D"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Arrastrero</w:t>
            </w:r>
          </w:p>
        </w:tc>
        <w:tc>
          <w:tcPr>
            <w:tcW w:w="1020" w:type="dxa"/>
            <w:noWrap/>
            <w:vAlign w:val="center"/>
            <w:hideMark/>
          </w:tcPr>
          <w:p w14:paraId="021BF70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10</w:t>
            </w:r>
          </w:p>
        </w:tc>
        <w:tc>
          <w:tcPr>
            <w:tcW w:w="615" w:type="dxa"/>
          </w:tcPr>
          <w:p w14:paraId="05DFBBA8"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615" w:type="dxa"/>
            <w:noWrap/>
            <w:vAlign w:val="center"/>
            <w:hideMark/>
          </w:tcPr>
          <w:p w14:paraId="732ECAC9"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65267F0A"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10E48145"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293FF75B"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tcPr>
          <w:p w14:paraId="160115E2"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615" w:type="dxa"/>
          </w:tcPr>
          <w:p w14:paraId="42B13EF1"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256" w:type="dxa"/>
            <w:shd w:val="clear" w:color="000000" w:fill="D9D9D9"/>
            <w:vAlign w:val="center"/>
            <w:hideMark/>
          </w:tcPr>
          <w:p w14:paraId="24C8741A"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895" w:type="dxa"/>
          </w:tcPr>
          <w:p w14:paraId="391AC70A"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960" w:type="dxa"/>
            <w:vAlign w:val="center"/>
            <w:hideMark/>
          </w:tcPr>
          <w:p w14:paraId="535289F2"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200" w:type="dxa"/>
            <w:vAlign w:val="center"/>
            <w:hideMark/>
          </w:tcPr>
          <w:p w14:paraId="2082F56A"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5B0D9795"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337D122F"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602F73DB"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23" w:type="dxa"/>
          </w:tcPr>
          <w:p w14:paraId="177C9026"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r>
      <w:tr w:rsidR="009123AC" w:rsidRPr="00F0379B" w14:paraId="19E8DC36" w14:textId="77777777" w:rsidTr="00CA749B">
        <w:trPr>
          <w:trHeight w:val="20"/>
        </w:trPr>
        <w:tc>
          <w:tcPr>
            <w:tcW w:w="3091" w:type="dxa"/>
            <w:noWrap/>
            <w:vAlign w:val="center"/>
            <w:hideMark/>
          </w:tcPr>
          <w:p w14:paraId="024BE38F"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Almadraba</w:t>
            </w:r>
          </w:p>
        </w:tc>
        <w:tc>
          <w:tcPr>
            <w:tcW w:w="1020" w:type="dxa"/>
            <w:noWrap/>
            <w:vAlign w:val="center"/>
            <w:hideMark/>
          </w:tcPr>
          <w:p w14:paraId="3465881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130</w:t>
            </w:r>
          </w:p>
        </w:tc>
        <w:tc>
          <w:tcPr>
            <w:tcW w:w="615" w:type="dxa"/>
          </w:tcPr>
          <w:p w14:paraId="3622BB77"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615" w:type="dxa"/>
            <w:noWrap/>
            <w:vAlign w:val="center"/>
            <w:hideMark/>
          </w:tcPr>
          <w:p w14:paraId="6D7E9E4B"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2D8B89D3"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5D3330C1"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0FE2326F"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tcPr>
          <w:p w14:paraId="73B58963"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615" w:type="dxa"/>
          </w:tcPr>
          <w:p w14:paraId="16649C98"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256" w:type="dxa"/>
            <w:shd w:val="clear" w:color="000000" w:fill="D9D9D9"/>
            <w:vAlign w:val="center"/>
            <w:hideMark/>
          </w:tcPr>
          <w:p w14:paraId="2CD82FFD"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895" w:type="dxa"/>
          </w:tcPr>
          <w:p w14:paraId="7CB5BC4C"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960" w:type="dxa"/>
            <w:vAlign w:val="center"/>
            <w:hideMark/>
          </w:tcPr>
          <w:p w14:paraId="6305A312"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200" w:type="dxa"/>
            <w:vAlign w:val="center"/>
            <w:hideMark/>
          </w:tcPr>
          <w:p w14:paraId="6A4DE64B"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4988B5A5"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1CAD5216"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4032D2FC"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23" w:type="dxa"/>
          </w:tcPr>
          <w:p w14:paraId="78D4E1D7"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r>
      <w:tr w:rsidR="009123AC" w:rsidRPr="00F0379B" w14:paraId="0333AD3F" w14:textId="77777777" w:rsidTr="00CA749B">
        <w:trPr>
          <w:trHeight w:val="20"/>
        </w:trPr>
        <w:tc>
          <w:tcPr>
            <w:tcW w:w="3091" w:type="dxa"/>
            <w:vAlign w:val="center"/>
            <w:hideMark/>
          </w:tcPr>
          <w:p w14:paraId="1554B4B3"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Pequeños barcos costeros</w:t>
            </w:r>
          </w:p>
        </w:tc>
        <w:tc>
          <w:tcPr>
            <w:tcW w:w="1020" w:type="dxa"/>
            <w:noWrap/>
            <w:vAlign w:val="center"/>
            <w:hideMark/>
          </w:tcPr>
          <w:p w14:paraId="6DA4E98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No aplicable</w:t>
            </w:r>
          </w:p>
        </w:tc>
        <w:tc>
          <w:tcPr>
            <w:tcW w:w="615" w:type="dxa"/>
          </w:tcPr>
          <w:p w14:paraId="6A9FCA37"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615" w:type="dxa"/>
            <w:noWrap/>
            <w:vAlign w:val="center"/>
            <w:hideMark/>
          </w:tcPr>
          <w:p w14:paraId="0F1D88A9"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7B10655A"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3F0D231C"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7608B4EC"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tcPr>
          <w:p w14:paraId="4711B413"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615" w:type="dxa"/>
          </w:tcPr>
          <w:p w14:paraId="0D361DF0"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256" w:type="dxa"/>
            <w:shd w:val="clear" w:color="000000" w:fill="D9D9D9"/>
            <w:vAlign w:val="center"/>
            <w:hideMark/>
          </w:tcPr>
          <w:p w14:paraId="70273C47"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895" w:type="dxa"/>
          </w:tcPr>
          <w:p w14:paraId="2C40638F"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960" w:type="dxa"/>
            <w:vAlign w:val="center"/>
            <w:hideMark/>
          </w:tcPr>
          <w:p w14:paraId="3D3830DA"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200" w:type="dxa"/>
            <w:vAlign w:val="center"/>
            <w:hideMark/>
          </w:tcPr>
          <w:p w14:paraId="2FB6F51C"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18E60BD1"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4C5FFFD5"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19E65CFB"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23" w:type="dxa"/>
          </w:tcPr>
          <w:p w14:paraId="3589D16A"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r>
      <w:tr w:rsidR="009123AC" w:rsidRPr="00F0379B" w14:paraId="5A05CA07" w14:textId="77777777" w:rsidTr="00CA749B">
        <w:trPr>
          <w:trHeight w:val="20"/>
        </w:trPr>
        <w:tc>
          <w:tcPr>
            <w:tcW w:w="3091" w:type="dxa"/>
            <w:vAlign w:val="center"/>
            <w:hideMark/>
          </w:tcPr>
          <w:p w14:paraId="708A0647"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Otros (especificar)</w:t>
            </w:r>
          </w:p>
        </w:tc>
        <w:tc>
          <w:tcPr>
            <w:tcW w:w="1020" w:type="dxa"/>
            <w:noWrap/>
            <w:vAlign w:val="center"/>
            <w:hideMark/>
          </w:tcPr>
          <w:p w14:paraId="7A1FBB1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5</w:t>
            </w:r>
          </w:p>
        </w:tc>
        <w:tc>
          <w:tcPr>
            <w:tcW w:w="615" w:type="dxa"/>
          </w:tcPr>
          <w:p w14:paraId="2E5873E3"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615" w:type="dxa"/>
            <w:noWrap/>
            <w:vAlign w:val="center"/>
            <w:hideMark/>
          </w:tcPr>
          <w:p w14:paraId="126296EC"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6B448BD6"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3FB5821C"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314D3F45"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tcPr>
          <w:p w14:paraId="7B80FE66"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615" w:type="dxa"/>
          </w:tcPr>
          <w:p w14:paraId="1EAC8212"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ja-JP" w:bidi="fr-FR"/>
              </w:rPr>
            </w:pPr>
          </w:p>
        </w:tc>
        <w:tc>
          <w:tcPr>
            <w:tcW w:w="256" w:type="dxa"/>
            <w:shd w:val="clear" w:color="000000" w:fill="D9D9D9"/>
            <w:vAlign w:val="center"/>
            <w:hideMark/>
          </w:tcPr>
          <w:p w14:paraId="5B06BF7C"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895" w:type="dxa"/>
          </w:tcPr>
          <w:p w14:paraId="2CECD4CF"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c>
          <w:tcPr>
            <w:tcW w:w="960" w:type="dxa"/>
            <w:vAlign w:val="center"/>
            <w:hideMark/>
          </w:tcPr>
          <w:p w14:paraId="14ACDE19"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200" w:type="dxa"/>
            <w:vAlign w:val="center"/>
            <w:hideMark/>
          </w:tcPr>
          <w:p w14:paraId="46D110D7"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5D7FE4F1"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0E7ECD6B"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80" w:type="dxa"/>
            <w:vAlign w:val="center"/>
            <w:hideMark/>
          </w:tcPr>
          <w:p w14:paraId="319B2982"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1023" w:type="dxa"/>
          </w:tcPr>
          <w:p w14:paraId="28943D70"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ja-JP" w:bidi="fr-FR"/>
              </w:rPr>
            </w:pPr>
          </w:p>
        </w:tc>
      </w:tr>
      <w:tr w:rsidR="009123AC" w:rsidRPr="00F0379B" w14:paraId="370475D2" w14:textId="77777777" w:rsidTr="00CA749B">
        <w:trPr>
          <w:trHeight w:val="20"/>
        </w:trPr>
        <w:tc>
          <w:tcPr>
            <w:tcW w:w="3091" w:type="dxa"/>
            <w:noWrap/>
            <w:vAlign w:val="center"/>
            <w:hideMark/>
          </w:tcPr>
          <w:p w14:paraId="2B244E4E"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Capacidad pesquera/flota total</w:t>
            </w:r>
          </w:p>
        </w:tc>
        <w:tc>
          <w:tcPr>
            <w:tcW w:w="1020" w:type="dxa"/>
            <w:noWrap/>
            <w:vAlign w:val="center"/>
            <w:hideMark/>
          </w:tcPr>
          <w:p w14:paraId="2ADCBF0F" w14:textId="77777777" w:rsidR="009123AC" w:rsidRPr="00F0379B" w:rsidRDefault="009123AC" w:rsidP="009123AC">
            <w:pPr>
              <w:widowControl w:val="0"/>
              <w:spacing w:after="0" w:line="240" w:lineRule="auto"/>
              <w:jc w:val="right"/>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tcPr>
          <w:p w14:paraId="719A692E"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47</w:t>
            </w:r>
          </w:p>
        </w:tc>
        <w:tc>
          <w:tcPr>
            <w:tcW w:w="615" w:type="dxa"/>
            <w:noWrap/>
            <w:vAlign w:val="center"/>
            <w:hideMark/>
          </w:tcPr>
          <w:p w14:paraId="4BC1F588"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49</w:t>
            </w:r>
          </w:p>
        </w:tc>
        <w:tc>
          <w:tcPr>
            <w:tcW w:w="615" w:type="dxa"/>
            <w:vAlign w:val="center"/>
            <w:hideMark/>
          </w:tcPr>
          <w:p w14:paraId="6AF54AEE"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36</w:t>
            </w:r>
          </w:p>
        </w:tc>
        <w:tc>
          <w:tcPr>
            <w:tcW w:w="615" w:type="dxa"/>
            <w:vAlign w:val="center"/>
            <w:hideMark/>
          </w:tcPr>
          <w:p w14:paraId="5F487536"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sz w:val="16"/>
                <w:lang w:eastAsia="fr-FR" w:bidi="fr-FR"/>
              </w:rPr>
              <w:t>41</w:t>
            </w:r>
            <w:r w:rsidRPr="00F0379B">
              <w:rPr>
                <w:rFonts w:ascii="Cambria" w:eastAsia="MS Gothic" w:hAnsi="Cambria" w:cs="Times New Roman"/>
                <w:sz w:val="16"/>
                <w:vertAlign w:val="superscript"/>
                <w:lang w:eastAsia="fr-FR" w:bidi="fr-FR"/>
              </w:rPr>
              <w:t>*1</w:t>
            </w:r>
          </w:p>
        </w:tc>
        <w:tc>
          <w:tcPr>
            <w:tcW w:w="615" w:type="dxa"/>
            <w:vAlign w:val="center"/>
            <w:hideMark/>
          </w:tcPr>
          <w:p w14:paraId="79C5700E"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sz w:val="16"/>
                <w:lang w:eastAsia="fr-FR" w:bidi="fr-FR"/>
              </w:rPr>
              <w:t>42</w:t>
            </w:r>
            <w:r w:rsidRPr="00F0379B">
              <w:rPr>
                <w:rFonts w:ascii="Cambria" w:eastAsia="MS Gothic" w:hAnsi="Cambria" w:cs="Times New Roman"/>
                <w:sz w:val="16"/>
                <w:vertAlign w:val="superscript"/>
                <w:lang w:eastAsia="fr-FR" w:bidi="fr-FR"/>
              </w:rPr>
              <w:t>*2</w:t>
            </w:r>
          </w:p>
        </w:tc>
        <w:tc>
          <w:tcPr>
            <w:tcW w:w="615" w:type="dxa"/>
          </w:tcPr>
          <w:p w14:paraId="2668C851"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40</w:t>
            </w:r>
            <w:r w:rsidRPr="00F0379B">
              <w:rPr>
                <w:rFonts w:ascii="Cambria" w:eastAsia="MS Gothic" w:hAnsi="Cambria" w:cs="Times New Roman"/>
                <w:sz w:val="16"/>
                <w:vertAlign w:val="superscript"/>
                <w:lang w:eastAsia="fr-FR" w:bidi="fr-FR"/>
              </w:rPr>
              <w:t>*3</w:t>
            </w:r>
          </w:p>
        </w:tc>
        <w:tc>
          <w:tcPr>
            <w:tcW w:w="615" w:type="dxa"/>
          </w:tcPr>
          <w:p w14:paraId="1CD98F63"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40</w:t>
            </w:r>
          </w:p>
        </w:tc>
        <w:tc>
          <w:tcPr>
            <w:tcW w:w="256" w:type="dxa"/>
            <w:shd w:val="clear" w:color="000000" w:fill="D9D9D9"/>
            <w:vAlign w:val="center"/>
            <w:hideMark/>
          </w:tcPr>
          <w:p w14:paraId="615E9923"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w:t>
            </w:r>
          </w:p>
        </w:tc>
        <w:tc>
          <w:tcPr>
            <w:tcW w:w="895" w:type="dxa"/>
          </w:tcPr>
          <w:p w14:paraId="0525BB32"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1.175</w:t>
            </w:r>
          </w:p>
        </w:tc>
        <w:tc>
          <w:tcPr>
            <w:tcW w:w="960" w:type="dxa"/>
            <w:vAlign w:val="center"/>
            <w:hideMark/>
          </w:tcPr>
          <w:p w14:paraId="138B1AB9"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1.225</w:t>
            </w:r>
          </w:p>
        </w:tc>
        <w:tc>
          <w:tcPr>
            <w:tcW w:w="1200" w:type="dxa"/>
            <w:vAlign w:val="center"/>
            <w:hideMark/>
          </w:tcPr>
          <w:p w14:paraId="5A8CEF77" w14:textId="77777777" w:rsidR="009123AC" w:rsidRPr="00F0379B" w:rsidRDefault="009123AC" w:rsidP="009123AC">
            <w:pPr>
              <w:widowControl w:val="0"/>
              <w:spacing w:after="0" w:line="240" w:lineRule="auto"/>
              <w:jc w:val="both"/>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 900</w:t>
            </w:r>
          </w:p>
        </w:tc>
        <w:tc>
          <w:tcPr>
            <w:tcW w:w="1080" w:type="dxa"/>
            <w:noWrap/>
            <w:vAlign w:val="center"/>
            <w:hideMark/>
          </w:tcPr>
          <w:p w14:paraId="6BCB9446"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1.025</w:t>
            </w:r>
          </w:p>
        </w:tc>
        <w:tc>
          <w:tcPr>
            <w:tcW w:w="1080" w:type="dxa"/>
            <w:noWrap/>
            <w:vAlign w:val="center"/>
            <w:hideMark/>
          </w:tcPr>
          <w:p w14:paraId="7C043EC8"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1.050</w:t>
            </w:r>
          </w:p>
        </w:tc>
        <w:tc>
          <w:tcPr>
            <w:tcW w:w="1080" w:type="dxa"/>
            <w:noWrap/>
            <w:vAlign w:val="center"/>
            <w:hideMark/>
          </w:tcPr>
          <w:p w14:paraId="49E97A83"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1.000</w:t>
            </w:r>
          </w:p>
        </w:tc>
        <w:tc>
          <w:tcPr>
            <w:tcW w:w="1023" w:type="dxa"/>
          </w:tcPr>
          <w:p w14:paraId="1D0DD72C" w14:textId="77777777" w:rsidR="009123AC" w:rsidRPr="00F0379B" w:rsidRDefault="009123AC" w:rsidP="009123AC">
            <w:pPr>
              <w:widowControl w:val="0"/>
              <w:spacing w:after="0" w:line="240" w:lineRule="auto"/>
              <w:jc w:val="center"/>
              <w:rPr>
                <w:rFonts w:ascii="Cambria" w:eastAsia="Times New Roman" w:hAnsi="Cambria" w:cs="Calibri"/>
                <w:bCs/>
                <w:color w:val="000000"/>
                <w:sz w:val="16"/>
                <w:lang w:eastAsia="fr-FR" w:bidi="fr-FR"/>
              </w:rPr>
            </w:pPr>
            <w:r w:rsidRPr="00F0379B">
              <w:rPr>
                <w:rFonts w:ascii="Cambria" w:eastAsia="MS Gothic" w:hAnsi="Cambria" w:cs="Times New Roman"/>
                <w:color w:val="000000"/>
                <w:sz w:val="16"/>
                <w:lang w:eastAsia="fr-FR" w:bidi="fr-FR"/>
              </w:rPr>
              <w:t>1.000</w:t>
            </w:r>
          </w:p>
        </w:tc>
      </w:tr>
      <w:tr w:rsidR="009123AC" w:rsidRPr="00F0379B" w14:paraId="6B8B2676" w14:textId="77777777" w:rsidTr="00CA749B">
        <w:trPr>
          <w:trHeight w:val="20"/>
        </w:trPr>
        <w:tc>
          <w:tcPr>
            <w:tcW w:w="3091" w:type="dxa"/>
            <w:shd w:val="clear" w:color="auto" w:fill="D9D9D9"/>
            <w:noWrap/>
            <w:vAlign w:val="center"/>
            <w:hideMark/>
          </w:tcPr>
          <w:p w14:paraId="4128D407"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Cuota inicial</w:t>
            </w:r>
          </w:p>
        </w:tc>
        <w:tc>
          <w:tcPr>
            <w:tcW w:w="1020" w:type="dxa"/>
            <w:shd w:val="clear" w:color="auto" w:fill="D9D9D9"/>
            <w:noWrap/>
            <w:vAlign w:val="center"/>
            <w:hideMark/>
          </w:tcPr>
          <w:p w14:paraId="565AE91B" w14:textId="77777777" w:rsidR="009123AC" w:rsidRPr="00F0379B" w:rsidRDefault="009123AC" w:rsidP="009123AC">
            <w:pPr>
              <w:widowControl w:val="0"/>
              <w:spacing w:after="0" w:line="240" w:lineRule="auto"/>
              <w:jc w:val="right"/>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shd w:val="clear" w:color="auto" w:fill="D9D9D9"/>
          </w:tcPr>
          <w:p w14:paraId="78ADA578"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shd w:val="clear" w:color="auto" w:fill="D9D9D9"/>
            <w:noWrap/>
            <w:vAlign w:val="center"/>
            <w:hideMark/>
          </w:tcPr>
          <w:p w14:paraId="38B1E5AE"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shd w:val="clear" w:color="auto" w:fill="D9D9D9"/>
            <w:vAlign w:val="center"/>
            <w:hideMark/>
          </w:tcPr>
          <w:p w14:paraId="1BC50C12"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shd w:val="clear" w:color="auto" w:fill="D9D9D9"/>
            <w:vAlign w:val="center"/>
            <w:hideMark/>
          </w:tcPr>
          <w:p w14:paraId="716CC96E"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shd w:val="clear" w:color="auto" w:fill="D9D9D9"/>
            <w:vAlign w:val="center"/>
            <w:hideMark/>
          </w:tcPr>
          <w:p w14:paraId="75787852"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shd w:val="clear" w:color="auto" w:fill="D9D9D9"/>
          </w:tcPr>
          <w:p w14:paraId="29ACC944"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shd w:val="clear" w:color="auto" w:fill="D9D9D9"/>
          </w:tcPr>
          <w:p w14:paraId="64B209B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56" w:type="dxa"/>
            <w:shd w:val="clear" w:color="auto" w:fill="D9D9D9"/>
            <w:vAlign w:val="center"/>
            <w:hideMark/>
          </w:tcPr>
          <w:p w14:paraId="1D2AE342"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895" w:type="dxa"/>
            <w:shd w:val="clear" w:color="auto" w:fill="D9D9D9"/>
          </w:tcPr>
          <w:p w14:paraId="115D1C8B" w14:textId="77777777" w:rsidR="009123AC" w:rsidRPr="00F0379B" w:rsidRDefault="009123AC" w:rsidP="009123AC">
            <w:pPr>
              <w:widowControl w:val="0"/>
              <w:spacing w:after="0" w:line="240" w:lineRule="auto"/>
              <w:jc w:val="both"/>
              <w:rPr>
                <w:rFonts w:ascii="Cambria" w:eastAsia="Times New Roman" w:hAnsi="Cambria" w:cs="Calibri"/>
                <w:strike/>
                <w:color w:val="000000"/>
                <w:sz w:val="16"/>
                <w:lang w:eastAsia="ja-JP" w:bidi="fr-FR"/>
              </w:rPr>
            </w:pPr>
          </w:p>
        </w:tc>
        <w:tc>
          <w:tcPr>
            <w:tcW w:w="960" w:type="dxa"/>
            <w:shd w:val="clear" w:color="auto" w:fill="D9D9D9"/>
            <w:vAlign w:val="center"/>
            <w:hideMark/>
          </w:tcPr>
          <w:p w14:paraId="3C1CB18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2.430,54</w:t>
            </w:r>
          </w:p>
        </w:tc>
        <w:tc>
          <w:tcPr>
            <w:tcW w:w="1200" w:type="dxa"/>
            <w:shd w:val="clear" w:color="auto" w:fill="D9D9D9"/>
            <w:vAlign w:val="center"/>
            <w:hideMark/>
          </w:tcPr>
          <w:p w14:paraId="33D24D6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2.279</w:t>
            </w:r>
          </w:p>
        </w:tc>
        <w:tc>
          <w:tcPr>
            <w:tcW w:w="1080" w:type="dxa"/>
            <w:shd w:val="clear" w:color="auto" w:fill="D9D9D9"/>
            <w:vAlign w:val="center"/>
            <w:hideMark/>
          </w:tcPr>
          <w:p w14:paraId="25F009F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3.114</w:t>
            </w:r>
          </w:p>
        </w:tc>
        <w:tc>
          <w:tcPr>
            <w:tcW w:w="1080" w:type="dxa"/>
            <w:shd w:val="clear" w:color="auto" w:fill="D9D9D9"/>
            <w:vAlign w:val="center"/>
            <w:hideMark/>
          </w:tcPr>
          <w:p w14:paraId="04BBF0C7"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3.114</w:t>
            </w:r>
          </w:p>
        </w:tc>
        <w:tc>
          <w:tcPr>
            <w:tcW w:w="1080" w:type="dxa"/>
            <w:shd w:val="clear" w:color="auto" w:fill="D9D9D9"/>
            <w:vAlign w:val="center"/>
            <w:hideMark/>
          </w:tcPr>
          <w:p w14:paraId="3910A8C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3.114</w:t>
            </w:r>
          </w:p>
        </w:tc>
        <w:tc>
          <w:tcPr>
            <w:tcW w:w="1023" w:type="dxa"/>
            <w:shd w:val="clear" w:color="auto" w:fill="D9D9D9"/>
          </w:tcPr>
          <w:p w14:paraId="4F28CE9C"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3.559,41</w:t>
            </w:r>
          </w:p>
        </w:tc>
      </w:tr>
      <w:tr w:rsidR="009123AC" w:rsidRPr="00F0379B" w14:paraId="44AC61A3" w14:textId="77777777" w:rsidTr="00CA749B">
        <w:trPr>
          <w:trHeight w:val="20"/>
        </w:trPr>
        <w:tc>
          <w:tcPr>
            <w:tcW w:w="3091" w:type="dxa"/>
            <w:shd w:val="clear" w:color="auto" w:fill="D9D9D9"/>
            <w:noWrap/>
            <w:vAlign w:val="center"/>
          </w:tcPr>
          <w:p w14:paraId="544F7D5E"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Cuota ajustada (si procede)</w:t>
            </w:r>
          </w:p>
        </w:tc>
        <w:tc>
          <w:tcPr>
            <w:tcW w:w="1020" w:type="dxa"/>
            <w:shd w:val="clear" w:color="auto" w:fill="D9D9D9"/>
            <w:noWrap/>
            <w:vAlign w:val="center"/>
          </w:tcPr>
          <w:p w14:paraId="08896CC6" w14:textId="77777777" w:rsidR="009123AC" w:rsidRPr="00F0379B" w:rsidRDefault="009123AC" w:rsidP="009123AC">
            <w:pPr>
              <w:widowControl w:val="0"/>
              <w:spacing w:after="0" w:line="240" w:lineRule="auto"/>
              <w:jc w:val="right"/>
              <w:rPr>
                <w:rFonts w:ascii="Cambria" w:eastAsia="Times New Roman" w:hAnsi="Cambria" w:cs="Calibri"/>
                <w:color w:val="000000"/>
                <w:sz w:val="16"/>
                <w:lang w:eastAsia="ja-JP" w:bidi="fr-FR"/>
              </w:rPr>
            </w:pPr>
          </w:p>
        </w:tc>
        <w:tc>
          <w:tcPr>
            <w:tcW w:w="615" w:type="dxa"/>
            <w:shd w:val="clear" w:color="auto" w:fill="D9D9D9"/>
          </w:tcPr>
          <w:p w14:paraId="1B1E9171"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shd w:val="clear" w:color="auto" w:fill="D9D9D9"/>
            <w:noWrap/>
            <w:vAlign w:val="center"/>
          </w:tcPr>
          <w:p w14:paraId="7EBE67A6"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shd w:val="clear" w:color="auto" w:fill="D9D9D9"/>
            <w:vAlign w:val="center"/>
          </w:tcPr>
          <w:p w14:paraId="699B5612"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shd w:val="clear" w:color="auto" w:fill="D9D9D9"/>
            <w:vAlign w:val="center"/>
          </w:tcPr>
          <w:p w14:paraId="0741D9AB"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shd w:val="clear" w:color="auto" w:fill="D9D9D9"/>
            <w:vAlign w:val="center"/>
          </w:tcPr>
          <w:p w14:paraId="04482288"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shd w:val="clear" w:color="auto" w:fill="D9D9D9"/>
          </w:tcPr>
          <w:p w14:paraId="5E6171BA"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shd w:val="clear" w:color="auto" w:fill="D9D9D9"/>
          </w:tcPr>
          <w:p w14:paraId="5B54E0DC"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56" w:type="dxa"/>
            <w:shd w:val="clear" w:color="auto" w:fill="D9D9D9"/>
            <w:vAlign w:val="center"/>
          </w:tcPr>
          <w:p w14:paraId="62432E2A"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895" w:type="dxa"/>
            <w:shd w:val="clear" w:color="auto" w:fill="D9D9D9"/>
          </w:tcPr>
          <w:p w14:paraId="464EDDB8"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960" w:type="dxa"/>
            <w:shd w:val="clear" w:color="auto" w:fill="D9D9D9"/>
            <w:vAlign w:val="center"/>
          </w:tcPr>
          <w:p w14:paraId="5A9CBB3A"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2.529</w:t>
            </w:r>
          </w:p>
        </w:tc>
        <w:tc>
          <w:tcPr>
            <w:tcW w:w="1200" w:type="dxa"/>
            <w:shd w:val="clear" w:color="auto" w:fill="D9D9D9"/>
            <w:vAlign w:val="center"/>
          </w:tcPr>
          <w:p w14:paraId="49C782A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2.279,00</w:t>
            </w:r>
          </w:p>
        </w:tc>
        <w:tc>
          <w:tcPr>
            <w:tcW w:w="1080" w:type="dxa"/>
            <w:shd w:val="clear" w:color="auto" w:fill="D9D9D9"/>
            <w:vAlign w:val="center"/>
          </w:tcPr>
          <w:p w14:paraId="05ED023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3.158,39</w:t>
            </w:r>
          </w:p>
        </w:tc>
        <w:tc>
          <w:tcPr>
            <w:tcW w:w="1080" w:type="dxa"/>
            <w:shd w:val="clear" w:color="auto" w:fill="D9D9D9"/>
            <w:vAlign w:val="center"/>
          </w:tcPr>
          <w:p w14:paraId="7079AF0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r w:rsidRPr="00F0379B">
              <w:rPr>
                <w:rFonts w:ascii="Cambria" w:eastAsia="MS Gothic" w:hAnsi="Cambria" w:cs="Times New Roman"/>
                <w:color w:val="000000"/>
                <w:sz w:val="16"/>
                <w:lang w:eastAsia="fr-FR" w:bidi="fr-FR"/>
              </w:rPr>
              <w:t>3.184,40</w:t>
            </w:r>
          </w:p>
        </w:tc>
        <w:tc>
          <w:tcPr>
            <w:tcW w:w="1080" w:type="dxa"/>
            <w:shd w:val="clear" w:color="auto" w:fill="D9D9D9"/>
            <w:vAlign w:val="center"/>
          </w:tcPr>
          <w:p w14:paraId="073C4CE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r w:rsidRPr="00F0379B">
              <w:rPr>
                <w:rFonts w:ascii="Cambria" w:eastAsia="MS Gothic" w:hAnsi="Cambria" w:cs="Times New Roman"/>
                <w:color w:val="000000"/>
                <w:sz w:val="16"/>
                <w:lang w:eastAsia="fr-FR" w:bidi="fr-FR"/>
              </w:rPr>
              <w:t>3.269,70</w:t>
            </w:r>
          </w:p>
        </w:tc>
        <w:tc>
          <w:tcPr>
            <w:tcW w:w="1023" w:type="dxa"/>
            <w:shd w:val="clear" w:color="auto" w:fill="D9D9D9"/>
            <w:vAlign w:val="center"/>
          </w:tcPr>
          <w:p w14:paraId="2F5E032B"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4.023,16</w:t>
            </w:r>
          </w:p>
        </w:tc>
      </w:tr>
      <w:tr w:rsidR="009123AC" w:rsidRPr="00F0379B" w14:paraId="5492366B" w14:textId="77777777" w:rsidTr="00CA749B">
        <w:trPr>
          <w:trHeight w:val="20"/>
        </w:trPr>
        <w:tc>
          <w:tcPr>
            <w:tcW w:w="3091" w:type="dxa"/>
            <w:noWrap/>
            <w:vAlign w:val="center"/>
            <w:hideMark/>
          </w:tcPr>
          <w:p w14:paraId="242A7BF7"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Porcentaje asignado a captura fortuita</w:t>
            </w:r>
          </w:p>
        </w:tc>
        <w:tc>
          <w:tcPr>
            <w:tcW w:w="1020" w:type="dxa"/>
            <w:noWrap/>
            <w:vAlign w:val="center"/>
            <w:hideMark/>
          </w:tcPr>
          <w:p w14:paraId="0CE26CBA" w14:textId="77777777" w:rsidR="009123AC" w:rsidRPr="00F0379B" w:rsidRDefault="009123AC" w:rsidP="009123AC">
            <w:pPr>
              <w:widowControl w:val="0"/>
              <w:spacing w:after="0" w:line="240" w:lineRule="auto"/>
              <w:jc w:val="right"/>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tcPr>
          <w:p w14:paraId="6571E5AC"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noWrap/>
            <w:vAlign w:val="center"/>
            <w:hideMark/>
          </w:tcPr>
          <w:p w14:paraId="5D84E9F9"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4F10E446"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56124412"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vAlign w:val="center"/>
            <w:hideMark/>
          </w:tcPr>
          <w:p w14:paraId="15CA3CEF"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tcPr>
          <w:p w14:paraId="0A9060DD"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tcPr>
          <w:p w14:paraId="5FE0AF1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56" w:type="dxa"/>
            <w:shd w:val="clear" w:color="000000" w:fill="D9D9D9"/>
            <w:vAlign w:val="center"/>
            <w:hideMark/>
          </w:tcPr>
          <w:p w14:paraId="49A8DC2B"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895" w:type="dxa"/>
          </w:tcPr>
          <w:p w14:paraId="6E1331EA"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960" w:type="dxa"/>
            <w:vAlign w:val="center"/>
            <w:hideMark/>
          </w:tcPr>
          <w:p w14:paraId="716EC51B"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1200" w:type="dxa"/>
            <w:vAlign w:val="center"/>
            <w:hideMark/>
          </w:tcPr>
          <w:p w14:paraId="418C9A9D" w14:textId="77777777" w:rsidR="009123AC" w:rsidRPr="00F0379B" w:rsidRDefault="009123AC" w:rsidP="009123AC">
            <w:pPr>
              <w:widowControl w:val="0"/>
              <w:spacing w:after="0" w:line="240" w:lineRule="auto"/>
              <w:jc w:val="both"/>
              <w:rPr>
                <w:rFonts w:ascii="Cambria" w:eastAsia="Times New Roman" w:hAnsi="Cambria" w:cs="Calibri"/>
                <w:color w:val="000000"/>
                <w:sz w:val="10"/>
                <w:szCs w:val="16"/>
                <w:lang w:eastAsia="fr-FR" w:bidi="fr-FR"/>
              </w:rPr>
            </w:pPr>
            <w:r w:rsidRPr="00F0379B">
              <w:rPr>
                <w:rFonts w:ascii="Cambria" w:eastAsia="MS Gothic" w:hAnsi="Cambria" w:cs="Times New Roman"/>
                <w:color w:val="000000"/>
                <w:sz w:val="10"/>
                <w:szCs w:val="16"/>
                <w:lang w:eastAsia="fr-FR" w:bidi="fr-FR"/>
              </w:rPr>
              <w:t xml:space="preserve"> menos del 0,04% </w:t>
            </w:r>
          </w:p>
          <w:p w14:paraId="4A1451FA" w14:textId="77777777" w:rsidR="009123AC" w:rsidRPr="00F0379B" w:rsidRDefault="009123AC" w:rsidP="009123AC">
            <w:pPr>
              <w:widowControl w:val="0"/>
              <w:spacing w:after="0" w:line="240" w:lineRule="auto"/>
              <w:jc w:val="both"/>
              <w:rPr>
                <w:rFonts w:ascii="Cambria" w:eastAsia="Times New Roman" w:hAnsi="Cambria" w:cs="Calibri"/>
                <w:color w:val="000000"/>
                <w:sz w:val="10"/>
                <w:szCs w:val="16"/>
                <w:lang w:eastAsia="ja-JP" w:bidi="fr-FR"/>
              </w:rPr>
            </w:pPr>
            <w:r w:rsidRPr="00F0379B">
              <w:rPr>
                <w:rFonts w:ascii="Cambria" w:eastAsia="MS Gothic" w:hAnsi="Cambria" w:cs="Times New Roman"/>
                <w:color w:val="000000"/>
                <w:sz w:val="10"/>
                <w:szCs w:val="16"/>
                <w:lang w:eastAsia="fr-FR" w:bidi="fr-FR"/>
              </w:rPr>
              <w:t>1 t*</w:t>
            </w:r>
            <w:r w:rsidRPr="00F0379B">
              <w:rPr>
                <w:rFonts w:ascii="Cambria" w:eastAsia="MS Gothic" w:hAnsi="Cambria" w:cs="Times New Roman"/>
                <w:color w:val="000000"/>
                <w:sz w:val="10"/>
                <w:szCs w:val="16"/>
                <w:vertAlign w:val="superscript"/>
                <w:lang w:eastAsia="fr-FR" w:bidi="fr-FR"/>
              </w:rPr>
              <w:t>8</w:t>
            </w:r>
          </w:p>
        </w:tc>
        <w:tc>
          <w:tcPr>
            <w:tcW w:w="1080" w:type="dxa"/>
            <w:vAlign w:val="center"/>
            <w:hideMark/>
          </w:tcPr>
          <w:p w14:paraId="0899AE9A" w14:textId="77777777" w:rsidR="009123AC" w:rsidRPr="00F0379B" w:rsidRDefault="009123AC" w:rsidP="009123AC">
            <w:pPr>
              <w:widowControl w:val="0"/>
              <w:spacing w:after="0" w:line="240" w:lineRule="auto"/>
              <w:jc w:val="both"/>
              <w:rPr>
                <w:rFonts w:ascii="Cambria" w:eastAsia="MS Gothic" w:hAnsi="Cambria" w:cs="Times New Roman"/>
                <w:color w:val="000000"/>
                <w:sz w:val="10"/>
                <w:szCs w:val="16"/>
                <w:lang w:eastAsia="fr-FR" w:bidi="fr-FR"/>
              </w:rPr>
            </w:pPr>
            <w:r w:rsidRPr="00F0379B">
              <w:rPr>
                <w:rFonts w:ascii="Cambria" w:eastAsia="MS Gothic" w:hAnsi="Cambria" w:cs="Times New Roman"/>
                <w:color w:val="000000"/>
                <w:sz w:val="10"/>
                <w:szCs w:val="16"/>
                <w:lang w:eastAsia="fr-FR" w:bidi="fr-FR"/>
              </w:rPr>
              <w:t xml:space="preserve"> menos del 0,03% </w:t>
            </w:r>
          </w:p>
          <w:p w14:paraId="0ACC0810" w14:textId="77777777" w:rsidR="009123AC" w:rsidRPr="00F0379B" w:rsidRDefault="009123AC" w:rsidP="009123AC">
            <w:pPr>
              <w:widowControl w:val="0"/>
              <w:spacing w:after="0" w:line="240" w:lineRule="auto"/>
              <w:jc w:val="both"/>
              <w:rPr>
                <w:rFonts w:ascii="Cambria" w:eastAsia="Times New Roman" w:hAnsi="Cambria" w:cs="Calibri"/>
                <w:color w:val="000000"/>
                <w:sz w:val="10"/>
                <w:szCs w:val="16"/>
                <w:lang w:eastAsia="ja-JP" w:bidi="fr-FR"/>
              </w:rPr>
            </w:pPr>
            <w:r w:rsidRPr="00F0379B">
              <w:rPr>
                <w:rFonts w:ascii="Cambria" w:eastAsia="MS Gothic" w:hAnsi="Cambria" w:cs="Times New Roman"/>
                <w:color w:val="000000"/>
                <w:sz w:val="10"/>
                <w:szCs w:val="16"/>
                <w:lang w:eastAsia="fr-FR" w:bidi="fr-FR"/>
              </w:rPr>
              <w:t>1 t*</w:t>
            </w:r>
            <w:r w:rsidRPr="00F0379B">
              <w:rPr>
                <w:rFonts w:ascii="Cambria" w:eastAsia="MS Gothic" w:hAnsi="Cambria" w:cs="Times New Roman"/>
                <w:color w:val="000000"/>
                <w:sz w:val="10"/>
                <w:szCs w:val="16"/>
                <w:vertAlign w:val="superscript"/>
                <w:lang w:eastAsia="fr-FR" w:bidi="fr-FR"/>
              </w:rPr>
              <w:t>8</w:t>
            </w:r>
          </w:p>
        </w:tc>
        <w:tc>
          <w:tcPr>
            <w:tcW w:w="1080" w:type="dxa"/>
            <w:vAlign w:val="center"/>
            <w:hideMark/>
          </w:tcPr>
          <w:p w14:paraId="505E178B" w14:textId="77777777" w:rsidR="009123AC" w:rsidRPr="00F0379B" w:rsidRDefault="009123AC" w:rsidP="009123AC">
            <w:pPr>
              <w:widowControl w:val="0"/>
              <w:spacing w:after="0" w:line="240" w:lineRule="auto"/>
              <w:jc w:val="both"/>
              <w:rPr>
                <w:rFonts w:ascii="Cambria" w:eastAsia="Times New Roman" w:hAnsi="Cambria" w:cs="Calibri"/>
                <w:color w:val="000000"/>
                <w:sz w:val="10"/>
                <w:szCs w:val="16"/>
                <w:lang w:eastAsia="fr-FR" w:bidi="fr-FR"/>
              </w:rPr>
            </w:pPr>
            <w:r w:rsidRPr="00F0379B">
              <w:rPr>
                <w:rFonts w:ascii="Cambria" w:eastAsia="MS Gothic" w:hAnsi="Cambria" w:cs="Times New Roman"/>
                <w:color w:val="000000"/>
                <w:sz w:val="10"/>
                <w:szCs w:val="16"/>
                <w:lang w:eastAsia="fr-FR" w:bidi="fr-FR"/>
              </w:rPr>
              <w:t xml:space="preserve"> menos del 0,04% </w:t>
            </w:r>
          </w:p>
          <w:p w14:paraId="44B9FF25" w14:textId="77777777" w:rsidR="009123AC" w:rsidRPr="00F0379B" w:rsidRDefault="009123AC" w:rsidP="009123AC">
            <w:pPr>
              <w:widowControl w:val="0"/>
              <w:spacing w:after="0" w:line="240" w:lineRule="auto"/>
              <w:jc w:val="both"/>
              <w:rPr>
                <w:rFonts w:ascii="Cambria" w:eastAsia="Times New Roman" w:hAnsi="Cambria" w:cs="Calibri"/>
                <w:color w:val="000000"/>
                <w:sz w:val="10"/>
                <w:szCs w:val="16"/>
                <w:lang w:eastAsia="ja-JP" w:bidi="fr-FR"/>
              </w:rPr>
            </w:pPr>
            <w:r w:rsidRPr="00F0379B">
              <w:rPr>
                <w:rFonts w:ascii="Cambria" w:eastAsia="MS Gothic" w:hAnsi="Cambria" w:cs="Times New Roman"/>
                <w:color w:val="000000"/>
                <w:sz w:val="10"/>
                <w:szCs w:val="16"/>
                <w:lang w:eastAsia="fr-FR" w:bidi="fr-FR"/>
              </w:rPr>
              <w:t>1 t*</w:t>
            </w:r>
            <w:r w:rsidRPr="00F0379B">
              <w:rPr>
                <w:rFonts w:ascii="Cambria" w:eastAsia="MS Gothic" w:hAnsi="Cambria" w:cs="Times New Roman"/>
                <w:color w:val="000000"/>
                <w:sz w:val="10"/>
                <w:szCs w:val="16"/>
                <w:vertAlign w:val="superscript"/>
                <w:lang w:eastAsia="fr-FR" w:bidi="fr-FR"/>
              </w:rPr>
              <w:t>8</w:t>
            </w:r>
          </w:p>
        </w:tc>
        <w:tc>
          <w:tcPr>
            <w:tcW w:w="1080" w:type="dxa"/>
            <w:vAlign w:val="center"/>
            <w:hideMark/>
          </w:tcPr>
          <w:p w14:paraId="2E7E0B81" w14:textId="77777777" w:rsidR="009123AC" w:rsidRPr="00F0379B" w:rsidRDefault="009123AC" w:rsidP="009123AC">
            <w:pPr>
              <w:widowControl w:val="0"/>
              <w:spacing w:after="0" w:line="240" w:lineRule="auto"/>
              <w:jc w:val="both"/>
              <w:rPr>
                <w:rFonts w:ascii="Cambria" w:eastAsia="Times New Roman" w:hAnsi="Cambria" w:cs="Calibri"/>
                <w:color w:val="000000"/>
                <w:sz w:val="10"/>
                <w:szCs w:val="16"/>
                <w:lang w:eastAsia="fr-FR" w:bidi="fr-FR"/>
              </w:rPr>
            </w:pPr>
            <w:r w:rsidRPr="00F0379B">
              <w:rPr>
                <w:rFonts w:ascii="Cambria" w:eastAsia="MS Gothic" w:hAnsi="Cambria" w:cs="Times New Roman"/>
                <w:color w:val="000000"/>
                <w:sz w:val="10"/>
                <w:szCs w:val="16"/>
                <w:lang w:eastAsia="fr-FR" w:bidi="fr-FR"/>
              </w:rPr>
              <w:t> menos del 0,04%</w:t>
            </w:r>
          </w:p>
          <w:p w14:paraId="348C1E45" w14:textId="77777777" w:rsidR="009123AC" w:rsidRPr="00F0379B" w:rsidRDefault="009123AC" w:rsidP="009123AC">
            <w:pPr>
              <w:widowControl w:val="0"/>
              <w:spacing w:after="0" w:line="240" w:lineRule="auto"/>
              <w:jc w:val="both"/>
              <w:rPr>
                <w:rFonts w:ascii="Cambria" w:eastAsia="Times New Roman" w:hAnsi="Cambria" w:cs="Calibri"/>
                <w:color w:val="000000"/>
                <w:sz w:val="10"/>
                <w:szCs w:val="16"/>
                <w:lang w:eastAsia="ja-JP" w:bidi="fr-FR"/>
              </w:rPr>
            </w:pPr>
            <w:r w:rsidRPr="00F0379B">
              <w:rPr>
                <w:rFonts w:ascii="Cambria" w:eastAsia="MS Gothic" w:hAnsi="Cambria" w:cs="Times New Roman"/>
                <w:color w:val="000000"/>
                <w:sz w:val="10"/>
                <w:szCs w:val="16"/>
                <w:lang w:eastAsia="fr-FR" w:bidi="fr-FR"/>
              </w:rPr>
              <w:t>1 t*</w:t>
            </w:r>
            <w:r w:rsidRPr="00F0379B">
              <w:rPr>
                <w:rFonts w:ascii="Cambria" w:eastAsia="MS Gothic" w:hAnsi="Cambria" w:cs="Times New Roman"/>
                <w:color w:val="000000"/>
                <w:sz w:val="10"/>
                <w:szCs w:val="16"/>
                <w:vertAlign w:val="superscript"/>
                <w:lang w:eastAsia="fr-FR" w:bidi="fr-FR"/>
              </w:rPr>
              <w:t>8</w:t>
            </w:r>
          </w:p>
        </w:tc>
        <w:tc>
          <w:tcPr>
            <w:tcW w:w="1023" w:type="dxa"/>
          </w:tcPr>
          <w:p w14:paraId="7E71FEB3" w14:textId="77777777" w:rsidR="009123AC" w:rsidRPr="00F0379B" w:rsidRDefault="009123AC" w:rsidP="009123AC">
            <w:pPr>
              <w:widowControl w:val="0"/>
              <w:spacing w:after="0" w:line="240" w:lineRule="auto"/>
              <w:jc w:val="both"/>
              <w:rPr>
                <w:rFonts w:ascii="Cambria" w:eastAsia="Times New Roman" w:hAnsi="Cambria" w:cs="Calibri"/>
                <w:color w:val="000000"/>
                <w:sz w:val="10"/>
                <w:szCs w:val="16"/>
                <w:lang w:eastAsia="fr-FR" w:bidi="fr-FR"/>
              </w:rPr>
            </w:pPr>
            <w:r w:rsidRPr="00F0379B">
              <w:rPr>
                <w:rFonts w:ascii="Cambria" w:eastAsia="MS Gothic" w:hAnsi="Cambria" w:cs="Times New Roman"/>
                <w:color w:val="000000"/>
                <w:sz w:val="10"/>
                <w:szCs w:val="16"/>
                <w:lang w:eastAsia="fr-FR" w:bidi="fr-FR"/>
              </w:rPr>
              <w:t> menos del 0,04%</w:t>
            </w:r>
          </w:p>
          <w:p w14:paraId="76451DB9" w14:textId="77777777" w:rsidR="009123AC" w:rsidRPr="00F0379B" w:rsidRDefault="009123AC" w:rsidP="009123AC">
            <w:pPr>
              <w:widowControl w:val="0"/>
              <w:spacing w:after="0" w:line="240" w:lineRule="auto"/>
              <w:jc w:val="both"/>
              <w:rPr>
                <w:rFonts w:ascii="Cambria" w:eastAsia="Times New Roman" w:hAnsi="Cambria" w:cs="Calibri"/>
                <w:color w:val="000000"/>
                <w:sz w:val="10"/>
                <w:szCs w:val="16"/>
                <w:lang w:eastAsia="fr-FR" w:bidi="fr-FR"/>
              </w:rPr>
            </w:pPr>
            <w:r w:rsidRPr="00F0379B">
              <w:rPr>
                <w:rFonts w:ascii="Cambria" w:eastAsia="MS Gothic" w:hAnsi="Cambria" w:cs="Times New Roman"/>
                <w:color w:val="000000"/>
                <w:sz w:val="10"/>
                <w:szCs w:val="16"/>
                <w:lang w:eastAsia="fr-FR" w:bidi="fr-FR"/>
              </w:rPr>
              <w:t>1 t*</w:t>
            </w:r>
            <w:r w:rsidRPr="00F0379B">
              <w:rPr>
                <w:rFonts w:ascii="Cambria" w:eastAsia="MS Gothic" w:hAnsi="Cambria" w:cs="Times New Roman"/>
                <w:color w:val="000000"/>
                <w:sz w:val="10"/>
                <w:szCs w:val="16"/>
                <w:vertAlign w:val="superscript"/>
                <w:lang w:eastAsia="fr-FR" w:bidi="fr-FR"/>
              </w:rPr>
              <w:t>8</w:t>
            </w:r>
          </w:p>
        </w:tc>
      </w:tr>
      <w:tr w:rsidR="009123AC" w:rsidRPr="00F0379B" w14:paraId="01BA8748" w14:textId="77777777" w:rsidTr="00CA749B">
        <w:trPr>
          <w:trHeight w:val="20"/>
        </w:trPr>
        <w:tc>
          <w:tcPr>
            <w:tcW w:w="3091" w:type="dxa"/>
            <w:noWrap/>
            <w:vAlign w:val="center"/>
          </w:tcPr>
          <w:p w14:paraId="083E9C96"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Asignación a la captura fortuita</w:t>
            </w:r>
          </w:p>
        </w:tc>
        <w:tc>
          <w:tcPr>
            <w:tcW w:w="1020" w:type="dxa"/>
            <w:noWrap/>
            <w:vAlign w:val="center"/>
          </w:tcPr>
          <w:p w14:paraId="6509E7AE" w14:textId="77777777" w:rsidR="009123AC" w:rsidRPr="00F0379B" w:rsidRDefault="009123AC" w:rsidP="009123AC">
            <w:pPr>
              <w:widowControl w:val="0"/>
              <w:spacing w:after="0" w:line="240" w:lineRule="auto"/>
              <w:jc w:val="right"/>
              <w:rPr>
                <w:rFonts w:ascii="Cambria" w:eastAsia="Times New Roman" w:hAnsi="Cambria" w:cs="Calibri"/>
                <w:color w:val="000000"/>
                <w:sz w:val="16"/>
                <w:lang w:eastAsia="ja-JP" w:bidi="fr-FR"/>
              </w:rPr>
            </w:pPr>
          </w:p>
        </w:tc>
        <w:tc>
          <w:tcPr>
            <w:tcW w:w="615" w:type="dxa"/>
          </w:tcPr>
          <w:p w14:paraId="4809D919"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noWrap/>
            <w:vAlign w:val="center"/>
          </w:tcPr>
          <w:p w14:paraId="3CDA7A96"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vAlign w:val="center"/>
          </w:tcPr>
          <w:p w14:paraId="249D928D"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vAlign w:val="center"/>
          </w:tcPr>
          <w:p w14:paraId="4C0BFEB1"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vAlign w:val="center"/>
          </w:tcPr>
          <w:p w14:paraId="0336B37B"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tcPr>
          <w:p w14:paraId="64902DBA"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tcPr>
          <w:p w14:paraId="0A3733A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56" w:type="dxa"/>
            <w:shd w:val="clear" w:color="000000" w:fill="D9D9D9"/>
            <w:vAlign w:val="center"/>
          </w:tcPr>
          <w:p w14:paraId="02C67567"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895" w:type="dxa"/>
          </w:tcPr>
          <w:p w14:paraId="1292A612"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960" w:type="dxa"/>
            <w:vAlign w:val="center"/>
          </w:tcPr>
          <w:p w14:paraId="1EF9B61E"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1200" w:type="dxa"/>
            <w:vAlign w:val="center"/>
          </w:tcPr>
          <w:p w14:paraId="6CCC628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1t</w:t>
            </w:r>
          </w:p>
        </w:tc>
        <w:tc>
          <w:tcPr>
            <w:tcW w:w="1080" w:type="dxa"/>
            <w:vAlign w:val="center"/>
          </w:tcPr>
          <w:p w14:paraId="77EBE53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1t</w:t>
            </w:r>
          </w:p>
        </w:tc>
        <w:tc>
          <w:tcPr>
            <w:tcW w:w="1080" w:type="dxa"/>
            <w:vAlign w:val="center"/>
          </w:tcPr>
          <w:p w14:paraId="2FC6A1CA"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1t</w:t>
            </w:r>
          </w:p>
        </w:tc>
        <w:tc>
          <w:tcPr>
            <w:tcW w:w="1080" w:type="dxa"/>
            <w:vAlign w:val="center"/>
          </w:tcPr>
          <w:p w14:paraId="72399E9E"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1t</w:t>
            </w:r>
          </w:p>
        </w:tc>
        <w:tc>
          <w:tcPr>
            <w:tcW w:w="1023" w:type="dxa"/>
          </w:tcPr>
          <w:p w14:paraId="2787043E"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1t</w:t>
            </w:r>
          </w:p>
        </w:tc>
      </w:tr>
      <w:tr w:rsidR="009123AC" w:rsidRPr="00F0379B" w14:paraId="4A048EC7" w14:textId="77777777" w:rsidTr="00CA749B">
        <w:trPr>
          <w:trHeight w:val="20"/>
        </w:trPr>
        <w:tc>
          <w:tcPr>
            <w:tcW w:w="3091" w:type="dxa"/>
            <w:vAlign w:val="center"/>
          </w:tcPr>
          <w:p w14:paraId="6BE496F1"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Cuota para investigación científica</w:t>
            </w:r>
          </w:p>
          <w:p w14:paraId="3B7F87D3"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(si procede)</w:t>
            </w:r>
          </w:p>
        </w:tc>
        <w:tc>
          <w:tcPr>
            <w:tcW w:w="1020" w:type="dxa"/>
            <w:noWrap/>
            <w:vAlign w:val="center"/>
          </w:tcPr>
          <w:p w14:paraId="268A8631" w14:textId="77777777" w:rsidR="009123AC" w:rsidRPr="00F0379B" w:rsidRDefault="009123AC" w:rsidP="009123AC">
            <w:pPr>
              <w:widowControl w:val="0"/>
              <w:spacing w:after="0" w:line="240" w:lineRule="auto"/>
              <w:jc w:val="right"/>
              <w:rPr>
                <w:rFonts w:ascii="Cambria" w:eastAsia="Times New Roman" w:hAnsi="Cambria" w:cs="Calibri"/>
                <w:b/>
                <w:bCs/>
                <w:color w:val="000000"/>
                <w:sz w:val="16"/>
                <w:lang w:eastAsia="ja-JP" w:bidi="fr-FR"/>
              </w:rPr>
            </w:pPr>
          </w:p>
        </w:tc>
        <w:tc>
          <w:tcPr>
            <w:tcW w:w="615" w:type="dxa"/>
          </w:tcPr>
          <w:p w14:paraId="2B4AC5CB"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noWrap/>
            <w:vAlign w:val="center"/>
          </w:tcPr>
          <w:p w14:paraId="6E92B4DD"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vAlign w:val="center"/>
          </w:tcPr>
          <w:p w14:paraId="0D31845D"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vAlign w:val="center"/>
          </w:tcPr>
          <w:p w14:paraId="3FAFA3D9"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vAlign w:val="center"/>
          </w:tcPr>
          <w:p w14:paraId="502DA149"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tcPr>
          <w:p w14:paraId="0191451D"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tcPr>
          <w:p w14:paraId="3D1529F9"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56" w:type="dxa"/>
            <w:shd w:val="clear" w:color="000000" w:fill="D9D9D9"/>
            <w:vAlign w:val="center"/>
          </w:tcPr>
          <w:p w14:paraId="6FF81763"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895" w:type="dxa"/>
          </w:tcPr>
          <w:p w14:paraId="1BA625C8"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960" w:type="dxa"/>
            <w:vAlign w:val="center"/>
          </w:tcPr>
          <w:p w14:paraId="50042406"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1200" w:type="dxa"/>
            <w:vAlign w:val="center"/>
          </w:tcPr>
          <w:p w14:paraId="49E6E720"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1080" w:type="dxa"/>
            <w:noWrap/>
            <w:vAlign w:val="center"/>
          </w:tcPr>
          <w:p w14:paraId="3A3D9483"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1080" w:type="dxa"/>
            <w:noWrap/>
            <w:vAlign w:val="center"/>
          </w:tcPr>
          <w:p w14:paraId="67772FEB"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1080" w:type="dxa"/>
            <w:noWrap/>
            <w:vAlign w:val="center"/>
          </w:tcPr>
          <w:p w14:paraId="62762B67"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1023" w:type="dxa"/>
          </w:tcPr>
          <w:p w14:paraId="6A6BF0DF"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r>
      <w:tr w:rsidR="009123AC" w:rsidRPr="00F0379B" w14:paraId="5BDD171D" w14:textId="77777777" w:rsidTr="00CA749B">
        <w:trPr>
          <w:trHeight w:val="20"/>
        </w:trPr>
        <w:tc>
          <w:tcPr>
            <w:tcW w:w="3091" w:type="dxa"/>
            <w:vAlign w:val="center"/>
          </w:tcPr>
          <w:p w14:paraId="2BE6341F"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Times New Roman" w:eastAsia="MS Gothic" w:hAnsi="Times New Roman" w:cs="Times New Roman"/>
                <w:b/>
                <w:color w:val="000000"/>
                <w:sz w:val="16"/>
                <w:lang w:eastAsia="fr-FR" w:bidi="fr-FR"/>
              </w:rPr>
              <w:t>Tolerancia para pesca deportiva/de recreo</w:t>
            </w:r>
          </w:p>
          <w:p w14:paraId="396A5C35" w14:textId="77777777" w:rsidR="009123AC" w:rsidRPr="00F0379B" w:rsidRDefault="009123AC" w:rsidP="009123AC">
            <w:pPr>
              <w:widowControl w:val="0"/>
              <w:spacing w:after="0" w:line="240" w:lineRule="auto"/>
              <w:jc w:val="both"/>
              <w:rPr>
                <w:rFonts w:ascii="Cambria" w:eastAsia="MS Gothic" w:hAnsi="Cambria" w:cs="Times New Roman"/>
                <w:b/>
                <w:color w:val="000000"/>
                <w:sz w:val="16"/>
                <w:vertAlign w:val="superscript"/>
                <w:lang w:eastAsia="fr-FR" w:bidi="fr-FR"/>
              </w:rPr>
            </w:pPr>
            <w:r w:rsidRPr="00F0379B">
              <w:rPr>
                <w:rFonts w:ascii="Cambria" w:eastAsia="MS Gothic" w:hAnsi="Cambria" w:cs="Times New Roman"/>
                <w:b/>
                <w:color w:val="000000"/>
                <w:sz w:val="16"/>
                <w:lang w:eastAsia="fr-FR" w:bidi="fr-FR"/>
              </w:rPr>
              <w:t>(si procede)</w:t>
            </w:r>
          </w:p>
        </w:tc>
        <w:tc>
          <w:tcPr>
            <w:tcW w:w="1020" w:type="dxa"/>
            <w:noWrap/>
            <w:vAlign w:val="center"/>
          </w:tcPr>
          <w:p w14:paraId="40603A04" w14:textId="77777777" w:rsidR="009123AC" w:rsidRPr="00F0379B" w:rsidRDefault="009123AC" w:rsidP="009123AC">
            <w:pPr>
              <w:widowControl w:val="0"/>
              <w:spacing w:after="0" w:line="240" w:lineRule="auto"/>
              <w:jc w:val="right"/>
              <w:rPr>
                <w:rFonts w:ascii="Cambria" w:eastAsia="Times New Roman" w:hAnsi="Cambria" w:cs="Calibri"/>
                <w:b/>
                <w:bCs/>
                <w:color w:val="000000"/>
                <w:sz w:val="16"/>
                <w:lang w:eastAsia="ja-JP" w:bidi="fr-FR"/>
              </w:rPr>
            </w:pPr>
          </w:p>
        </w:tc>
        <w:tc>
          <w:tcPr>
            <w:tcW w:w="615" w:type="dxa"/>
          </w:tcPr>
          <w:p w14:paraId="469E8059"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noWrap/>
            <w:vAlign w:val="center"/>
          </w:tcPr>
          <w:p w14:paraId="49AEA874"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vAlign w:val="center"/>
          </w:tcPr>
          <w:p w14:paraId="4C8146FA"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vAlign w:val="center"/>
          </w:tcPr>
          <w:p w14:paraId="168CC0AF"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vAlign w:val="center"/>
          </w:tcPr>
          <w:p w14:paraId="30C8C793"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tcPr>
          <w:p w14:paraId="219D2F9E"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tcPr>
          <w:p w14:paraId="2638726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56" w:type="dxa"/>
            <w:shd w:val="clear" w:color="000000" w:fill="D9D9D9"/>
            <w:vAlign w:val="center"/>
          </w:tcPr>
          <w:p w14:paraId="5E88ACA2"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895" w:type="dxa"/>
          </w:tcPr>
          <w:p w14:paraId="3C53A1F0"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960" w:type="dxa"/>
            <w:vAlign w:val="center"/>
          </w:tcPr>
          <w:p w14:paraId="6F783AEB"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1200" w:type="dxa"/>
            <w:vAlign w:val="center"/>
          </w:tcPr>
          <w:p w14:paraId="72793531"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1080" w:type="dxa"/>
            <w:noWrap/>
            <w:vAlign w:val="center"/>
          </w:tcPr>
          <w:p w14:paraId="2EFA8154"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1080" w:type="dxa"/>
            <w:noWrap/>
            <w:vAlign w:val="center"/>
          </w:tcPr>
          <w:p w14:paraId="5B4035FA"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1080" w:type="dxa"/>
            <w:noWrap/>
            <w:vAlign w:val="center"/>
          </w:tcPr>
          <w:p w14:paraId="49639614"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1023" w:type="dxa"/>
          </w:tcPr>
          <w:p w14:paraId="0C816A71"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r>
      <w:tr w:rsidR="009123AC" w:rsidRPr="00F0379B" w14:paraId="095FF33C" w14:textId="77777777" w:rsidTr="00CA749B">
        <w:trPr>
          <w:trHeight w:val="20"/>
        </w:trPr>
        <w:tc>
          <w:tcPr>
            <w:tcW w:w="3091" w:type="dxa"/>
            <w:vAlign w:val="center"/>
          </w:tcPr>
          <w:p w14:paraId="4BCC97DD"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r w:rsidRPr="00F0379B">
              <w:rPr>
                <w:rFonts w:ascii="Cambria" w:eastAsia="MS Gothic" w:hAnsi="Cambria" w:cs="Times New Roman"/>
                <w:b/>
                <w:color w:val="000000"/>
                <w:sz w:val="16"/>
                <w:lang w:eastAsia="fr-FR" w:bidi="fr-FR"/>
              </w:rPr>
              <w:t>Cuota disponible</w:t>
            </w:r>
          </w:p>
        </w:tc>
        <w:tc>
          <w:tcPr>
            <w:tcW w:w="1020" w:type="dxa"/>
            <w:noWrap/>
            <w:vAlign w:val="center"/>
          </w:tcPr>
          <w:p w14:paraId="02EADB72" w14:textId="77777777" w:rsidR="009123AC" w:rsidRPr="00F0379B" w:rsidRDefault="009123AC" w:rsidP="009123AC">
            <w:pPr>
              <w:widowControl w:val="0"/>
              <w:spacing w:after="0" w:line="240" w:lineRule="auto"/>
              <w:jc w:val="right"/>
              <w:rPr>
                <w:rFonts w:ascii="Cambria" w:eastAsia="Times New Roman" w:hAnsi="Cambria" w:cs="Calibri"/>
                <w:b/>
                <w:bCs/>
                <w:color w:val="000000"/>
                <w:sz w:val="16"/>
                <w:lang w:eastAsia="ja-JP" w:bidi="fr-FR"/>
              </w:rPr>
            </w:pPr>
          </w:p>
        </w:tc>
        <w:tc>
          <w:tcPr>
            <w:tcW w:w="615" w:type="dxa"/>
          </w:tcPr>
          <w:p w14:paraId="06F155F2"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noWrap/>
            <w:vAlign w:val="center"/>
          </w:tcPr>
          <w:p w14:paraId="737ADADD"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vAlign w:val="center"/>
          </w:tcPr>
          <w:p w14:paraId="4B2B38BA"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vAlign w:val="center"/>
          </w:tcPr>
          <w:p w14:paraId="542C0A37"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vAlign w:val="center"/>
          </w:tcPr>
          <w:p w14:paraId="3890C73C"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tcPr>
          <w:p w14:paraId="253807D0"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615" w:type="dxa"/>
          </w:tcPr>
          <w:p w14:paraId="7190872F"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56" w:type="dxa"/>
            <w:shd w:val="clear" w:color="000000" w:fill="D9D9D9"/>
            <w:vAlign w:val="center"/>
          </w:tcPr>
          <w:p w14:paraId="509F00FF"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895" w:type="dxa"/>
          </w:tcPr>
          <w:p w14:paraId="7EF61844"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ja-JP" w:bidi="fr-FR"/>
              </w:rPr>
            </w:pPr>
          </w:p>
        </w:tc>
        <w:tc>
          <w:tcPr>
            <w:tcW w:w="960" w:type="dxa"/>
            <w:vAlign w:val="center"/>
          </w:tcPr>
          <w:p w14:paraId="420DDC8B"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1200" w:type="dxa"/>
            <w:vAlign w:val="center"/>
          </w:tcPr>
          <w:p w14:paraId="28D2937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2.264</w:t>
            </w:r>
          </w:p>
        </w:tc>
        <w:tc>
          <w:tcPr>
            <w:tcW w:w="1080" w:type="dxa"/>
            <w:noWrap/>
            <w:vAlign w:val="center"/>
          </w:tcPr>
          <w:p w14:paraId="316F32D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3.143,39*</w:t>
            </w:r>
            <w:r w:rsidRPr="00F0379B">
              <w:rPr>
                <w:rFonts w:ascii="Cambria" w:eastAsia="MS Gothic" w:hAnsi="Cambria" w:cs="Times New Roman"/>
                <w:color w:val="000000"/>
                <w:sz w:val="16"/>
                <w:vertAlign w:val="superscript"/>
                <w:lang w:eastAsia="fr-FR" w:bidi="fr-FR"/>
              </w:rPr>
              <w:t>4</w:t>
            </w:r>
          </w:p>
        </w:tc>
        <w:tc>
          <w:tcPr>
            <w:tcW w:w="1080" w:type="dxa"/>
            <w:noWrap/>
            <w:vAlign w:val="center"/>
          </w:tcPr>
          <w:p w14:paraId="11FD2A7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3.169,40*</w:t>
            </w:r>
            <w:r w:rsidRPr="00F0379B">
              <w:rPr>
                <w:rFonts w:ascii="Cambria" w:eastAsia="MS Gothic" w:hAnsi="Cambria" w:cs="Times New Roman"/>
                <w:color w:val="000000"/>
                <w:sz w:val="16"/>
                <w:vertAlign w:val="superscript"/>
                <w:lang w:eastAsia="fr-FR" w:bidi="fr-FR"/>
              </w:rPr>
              <w:t>5</w:t>
            </w:r>
          </w:p>
        </w:tc>
        <w:tc>
          <w:tcPr>
            <w:tcW w:w="1080" w:type="dxa"/>
            <w:noWrap/>
            <w:vAlign w:val="center"/>
          </w:tcPr>
          <w:p w14:paraId="38529CA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3.254,70*</w:t>
            </w:r>
            <w:r w:rsidRPr="00F0379B">
              <w:rPr>
                <w:rFonts w:ascii="Cambria" w:eastAsia="MS Gothic" w:hAnsi="Cambria" w:cs="Times New Roman"/>
                <w:color w:val="000000"/>
                <w:sz w:val="16"/>
                <w:vertAlign w:val="superscript"/>
                <w:lang w:eastAsia="fr-FR" w:bidi="fr-FR"/>
              </w:rPr>
              <w:t>6</w:t>
            </w:r>
          </w:p>
        </w:tc>
        <w:tc>
          <w:tcPr>
            <w:tcW w:w="1023" w:type="dxa"/>
          </w:tcPr>
          <w:p w14:paraId="544F82F6"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4.008,16*</w:t>
            </w:r>
            <w:r w:rsidRPr="00F0379B">
              <w:rPr>
                <w:rFonts w:ascii="Cambria" w:eastAsia="MS Gothic" w:hAnsi="Cambria" w:cs="Times New Roman"/>
                <w:color w:val="000000"/>
                <w:sz w:val="16"/>
                <w:vertAlign w:val="superscript"/>
                <w:lang w:eastAsia="fr-FR" w:bidi="fr-FR"/>
              </w:rPr>
              <w:t>7</w:t>
            </w:r>
          </w:p>
        </w:tc>
      </w:tr>
      <w:tr w:rsidR="009123AC" w:rsidRPr="00F0379B" w14:paraId="2C3EF9A8" w14:textId="77777777" w:rsidTr="00CA749B">
        <w:trPr>
          <w:trHeight w:val="53"/>
        </w:trPr>
        <w:tc>
          <w:tcPr>
            <w:tcW w:w="3091" w:type="dxa"/>
            <w:shd w:val="clear" w:color="auto" w:fill="D9D9D9"/>
            <w:noWrap/>
            <w:vAlign w:val="center"/>
            <w:hideMark/>
          </w:tcPr>
          <w:p w14:paraId="4102EC6F"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lang w:eastAsia="fr-FR" w:bidi="fr-FR"/>
              </w:rPr>
            </w:pPr>
            <w:proofErr w:type="spellStart"/>
            <w:r w:rsidRPr="00F0379B">
              <w:rPr>
                <w:rFonts w:ascii="Cambria" w:eastAsia="MS Gothic" w:hAnsi="Cambria" w:cs="Times New Roman"/>
                <w:b/>
                <w:color w:val="000000"/>
                <w:sz w:val="16"/>
                <w:lang w:eastAsia="fr-FR" w:bidi="fr-FR"/>
              </w:rPr>
              <w:t>Subcapacidad</w:t>
            </w:r>
            <w:proofErr w:type="spellEnd"/>
            <w:r w:rsidRPr="00F0379B">
              <w:rPr>
                <w:rFonts w:ascii="Cambria" w:eastAsia="MS Gothic" w:hAnsi="Cambria" w:cs="Times New Roman"/>
                <w:b/>
                <w:color w:val="000000"/>
                <w:sz w:val="16"/>
                <w:lang w:eastAsia="fr-FR" w:bidi="fr-FR"/>
              </w:rPr>
              <w:t>/exceso de capacidad</w:t>
            </w:r>
          </w:p>
        </w:tc>
        <w:tc>
          <w:tcPr>
            <w:tcW w:w="1020" w:type="dxa"/>
            <w:shd w:val="clear" w:color="auto" w:fill="D9D9D9"/>
            <w:noWrap/>
            <w:vAlign w:val="center"/>
            <w:hideMark/>
          </w:tcPr>
          <w:p w14:paraId="28353B89" w14:textId="77777777" w:rsidR="009123AC" w:rsidRPr="00F0379B" w:rsidRDefault="009123AC" w:rsidP="009123AC">
            <w:pPr>
              <w:widowControl w:val="0"/>
              <w:spacing w:after="0" w:line="240" w:lineRule="auto"/>
              <w:jc w:val="right"/>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shd w:val="clear" w:color="auto" w:fill="D9D9D9"/>
          </w:tcPr>
          <w:p w14:paraId="1D39CF1D"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shd w:val="clear" w:color="auto" w:fill="D9D9D9"/>
            <w:noWrap/>
            <w:vAlign w:val="center"/>
            <w:hideMark/>
          </w:tcPr>
          <w:p w14:paraId="4DCB44EE"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shd w:val="clear" w:color="auto" w:fill="D9D9D9"/>
            <w:vAlign w:val="center"/>
            <w:hideMark/>
          </w:tcPr>
          <w:p w14:paraId="0A203D8C"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shd w:val="clear" w:color="auto" w:fill="D9D9D9"/>
            <w:vAlign w:val="center"/>
            <w:hideMark/>
          </w:tcPr>
          <w:p w14:paraId="11E5EA98"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shd w:val="clear" w:color="auto" w:fill="D9D9D9"/>
            <w:vAlign w:val="center"/>
            <w:hideMark/>
          </w:tcPr>
          <w:p w14:paraId="3C658EAE"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615" w:type="dxa"/>
            <w:shd w:val="clear" w:color="auto" w:fill="D9D9D9"/>
          </w:tcPr>
          <w:p w14:paraId="1F1F6B4D"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615" w:type="dxa"/>
            <w:shd w:val="clear" w:color="auto" w:fill="D9D9D9"/>
          </w:tcPr>
          <w:p w14:paraId="13642465"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ja-JP" w:bidi="fr-FR"/>
              </w:rPr>
            </w:pPr>
          </w:p>
        </w:tc>
        <w:tc>
          <w:tcPr>
            <w:tcW w:w="256" w:type="dxa"/>
            <w:shd w:val="clear" w:color="auto" w:fill="D9D9D9"/>
            <w:vAlign w:val="center"/>
            <w:hideMark/>
          </w:tcPr>
          <w:p w14:paraId="03D4EBBF"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tc>
        <w:tc>
          <w:tcPr>
            <w:tcW w:w="895" w:type="dxa"/>
            <w:shd w:val="clear" w:color="auto" w:fill="D9D9D9"/>
          </w:tcPr>
          <w:p w14:paraId="1A64A294"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960" w:type="dxa"/>
            <w:shd w:val="clear" w:color="auto" w:fill="D9D9D9"/>
            <w:vAlign w:val="center"/>
            <w:hideMark/>
          </w:tcPr>
          <w:p w14:paraId="21BDD757"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 </w:t>
            </w:r>
          </w:p>
          <w:p w14:paraId="0AFAFAB4" w14:textId="77777777" w:rsidR="009123AC" w:rsidRPr="00F0379B" w:rsidRDefault="009123AC" w:rsidP="009123AC">
            <w:pPr>
              <w:widowControl w:val="0"/>
              <w:spacing w:after="0" w:line="240" w:lineRule="auto"/>
              <w:jc w:val="both"/>
              <w:rPr>
                <w:rFonts w:ascii="Cambria" w:eastAsia="Times New Roman" w:hAnsi="Cambria" w:cs="Calibri"/>
                <w:color w:val="000000"/>
                <w:sz w:val="16"/>
                <w:lang w:eastAsia="ja-JP" w:bidi="fr-FR"/>
              </w:rPr>
            </w:pPr>
          </w:p>
        </w:tc>
        <w:tc>
          <w:tcPr>
            <w:tcW w:w="1200" w:type="dxa"/>
            <w:shd w:val="clear" w:color="auto" w:fill="D9D9D9"/>
            <w:vAlign w:val="center"/>
            <w:hideMark/>
          </w:tcPr>
          <w:p w14:paraId="5970738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-1.364,00</w:t>
            </w:r>
          </w:p>
        </w:tc>
        <w:tc>
          <w:tcPr>
            <w:tcW w:w="1080" w:type="dxa"/>
            <w:shd w:val="clear" w:color="auto" w:fill="D9D9D9"/>
            <w:vAlign w:val="center"/>
            <w:hideMark/>
          </w:tcPr>
          <w:p w14:paraId="4A0DCFD9"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-2.118,39</w:t>
            </w:r>
          </w:p>
        </w:tc>
        <w:tc>
          <w:tcPr>
            <w:tcW w:w="1080" w:type="dxa"/>
            <w:shd w:val="clear" w:color="auto" w:fill="D9D9D9"/>
            <w:vAlign w:val="center"/>
            <w:hideMark/>
          </w:tcPr>
          <w:p w14:paraId="0EEB99B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-2.119,40</w:t>
            </w:r>
          </w:p>
        </w:tc>
        <w:tc>
          <w:tcPr>
            <w:tcW w:w="1080" w:type="dxa"/>
            <w:shd w:val="clear" w:color="auto" w:fill="D9D9D9"/>
            <w:vAlign w:val="center"/>
            <w:hideMark/>
          </w:tcPr>
          <w:p w14:paraId="7F73D751"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-2.254,70</w:t>
            </w:r>
          </w:p>
        </w:tc>
        <w:tc>
          <w:tcPr>
            <w:tcW w:w="1023" w:type="dxa"/>
            <w:shd w:val="clear" w:color="auto" w:fill="D9D9D9"/>
          </w:tcPr>
          <w:p w14:paraId="1A182B39"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-3.008,16</w:t>
            </w:r>
          </w:p>
        </w:tc>
      </w:tr>
    </w:tbl>
    <w:p w14:paraId="06FC749B" w14:textId="77777777" w:rsidR="009123AC" w:rsidRPr="00F0379B" w:rsidRDefault="009123AC" w:rsidP="009123AC">
      <w:pPr>
        <w:spacing w:after="0" w:line="240" w:lineRule="auto"/>
        <w:rPr>
          <w:rFonts w:ascii="Cambria" w:eastAsiaTheme="minorEastAsia" w:hAnsi="Cambria"/>
          <w:kern w:val="2"/>
          <w:sz w:val="16"/>
          <w:szCs w:val="16"/>
          <w:lang w:eastAsia="ja-JP"/>
          <w14:ligatures w14:val="standardContextual"/>
        </w:rPr>
      </w:pPr>
      <w:r w:rsidRPr="00F0379B">
        <w:rPr>
          <w:rFonts w:ascii="Cambria" w:eastAsiaTheme="minorEastAsia" w:hAnsi="Cambria"/>
          <w:kern w:val="2"/>
          <w:sz w:val="16"/>
          <w:szCs w:val="16"/>
          <w:vertAlign w:val="superscript"/>
          <w:lang w:eastAsia="ja-JP"/>
          <w14:ligatures w14:val="standardContextual"/>
        </w:rPr>
        <w:t>*1</w:t>
      </w:r>
      <w:r w:rsidRPr="00F0379B">
        <w:rPr>
          <w:rFonts w:ascii="Cambria" w:eastAsiaTheme="minorEastAsia" w:hAnsi="Cambria"/>
          <w:kern w:val="2"/>
          <w:sz w:val="16"/>
          <w:szCs w:val="16"/>
          <w:lang w:eastAsia="ja-JP"/>
          <w14:ligatures w14:val="standardContextual"/>
        </w:rPr>
        <w:t xml:space="preserve"> Uno de los 41 buques canceló sus operaciones para el BFT-E en la temporada de pesca de 2023.</w:t>
      </w:r>
      <w:r w:rsidRPr="00F0379B">
        <w:rPr>
          <w:rFonts w:ascii="Cambria" w:eastAsiaTheme="minorEastAsia" w:hAnsi="Cambria"/>
          <w:kern w:val="2"/>
          <w:sz w:val="16"/>
          <w:szCs w:val="16"/>
          <w:lang w:eastAsia="ja-JP"/>
          <w14:ligatures w14:val="standardContextual"/>
        </w:rPr>
        <w:tab/>
      </w:r>
    </w:p>
    <w:p w14:paraId="1E12183B" w14:textId="77777777" w:rsidR="009123AC" w:rsidRPr="00F0379B" w:rsidRDefault="009123AC" w:rsidP="009123AC">
      <w:pPr>
        <w:spacing w:after="0" w:line="240" w:lineRule="auto"/>
        <w:rPr>
          <w:rFonts w:ascii="Cambria" w:eastAsiaTheme="minorEastAsia" w:hAnsi="Cambria"/>
          <w:kern w:val="2"/>
          <w:sz w:val="16"/>
          <w:szCs w:val="16"/>
          <w:lang w:eastAsia="ja-JP"/>
          <w14:ligatures w14:val="standardContextual"/>
        </w:rPr>
      </w:pPr>
      <w:r w:rsidRPr="00F0379B">
        <w:rPr>
          <w:rFonts w:ascii="Cambria" w:eastAsiaTheme="minorEastAsia" w:hAnsi="Cambria"/>
          <w:kern w:val="2"/>
          <w:sz w:val="16"/>
          <w:szCs w:val="16"/>
          <w:vertAlign w:val="superscript"/>
          <w:lang w:eastAsia="ja-JP"/>
          <w14:ligatures w14:val="standardContextual"/>
        </w:rPr>
        <w:t xml:space="preserve">*2 </w:t>
      </w:r>
      <w:r w:rsidRPr="00F0379B">
        <w:rPr>
          <w:rFonts w:ascii="Cambria" w:eastAsiaTheme="minorEastAsia" w:hAnsi="Cambria"/>
          <w:kern w:val="2"/>
          <w:sz w:val="16"/>
          <w:szCs w:val="16"/>
          <w:lang w:eastAsia="ja-JP"/>
          <w14:ligatures w14:val="standardContextual"/>
        </w:rPr>
        <w:t xml:space="preserve">Tres de los 42 buques cancelaron sus operaciones para el BFT-E en la temporada de pesca de 2024. </w:t>
      </w:r>
    </w:p>
    <w:p w14:paraId="37385292" w14:textId="77777777" w:rsidR="009123AC" w:rsidRPr="00F0379B" w:rsidRDefault="009123AC" w:rsidP="009123AC">
      <w:pPr>
        <w:spacing w:after="0" w:line="240" w:lineRule="auto"/>
        <w:rPr>
          <w:rFonts w:ascii="Cambria" w:eastAsiaTheme="minorEastAsia" w:hAnsi="Cambria"/>
          <w:kern w:val="2"/>
          <w:sz w:val="16"/>
          <w:szCs w:val="16"/>
          <w:lang w:eastAsia="ja-JP"/>
          <w14:ligatures w14:val="standardContextual"/>
        </w:rPr>
      </w:pPr>
      <w:r w:rsidRPr="00F0379B">
        <w:rPr>
          <w:rFonts w:ascii="Cambria" w:eastAsiaTheme="minorEastAsia" w:hAnsi="Cambria"/>
          <w:kern w:val="2"/>
          <w:sz w:val="16"/>
          <w:szCs w:val="16"/>
          <w:vertAlign w:val="superscript"/>
          <w:lang w:eastAsia="ja-JP"/>
          <w14:ligatures w14:val="standardContextual"/>
        </w:rPr>
        <w:t xml:space="preserve">*3 </w:t>
      </w:r>
      <w:r w:rsidRPr="00F0379B">
        <w:rPr>
          <w:rFonts w:ascii="Cambria" w:eastAsiaTheme="minorEastAsia" w:hAnsi="Cambria"/>
          <w:kern w:val="2"/>
          <w:sz w:val="16"/>
          <w:szCs w:val="16"/>
          <w:lang w:eastAsia="ja-JP"/>
          <w14:ligatures w14:val="standardContextual"/>
        </w:rPr>
        <w:t>Tres de los 40 buques cancelaron sus operaciones para el BFT-E en la temporada de pesca de 2025. Las cifras son provisionales. Una vez que se confirme el número de buques, estas cifras se revisarán y se comunicarán a la Secretaría.</w:t>
      </w:r>
    </w:p>
    <w:p w14:paraId="06C47B4B" w14:textId="77777777" w:rsidR="009123AC" w:rsidRPr="00F0379B" w:rsidRDefault="009123AC" w:rsidP="009123AC">
      <w:pPr>
        <w:spacing w:after="0" w:line="240" w:lineRule="auto"/>
        <w:rPr>
          <w:rFonts w:ascii="Cambria" w:eastAsiaTheme="minorEastAsia" w:hAnsi="Cambria"/>
          <w:kern w:val="2"/>
          <w:sz w:val="16"/>
          <w:szCs w:val="16"/>
          <w:lang w:val="fr-BE" w:eastAsia="ja-JP"/>
          <w14:ligatures w14:val="standardContextual"/>
        </w:rPr>
      </w:pPr>
      <w:r w:rsidRPr="00F912AA">
        <w:rPr>
          <w:rFonts w:ascii="Cambria" w:eastAsiaTheme="minorEastAsia" w:hAnsi="Cambria"/>
          <w:kern w:val="2"/>
          <w:sz w:val="16"/>
          <w:szCs w:val="16"/>
          <w:vertAlign w:val="superscript"/>
          <w:lang w:eastAsia="ja-JP"/>
          <w14:ligatures w14:val="standardContextual"/>
        </w:rPr>
        <w:t xml:space="preserve">*4 </w:t>
      </w:r>
      <w:r w:rsidRPr="00F912AA">
        <w:rPr>
          <w:rFonts w:ascii="Cambria" w:eastAsiaTheme="minorEastAsia" w:hAnsi="Cambria"/>
          <w:kern w:val="2"/>
          <w:sz w:val="16"/>
          <w:szCs w:val="16"/>
          <w:lang w:eastAsia="ja-JP"/>
          <w14:ligatures w14:val="standardContextual"/>
        </w:rPr>
        <w:t xml:space="preserve">3.114,00 t (cuota inicial de 2023) +44,39 t (traspaso 2022 (párr. </w:t>
      </w:r>
      <w:r w:rsidRPr="00F0379B">
        <w:rPr>
          <w:rFonts w:ascii="Cambria" w:eastAsiaTheme="minorEastAsia" w:hAnsi="Cambria"/>
          <w:kern w:val="2"/>
          <w:sz w:val="16"/>
          <w:szCs w:val="16"/>
          <w:lang w:val="fr-BE" w:eastAsia="ja-JP"/>
          <w14:ligatures w14:val="standardContextual"/>
        </w:rPr>
        <w:t>6 de la Rec. 22-08))-15 t (*8) = 3.143,39 t.</w:t>
      </w:r>
    </w:p>
    <w:p w14:paraId="3ABA8DF7" w14:textId="77777777" w:rsidR="009123AC" w:rsidRPr="00F0379B" w:rsidRDefault="009123AC" w:rsidP="009123AC">
      <w:pPr>
        <w:spacing w:after="0" w:line="240" w:lineRule="auto"/>
        <w:rPr>
          <w:rFonts w:ascii="Cambria" w:eastAsiaTheme="minorEastAsia" w:hAnsi="Cambria"/>
          <w:kern w:val="2"/>
          <w:sz w:val="16"/>
          <w:szCs w:val="16"/>
          <w:lang w:val="fr-BE" w:eastAsia="ja-JP"/>
          <w14:ligatures w14:val="standardContextual"/>
        </w:rPr>
      </w:pPr>
      <w:r w:rsidRPr="00F0379B">
        <w:rPr>
          <w:rFonts w:ascii="Cambria" w:eastAsiaTheme="minorEastAsia" w:hAnsi="Cambria"/>
          <w:kern w:val="2"/>
          <w:sz w:val="16"/>
          <w:szCs w:val="16"/>
          <w:vertAlign w:val="superscript"/>
          <w:lang w:eastAsia="ja-JP"/>
          <w14:ligatures w14:val="standardContextual"/>
        </w:rPr>
        <w:t>*5</w:t>
      </w:r>
      <w:r w:rsidRPr="00F0379B">
        <w:rPr>
          <w:rFonts w:ascii="Cambria" w:eastAsiaTheme="minorEastAsia" w:hAnsi="Cambria"/>
          <w:kern w:val="2"/>
          <w:sz w:val="16"/>
          <w:szCs w:val="16"/>
          <w:lang w:eastAsia="ja-JP"/>
          <w14:ligatures w14:val="standardContextual"/>
        </w:rPr>
        <w:t xml:space="preserve"> 3.114,00 t (cuota inicial 2024) +70,4 t (traspaso 2023 (párr. </w:t>
      </w:r>
      <w:r w:rsidRPr="00F0379B">
        <w:rPr>
          <w:rFonts w:ascii="Cambria" w:eastAsiaTheme="minorEastAsia" w:hAnsi="Cambria"/>
          <w:kern w:val="2"/>
          <w:sz w:val="16"/>
          <w:szCs w:val="16"/>
          <w:lang w:val="fr-BE" w:eastAsia="ja-JP"/>
          <w14:ligatures w14:val="standardContextual"/>
        </w:rPr>
        <w:t>6 de la Rec. 22-08))-15 t (*8) = 3.169,4 t.</w:t>
      </w:r>
    </w:p>
    <w:p w14:paraId="21E50C88" w14:textId="77777777" w:rsidR="009123AC" w:rsidRPr="00F0379B" w:rsidRDefault="009123AC" w:rsidP="009123AC">
      <w:pPr>
        <w:spacing w:after="0" w:line="240" w:lineRule="auto"/>
        <w:rPr>
          <w:rFonts w:ascii="Cambria" w:eastAsiaTheme="minorEastAsia" w:hAnsi="Cambria"/>
          <w:kern w:val="2"/>
          <w:sz w:val="16"/>
          <w:szCs w:val="16"/>
          <w:lang w:val="fr-FR" w:eastAsia="ja-JP"/>
          <w14:ligatures w14:val="standardContextual"/>
        </w:rPr>
      </w:pPr>
      <w:r w:rsidRPr="00346BD6">
        <w:rPr>
          <w:rFonts w:ascii="Cambria" w:eastAsiaTheme="minorEastAsia" w:hAnsi="Cambria"/>
          <w:kern w:val="2"/>
          <w:sz w:val="16"/>
          <w:szCs w:val="16"/>
          <w:vertAlign w:val="superscript"/>
          <w:lang w:eastAsia="ja-JP"/>
          <w14:ligatures w14:val="standardContextual"/>
        </w:rPr>
        <w:t>*6</w:t>
      </w:r>
      <w:r w:rsidRPr="00346BD6">
        <w:rPr>
          <w:rFonts w:ascii="Cambria" w:eastAsiaTheme="minorEastAsia" w:hAnsi="Cambria"/>
          <w:kern w:val="2"/>
          <w:sz w:val="16"/>
          <w:szCs w:val="16"/>
          <w:lang w:eastAsia="ja-JP"/>
          <w14:ligatures w14:val="standardContextual"/>
        </w:rPr>
        <w:t xml:space="preserve"> 3.114,00 t (cuota inicial 2025) +155,7 t (traspaso 2024 (párr. </w:t>
      </w:r>
      <w:r w:rsidRPr="00F0379B">
        <w:rPr>
          <w:rFonts w:ascii="Cambria" w:eastAsiaTheme="minorEastAsia" w:hAnsi="Cambria"/>
          <w:kern w:val="2"/>
          <w:sz w:val="16"/>
          <w:szCs w:val="16"/>
          <w:lang w:val="fr-FR" w:eastAsia="ja-JP"/>
          <w14:ligatures w14:val="standardContextual"/>
        </w:rPr>
        <w:t>6 de la Rec. 24-05))-15 t (*8) = 3.254,7 t.</w:t>
      </w:r>
      <w:r w:rsidRPr="00F0379B">
        <w:rPr>
          <w:rFonts w:ascii="Cambria" w:eastAsiaTheme="minorEastAsia" w:hAnsi="Cambria"/>
          <w:kern w:val="2"/>
          <w:sz w:val="16"/>
          <w:szCs w:val="16"/>
          <w:lang w:val="fr-FR" w:eastAsia="ja-JP"/>
          <w14:ligatures w14:val="standardContextual"/>
        </w:rPr>
        <w:tab/>
      </w:r>
    </w:p>
    <w:p w14:paraId="6B1E820A" w14:textId="77777777" w:rsidR="009123AC" w:rsidRPr="00F0379B" w:rsidRDefault="009123AC" w:rsidP="009123AC">
      <w:pPr>
        <w:spacing w:after="0" w:line="240" w:lineRule="auto"/>
        <w:rPr>
          <w:rFonts w:ascii="Cambria" w:eastAsiaTheme="minorEastAsia" w:hAnsi="Cambria"/>
          <w:kern w:val="2"/>
          <w:sz w:val="16"/>
          <w:szCs w:val="16"/>
          <w:lang w:eastAsia="ja-JP"/>
          <w14:ligatures w14:val="standardContextual"/>
        </w:rPr>
      </w:pPr>
      <w:r w:rsidRPr="00F0379B">
        <w:rPr>
          <w:rFonts w:ascii="Cambria" w:eastAsiaTheme="minorEastAsia" w:hAnsi="Cambria"/>
          <w:kern w:val="2"/>
          <w:sz w:val="16"/>
          <w:szCs w:val="16"/>
          <w:lang w:eastAsia="ja-JP"/>
          <w14:ligatures w14:val="standardContextual"/>
        </w:rPr>
        <w:t>*</w:t>
      </w:r>
      <w:r w:rsidRPr="00F0379B">
        <w:rPr>
          <w:rFonts w:ascii="Cambria" w:eastAsiaTheme="minorEastAsia" w:hAnsi="Cambria"/>
          <w:kern w:val="2"/>
          <w:sz w:val="16"/>
          <w:szCs w:val="16"/>
          <w:vertAlign w:val="superscript"/>
          <w:lang w:eastAsia="ja-JP"/>
          <w14:ligatures w14:val="standardContextual"/>
        </w:rPr>
        <w:t>7</w:t>
      </w:r>
      <w:r w:rsidRPr="00F0379B">
        <w:rPr>
          <w:rFonts w:ascii="Cambria" w:eastAsiaTheme="minorEastAsia" w:hAnsi="Cambria"/>
          <w:kern w:val="2"/>
          <w:sz w:val="16"/>
          <w:szCs w:val="16"/>
          <w:lang w:eastAsia="ja-JP"/>
          <w14:ligatures w14:val="standardContextual"/>
        </w:rPr>
        <w:t xml:space="preserve"> 3.559,41 t (cuota inicial para 2026) + 463,75 t (remanente de 2025 [párrafo 6 de la Recomendación 24-05]) - 15 t (*8) = 4.008,16 t</w:t>
      </w:r>
    </w:p>
    <w:p w14:paraId="0C6FA229" w14:textId="77777777" w:rsidR="009123AC" w:rsidRPr="00F0379B" w:rsidRDefault="009123AC" w:rsidP="009123AC">
      <w:pPr>
        <w:spacing w:after="0" w:line="240" w:lineRule="auto"/>
        <w:rPr>
          <w:rFonts w:ascii="Cambria" w:eastAsia="MS Gothic" w:hAnsi="Cambria" w:cs="Times New Roman"/>
          <w:b/>
          <w:bCs/>
          <w:color w:val="000000"/>
          <w:sz w:val="16"/>
          <w:szCs w:val="16"/>
          <w:lang w:eastAsia="fr-FR" w:bidi="fr-FR"/>
          <w14:ligatures w14:val="standardContextual"/>
        </w:rPr>
      </w:pPr>
      <w:r w:rsidRPr="00F0379B">
        <w:rPr>
          <w:rFonts w:ascii="Cambria" w:eastAsiaTheme="minorEastAsia" w:hAnsi="Cambria"/>
          <w:kern w:val="2"/>
          <w:sz w:val="16"/>
          <w:szCs w:val="16"/>
          <w:vertAlign w:val="superscript"/>
          <w:lang w:eastAsia="ja-JP"/>
          <w14:ligatures w14:val="standardContextual"/>
        </w:rPr>
        <w:t>*8</w:t>
      </w:r>
      <w:r w:rsidRPr="00F0379B">
        <w:rPr>
          <w:rFonts w:ascii="Cambria" w:eastAsiaTheme="minorEastAsia" w:hAnsi="Cambria"/>
          <w:kern w:val="2"/>
          <w:sz w:val="16"/>
          <w:szCs w:val="16"/>
          <w:lang w:eastAsia="ja-JP"/>
          <w14:ligatures w14:val="standardContextual"/>
        </w:rPr>
        <w:t xml:space="preserve"> Japón reserva 14 t para los descartes muertos de la pesquería de BFT y asigna 1 t para la captura fortuita de otras pesquerías. </w:t>
      </w:r>
    </w:p>
    <w:p w14:paraId="31ACC15B" w14:textId="77777777" w:rsidR="009123AC" w:rsidRPr="00F0379B" w:rsidRDefault="009123AC" w:rsidP="009123AC">
      <w:pPr>
        <w:keepNext/>
        <w:keepLines/>
        <w:spacing w:after="0" w:line="240" w:lineRule="auto"/>
        <w:outlineLvl w:val="5"/>
        <w:rPr>
          <w:rFonts w:ascii="Cambria" w:eastAsia="MS Gothic" w:hAnsi="Cambria" w:cs="Times New Roman"/>
          <w:color w:val="1F4D78"/>
          <w:sz w:val="16"/>
          <w:szCs w:val="16"/>
        </w:rPr>
        <w:sectPr w:rsidR="009123AC" w:rsidRPr="00F0379B" w:rsidSect="009123AC">
          <w:headerReference w:type="default" r:id="rId148"/>
          <w:footerReference w:type="default" r:id="rId149"/>
          <w:headerReference w:type="first" r:id="rId150"/>
          <w:footerReference w:type="first" r:id="rId151"/>
          <w:footnotePr>
            <w:numFmt w:val="chicago"/>
          </w:footnotePr>
          <w:pgSz w:w="16838" w:h="11906" w:orient="landscape" w:code="9"/>
          <w:pgMar w:top="1418" w:right="1418" w:bottom="1418" w:left="1418" w:header="851" w:footer="1134" w:gutter="0"/>
          <w:cols w:space="425"/>
          <w:docGrid w:linePitch="360"/>
        </w:sectPr>
      </w:pPr>
    </w:p>
    <w:p w14:paraId="4B829E51" w14:textId="472E342F" w:rsidR="009123AC" w:rsidRPr="000B5464" w:rsidRDefault="009123AC" w:rsidP="009123AC">
      <w:pPr>
        <w:tabs>
          <w:tab w:val="center" w:pos="4535"/>
        </w:tabs>
        <w:spacing w:after="0" w:line="240" w:lineRule="auto"/>
        <w:jc w:val="both"/>
        <w:rPr>
          <w:rFonts w:ascii="Cambria" w:eastAsia="Malgun Gothic" w:hAnsi="Cambria" w:cs="Times New Roman"/>
          <w:bCs/>
          <w:sz w:val="20"/>
          <w:szCs w:val="20"/>
          <w:lang w:eastAsia="fr-FR" w:bidi="fr-FR"/>
          <w14:ligatures w14:val="standardContextual"/>
        </w:rPr>
      </w:pPr>
      <w:r w:rsidRPr="000B5464">
        <w:rPr>
          <w:rFonts w:ascii="Cambria" w:eastAsia="MS Gothic" w:hAnsi="Cambria" w:cs="Times New Roman"/>
          <w:b/>
          <w:sz w:val="20"/>
          <w:szCs w:val="20"/>
          <w:lang w:eastAsia="fr-FR" w:bidi="fr-FR"/>
          <w14:ligatures w14:val="standardContextual"/>
        </w:rPr>
        <w:t>Corea (Rep.)</w:t>
      </w:r>
    </w:p>
    <w:p w14:paraId="6D007698" w14:textId="77777777" w:rsidR="009123AC" w:rsidRPr="000B5464"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45D29802" w14:textId="77777777" w:rsidR="009123AC" w:rsidRPr="00F0379B" w:rsidRDefault="009123AC" w:rsidP="009123AC">
      <w:pPr>
        <w:spacing w:after="0" w:line="240" w:lineRule="auto"/>
        <w:jc w:val="both"/>
        <w:rPr>
          <w:rFonts w:ascii="Cambria" w:eastAsia="Malgun Gothic" w:hAnsi="Cambria" w:cs="Times New Roman"/>
          <w:b/>
          <w:sz w:val="20"/>
          <w:szCs w:val="20"/>
          <w:lang w:eastAsia="fr-FR" w:bidi="fr-FR"/>
          <w14:ligatures w14:val="standardContextual"/>
        </w:rPr>
      </w:pPr>
      <w:r w:rsidRPr="00F0379B">
        <w:rPr>
          <w:rFonts w:ascii="Cambria" w:eastAsia="MS Gothic" w:hAnsi="Cambria" w:cs="Times New Roman"/>
          <w:b/>
          <w:sz w:val="20"/>
          <w:szCs w:val="20"/>
          <w:lang w:eastAsia="fr-FR" w:bidi="fr-FR"/>
          <w14:ligatures w14:val="standardContextual"/>
        </w:rPr>
        <w:t>Año del plan de pesca: 2026</w:t>
      </w:r>
    </w:p>
    <w:p w14:paraId="3B1E690E"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18B1203F" w14:textId="77777777" w:rsidR="009123AC" w:rsidRPr="00F0379B" w:rsidRDefault="009123AC" w:rsidP="00CE0EC8">
      <w:pPr>
        <w:numPr>
          <w:ilvl w:val="0"/>
          <w:numId w:val="57"/>
        </w:numPr>
        <w:spacing w:after="0" w:line="240" w:lineRule="auto"/>
        <w:ind w:left="425" w:hanging="425"/>
        <w:contextualSpacing/>
        <w:jc w:val="both"/>
        <w:rPr>
          <w:rFonts w:ascii="Cambria" w:eastAsia="MS Gothic" w:hAnsi="Cambria"/>
          <w:i/>
          <w:iCs/>
          <w:kern w:val="2"/>
          <w:sz w:val="20"/>
          <w:szCs w:val="20"/>
          <w:lang w:eastAsia="fr-FR" w:bidi="fr-FR"/>
          <w14:ligatures w14:val="standardContextual"/>
        </w:rPr>
      </w:pPr>
      <w:r w:rsidRPr="00F0379B">
        <w:rPr>
          <w:rFonts w:ascii="Cambria" w:eastAsia="MS Gothic" w:hAnsi="Cambria"/>
          <w:iCs/>
          <w:kern w:val="2"/>
          <w:sz w:val="20"/>
          <w:szCs w:val="20"/>
          <w:lang w:eastAsia="fr-FR" w:bidi="fr-FR"/>
          <w14:ligatures w14:val="standardContextual"/>
        </w:rPr>
        <w:t>Detalles del plan anual de pesca para los buques de captura y las almadrabas</w:t>
      </w:r>
    </w:p>
    <w:p w14:paraId="5E2EC26A" w14:textId="77777777" w:rsidR="009123AC" w:rsidRPr="00F0379B" w:rsidRDefault="009123AC" w:rsidP="009123AC">
      <w:pPr>
        <w:spacing w:after="0" w:line="240" w:lineRule="auto"/>
        <w:jc w:val="both"/>
        <w:rPr>
          <w:rFonts w:ascii="Cambria" w:eastAsia="MS Gothic" w:hAnsi="Cambria" w:cs="Times New Roman"/>
          <w:b/>
          <w:sz w:val="20"/>
          <w:szCs w:val="20"/>
          <w:lang w:eastAsia="fr-FR" w:bidi="fr-FR"/>
          <w14:ligatures w14:val="standardContextual"/>
        </w:rPr>
      </w:pPr>
    </w:p>
    <w:p w14:paraId="42E538D2" w14:textId="77777777" w:rsidR="009123AC" w:rsidRPr="00F0379B" w:rsidRDefault="009123AC" w:rsidP="009123AC">
      <w:pPr>
        <w:spacing w:after="0" w:line="240" w:lineRule="auto"/>
        <w:jc w:val="both"/>
        <w:rPr>
          <w:rFonts w:ascii="Cambria" w:eastAsia="MS Gothic" w:hAnsi="Cambria" w:cs="Times New Roman"/>
          <w:b/>
          <w:i/>
          <w:iCs/>
          <w:sz w:val="20"/>
          <w:szCs w:val="20"/>
          <w:lang w:eastAsia="fr-FR" w:bidi="fr-FR"/>
          <w14:ligatures w14:val="standardContextual"/>
        </w:rPr>
      </w:pPr>
      <w:r w:rsidRPr="00F0379B">
        <w:rPr>
          <w:rFonts w:ascii="Cambria" w:eastAsia="MS Gothic" w:hAnsi="Cambria" w:cs="Times New Roman"/>
          <w:b/>
          <w:i/>
          <w:iCs/>
          <w:sz w:val="20"/>
          <w:szCs w:val="20"/>
          <w:lang w:eastAsia="fr-FR" w:bidi="fr-FR"/>
          <w14:ligatures w14:val="standardContextual"/>
        </w:rPr>
        <w:t>1 a) Presentación (párr. 12)</w:t>
      </w:r>
    </w:p>
    <w:p w14:paraId="6EC1A1BC"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15669426"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La cuota ajustada de atún rojo de Corea para 2026 será de 440,323 t sujeta a la aprobación por parte de la Subcomisión 2.</w:t>
      </w:r>
    </w:p>
    <w:p w14:paraId="1B4E2A2F"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20B4FF47" w14:textId="77777777" w:rsidR="009123AC" w:rsidRPr="00F0379B" w:rsidRDefault="009123AC" w:rsidP="006D02D2">
      <w:pPr>
        <w:spacing w:after="0" w:line="240" w:lineRule="auto"/>
        <w:jc w:val="center"/>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 xml:space="preserve">Cuota inicial de 368,93 t + 50 t de una transferencia de cuota de Taipei Chino </w:t>
      </w:r>
      <w:r w:rsidRPr="00F0379B">
        <w:rPr>
          <w:rFonts w:ascii="Cambria" w:eastAsiaTheme="minorEastAsia" w:hAnsi="Cambria"/>
          <w:kern w:val="2"/>
          <w:sz w:val="20"/>
          <w:szCs w:val="20"/>
          <w:lang w:eastAsia="ja-JP"/>
          <w14:ligatures w14:val="standardContextual"/>
        </w:rPr>
        <w:t xml:space="preserve">+ 21,393 </w:t>
      </w:r>
      <w:r w:rsidRPr="00F0379B">
        <w:rPr>
          <w:rFonts w:ascii="Cambria" w:eastAsia="MS Gothic" w:hAnsi="Cambria" w:cs="Times New Roman"/>
          <w:sz w:val="20"/>
          <w:szCs w:val="20"/>
          <w:lang w:eastAsia="fr-FR" w:bidi="fr-FR"/>
          <w14:ligatures w14:val="standardContextual"/>
        </w:rPr>
        <w:t>t de cuota no utilizada traspasada de 2025</w:t>
      </w:r>
    </w:p>
    <w:p w14:paraId="5AB21517"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7CE00C70" w14:textId="77777777" w:rsidR="009123AC" w:rsidRPr="00F0379B" w:rsidRDefault="009123AC" w:rsidP="009123AC">
      <w:pPr>
        <w:spacing w:after="0" w:line="240" w:lineRule="auto"/>
        <w:jc w:val="both"/>
        <w:rPr>
          <w:rFonts w:ascii="Cambria" w:eastAsia="Malgun Gothic" w:hAnsi="Cambria"/>
          <w:kern w:val="2"/>
          <w:sz w:val="20"/>
          <w:szCs w:val="20"/>
          <w:lang w:eastAsia="ja-JP"/>
          <w14:ligatures w14:val="standardContextual"/>
        </w:rPr>
      </w:pPr>
      <w:r w:rsidRPr="00F0379B">
        <w:rPr>
          <w:rFonts w:ascii="Cambria" w:eastAsia="MS Gothic" w:hAnsi="Cambria" w:cs="Times New Roman"/>
          <w:sz w:val="20"/>
          <w:szCs w:val="20"/>
          <w:lang w:eastAsia="fr-FR" w:bidi="fr-FR"/>
          <w14:ligatures w14:val="standardContextual"/>
        </w:rPr>
        <w:t xml:space="preserve">El palangre es el único tipo de arte que Corea utiliza en su pesquería dirigida al atún rojo. </w:t>
      </w:r>
      <w:r w:rsidRPr="00F0379B">
        <w:rPr>
          <w:rFonts w:ascii="Cambria" w:eastAsiaTheme="minorEastAsia" w:hAnsi="Cambria"/>
          <w:kern w:val="2"/>
          <w:sz w:val="20"/>
          <w:szCs w:val="20"/>
          <w:lang w:eastAsia="ja-JP"/>
          <w14:ligatures w14:val="standardContextual"/>
        </w:rPr>
        <w:t>La temporada de pesca abierta para el grupo de artes de palangre será del 1 de septiembre al 31 de diciembre de 2026.</w:t>
      </w:r>
    </w:p>
    <w:p w14:paraId="3A4A12E8"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46C42F9D" w14:textId="77777777" w:rsidR="009123AC" w:rsidRPr="00F0379B" w:rsidRDefault="009123AC" w:rsidP="009123AC">
      <w:pPr>
        <w:spacing w:after="0" w:line="240" w:lineRule="auto"/>
        <w:jc w:val="both"/>
        <w:rPr>
          <w:rFonts w:ascii="Cambria" w:eastAsia="Malgun Gothic"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Dado que los palangreros de atún rojo coreanos faenan en la zona delimitada al oeste de 10°W y al norte de 42°N y que ningún otro atunero coreano opera alrededor o en las zonas templadas de ICCAT, la posibilidad de que se produzca captura fortuita es prácticamente nula. No obstante, Corea reservará 0,5 t de su cuota para la captura fortuita. Por lo tanto, </w:t>
      </w:r>
      <w:r w:rsidRPr="00F0379B">
        <w:rPr>
          <w:rFonts w:ascii="Cambria" w:eastAsia="Malgun Gothic" w:hAnsi="Cambria"/>
          <w:kern w:val="2"/>
          <w:sz w:val="20"/>
          <w:szCs w:val="20"/>
          <w:lang w:eastAsia="ko-KR"/>
          <w14:ligatures w14:val="standardContextual"/>
        </w:rPr>
        <w:t>439,823</w:t>
      </w:r>
      <w:r w:rsidRPr="00F0379B">
        <w:rPr>
          <w:rFonts w:ascii="Cambria" w:eastAsiaTheme="minorEastAsia" w:hAnsi="Cambria"/>
          <w:kern w:val="2"/>
          <w:sz w:val="20"/>
          <w:szCs w:val="20"/>
          <w:lang w:eastAsia="ja-JP"/>
          <w14:ligatures w14:val="standardContextual"/>
        </w:rPr>
        <w:t xml:space="preserve"> t de las </w:t>
      </w:r>
      <w:r w:rsidRPr="00F0379B">
        <w:rPr>
          <w:rFonts w:ascii="Cambria" w:eastAsia="Malgun Gothic" w:hAnsi="Cambria"/>
          <w:kern w:val="2"/>
          <w:sz w:val="20"/>
          <w:szCs w:val="20"/>
          <w:lang w:eastAsia="ko-KR"/>
          <w14:ligatures w14:val="standardContextual"/>
        </w:rPr>
        <w:t xml:space="preserve">440,323 </w:t>
      </w:r>
      <w:r w:rsidRPr="00F0379B">
        <w:rPr>
          <w:rFonts w:ascii="Cambria" w:eastAsiaTheme="minorEastAsia" w:hAnsi="Cambria"/>
          <w:kern w:val="2"/>
          <w:sz w:val="20"/>
          <w:szCs w:val="20"/>
          <w:lang w:eastAsia="ja-JP"/>
          <w14:ligatures w14:val="standardContextual"/>
        </w:rPr>
        <w:t>t se asignarán al grupo de artes de palangre. Cualquier captura fortuita se deducirá de la cuota de Corea y estos datos se comunicarán a la Secretaría de ICCAT. Corea no ha registrado hasta ahora capturas fortuitas de atún rojo.</w:t>
      </w:r>
    </w:p>
    <w:p w14:paraId="6F637200" w14:textId="77777777" w:rsidR="009123AC" w:rsidRPr="00F0379B" w:rsidRDefault="009123AC" w:rsidP="009123AC">
      <w:pPr>
        <w:spacing w:after="0" w:line="240" w:lineRule="auto"/>
        <w:jc w:val="both"/>
        <w:rPr>
          <w:rFonts w:ascii="Cambria" w:eastAsia="Malgun Gothic" w:hAnsi="Cambria"/>
          <w:kern w:val="2"/>
          <w:sz w:val="20"/>
          <w:szCs w:val="20"/>
          <w:lang w:eastAsia="ko-KR"/>
          <w14:ligatures w14:val="standardContextual"/>
        </w:rPr>
      </w:pPr>
    </w:p>
    <w:p w14:paraId="55194D47" w14:textId="77777777" w:rsidR="009123AC" w:rsidRPr="00F0379B" w:rsidRDefault="009123AC" w:rsidP="009123AC">
      <w:pPr>
        <w:spacing w:after="0" w:line="240" w:lineRule="auto"/>
        <w:jc w:val="both"/>
        <w:rPr>
          <w:rFonts w:ascii="Cambria" w:eastAsia="Malgun Gothic"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buques de pesca de atún rojo deberán estar equipados con un sistema de seguimiento de buques (VMS) plenamente operativo en línea con las normas mínimas establecidas en la Rec. 18-10. Los buques de pesca de atún rojo están transmitiendo las posiciones vía satélite al Centro de seguimiento de pesca (FMC) coreano cada 20 minutos, pero las posiciones horarias se trasmiten a la Secretaría de acuerdo con la Rec. 25-04 y la Rec. 21-16.  Los buques pesqueros que se dirigen al atún rojo solo transbordarán las capturas de atún rojo en los puertos registrados en ICCAT con una autorización previa. El MOF garantizará una cobertura de observadores superior al 20 % para la temporada de pesca de </w:t>
      </w:r>
      <w:r w:rsidRPr="00F0379B">
        <w:rPr>
          <w:rFonts w:ascii="Cambria" w:eastAsia="MS Gothic" w:hAnsi="Cambria" w:cs="Times New Roman"/>
          <w:sz w:val="20"/>
          <w:szCs w:val="20"/>
          <w:lang w:eastAsia="fr-FR" w:bidi="fr-FR"/>
          <w14:ligatures w14:val="standardContextual"/>
        </w:rPr>
        <w:t>2026</w:t>
      </w:r>
      <w:r w:rsidRPr="00F0379B">
        <w:rPr>
          <w:rFonts w:ascii="Cambria" w:eastAsiaTheme="minorEastAsia" w:hAnsi="Cambria"/>
          <w:kern w:val="2"/>
          <w:sz w:val="20"/>
          <w:szCs w:val="20"/>
          <w:lang w:eastAsia="ja-JP"/>
          <w14:ligatures w14:val="standardContextual"/>
        </w:rPr>
        <w:t>. Los buques de captura de atún rojo colocarán una marca de plástico válida a cada atún rojo subido a bordo.</w:t>
      </w:r>
    </w:p>
    <w:p w14:paraId="46B6908F" w14:textId="77777777" w:rsidR="009123AC" w:rsidRPr="00F0379B" w:rsidRDefault="009123AC" w:rsidP="009123AC">
      <w:pPr>
        <w:spacing w:after="0" w:line="240" w:lineRule="auto"/>
        <w:jc w:val="both"/>
        <w:rPr>
          <w:rFonts w:ascii="Cambria" w:eastAsia="Malgun Gothic" w:hAnsi="Cambria" w:cs="Times New Roman"/>
          <w:sz w:val="20"/>
          <w:szCs w:val="20"/>
          <w:lang w:eastAsia="ko-KR" w:bidi="fr-FR"/>
          <w14:ligatures w14:val="standardContextual"/>
        </w:rPr>
      </w:pPr>
    </w:p>
    <w:p w14:paraId="64D489C6" w14:textId="77777777" w:rsidR="009123AC" w:rsidRPr="00F0379B" w:rsidRDefault="009123AC" w:rsidP="009123AC">
      <w:pPr>
        <w:spacing w:after="0" w:line="240" w:lineRule="auto"/>
        <w:contextualSpacing/>
        <w:jc w:val="both"/>
        <w:rPr>
          <w:rFonts w:ascii="Cambria" w:eastAsia="Malgun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 xml:space="preserve">La cuota de atún rojo de Corea se asignará a entre cuatro y seis palangreros de ciertas empresas pesqueras que tienen registros históricos de pesca de atún rojo. El MOF decidirá la cuota individual de cada buque en consulta con estas empresas. Los detalles de la asignación de cuotas se enviarán a la Secretaría como muy tarde 15 días antes del inicio de las actividades pesqueras, de conformidad con el párrafo 52 de la </w:t>
      </w:r>
      <w:r w:rsidRPr="00F0379B">
        <w:rPr>
          <w:rFonts w:ascii="Cambria" w:eastAsia="MS Gothic" w:hAnsi="Cambria" w:cs="Times New Roman"/>
          <w:sz w:val="20"/>
          <w:szCs w:val="20"/>
          <w:lang w:eastAsia="fr-FR" w:bidi="fr-FR"/>
          <w14:ligatures w14:val="standardContextual"/>
        </w:rPr>
        <w:br/>
        <w:t>Rec. </w:t>
      </w:r>
      <w:r w:rsidRPr="00F0379B">
        <w:rPr>
          <w:rFonts w:ascii="Cambria" w:eastAsiaTheme="minorEastAsia" w:hAnsi="Cambria"/>
          <w:kern w:val="2"/>
          <w:sz w:val="20"/>
          <w:szCs w:val="20"/>
          <w:lang w:eastAsia="ja-JP"/>
          <w14:ligatures w14:val="standardContextual"/>
        </w:rPr>
        <w:t>25-04</w:t>
      </w:r>
      <w:r w:rsidRPr="00F0379B">
        <w:rPr>
          <w:rFonts w:ascii="Cambria" w:eastAsia="MS Gothic" w:hAnsi="Cambria" w:cs="Times New Roman"/>
          <w:sz w:val="20"/>
          <w:szCs w:val="20"/>
          <w:lang w:eastAsia="fr-FR" w:bidi="fr-FR"/>
          <w14:ligatures w14:val="standardContextual"/>
        </w:rPr>
        <w:t xml:space="preserve">. Los buques pesqueros autorizados deben comunicar su captura diariamente (incluidas las capturas cero) al MOF antes del fin del día siguiente a su captura. Dichos informes tienen que recoger la información/datos pertinentes, lo que incluye la fecha, hora, localización (latitud y longitud), número de ejemplares capturados, peso de cada ejemplar de atún rojo, número y peso de los ejemplares liberados/descartados (los descartes se descontarán de la cuota), etc. Cualquier exceso por encima de la cuota individual del buque se tratará de conformidad con las disposiciones pertinentes de la Ley de desarrollo de las pesquerías en aguas distantes que rige las pesquerías de ultramar de Corea. </w:t>
      </w:r>
    </w:p>
    <w:p w14:paraId="48B66A3D" w14:textId="77777777" w:rsidR="009123AC" w:rsidRPr="00F0379B" w:rsidRDefault="009123AC" w:rsidP="009123AC">
      <w:pPr>
        <w:spacing w:after="0" w:line="240" w:lineRule="auto"/>
        <w:contextualSpacing/>
        <w:jc w:val="both"/>
        <w:rPr>
          <w:rFonts w:ascii="Cambria" w:eastAsia="Malgun Gothic" w:hAnsi="Cambria" w:cs="Times New Roman"/>
          <w:sz w:val="20"/>
          <w:szCs w:val="20"/>
          <w:lang w:eastAsia="ko-KR" w:bidi="fr-FR"/>
          <w14:ligatures w14:val="standardContextual"/>
        </w:rPr>
      </w:pPr>
    </w:p>
    <w:p w14:paraId="191682ED"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1 b) Traspaso (párr. 6)</w:t>
      </w:r>
    </w:p>
    <w:p w14:paraId="0FA96CA2" w14:textId="77777777" w:rsidR="009123AC" w:rsidRPr="00F0379B" w:rsidRDefault="009123AC" w:rsidP="009123AC">
      <w:pPr>
        <w:spacing w:after="0" w:line="240" w:lineRule="auto"/>
        <w:contextualSpacing/>
        <w:jc w:val="both"/>
        <w:rPr>
          <w:rFonts w:ascii="Cambria" w:eastAsia="Malgun Gothic" w:hAnsi="Cambria" w:cs="Times New Roman"/>
          <w:sz w:val="20"/>
          <w:szCs w:val="20"/>
          <w:lang w:eastAsia="ko-KR" w:bidi="fr-FR"/>
          <w14:ligatures w14:val="standardContextual"/>
        </w:rPr>
      </w:pPr>
    </w:p>
    <w:p w14:paraId="71B92E9B" w14:textId="77777777" w:rsidR="009123AC" w:rsidRPr="00F0379B" w:rsidRDefault="009123AC" w:rsidP="009123AC">
      <w:pPr>
        <w:spacing w:after="0" w:line="240" w:lineRule="auto"/>
        <w:jc w:val="both"/>
        <w:rPr>
          <w:rFonts w:ascii="Cambria" w:eastAsia="MS Gothic" w:hAnsi="Cambria" w:cs="Times New Roman"/>
          <w:iCs/>
          <w:sz w:val="20"/>
          <w:szCs w:val="20"/>
          <w:lang w:eastAsia="fr-FR" w:bidi="fr-FR"/>
          <w14:ligatures w14:val="standardContextual"/>
        </w:rPr>
      </w:pPr>
      <w:r w:rsidRPr="00F0379B">
        <w:rPr>
          <w:rFonts w:ascii="Cambria" w:eastAsia="MS Gothic" w:hAnsi="Cambria" w:cs="Times New Roman"/>
          <w:iCs/>
          <w:sz w:val="20"/>
          <w:szCs w:val="20"/>
          <w:lang w:eastAsia="fr-FR" w:bidi="fr-FR"/>
          <w14:ligatures w14:val="standardContextual"/>
        </w:rPr>
        <w:t xml:space="preserve">Corea desea solicitar el traspaso de su cuota no utilizada de 2025 de </w:t>
      </w:r>
      <w:r w:rsidRPr="00F0379B">
        <w:rPr>
          <w:rFonts w:ascii="Cambria" w:eastAsia="Malgun Gothic" w:hAnsi="Cambria"/>
          <w:kern w:val="2"/>
          <w:sz w:val="20"/>
          <w:szCs w:val="20"/>
          <w:lang w:eastAsia="ko-KR"/>
          <w14:ligatures w14:val="standardContextual"/>
        </w:rPr>
        <w:t>21,393 t</w:t>
      </w:r>
      <w:r w:rsidRPr="00F0379B">
        <w:rPr>
          <w:rFonts w:ascii="Cambria" w:eastAsiaTheme="minorEastAsia" w:hAnsi="Cambria"/>
          <w:kern w:val="2"/>
          <w:sz w:val="20"/>
          <w:szCs w:val="20"/>
          <w:lang w:eastAsia="ja-JP"/>
          <w14:ligatures w14:val="standardContextual"/>
        </w:rPr>
        <w:t xml:space="preserve"> </w:t>
      </w:r>
      <w:r w:rsidRPr="00F0379B">
        <w:rPr>
          <w:rFonts w:ascii="Cambria" w:eastAsia="MS Gothic" w:hAnsi="Cambria" w:cs="Times New Roman"/>
          <w:iCs/>
          <w:sz w:val="20"/>
          <w:szCs w:val="20"/>
          <w:lang w:eastAsia="fr-FR" w:bidi="fr-FR"/>
          <w14:ligatures w14:val="standardContextual"/>
        </w:rPr>
        <w:t xml:space="preserve">a </w:t>
      </w:r>
      <w:r w:rsidRPr="00F0379B">
        <w:rPr>
          <w:rFonts w:ascii="Cambria" w:eastAsia="MS Gothic" w:hAnsi="Cambria" w:cs="Times New Roman"/>
          <w:sz w:val="20"/>
          <w:szCs w:val="20"/>
          <w:lang w:eastAsia="fr-FR" w:bidi="fr-FR"/>
          <w14:ligatures w14:val="standardContextual"/>
        </w:rPr>
        <w:t xml:space="preserve">2026 </w:t>
      </w:r>
      <w:r w:rsidRPr="00F0379B">
        <w:rPr>
          <w:rFonts w:ascii="Cambria" w:eastAsia="MS Gothic" w:hAnsi="Cambria" w:cs="Times New Roman"/>
          <w:iCs/>
          <w:sz w:val="20"/>
          <w:szCs w:val="20"/>
          <w:lang w:eastAsia="fr-FR" w:bidi="fr-FR"/>
          <w14:ligatures w14:val="standardContextual"/>
        </w:rPr>
        <w:t>de conformidad con el párrafo 6 de la Rec. 25-04.</w:t>
      </w:r>
    </w:p>
    <w:p w14:paraId="683DF382" w14:textId="77777777" w:rsidR="009123AC" w:rsidRPr="00F0379B" w:rsidRDefault="009123AC" w:rsidP="009123AC">
      <w:pPr>
        <w:spacing w:after="0" w:line="240" w:lineRule="auto"/>
        <w:jc w:val="both"/>
        <w:rPr>
          <w:rFonts w:ascii="Cambria" w:eastAsia="MS Gothic" w:hAnsi="Cambria" w:cs="Times New Roman"/>
          <w:iCs/>
          <w:sz w:val="20"/>
          <w:szCs w:val="20"/>
          <w:lang w:eastAsia="fr-FR" w:bidi="fr-FR"/>
          <w14:ligatures w14:val="standardContextual"/>
        </w:rPr>
      </w:pPr>
    </w:p>
    <w:p w14:paraId="2BB39E2A"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Cuota ajustada de </w:t>
      </w:r>
      <w:r w:rsidRPr="00F0379B">
        <w:rPr>
          <w:rFonts w:ascii="Cambria" w:eastAsia="Malgun Gothic" w:hAnsi="Cambria"/>
          <w:kern w:val="2"/>
          <w:sz w:val="20"/>
          <w:szCs w:val="20"/>
          <w:lang w:eastAsia="ko-KR"/>
          <w14:ligatures w14:val="standardContextual"/>
        </w:rPr>
        <w:t>2025</w:t>
      </w:r>
      <w:r w:rsidRPr="00F0379B">
        <w:rPr>
          <w:rFonts w:ascii="Cambria" w:eastAsiaTheme="minorEastAsia" w:hAnsi="Cambria"/>
          <w:kern w:val="2"/>
          <w:sz w:val="20"/>
          <w:szCs w:val="20"/>
          <w:lang w:eastAsia="ja-JP"/>
          <w14:ligatures w14:val="standardContextual"/>
        </w:rPr>
        <w:t xml:space="preserve"> (</w:t>
      </w:r>
      <w:r w:rsidRPr="00F0379B">
        <w:rPr>
          <w:rFonts w:ascii="Cambria" w:eastAsia="Malgun Gothic" w:hAnsi="Cambria"/>
          <w:kern w:val="2"/>
          <w:sz w:val="20"/>
          <w:szCs w:val="20"/>
          <w:lang w:eastAsia="ko-KR"/>
          <w14:ligatures w14:val="standardContextual"/>
        </w:rPr>
        <w:t xml:space="preserve">279,224 t) – captura final de 2025 </w:t>
      </w:r>
      <w:r w:rsidRPr="00F0379B">
        <w:rPr>
          <w:rFonts w:ascii="Cambria" w:eastAsiaTheme="minorEastAsia" w:hAnsi="Cambria"/>
          <w:kern w:val="2"/>
          <w:sz w:val="20"/>
          <w:szCs w:val="20"/>
          <w:lang w:eastAsia="ja-JP"/>
          <w14:ligatures w14:val="standardContextual"/>
        </w:rPr>
        <w:t>(</w:t>
      </w:r>
      <w:r w:rsidRPr="00F0379B">
        <w:rPr>
          <w:rFonts w:ascii="Cambria" w:eastAsia="Malgun Gothic" w:hAnsi="Cambria"/>
          <w:kern w:val="2"/>
          <w:sz w:val="20"/>
          <w:szCs w:val="20"/>
          <w:lang w:eastAsia="ko-KR"/>
          <w14:ligatures w14:val="standardContextual"/>
        </w:rPr>
        <w:t>257,831 t</w:t>
      </w:r>
      <w:r w:rsidRPr="00F0379B">
        <w:rPr>
          <w:rFonts w:ascii="Cambria" w:eastAsiaTheme="minorEastAsia" w:hAnsi="Cambria"/>
          <w:kern w:val="2"/>
          <w:sz w:val="20"/>
          <w:szCs w:val="20"/>
          <w:lang w:eastAsia="ja-JP"/>
          <w14:ligatures w14:val="standardContextual"/>
        </w:rPr>
        <w:t>) = cuota no utilizada (</w:t>
      </w:r>
      <w:r w:rsidRPr="00F0379B">
        <w:rPr>
          <w:rFonts w:ascii="Cambria" w:eastAsia="Malgun Gothic" w:hAnsi="Cambria"/>
          <w:kern w:val="2"/>
          <w:sz w:val="20"/>
          <w:szCs w:val="20"/>
          <w:lang w:eastAsia="ko-KR"/>
          <w14:ligatures w14:val="standardContextual"/>
        </w:rPr>
        <w:t>21,393 t</w:t>
      </w:r>
      <w:r w:rsidRPr="00F0379B">
        <w:rPr>
          <w:rFonts w:ascii="Cambria" w:eastAsiaTheme="minorEastAsia" w:hAnsi="Cambria"/>
          <w:kern w:val="2"/>
          <w:sz w:val="20"/>
          <w:szCs w:val="20"/>
          <w:lang w:eastAsia="ja-JP"/>
          <w14:ligatures w14:val="standardContextual"/>
        </w:rPr>
        <w:t>)</w:t>
      </w:r>
      <w:r w:rsidRPr="00F0379B">
        <w:rPr>
          <w:rFonts w:ascii="Cambria" w:eastAsiaTheme="minorEastAsia" w:hAnsi="Cambria"/>
          <w:b/>
          <w:i/>
          <w:iCs/>
          <w:kern w:val="2"/>
          <w:sz w:val="20"/>
          <w:szCs w:val="20"/>
          <w:lang w:eastAsia="ja-JP"/>
          <w14:ligatures w14:val="standardContextual"/>
        </w:rPr>
        <w:br w:type="page"/>
      </w:r>
    </w:p>
    <w:p w14:paraId="24C7863A" w14:textId="77777777" w:rsidR="009123AC" w:rsidRPr="00F0379B" w:rsidRDefault="009123AC" w:rsidP="009123AC">
      <w:pPr>
        <w:spacing w:after="0" w:line="240" w:lineRule="auto"/>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1 c) Destino de la captura</w:t>
      </w:r>
    </w:p>
    <w:p w14:paraId="1575382A" w14:textId="77777777" w:rsidR="009123AC" w:rsidRPr="00F0379B" w:rsidRDefault="009123AC" w:rsidP="009123AC">
      <w:pPr>
        <w:spacing w:after="0" w:line="240" w:lineRule="auto"/>
        <w:rPr>
          <w:rFonts w:ascii="Cambria" w:eastAsiaTheme="minorEastAsia" w:hAnsi="Cambria"/>
          <w:b/>
          <w:i/>
          <w:iCs/>
          <w:kern w:val="2"/>
          <w:sz w:val="20"/>
          <w:szCs w:val="20"/>
          <w:lang w:eastAsia="ja-JP"/>
          <w14:ligatures w14:val="standardContextual"/>
        </w:rPr>
      </w:pPr>
    </w:p>
    <w:p w14:paraId="4CF8559C" w14:textId="77777777" w:rsidR="009123AC" w:rsidRPr="00F0379B" w:rsidRDefault="009123AC" w:rsidP="009123AC">
      <w:pPr>
        <w:spacing w:after="0"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Cría: No</w:t>
      </w:r>
    </w:p>
    <w:p w14:paraId="6DF91DE8" w14:textId="77777777" w:rsidR="009123AC" w:rsidRPr="00F0379B" w:rsidRDefault="009123AC" w:rsidP="009123AC">
      <w:pPr>
        <w:spacing w:after="0"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Desembarque: Sí</w:t>
      </w:r>
    </w:p>
    <w:p w14:paraId="08FD3E21" w14:textId="77777777" w:rsidR="009123AC" w:rsidRPr="00F0379B" w:rsidRDefault="009123AC" w:rsidP="009123AC">
      <w:pPr>
        <w:spacing w:after="0" w:line="240" w:lineRule="auto"/>
        <w:rPr>
          <w:rFonts w:ascii="Cambria" w:eastAsia="MS Gothic" w:hAnsi="Cambria" w:cs="Times New Roman"/>
          <w:iCs/>
          <w:sz w:val="20"/>
          <w:szCs w:val="20"/>
          <w:lang w:eastAsia="fr-FR" w:bidi="fr-FR"/>
          <w14:ligatures w14:val="standardContextual"/>
        </w:rPr>
      </w:pPr>
    </w:p>
    <w:p w14:paraId="76451A61" w14:textId="77777777" w:rsidR="009123AC" w:rsidRPr="00F0379B" w:rsidRDefault="009123AC" w:rsidP="009123AC">
      <w:pPr>
        <w:spacing w:after="0" w:line="240" w:lineRule="auto"/>
        <w:rPr>
          <w:rFonts w:ascii="Cambria" w:eastAsia="MS Gothic" w:hAnsi="Cambria" w:cs="Times New Roman"/>
          <w:b/>
          <w:bCs/>
          <w:i/>
          <w:sz w:val="20"/>
          <w:szCs w:val="20"/>
          <w:lang w:eastAsia="fr-FR" w:bidi="fr-FR"/>
          <w14:ligatures w14:val="standardContextual"/>
        </w:rPr>
      </w:pPr>
      <w:r w:rsidRPr="00F0379B">
        <w:rPr>
          <w:rFonts w:ascii="Cambria" w:eastAsia="MS Gothic" w:hAnsi="Cambria" w:cs="Times New Roman"/>
          <w:b/>
          <w:bCs/>
          <w:i/>
          <w:sz w:val="20"/>
          <w:szCs w:val="20"/>
          <w:lang w:eastAsia="fr-FR" w:bidi="fr-FR"/>
          <w14:ligatures w14:val="standardContextual"/>
        </w:rPr>
        <w:t>1 d)</w:t>
      </w:r>
    </w:p>
    <w:p w14:paraId="5411E363" w14:textId="77777777" w:rsidR="009123AC" w:rsidRPr="00F0379B" w:rsidRDefault="009123AC" w:rsidP="009123AC">
      <w:pPr>
        <w:spacing w:after="0" w:line="240" w:lineRule="auto"/>
        <w:rPr>
          <w:rFonts w:ascii="Cambria" w:eastAsia="MS Gothic" w:hAnsi="Cambria" w:cs="Times New Roman"/>
          <w:i/>
          <w:sz w:val="20"/>
          <w:szCs w:val="20"/>
          <w:lang w:eastAsia="fr-FR" w:bidi="fr-FR"/>
          <w14:ligatures w14:val="standardContextual"/>
        </w:rPr>
      </w:pPr>
    </w:p>
    <w:tbl>
      <w:tblPr>
        <w:tblStyle w:val="TableGrid"/>
        <w:tblW w:w="0" w:type="auto"/>
        <w:tblLook w:val="04A0" w:firstRow="1" w:lastRow="0" w:firstColumn="1" w:lastColumn="0" w:noHBand="0" w:noVBand="1"/>
      </w:tblPr>
      <w:tblGrid>
        <w:gridCol w:w="453"/>
        <w:gridCol w:w="3284"/>
        <w:gridCol w:w="2495"/>
        <w:gridCol w:w="1985"/>
        <w:gridCol w:w="843"/>
      </w:tblGrid>
      <w:tr w:rsidR="009123AC" w:rsidRPr="00F0379B" w14:paraId="0AB3DD21" w14:textId="77777777" w:rsidTr="001B54FD">
        <w:trPr>
          <w:tblHeader/>
        </w:trPr>
        <w:tc>
          <w:tcPr>
            <w:tcW w:w="453" w:type="dxa"/>
          </w:tcPr>
          <w:p w14:paraId="4D4D396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3284" w:type="dxa"/>
            <w:vAlign w:val="center"/>
          </w:tcPr>
          <w:p w14:paraId="269F5E70"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Requisito ICCAT</w:t>
            </w:r>
          </w:p>
          <w:p w14:paraId="4AF6AF80"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 xml:space="preserve">(según </w:t>
            </w:r>
            <w:hyperlink r:id="rId152" w:history="1">
              <w:r w:rsidRPr="00F0379B">
                <w:rPr>
                  <w:rFonts w:ascii="Cambria" w:eastAsiaTheme="minorEastAsia" w:hAnsi="Cambria"/>
                  <w:i/>
                  <w:color w:val="0563C1" w:themeColor="hyperlink"/>
                  <w:kern w:val="2"/>
                  <w:sz w:val="20"/>
                  <w:szCs w:val="20"/>
                  <w:lang w:eastAsia="ja-JP"/>
                  <w14:ligatures w14:val="standardContextual"/>
                </w:rPr>
                <w:t>Rec. 25-04</w:t>
              </w:r>
            </w:hyperlink>
            <w:r w:rsidRPr="00F0379B">
              <w:rPr>
                <w:rFonts w:ascii="Cambria" w:eastAsiaTheme="minorEastAsia" w:hAnsi="Cambria"/>
                <w:i/>
                <w:kern w:val="2"/>
                <w:sz w:val="20"/>
                <w:szCs w:val="20"/>
                <w:lang w:eastAsia="ja-JP"/>
                <w14:ligatures w14:val="standardContextual"/>
              </w:rPr>
              <w:t>)</w:t>
            </w:r>
          </w:p>
        </w:tc>
        <w:tc>
          <w:tcPr>
            <w:tcW w:w="2495" w:type="dxa"/>
            <w:vAlign w:val="center"/>
          </w:tcPr>
          <w:p w14:paraId="74B79FE8"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Explicación de las acciones emprendidas por la CPC con fines de implementación</w:t>
            </w:r>
          </w:p>
        </w:tc>
        <w:tc>
          <w:tcPr>
            <w:tcW w:w="1985" w:type="dxa"/>
            <w:vAlign w:val="center"/>
          </w:tcPr>
          <w:p w14:paraId="437E8263"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Leyes o reglamentos internos pertinentes</w:t>
            </w:r>
          </w:p>
          <w:p w14:paraId="675CFA96"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(si procede)</w:t>
            </w:r>
          </w:p>
        </w:tc>
        <w:tc>
          <w:tcPr>
            <w:tcW w:w="843" w:type="dxa"/>
            <w:vAlign w:val="center"/>
          </w:tcPr>
          <w:p w14:paraId="75063889"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Nota</w:t>
            </w:r>
          </w:p>
        </w:tc>
      </w:tr>
      <w:tr w:rsidR="009123AC" w:rsidRPr="00F0379B" w14:paraId="711078E8" w14:textId="77777777" w:rsidTr="00CA749B">
        <w:tc>
          <w:tcPr>
            <w:tcW w:w="453" w:type="dxa"/>
          </w:tcPr>
          <w:p w14:paraId="3136EA1F"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w:t>
            </w:r>
          </w:p>
        </w:tc>
        <w:tc>
          <w:tcPr>
            <w:tcW w:w="3284" w:type="dxa"/>
          </w:tcPr>
          <w:p w14:paraId="22C06468"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Consignación y comunicación de la captura (párrs. 74-88)</w:t>
            </w:r>
          </w:p>
        </w:tc>
        <w:tc>
          <w:tcPr>
            <w:tcW w:w="2495" w:type="dxa"/>
          </w:tcPr>
          <w:p w14:paraId="49D8A5A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patrones de los buques palangreros autorizados mantendrán cuadernos de pesca encuadernados, así como cuadernos de pesca electrónicos para sus operaciones y consignarán toda la información necesaria. Se presentarán informes quincenales.</w:t>
            </w:r>
          </w:p>
          <w:p w14:paraId="1757B02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peces muertos (retenidos o descartados) se deducirá de la cuota.</w:t>
            </w:r>
          </w:p>
        </w:tc>
        <w:tc>
          <w:tcPr>
            <w:tcW w:w="1985" w:type="dxa"/>
          </w:tcPr>
          <w:p w14:paraId="1A0E137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desarrollo de las pesquerías en aguas distantes, Artículos 13-1, 13-2 y 16</w:t>
            </w:r>
          </w:p>
        </w:tc>
        <w:tc>
          <w:tcPr>
            <w:tcW w:w="843" w:type="dxa"/>
          </w:tcPr>
          <w:p w14:paraId="290CF49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04AA1056" w14:textId="77777777" w:rsidTr="00CA749B">
        <w:tc>
          <w:tcPr>
            <w:tcW w:w="453" w:type="dxa"/>
          </w:tcPr>
          <w:p w14:paraId="1FFB48A1"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2</w:t>
            </w:r>
          </w:p>
        </w:tc>
        <w:tc>
          <w:tcPr>
            <w:tcW w:w="3284" w:type="dxa"/>
          </w:tcPr>
          <w:p w14:paraId="061E1525"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Temporadas de pesca abiertas (párrs. 28-32</w:t>
            </w:r>
            <w:r w:rsidRPr="00F0379B">
              <w:rPr>
                <w:rFonts w:ascii="Cambria" w:eastAsiaTheme="minorEastAsia" w:hAnsi="Cambria"/>
                <w:b/>
                <w:bCs/>
                <w:kern w:val="2"/>
                <w:sz w:val="20"/>
                <w:szCs w:val="20"/>
                <w:lang w:eastAsia="ja-JP"/>
                <w14:ligatures w14:val="standardContextual"/>
              </w:rPr>
              <w:t>)</w:t>
            </w:r>
          </w:p>
        </w:tc>
        <w:tc>
          <w:tcPr>
            <w:tcW w:w="2495" w:type="dxa"/>
          </w:tcPr>
          <w:p w14:paraId="4B1DD8F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más de seis palangreros coreanos capturarán atún rojo entre el 1 de septiembre y el 31 de diciembre de 2026 en la zona delimitada por el oeste de 10ºW y el norte de 42ºN.</w:t>
            </w:r>
          </w:p>
        </w:tc>
        <w:tc>
          <w:tcPr>
            <w:tcW w:w="1985" w:type="dxa"/>
          </w:tcPr>
          <w:p w14:paraId="5318B81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desarrollo de las pesquerías en aguas distantes, Artículos 13-1, 13-2</w:t>
            </w:r>
          </w:p>
        </w:tc>
        <w:tc>
          <w:tcPr>
            <w:tcW w:w="843" w:type="dxa"/>
          </w:tcPr>
          <w:p w14:paraId="765A638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1663D3BC" w14:textId="77777777" w:rsidTr="00CA749B">
        <w:tc>
          <w:tcPr>
            <w:tcW w:w="453" w:type="dxa"/>
          </w:tcPr>
          <w:p w14:paraId="0B416D51"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3</w:t>
            </w:r>
          </w:p>
        </w:tc>
        <w:tc>
          <w:tcPr>
            <w:tcW w:w="3284" w:type="dxa"/>
          </w:tcPr>
          <w:p w14:paraId="680B6722"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Talla mínima (párrs. 33-35)</w:t>
            </w:r>
          </w:p>
        </w:tc>
        <w:tc>
          <w:tcPr>
            <w:tcW w:w="2495" w:type="dxa"/>
          </w:tcPr>
          <w:p w14:paraId="188071B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buques de captura de atún rojo coreanos tienen prohibido capturar atún rojo con un peso inferior a 30 kg o con una longitud a la horquilla inferior a 115 cm.</w:t>
            </w:r>
          </w:p>
          <w:p w14:paraId="12978F0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5B573B6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peces por debajo de estas tallas mínimas que se descarten muertos se descontarán de la cuota de atún rojo de Corea.</w:t>
            </w:r>
          </w:p>
        </w:tc>
        <w:tc>
          <w:tcPr>
            <w:tcW w:w="1985" w:type="dxa"/>
          </w:tcPr>
          <w:p w14:paraId="3C8E2D1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desarrollo de las pesquerías en aguas distantes, Artículos 13-1, 13-2</w:t>
            </w:r>
          </w:p>
        </w:tc>
        <w:tc>
          <w:tcPr>
            <w:tcW w:w="843" w:type="dxa"/>
          </w:tcPr>
          <w:p w14:paraId="35659DC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2E253E11" w14:textId="77777777" w:rsidTr="00CA749B">
        <w:trPr>
          <w:trHeight w:val="350"/>
        </w:trPr>
        <w:tc>
          <w:tcPr>
            <w:tcW w:w="453" w:type="dxa"/>
          </w:tcPr>
          <w:p w14:paraId="0EBE9C5B"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4</w:t>
            </w:r>
          </w:p>
        </w:tc>
        <w:tc>
          <w:tcPr>
            <w:tcW w:w="3284" w:type="dxa"/>
          </w:tcPr>
          <w:p w14:paraId="4181065B"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Captura fortuita (párr. 37) </w:t>
            </w:r>
          </w:p>
        </w:tc>
        <w:tc>
          <w:tcPr>
            <w:tcW w:w="2495" w:type="dxa"/>
          </w:tcPr>
          <w:p w14:paraId="0DDDACD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captura fortuita, incluidos los descartes muertos, se deducirá de la cuota de Corea. Corea reservará 0,5 t de cuota con este fin.</w:t>
            </w:r>
          </w:p>
          <w:p w14:paraId="0C3CC7D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hubo captura fortuita en 2025.</w:t>
            </w:r>
          </w:p>
        </w:tc>
        <w:tc>
          <w:tcPr>
            <w:tcW w:w="1985" w:type="dxa"/>
          </w:tcPr>
          <w:p w14:paraId="12CC4A9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desarrollo de las pesquerías en aguas distantes, Artículos 13-1, 13-2</w:t>
            </w:r>
          </w:p>
        </w:tc>
        <w:tc>
          <w:tcPr>
            <w:tcW w:w="843" w:type="dxa"/>
          </w:tcPr>
          <w:p w14:paraId="4257675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538DBF55" w14:textId="77777777" w:rsidTr="00CA749B">
        <w:tc>
          <w:tcPr>
            <w:tcW w:w="453" w:type="dxa"/>
          </w:tcPr>
          <w:p w14:paraId="65CADF80"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5</w:t>
            </w:r>
          </w:p>
        </w:tc>
        <w:tc>
          <w:tcPr>
            <w:tcW w:w="3284" w:type="dxa"/>
          </w:tcPr>
          <w:p w14:paraId="32ED1CB9"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Pesquerías deportivas y de recreo (párrs. 38-46)</w:t>
            </w:r>
          </w:p>
        </w:tc>
        <w:tc>
          <w:tcPr>
            <w:tcW w:w="2495" w:type="dxa"/>
          </w:tcPr>
          <w:p w14:paraId="4D73BC4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aplicable. Corea no tiene pesquerías deportivas ni recreativas de atún rojo en la zona del Convenio de ICCAT.</w:t>
            </w:r>
          </w:p>
        </w:tc>
        <w:tc>
          <w:tcPr>
            <w:tcW w:w="1985" w:type="dxa"/>
          </w:tcPr>
          <w:p w14:paraId="6C0AA5D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843" w:type="dxa"/>
          </w:tcPr>
          <w:p w14:paraId="6F881B5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1AFCA5AD" w14:textId="77777777" w:rsidTr="00CA749B">
        <w:tc>
          <w:tcPr>
            <w:tcW w:w="453" w:type="dxa"/>
          </w:tcPr>
          <w:p w14:paraId="7FF1FAE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6</w:t>
            </w:r>
          </w:p>
        </w:tc>
        <w:tc>
          <w:tcPr>
            <w:tcW w:w="3284" w:type="dxa"/>
          </w:tcPr>
          <w:p w14:paraId="0133D773"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Transbordo (párrs. 89-94)</w:t>
            </w:r>
          </w:p>
        </w:tc>
        <w:tc>
          <w:tcPr>
            <w:tcW w:w="2495" w:type="dxa"/>
          </w:tcPr>
          <w:p w14:paraId="3CDD14B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Está prohibido el transbordo de atún rojo en el mar y solo se permite el transbordo en puerto de conformidad con la normativa interna. El transbordo de atún rojo solo tendrá lugar en los puertos designados. </w:t>
            </w:r>
          </w:p>
          <w:p w14:paraId="08719F2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09F48B1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Corea cuenta también con un sólido régimen de autorización de transbordos, en virtud del cual todos los buques pesqueros coreanos que faenan en aguas distantes serán autorizados por el FMC coreano antes de realizar el transbordo.</w:t>
            </w:r>
          </w:p>
          <w:p w14:paraId="0587DF7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En la temporada de 2026 se espera que los buques coreanos utilicen los puertos de Ciudad del Cabo, Dakar, </w:t>
            </w:r>
            <w:proofErr w:type="spellStart"/>
            <w:r w:rsidRPr="00F0379B">
              <w:rPr>
                <w:rFonts w:ascii="Cambria" w:eastAsiaTheme="minorEastAsia" w:hAnsi="Cambria"/>
                <w:kern w:val="2"/>
                <w:sz w:val="20"/>
                <w:szCs w:val="20"/>
                <w:lang w:eastAsia="ja-JP"/>
                <w14:ligatures w14:val="standardContextual"/>
              </w:rPr>
              <w:t>Mindelo</w:t>
            </w:r>
            <w:proofErr w:type="spellEnd"/>
            <w:r w:rsidRPr="00F0379B">
              <w:rPr>
                <w:rFonts w:ascii="Cambria" w:eastAsiaTheme="minorEastAsia" w:hAnsi="Cambria"/>
                <w:kern w:val="2"/>
                <w:sz w:val="20"/>
                <w:szCs w:val="20"/>
                <w:lang w:eastAsia="ja-JP"/>
                <w14:ligatures w14:val="standardContextual"/>
              </w:rPr>
              <w:t xml:space="preserve"> o Shimizu y los puertos nacionales designados.</w:t>
            </w:r>
          </w:p>
        </w:tc>
        <w:tc>
          <w:tcPr>
            <w:tcW w:w="1985" w:type="dxa"/>
          </w:tcPr>
          <w:p w14:paraId="4894E5B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desarrollo de las pesquerías en aguas distantes, Artículos 13-1, 13-2 y 16</w:t>
            </w:r>
          </w:p>
        </w:tc>
        <w:tc>
          <w:tcPr>
            <w:tcW w:w="843" w:type="dxa"/>
          </w:tcPr>
          <w:p w14:paraId="133CB51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32166C73" w14:textId="77777777" w:rsidTr="00CA749B">
        <w:tc>
          <w:tcPr>
            <w:tcW w:w="453" w:type="dxa"/>
          </w:tcPr>
          <w:p w14:paraId="696CA1A8"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7</w:t>
            </w:r>
          </w:p>
        </w:tc>
        <w:tc>
          <w:tcPr>
            <w:tcW w:w="3284" w:type="dxa"/>
          </w:tcPr>
          <w:p w14:paraId="078292A3"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VMS (párrs. 222-228)</w:t>
            </w:r>
          </w:p>
        </w:tc>
        <w:tc>
          <w:tcPr>
            <w:tcW w:w="2495" w:type="dxa"/>
          </w:tcPr>
          <w:p w14:paraId="37401A3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buques de pesca de atún rojo están equipados con un VMS plenamente operativo en todo momento que transmite datos posición a la Secretaría cada hora a través del FMC coreano. Cualquier retraso en la transmisión de datos o fallo en la transmisión se controla y se soluciona inmediatamente. </w:t>
            </w:r>
          </w:p>
        </w:tc>
        <w:tc>
          <w:tcPr>
            <w:tcW w:w="1985" w:type="dxa"/>
          </w:tcPr>
          <w:p w14:paraId="313A366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desarrollo de las pesquerías en aguas distantes, Artículos 13-1, 13-2 y 15</w:t>
            </w:r>
          </w:p>
        </w:tc>
        <w:tc>
          <w:tcPr>
            <w:tcW w:w="843" w:type="dxa"/>
          </w:tcPr>
          <w:p w14:paraId="2146BEE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34438C83" w14:textId="77777777" w:rsidTr="00CA749B">
        <w:tc>
          <w:tcPr>
            <w:tcW w:w="453" w:type="dxa"/>
          </w:tcPr>
          <w:p w14:paraId="214B4B06"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8</w:t>
            </w:r>
          </w:p>
        </w:tc>
        <w:tc>
          <w:tcPr>
            <w:tcW w:w="3284" w:type="dxa"/>
          </w:tcPr>
          <w:p w14:paraId="6089F773"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Programa de observadores de las CPC (párrs. 95-100)</w:t>
            </w:r>
          </w:p>
        </w:tc>
        <w:tc>
          <w:tcPr>
            <w:tcW w:w="2495" w:type="dxa"/>
          </w:tcPr>
          <w:p w14:paraId="27E6E18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MOF logrará para la temporada de pesca de 2026 más de un 20 % de cobertura de observadores.</w:t>
            </w:r>
          </w:p>
        </w:tc>
        <w:tc>
          <w:tcPr>
            <w:tcW w:w="1985" w:type="dxa"/>
          </w:tcPr>
          <w:p w14:paraId="5F67B1D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desarrollo de las pesquerías en aguas distantes, Artículos 13-1, 13-2 y 21</w:t>
            </w:r>
          </w:p>
        </w:tc>
        <w:tc>
          <w:tcPr>
            <w:tcW w:w="843" w:type="dxa"/>
          </w:tcPr>
          <w:p w14:paraId="281E7A3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3D796908" w14:textId="77777777" w:rsidTr="00CA749B">
        <w:tc>
          <w:tcPr>
            <w:tcW w:w="453" w:type="dxa"/>
          </w:tcPr>
          <w:p w14:paraId="1E725316"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9</w:t>
            </w:r>
          </w:p>
        </w:tc>
        <w:tc>
          <w:tcPr>
            <w:tcW w:w="3284" w:type="dxa"/>
          </w:tcPr>
          <w:p w14:paraId="22EA3023"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val="pt-BR" w:eastAsia="ja-JP"/>
                <w14:ligatures w14:val="standardContextual"/>
              </w:rPr>
              <w:t xml:space="preserve">Programa regional de observadores (párrs. </w:t>
            </w:r>
            <w:r w:rsidRPr="00F0379B">
              <w:rPr>
                <w:rFonts w:ascii="Cambria" w:eastAsiaTheme="minorEastAsia" w:hAnsi="Cambria"/>
                <w:b/>
                <w:kern w:val="2"/>
                <w:sz w:val="20"/>
                <w:szCs w:val="20"/>
                <w:lang w:eastAsia="ja-JP"/>
                <w14:ligatures w14:val="standardContextual"/>
              </w:rPr>
              <w:t>101-107)</w:t>
            </w:r>
          </w:p>
        </w:tc>
        <w:tc>
          <w:tcPr>
            <w:tcW w:w="2495" w:type="dxa"/>
          </w:tcPr>
          <w:p w14:paraId="0D456A9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aplicable.</w:t>
            </w:r>
          </w:p>
          <w:p w14:paraId="3B16B4F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(Corea no opera buques cerqueros para la pesca de atún rojo y no es una CPC de cría).</w:t>
            </w:r>
          </w:p>
        </w:tc>
        <w:tc>
          <w:tcPr>
            <w:tcW w:w="1985" w:type="dxa"/>
          </w:tcPr>
          <w:p w14:paraId="712A261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843" w:type="dxa"/>
          </w:tcPr>
          <w:p w14:paraId="7904854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73DAE7EE" w14:textId="77777777" w:rsidTr="00CA749B">
        <w:tc>
          <w:tcPr>
            <w:tcW w:w="453" w:type="dxa"/>
          </w:tcPr>
          <w:p w14:paraId="75BF1DF6"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10</w:t>
            </w:r>
          </w:p>
        </w:tc>
        <w:tc>
          <w:tcPr>
            <w:tcW w:w="3284" w:type="dxa"/>
          </w:tcPr>
          <w:p w14:paraId="3FED6033"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Legislación nacional</w:t>
            </w:r>
          </w:p>
        </w:tc>
        <w:tc>
          <w:tcPr>
            <w:tcW w:w="2495" w:type="dxa"/>
          </w:tcPr>
          <w:p w14:paraId="10906BD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artículo 13 de la Ley de desarrollo de las pesquerías en aguas distantes de Corea estipula lo siguiente: Cada operador de un negocio de pesca en aguas distantes y una persona que se dedique a la pesca en aguas distantes deberá realizar concienzudamente las operaciones de pesca dentro del ámbito de operaciones permitido y deberá cumplir las resoluciones adoptadas por las organizaciones internacionales de pesca para la conservación y la ordenación de los recursos y las normas internacionales relativas a las pesquerías en alta mar.</w:t>
            </w:r>
          </w:p>
        </w:tc>
        <w:tc>
          <w:tcPr>
            <w:tcW w:w="1985" w:type="dxa"/>
          </w:tcPr>
          <w:p w14:paraId="0F86768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843" w:type="dxa"/>
          </w:tcPr>
          <w:p w14:paraId="347E7F0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43BE117A" w14:textId="77777777" w:rsidTr="00CA749B">
        <w:tc>
          <w:tcPr>
            <w:tcW w:w="453" w:type="dxa"/>
          </w:tcPr>
          <w:p w14:paraId="300099DC"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p>
        </w:tc>
        <w:tc>
          <w:tcPr>
            <w:tcW w:w="3284" w:type="dxa"/>
          </w:tcPr>
          <w:p w14:paraId="221B6544"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Otros requisitos, como:</w:t>
            </w:r>
          </w:p>
          <w:p w14:paraId="10089B1A"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programa de marcado (párr. 44), etc.</w:t>
            </w:r>
          </w:p>
        </w:tc>
        <w:tc>
          <w:tcPr>
            <w:tcW w:w="2495" w:type="dxa"/>
          </w:tcPr>
          <w:p w14:paraId="3532ED2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Desde 2017, Corea ha llevado a cabo un programa de marcado con marcas archivo (Mini-PAT) con observadores científicos como parte del GBYP.</w:t>
            </w:r>
          </w:p>
        </w:tc>
        <w:tc>
          <w:tcPr>
            <w:tcW w:w="1985" w:type="dxa"/>
          </w:tcPr>
          <w:p w14:paraId="7DC1515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843" w:type="dxa"/>
          </w:tcPr>
          <w:p w14:paraId="7C5AD58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bl>
    <w:p w14:paraId="6DB15E24"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p>
    <w:p w14:paraId="48758FB3" w14:textId="77777777" w:rsidR="009123AC" w:rsidRPr="00F0379B" w:rsidRDefault="009123AC" w:rsidP="009123AC">
      <w:pPr>
        <w:spacing w:after="0" w:line="240" w:lineRule="auto"/>
        <w:rPr>
          <w:rFonts w:ascii="Cambria" w:eastAsiaTheme="minorEastAsia" w:hAnsi="Cambria"/>
          <w:b/>
          <w:bCs/>
          <w:i/>
          <w:iCs/>
          <w:kern w:val="2"/>
          <w:sz w:val="20"/>
          <w:szCs w:val="20"/>
          <w:lang w:eastAsia="ja-JP"/>
          <w14:ligatures w14:val="standardContextual"/>
        </w:rPr>
      </w:pPr>
    </w:p>
    <w:p w14:paraId="6116B359" w14:textId="77777777" w:rsidR="009123AC" w:rsidRPr="00F0379B" w:rsidRDefault="009123AC" w:rsidP="009123AC">
      <w:pPr>
        <w:spacing w:after="0" w:line="240" w:lineRule="auto"/>
        <w:rPr>
          <w:rFonts w:ascii="Cambria" w:eastAsia="MS Gothic" w:hAnsi="Cambria" w:cs="Times New Roman"/>
          <w:b/>
          <w:bCs/>
          <w:i/>
          <w:iCs/>
          <w:sz w:val="20"/>
          <w:szCs w:val="20"/>
          <w:lang w:eastAsia="fr-FR" w:bidi="fr-FR"/>
          <w14:ligatures w14:val="standardContextual"/>
        </w:rPr>
      </w:pPr>
      <w:r w:rsidRPr="00F0379B">
        <w:rPr>
          <w:rFonts w:ascii="Cambria" w:eastAsiaTheme="minorEastAsia" w:hAnsi="Cambria"/>
          <w:b/>
          <w:bCs/>
          <w:i/>
          <w:iCs/>
          <w:kern w:val="2"/>
          <w:sz w:val="20"/>
          <w:szCs w:val="20"/>
          <w:lang w:eastAsia="ja-JP"/>
          <w14:ligatures w14:val="standardContextual"/>
        </w:rPr>
        <w:t>1 e) Puertos designados (párr. 80)</w:t>
      </w:r>
    </w:p>
    <w:p w14:paraId="3EEB37B2" w14:textId="77777777" w:rsidR="009123AC" w:rsidRPr="00F0379B" w:rsidRDefault="009123AC" w:rsidP="009123AC">
      <w:pPr>
        <w:spacing w:after="0" w:line="240" w:lineRule="auto"/>
        <w:rPr>
          <w:rFonts w:ascii="Cambria" w:eastAsia="MS Gothic" w:hAnsi="Cambria" w:cs="Times New Roman"/>
          <w:b/>
          <w:bCs/>
          <w:sz w:val="20"/>
          <w:szCs w:val="20"/>
          <w:lang w:eastAsia="fr-FR" w:bidi="fr-FR"/>
          <w14:ligatures w14:val="standardContextual"/>
        </w:rPr>
      </w:pPr>
    </w:p>
    <w:p w14:paraId="60C483C0" w14:textId="77777777" w:rsidR="009123AC" w:rsidRPr="00F0379B" w:rsidRDefault="009123AC" w:rsidP="009123AC">
      <w:pPr>
        <w:spacing w:after="0" w:line="240" w:lineRule="auto"/>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Puertos de terceras partes para transbordo o desembarque (párrs. 80-84):</w:t>
      </w:r>
    </w:p>
    <w:p w14:paraId="6DFF3FA7" w14:textId="77777777" w:rsidR="009123AC" w:rsidRPr="00F0379B" w:rsidRDefault="009123AC" w:rsidP="009123AC">
      <w:pPr>
        <w:spacing w:after="0" w:line="240" w:lineRule="auto"/>
        <w:rPr>
          <w:rFonts w:ascii="Cambria" w:eastAsiaTheme="minorEastAsia" w:hAnsi="Cambria" w:cs="Times New Roman"/>
          <w:b/>
          <w:sz w:val="20"/>
          <w:szCs w:val="20"/>
          <w14:ligatures w14:val="standardContextual"/>
        </w:rPr>
      </w:pPr>
    </w:p>
    <w:tbl>
      <w:tblPr>
        <w:tblStyle w:val="TableGrid"/>
        <w:tblW w:w="0" w:type="auto"/>
        <w:tblLook w:val="04A0" w:firstRow="1" w:lastRow="0" w:firstColumn="1" w:lastColumn="0" w:noHBand="0" w:noVBand="1"/>
      </w:tblPr>
      <w:tblGrid>
        <w:gridCol w:w="517"/>
        <w:gridCol w:w="2001"/>
        <w:gridCol w:w="2097"/>
      </w:tblGrid>
      <w:tr w:rsidR="009123AC" w:rsidRPr="00F0379B" w14:paraId="7355B675" w14:textId="77777777" w:rsidTr="00CA749B">
        <w:trPr>
          <w:trHeight w:val="275"/>
        </w:trPr>
        <w:tc>
          <w:tcPr>
            <w:tcW w:w="517" w:type="dxa"/>
            <w:tcBorders>
              <w:top w:val="single" w:sz="4" w:space="0" w:color="auto"/>
              <w:left w:val="single" w:sz="4" w:space="0" w:color="auto"/>
              <w:bottom w:val="single" w:sz="4" w:space="0" w:color="auto"/>
              <w:right w:val="single" w:sz="4" w:space="0" w:color="auto"/>
            </w:tcBorders>
          </w:tcPr>
          <w:p w14:paraId="7439E0E0" w14:textId="77777777" w:rsidR="009123AC" w:rsidRPr="00F0379B" w:rsidRDefault="009123AC" w:rsidP="009123AC">
            <w:pPr>
              <w:spacing w:line="240" w:lineRule="auto"/>
              <w:rPr>
                <w:rFonts w:ascii="Cambria" w:eastAsiaTheme="minorEastAsia" w:hAnsi="Cambria"/>
                <w:kern w:val="2"/>
                <w:sz w:val="20"/>
                <w:szCs w:val="20"/>
                <w:lang w:eastAsia="ko-KR"/>
                <w14:ligatures w14:val="standardContextual"/>
              </w:rPr>
            </w:pPr>
          </w:p>
        </w:tc>
        <w:tc>
          <w:tcPr>
            <w:tcW w:w="2001" w:type="dxa"/>
            <w:tcBorders>
              <w:top w:val="single" w:sz="4" w:space="0" w:color="auto"/>
              <w:left w:val="single" w:sz="4" w:space="0" w:color="auto"/>
              <w:bottom w:val="single" w:sz="4" w:space="0" w:color="auto"/>
              <w:right w:val="single" w:sz="4" w:space="0" w:color="auto"/>
            </w:tcBorders>
            <w:hideMark/>
          </w:tcPr>
          <w:p w14:paraId="6B74F146" w14:textId="77777777" w:rsidR="009123AC" w:rsidRPr="00F0379B" w:rsidRDefault="009123AC" w:rsidP="009123AC">
            <w:pPr>
              <w:spacing w:line="240" w:lineRule="auto"/>
              <w:jc w:val="center"/>
              <w:rPr>
                <w:rFonts w:ascii="Cambria" w:eastAsiaTheme="minorEastAsia" w:hAnsi="Cambria"/>
                <w:i/>
                <w:iCs/>
                <w:kern w:val="2"/>
                <w:sz w:val="20"/>
                <w:szCs w:val="20"/>
                <w:lang w:eastAsia="ko-KR"/>
                <w14:ligatures w14:val="standardContextual"/>
              </w:rPr>
            </w:pPr>
            <w:r w:rsidRPr="00F0379B">
              <w:rPr>
                <w:rFonts w:ascii="Cambria" w:eastAsiaTheme="minorEastAsia" w:hAnsi="Cambria"/>
                <w:i/>
                <w:iCs/>
                <w:kern w:val="2"/>
                <w:sz w:val="20"/>
                <w:szCs w:val="20"/>
                <w:lang w:eastAsia="ko-KR"/>
                <w14:ligatures w14:val="standardContextual"/>
              </w:rPr>
              <w:t>País</w:t>
            </w:r>
          </w:p>
        </w:tc>
        <w:tc>
          <w:tcPr>
            <w:tcW w:w="2097" w:type="dxa"/>
            <w:tcBorders>
              <w:top w:val="single" w:sz="4" w:space="0" w:color="auto"/>
              <w:left w:val="single" w:sz="4" w:space="0" w:color="auto"/>
              <w:bottom w:val="single" w:sz="4" w:space="0" w:color="auto"/>
              <w:right w:val="single" w:sz="4" w:space="0" w:color="auto"/>
            </w:tcBorders>
            <w:hideMark/>
          </w:tcPr>
          <w:p w14:paraId="00590D09" w14:textId="77777777" w:rsidR="009123AC" w:rsidRPr="00F0379B" w:rsidRDefault="009123AC" w:rsidP="009123AC">
            <w:pPr>
              <w:spacing w:line="240" w:lineRule="auto"/>
              <w:jc w:val="center"/>
              <w:rPr>
                <w:rFonts w:ascii="Cambria" w:eastAsiaTheme="minorEastAsia" w:hAnsi="Cambria"/>
                <w:i/>
                <w:iCs/>
                <w:kern w:val="2"/>
                <w:sz w:val="20"/>
                <w:szCs w:val="20"/>
                <w:lang w:eastAsia="ko-KR"/>
                <w14:ligatures w14:val="standardContextual"/>
              </w:rPr>
            </w:pPr>
            <w:r w:rsidRPr="00F0379B">
              <w:rPr>
                <w:rFonts w:ascii="Cambria" w:eastAsiaTheme="minorEastAsia" w:hAnsi="Cambria"/>
                <w:i/>
                <w:iCs/>
                <w:kern w:val="2"/>
                <w:sz w:val="20"/>
                <w:szCs w:val="20"/>
                <w:lang w:eastAsia="ko-KR"/>
                <w14:ligatures w14:val="standardContextual"/>
              </w:rPr>
              <w:t>Puerto</w:t>
            </w:r>
          </w:p>
        </w:tc>
      </w:tr>
      <w:tr w:rsidR="009123AC" w:rsidRPr="00F0379B" w14:paraId="37EE645D" w14:textId="77777777" w:rsidTr="00CA749B">
        <w:trPr>
          <w:trHeight w:val="275"/>
        </w:trPr>
        <w:tc>
          <w:tcPr>
            <w:tcW w:w="517" w:type="dxa"/>
            <w:tcBorders>
              <w:top w:val="single" w:sz="4" w:space="0" w:color="auto"/>
              <w:left w:val="single" w:sz="4" w:space="0" w:color="auto"/>
              <w:bottom w:val="single" w:sz="4" w:space="0" w:color="auto"/>
              <w:right w:val="single" w:sz="4" w:space="0" w:color="auto"/>
            </w:tcBorders>
            <w:hideMark/>
          </w:tcPr>
          <w:p w14:paraId="3A459C71" w14:textId="77777777" w:rsidR="009123AC" w:rsidRPr="00F0379B" w:rsidRDefault="009123AC" w:rsidP="009123AC">
            <w:pPr>
              <w:spacing w:line="240" w:lineRule="auto"/>
              <w:jc w:val="center"/>
              <w:rPr>
                <w:rFonts w:ascii="Cambria" w:eastAsiaTheme="minorEastAsia" w:hAnsi="Cambria"/>
                <w:kern w:val="2"/>
                <w:sz w:val="20"/>
                <w:szCs w:val="20"/>
                <w:lang w:eastAsia="ko-KR"/>
                <w14:ligatures w14:val="standardContextual"/>
              </w:rPr>
            </w:pPr>
            <w:r w:rsidRPr="00F0379B">
              <w:rPr>
                <w:rFonts w:ascii="Cambria" w:eastAsiaTheme="minorEastAsia" w:hAnsi="Cambria"/>
                <w:kern w:val="2"/>
                <w:sz w:val="20"/>
                <w:szCs w:val="20"/>
                <w:lang w:eastAsia="ko-KR"/>
                <w14:ligatures w14:val="standardContextual"/>
              </w:rPr>
              <w:t>1</w:t>
            </w:r>
          </w:p>
        </w:tc>
        <w:tc>
          <w:tcPr>
            <w:tcW w:w="2001" w:type="dxa"/>
            <w:tcBorders>
              <w:top w:val="single" w:sz="4" w:space="0" w:color="auto"/>
              <w:left w:val="single" w:sz="4" w:space="0" w:color="auto"/>
              <w:bottom w:val="single" w:sz="4" w:space="0" w:color="auto"/>
              <w:right w:val="single" w:sz="4" w:space="0" w:color="auto"/>
            </w:tcBorders>
            <w:hideMark/>
          </w:tcPr>
          <w:p w14:paraId="1B8F7F88" w14:textId="77777777" w:rsidR="009123AC" w:rsidRPr="00F0379B" w:rsidRDefault="009123AC" w:rsidP="009123AC">
            <w:pPr>
              <w:spacing w:line="240" w:lineRule="auto"/>
              <w:jc w:val="center"/>
              <w:rPr>
                <w:rFonts w:ascii="Cambria" w:eastAsiaTheme="minorEastAsia" w:hAnsi="Cambria"/>
                <w:kern w:val="2"/>
                <w:sz w:val="20"/>
                <w:szCs w:val="20"/>
                <w:lang w:eastAsia="ko-KR"/>
                <w14:ligatures w14:val="standardContextual"/>
              </w:rPr>
            </w:pPr>
            <w:r w:rsidRPr="00F0379B">
              <w:rPr>
                <w:rFonts w:ascii="Cambria" w:eastAsiaTheme="minorEastAsia" w:hAnsi="Cambria"/>
                <w:kern w:val="2"/>
                <w:sz w:val="20"/>
                <w:szCs w:val="20"/>
                <w:lang w:eastAsia="ko-KR"/>
                <w14:ligatures w14:val="standardContextual"/>
              </w:rPr>
              <w:t>Sudáfrica</w:t>
            </w:r>
          </w:p>
        </w:tc>
        <w:tc>
          <w:tcPr>
            <w:tcW w:w="2097" w:type="dxa"/>
            <w:tcBorders>
              <w:top w:val="single" w:sz="4" w:space="0" w:color="auto"/>
              <w:left w:val="single" w:sz="4" w:space="0" w:color="auto"/>
              <w:bottom w:val="single" w:sz="4" w:space="0" w:color="auto"/>
              <w:right w:val="single" w:sz="4" w:space="0" w:color="auto"/>
            </w:tcBorders>
            <w:hideMark/>
          </w:tcPr>
          <w:p w14:paraId="6B1C4E22" w14:textId="77777777" w:rsidR="009123AC" w:rsidRPr="00F0379B" w:rsidRDefault="009123AC" w:rsidP="009123AC">
            <w:pPr>
              <w:spacing w:line="240" w:lineRule="auto"/>
              <w:jc w:val="center"/>
              <w:rPr>
                <w:rFonts w:ascii="Cambria" w:eastAsiaTheme="minorEastAsia" w:hAnsi="Cambria"/>
                <w:kern w:val="2"/>
                <w:sz w:val="20"/>
                <w:szCs w:val="20"/>
                <w:lang w:eastAsia="ko-KR"/>
                <w14:ligatures w14:val="standardContextual"/>
              </w:rPr>
            </w:pPr>
            <w:r w:rsidRPr="00F0379B">
              <w:rPr>
                <w:rFonts w:ascii="Cambria" w:eastAsiaTheme="minorEastAsia" w:hAnsi="Cambria"/>
                <w:kern w:val="2"/>
                <w:sz w:val="20"/>
                <w:szCs w:val="20"/>
                <w:lang w:eastAsia="ko-KR"/>
                <w14:ligatures w14:val="standardContextual"/>
              </w:rPr>
              <w:t>Ciudad del Cabo</w:t>
            </w:r>
          </w:p>
        </w:tc>
      </w:tr>
      <w:tr w:rsidR="009123AC" w:rsidRPr="00F0379B" w14:paraId="1F1198B9" w14:textId="77777777" w:rsidTr="00CA749B">
        <w:trPr>
          <w:trHeight w:val="275"/>
        </w:trPr>
        <w:tc>
          <w:tcPr>
            <w:tcW w:w="517" w:type="dxa"/>
            <w:tcBorders>
              <w:top w:val="single" w:sz="4" w:space="0" w:color="auto"/>
              <w:left w:val="single" w:sz="4" w:space="0" w:color="auto"/>
              <w:bottom w:val="single" w:sz="4" w:space="0" w:color="auto"/>
              <w:right w:val="single" w:sz="4" w:space="0" w:color="auto"/>
            </w:tcBorders>
            <w:hideMark/>
          </w:tcPr>
          <w:p w14:paraId="4F8D20EC" w14:textId="77777777" w:rsidR="009123AC" w:rsidRPr="00F0379B" w:rsidRDefault="009123AC" w:rsidP="009123AC">
            <w:pPr>
              <w:spacing w:line="240" w:lineRule="auto"/>
              <w:jc w:val="center"/>
              <w:rPr>
                <w:rFonts w:ascii="Cambria" w:eastAsiaTheme="minorEastAsia" w:hAnsi="Cambria"/>
                <w:kern w:val="2"/>
                <w:sz w:val="20"/>
                <w:szCs w:val="20"/>
                <w:lang w:eastAsia="ko-KR"/>
                <w14:ligatures w14:val="standardContextual"/>
              </w:rPr>
            </w:pPr>
            <w:r w:rsidRPr="00F0379B">
              <w:rPr>
                <w:rFonts w:ascii="Cambria" w:eastAsiaTheme="minorEastAsia" w:hAnsi="Cambria"/>
                <w:kern w:val="2"/>
                <w:sz w:val="20"/>
                <w:szCs w:val="20"/>
                <w:lang w:eastAsia="ko-KR"/>
                <w14:ligatures w14:val="standardContextual"/>
              </w:rPr>
              <w:t>2</w:t>
            </w:r>
          </w:p>
        </w:tc>
        <w:tc>
          <w:tcPr>
            <w:tcW w:w="2001" w:type="dxa"/>
            <w:tcBorders>
              <w:top w:val="single" w:sz="4" w:space="0" w:color="auto"/>
              <w:left w:val="single" w:sz="4" w:space="0" w:color="auto"/>
              <w:bottom w:val="single" w:sz="4" w:space="0" w:color="auto"/>
              <w:right w:val="single" w:sz="4" w:space="0" w:color="auto"/>
            </w:tcBorders>
            <w:hideMark/>
          </w:tcPr>
          <w:p w14:paraId="7434CF1B" w14:textId="77777777" w:rsidR="009123AC" w:rsidRPr="00F0379B" w:rsidRDefault="009123AC" w:rsidP="009123AC">
            <w:pPr>
              <w:spacing w:line="240" w:lineRule="auto"/>
              <w:jc w:val="center"/>
              <w:rPr>
                <w:rFonts w:ascii="Cambria" w:eastAsiaTheme="minorEastAsia" w:hAnsi="Cambria"/>
                <w:kern w:val="2"/>
                <w:sz w:val="20"/>
                <w:szCs w:val="20"/>
                <w:lang w:eastAsia="ko-KR"/>
                <w14:ligatures w14:val="standardContextual"/>
              </w:rPr>
            </w:pPr>
            <w:r w:rsidRPr="00F0379B">
              <w:rPr>
                <w:rFonts w:ascii="Cambria" w:eastAsiaTheme="minorEastAsia" w:hAnsi="Cambria"/>
                <w:kern w:val="2"/>
                <w:sz w:val="20"/>
                <w:szCs w:val="20"/>
                <w:lang w:eastAsia="ko-KR"/>
                <w14:ligatures w14:val="standardContextual"/>
              </w:rPr>
              <w:t>Senegal</w:t>
            </w:r>
          </w:p>
        </w:tc>
        <w:tc>
          <w:tcPr>
            <w:tcW w:w="2097" w:type="dxa"/>
            <w:tcBorders>
              <w:top w:val="single" w:sz="4" w:space="0" w:color="auto"/>
              <w:left w:val="single" w:sz="4" w:space="0" w:color="auto"/>
              <w:bottom w:val="single" w:sz="4" w:space="0" w:color="auto"/>
              <w:right w:val="single" w:sz="4" w:space="0" w:color="auto"/>
            </w:tcBorders>
            <w:hideMark/>
          </w:tcPr>
          <w:p w14:paraId="28FA22B1" w14:textId="77777777" w:rsidR="009123AC" w:rsidRPr="00F0379B" w:rsidRDefault="009123AC" w:rsidP="009123AC">
            <w:pPr>
              <w:spacing w:line="240" w:lineRule="auto"/>
              <w:jc w:val="center"/>
              <w:rPr>
                <w:rFonts w:ascii="Cambria" w:eastAsiaTheme="minorEastAsia" w:hAnsi="Cambria"/>
                <w:kern w:val="2"/>
                <w:sz w:val="20"/>
                <w:szCs w:val="20"/>
                <w:lang w:eastAsia="ko-KR"/>
                <w14:ligatures w14:val="standardContextual"/>
              </w:rPr>
            </w:pPr>
            <w:r w:rsidRPr="00F0379B">
              <w:rPr>
                <w:rFonts w:ascii="Cambria" w:eastAsiaTheme="minorEastAsia" w:hAnsi="Cambria"/>
                <w:kern w:val="2"/>
                <w:sz w:val="20"/>
                <w:szCs w:val="20"/>
                <w:lang w:eastAsia="ko-KR"/>
                <w14:ligatures w14:val="standardContextual"/>
              </w:rPr>
              <w:t>Dakar</w:t>
            </w:r>
          </w:p>
        </w:tc>
      </w:tr>
      <w:tr w:rsidR="009123AC" w:rsidRPr="00F0379B" w14:paraId="49FA96FB" w14:textId="77777777" w:rsidTr="00CA749B">
        <w:trPr>
          <w:trHeight w:val="275"/>
        </w:trPr>
        <w:tc>
          <w:tcPr>
            <w:tcW w:w="517" w:type="dxa"/>
            <w:tcBorders>
              <w:top w:val="single" w:sz="4" w:space="0" w:color="auto"/>
              <w:left w:val="single" w:sz="4" w:space="0" w:color="auto"/>
              <w:bottom w:val="single" w:sz="4" w:space="0" w:color="auto"/>
              <w:right w:val="single" w:sz="4" w:space="0" w:color="auto"/>
            </w:tcBorders>
            <w:hideMark/>
          </w:tcPr>
          <w:p w14:paraId="011CC26F" w14:textId="77777777" w:rsidR="009123AC" w:rsidRPr="00F0379B" w:rsidRDefault="009123AC" w:rsidP="009123AC">
            <w:pPr>
              <w:spacing w:line="240" w:lineRule="auto"/>
              <w:jc w:val="center"/>
              <w:rPr>
                <w:rFonts w:ascii="Cambria" w:eastAsiaTheme="minorEastAsia" w:hAnsi="Cambria"/>
                <w:kern w:val="2"/>
                <w:sz w:val="20"/>
                <w:szCs w:val="20"/>
                <w:lang w:eastAsia="ko-KR"/>
                <w14:ligatures w14:val="standardContextual"/>
              </w:rPr>
            </w:pPr>
            <w:r w:rsidRPr="00F0379B">
              <w:rPr>
                <w:rFonts w:ascii="Cambria" w:eastAsiaTheme="minorEastAsia" w:hAnsi="Cambria"/>
                <w:kern w:val="2"/>
                <w:sz w:val="20"/>
                <w:szCs w:val="20"/>
                <w:lang w:eastAsia="ko-KR"/>
                <w14:ligatures w14:val="standardContextual"/>
              </w:rPr>
              <w:t>3</w:t>
            </w:r>
          </w:p>
        </w:tc>
        <w:tc>
          <w:tcPr>
            <w:tcW w:w="2001" w:type="dxa"/>
            <w:tcBorders>
              <w:top w:val="single" w:sz="4" w:space="0" w:color="auto"/>
              <w:left w:val="single" w:sz="4" w:space="0" w:color="auto"/>
              <w:bottom w:val="single" w:sz="4" w:space="0" w:color="auto"/>
              <w:right w:val="single" w:sz="4" w:space="0" w:color="auto"/>
            </w:tcBorders>
            <w:hideMark/>
          </w:tcPr>
          <w:p w14:paraId="475BCBE7" w14:textId="77777777" w:rsidR="009123AC" w:rsidRPr="00F0379B" w:rsidRDefault="009123AC" w:rsidP="009123AC">
            <w:pPr>
              <w:spacing w:line="240" w:lineRule="auto"/>
              <w:jc w:val="center"/>
              <w:rPr>
                <w:rFonts w:ascii="Cambria" w:eastAsiaTheme="minorEastAsia" w:hAnsi="Cambria"/>
                <w:kern w:val="2"/>
                <w:sz w:val="20"/>
                <w:szCs w:val="20"/>
                <w:lang w:eastAsia="ko-KR"/>
                <w14:ligatures w14:val="standardContextual"/>
              </w:rPr>
            </w:pPr>
            <w:r w:rsidRPr="00F0379B">
              <w:rPr>
                <w:rFonts w:ascii="Cambria" w:eastAsiaTheme="minorEastAsia" w:hAnsi="Cambria"/>
                <w:kern w:val="2"/>
                <w:sz w:val="20"/>
                <w:szCs w:val="20"/>
                <w:lang w:eastAsia="ko-KR"/>
                <w14:ligatures w14:val="standardContextual"/>
              </w:rPr>
              <w:t>Cabo Verde</w:t>
            </w:r>
          </w:p>
        </w:tc>
        <w:tc>
          <w:tcPr>
            <w:tcW w:w="2097" w:type="dxa"/>
            <w:tcBorders>
              <w:top w:val="single" w:sz="4" w:space="0" w:color="auto"/>
              <w:left w:val="single" w:sz="4" w:space="0" w:color="auto"/>
              <w:bottom w:val="single" w:sz="4" w:space="0" w:color="auto"/>
              <w:right w:val="single" w:sz="4" w:space="0" w:color="auto"/>
            </w:tcBorders>
            <w:hideMark/>
          </w:tcPr>
          <w:p w14:paraId="27AA43DF" w14:textId="77777777" w:rsidR="009123AC" w:rsidRPr="00F0379B" w:rsidRDefault="009123AC" w:rsidP="009123AC">
            <w:pPr>
              <w:spacing w:line="240" w:lineRule="auto"/>
              <w:jc w:val="center"/>
              <w:rPr>
                <w:rFonts w:ascii="Cambria" w:eastAsiaTheme="minorEastAsia" w:hAnsi="Cambria"/>
                <w:kern w:val="2"/>
                <w:sz w:val="20"/>
                <w:szCs w:val="20"/>
                <w:lang w:eastAsia="ko-KR"/>
                <w14:ligatures w14:val="standardContextual"/>
              </w:rPr>
            </w:pPr>
            <w:proofErr w:type="spellStart"/>
            <w:r w:rsidRPr="00F0379B">
              <w:rPr>
                <w:rFonts w:ascii="Cambria" w:eastAsiaTheme="minorEastAsia" w:hAnsi="Cambria"/>
                <w:kern w:val="2"/>
                <w:sz w:val="20"/>
                <w:szCs w:val="20"/>
                <w:lang w:eastAsia="ko-KR"/>
                <w14:ligatures w14:val="standardContextual"/>
              </w:rPr>
              <w:t>Mindelo</w:t>
            </w:r>
            <w:proofErr w:type="spellEnd"/>
          </w:p>
        </w:tc>
      </w:tr>
      <w:tr w:rsidR="009123AC" w:rsidRPr="00F0379B" w14:paraId="040B92C5" w14:textId="77777777" w:rsidTr="00CA749B">
        <w:trPr>
          <w:trHeight w:val="292"/>
        </w:trPr>
        <w:tc>
          <w:tcPr>
            <w:tcW w:w="517" w:type="dxa"/>
            <w:tcBorders>
              <w:top w:val="single" w:sz="4" w:space="0" w:color="auto"/>
              <w:left w:val="single" w:sz="4" w:space="0" w:color="auto"/>
              <w:bottom w:val="single" w:sz="4" w:space="0" w:color="auto"/>
              <w:right w:val="single" w:sz="4" w:space="0" w:color="auto"/>
            </w:tcBorders>
            <w:hideMark/>
          </w:tcPr>
          <w:p w14:paraId="2D7EF446" w14:textId="77777777" w:rsidR="009123AC" w:rsidRPr="00F0379B" w:rsidRDefault="009123AC" w:rsidP="009123AC">
            <w:pPr>
              <w:spacing w:line="240" w:lineRule="auto"/>
              <w:jc w:val="center"/>
              <w:rPr>
                <w:rFonts w:ascii="Cambria" w:eastAsiaTheme="minorEastAsia" w:hAnsi="Cambria"/>
                <w:kern w:val="2"/>
                <w:sz w:val="20"/>
                <w:szCs w:val="20"/>
                <w:lang w:eastAsia="ko-KR"/>
                <w14:ligatures w14:val="standardContextual"/>
              </w:rPr>
            </w:pPr>
            <w:r w:rsidRPr="00F0379B">
              <w:rPr>
                <w:rFonts w:ascii="Cambria" w:eastAsiaTheme="minorEastAsia" w:hAnsi="Cambria"/>
                <w:kern w:val="2"/>
                <w:sz w:val="20"/>
                <w:szCs w:val="20"/>
                <w:lang w:eastAsia="ko-KR"/>
                <w14:ligatures w14:val="standardContextual"/>
              </w:rPr>
              <w:t>4</w:t>
            </w:r>
          </w:p>
        </w:tc>
        <w:tc>
          <w:tcPr>
            <w:tcW w:w="2001" w:type="dxa"/>
            <w:tcBorders>
              <w:top w:val="single" w:sz="4" w:space="0" w:color="auto"/>
              <w:left w:val="single" w:sz="4" w:space="0" w:color="auto"/>
              <w:bottom w:val="single" w:sz="4" w:space="0" w:color="auto"/>
              <w:right w:val="single" w:sz="4" w:space="0" w:color="auto"/>
            </w:tcBorders>
            <w:hideMark/>
          </w:tcPr>
          <w:p w14:paraId="7A6DFA24" w14:textId="77777777" w:rsidR="009123AC" w:rsidRPr="00F0379B" w:rsidRDefault="009123AC" w:rsidP="009123AC">
            <w:pPr>
              <w:spacing w:line="240" w:lineRule="auto"/>
              <w:jc w:val="center"/>
              <w:rPr>
                <w:rFonts w:ascii="Cambria" w:eastAsiaTheme="minorEastAsia" w:hAnsi="Cambria"/>
                <w:kern w:val="2"/>
                <w:sz w:val="20"/>
                <w:szCs w:val="20"/>
                <w:lang w:eastAsia="ko-KR"/>
                <w14:ligatures w14:val="standardContextual"/>
              </w:rPr>
            </w:pPr>
            <w:r w:rsidRPr="00F0379B">
              <w:rPr>
                <w:rFonts w:ascii="Cambria" w:eastAsiaTheme="minorEastAsia" w:hAnsi="Cambria"/>
                <w:kern w:val="2"/>
                <w:sz w:val="20"/>
                <w:szCs w:val="20"/>
                <w:lang w:eastAsia="ko-KR"/>
                <w14:ligatures w14:val="standardContextual"/>
              </w:rPr>
              <w:t>Japón</w:t>
            </w:r>
          </w:p>
        </w:tc>
        <w:tc>
          <w:tcPr>
            <w:tcW w:w="2097" w:type="dxa"/>
            <w:tcBorders>
              <w:top w:val="single" w:sz="4" w:space="0" w:color="auto"/>
              <w:left w:val="single" w:sz="4" w:space="0" w:color="auto"/>
              <w:bottom w:val="single" w:sz="4" w:space="0" w:color="auto"/>
              <w:right w:val="single" w:sz="4" w:space="0" w:color="auto"/>
            </w:tcBorders>
            <w:hideMark/>
          </w:tcPr>
          <w:p w14:paraId="682239AD" w14:textId="77777777" w:rsidR="009123AC" w:rsidRPr="00F0379B" w:rsidRDefault="009123AC" w:rsidP="009123AC">
            <w:pPr>
              <w:spacing w:line="240" w:lineRule="auto"/>
              <w:jc w:val="center"/>
              <w:rPr>
                <w:rFonts w:ascii="Cambria" w:eastAsiaTheme="minorEastAsia" w:hAnsi="Cambria"/>
                <w:kern w:val="2"/>
                <w:sz w:val="20"/>
                <w:szCs w:val="20"/>
                <w:lang w:eastAsia="ko-KR"/>
                <w14:ligatures w14:val="standardContextual"/>
              </w:rPr>
            </w:pPr>
            <w:r w:rsidRPr="00F0379B">
              <w:rPr>
                <w:rFonts w:ascii="Cambria" w:eastAsiaTheme="minorEastAsia" w:hAnsi="Cambria"/>
                <w:kern w:val="2"/>
                <w:sz w:val="20"/>
                <w:szCs w:val="20"/>
                <w:lang w:eastAsia="ko-KR"/>
                <w14:ligatures w14:val="standardContextual"/>
              </w:rPr>
              <w:t>Shimizu</w:t>
            </w:r>
          </w:p>
        </w:tc>
      </w:tr>
    </w:tbl>
    <w:p w14:paraId="4B0A38C7" w14:textId="77777777" w:rsidR="009123AC" w:rsidRPr="00F0379B" w:rsidRDefault="009123AC" w:rsidP="009123AC">
      <w:pPr>
        <w:spacing w:after="0" w:line="240" w:lineRule="auto"/>
        <w:rPr>
          <w:rFonts w:ascii="Cambria" w:eastAsiaTheme="minorEastAsia" w:hAnsi="Cambria" w:cs="Times New Roman"/>
          <w:b/>
          <w:sz w:val="20"/>
          <w:szCs w:val="20"/>
          <w14:ligatures w14:val="standardContextual"/>
        </w:rPr>
      </w:pPr>
    </w:p>
    <w:p w14:paraId="62310062" w14:textId="77777777" w:rsidR="009123AC" w:rsidRPr="00F0379B" w:rsidRDefault="009123AC" w:rsidP="009123AC">
      <w:pPr>
        <w:spacing w:after="0" w:line="240" w:lineRule="auto"/>
        <w:rPr>
          <w:rFonts w:ascii="Cambria" w:eastAsiaTheme="minorEastAsia" w:hAnsi="Cambria" w:cs="Times New Roman"/>
          <w:b/>
          <w:sz w:val="20"/>
          <w:szCs w:val="20"/>
          <w14:ligatures w14:val="standardContextual"/>
        </w:rPr>
      </w:pPr>
    </w:p>
    <w:p w14:paraId="0CE8A47E" w14:textId="77777777" w:rsidR="009123AC" w:rsidRPr="00F0379B" w:rsidRDefault="009123AC" w:rsidP="009123AC">
      <w:pPr>
        <w:spacing w:after="0" w:line="240" w:lineRule="auto"/>
        <w:rPr>
          <w:rFonts w:ascii="Cambria" w:eastAsiaTheme="minorEastAsia" w:hAnsi="Cambria"/>
          <w:bCs/>
          <w:kern w:val="2"/>
          <w:sz w:val="20"/>
          <w:szCs w:val="20"/>
          <w:lang w:eastAsia="ja-JP"/>
          <w14:ligatures w14:val="standardContextual"/>
        </w:rPr>
      </w:pPr>
      <w:r w:rsidRPr="00F0379B">
        <w:rPr>
          <w:rFonts w:ascii="Cambria" w:eastAsiaTheme="minorEastAsia" w:hAnsi="Cambria"/>
          <w:bCs/>
          <w:kern w:val="2"/>
          <w:sz w:val="20"/>
          <w:szCs w:val="20"/>
          <w:lang w:eastAsia="ja-JP"/>
          <w14:ligatures w14:val="standardContextual"/>
        </w:rPr>
        <w:t xml:space="preserve">Lista de puertos nacionales: </w:t>
      </w:r>
    </w:p>
    <w:p w14:paraId="53FB3709" w14:textId="77777777" w:rsidR="009123AC" w:rsidRPr="00F0379B" w:rsidRDefault="009123AC" w:rsidP="009123AC">
      <w:pPr>
        <w:spacing w:after="0" w:line="240" w:lineRule="auto"/>
        <w:jc w:val="center"/>
        <w:rPr>
          <w:rFonts w:ascii="Cambria" w:eastAsia="Malgun Gothic" w:hAnsi="Cambria" w:cs="Times New Roman"/>
          <w:bCs/>
          <w:sz w:val="20"/>
          <w:szCs w:val="20"/>
          <w:lang w:eastAsia="ko-KR" w:bidi="fr-FR"/>
          <w14:ligatures w14:val="standardContextual"/>
        </w:rPr>
      </w:pPr>
    </w:p>
    <w:tbl>
      <w:tblPr>
        <w:tblStyle w:val="TableGrid"/>
        <w:tblW w:w="0" w:type="auto"/>
        <w:jc w:val="center"/>
        <w:tblLook w:val="04A0" w:firstRow="1" w:lastRow="0" w:firstColumn="1" w:lastColumn="0" w:noHBand="0" w:noVBand="1"/>
      </w:tblPr>
      <w:tblGrid>
        <w:gridCol w:w="2169"/>
        <w:gridCol w:w="2169"/>
        <w:gridCol w:w="2169"/>
        <w:gridCol w:w="2169"/>
      </w:tblGrid>
      <w:tr w:rsidR="009123AC" w:rsidRPr="00F0379B" w14:paraId="622C3C0A" w14:textId="77777777" w:rsidTr="00CA749B">
        <w:trPr>
          <w:trHeight w:val="245"/>
          <w:jc w:val="center"/>
        </w:trPr>
        <w:tc>
          <w:tcPr>
            <w:tcW w:w="2169" w:type="dxa"/>
          </w:tcPr>
          <w:p w14:paraId="677B3620"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Boryeong</w:t>
            </w:r>
            <w:proofErr w:type="spellEnd"/>
          </w:p>
        </w:tc>
        <w:tc>
          <w:tcPr>
            <w:tcW w:w="2169" w:type="dxa"/>
          </w:tcPr>
          <w:p w14:paraId="7CD84C01"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Hadong</w:t>
            </w:r>
            <w:proofErr w:type="spellEnd"/>
          </w:p>
        </w:tc>
        <w:tc>
          <w:tcPr>
            <w:tcW w:w="2169" w:type="dxa"/>
          </w:tcPr>
          <w:p w14:paraId="10E8AF2A"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Mokpo</w:t>
            </w:r>
            <w:proofErr w:type="spellEnd"/>
          </w:p>
        </w:tc>
        <w:tc>
          <w:tcPr>
            <w:tcW w:w="2169" w:type="dxa"/>
          </w:tcPr>
          <w:p w14:paraId="499487D8"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Seoul</w:t>
            </w:r>
            <w:proofErr w:type="spellEnd"/>
          </w:p>
        </w:tc>
      </w:tr>
      <w:tr w:rsidR="009123AC" w:rsidRPr="00F0379B" w14:paraId="21B6EF38" w14:textId="77777777" w:rsidTr="00CA749B">
        <w:trPr>
          <w:trHeight w:val="256"/>
          <w:jc w:val="center"/>
        </w:trPr>
        <w:tc>
          <w:tcPr>
            <w:tcW w:w="2169" w:type="dxa"/>
          </w:tcPr>
          <w:p w14:paraId="56082BEA"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r w:rsidRPr="00F0379B">
              <w:rPr>
                <w:rFonts w:ascii="Cambria" w:eastAsiaTheme="minorEastAsia" w:hAnsi="Cambria"/>
                <w:bCs/>
                <w:kern w:val="2"/>
                <w:sz w:val="20"/>
                <w:szCs w:val="20"/>
                <w:lang w:eastAsia="ko-KR"/>
                <w14:ligatures w14:val="standardContextual"/>
              </w:rPr>
              <w:t>Busan</w:t>
            </w:r>
          </w:p>
        </w:tc>
        <w:tc>
          <w:tcPr>
            <w:tcW w:w="2169" w:type="dxa"/>
          </w:tcPr>
          <w:p w14:paraId="12899983"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r w:rsidRPr="00F0379B">
              <w:rPr>
                <w:rFonts w:ascii="Cambria" w:eastAsiaTheme="minorEastAsia" w:hAnsi="Cambria"/>
                <w:bCs/>
                <w:kern w:val="2"/>
                <w:sz w:val="20"/>
                <w:szCs w:val="20"/>
                <w:lang w:eastAsia="ko-KR"/>
                <w14:ligatures w14:val="standardContextual"/>
              </w:rPr>
              <w:t>Hosan</w:t>
            </w:r>
          </w:p>
        </w:tc>
        <w:tc>
          <w:tcPr>
            <w:tcW w:w="2169" w:type="dxa"/>
          </w:tcPr>
          <w:p w14:paraId="43D2E07A"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Okgye</w:t>
            </w:r>
            <w:proofErr w:type="spellEnd"/>
          </w:p>
        </w:tc>
        <w:tc>
          <w:tcPr>
            <w:tcW w:w="2169" w:type="dxa"/>
          </w:tcPr>
          <w:p w14:paraId="0BFA7068"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Sokcho</w:t>
            </w:r>
            <w:proofErr w:type="spellEnd"/>
          </w:p>
        </w:tc>
      </w:tr>
      <w:tr w:rsidR="009123AC" w:rsidRPr="00F0379B" w14:paraId="3D9781D0" w14:textId="77777777" w:rsidTr="00CA749B">
        <w:trPr>
          <w:trHeight w:val="245"/>
          <w:jc w:val="center"/>
        </w:trPr>
        <w:tc>
          <w:tcPr>
            <w:tcW w:w="2169" w:type="dxa"/>
          </w:tcPr>
          <w:p w14:paraId="0203FBFB"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Daesan</w:t>
            </w:r>
            <w:proofErr w:type="spellEnd"/>
          </w:p>
        </w:tc>
        <w:tc>
          <w:tcPr>
            <w:tcW w:w="2169" w:type="dxa"/>
          </w:tcPr>
          <w:p w14:paraId="6DE68E58"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r w:rsidRPr="00F0379B">
              <w:rPr>
                <w:rFonts w:ascii="Cambria" w:eastAsiaTheme="minorEastAsia" w:hAnsi="Cambria"/>
                <w:bCs/>
                <w:kern w:val="2"/>
                <w:sz w:val="20"/>
                <w:szCs w:val="20"/>
                <w:lang w:eastAsia="ko-KR"/>
                <w14:ligatures w14:val="standardContextual"/>
              </w:rPr>
              <w:t>Incheon</w:t>
            </w:r>
          </w:p>
        </w:tc>
        <w:tc>
          <w:tcPr>
            <w:tcW w:w="2169" w:type="dxa"/>
          </w:tcPr>
          <w:p w14:paraId="40EFAEB9"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r w:rsidRPr="00F0379B">
              <w:rPr>
                <w:rFonts w:ascii="Cambria" w:eastAsiaTheme="minorEastAsia" w:hAnsi="Cambria"/>
                <w:bCs/>
                <w:kern w:val="2"/>
                <w:sz w:val="20"/>
                <w:szCs w:val="20"/>
                <w:lang w:eastAsia="ko-KR"/>
                <w14:ligatures w14:val="standardContextual"/>
              </w:rPr>
              <w:t>Okpo</w:t>
            </w:r>
          </w:p>
        </w:tc>
        <w:tc>
          <w:tcPr>
            <w:tcW w:w="2169" w:type="dxa"/>
          </w:tcPr>
          <w:p w14:paraId="460EB737"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r w:rsidRPr="00F0379B">
              <w:rPr>
                <w:rFonts w:ascii="Cambria" w:eastAsiaTheme="minorEastAsia" w:hAnsi="Cambria"/>
                <w:bCs/>
                <w:kern w:val="2"/>
                <w:sz w:val="20"/>
                <w:szCs w:val="20"/>
                <w:lang w:eastAsia="ko-KR"/>
                <w14:ligatures w14:val="standardContextual"/>
              </w:rPr>
              <w:t>Taean</w:t>
            </w:r>
          </w:p>
        </w:tc>
      </w:tr>
      <w:tr w:rsidR="009123AC" w:rsidRPr="00F0379B" w14:paraId="791F794E" w14:textId="77777777" w:rsidTr="00CA749B">
        <w:trPr>
          <w:trHeight w:val="245"/>
          <w:jc w:val="center"/>
        </w:trPr>
        <w:tc>
          <w:tcPr>
            <w:tcW w:w="2169" w:type="dxa"/>
          </w:tcPr>
          <w:p w14:paraId="785BD151"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ja-JP"/>
                <w14:ligatures w14:val="standardContextual"/>
              </w:rPr>
              <w:t>Donghae·Mukho</w:t>
            </w:r>
            <w:proofErr w:type="spellEnd"/>
          </w:p>
        </w:tc>
        <w:tc>
          <w:tcPr>
            <w:tcW w:w="2169" w:type="dxa"/>
          </w:tcPr>
          <w:p w14:paraId="7579F893"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Janghang</w:t>
            </w:r>
            <w:proofErr w:type="spellEnd"/>
          </w:p>
        </w:tc>
        <w:tc>
          <w:tcPr>
            <w:tcW w:w="2169" w:type="dxa"/>
          </w:tcPr>
          <w:p w14:paraId="63420BD2"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r w:rsidRPr="00F0379B">
              <w:rPr>
                <w:rFonts w:ascii="Cambria" w:eastAsiaTheme="minorEastAsia" w:hAnsi="Cambria"/>
                <w:bCs/>
                <w:kern w:val="2"/>
                <w:sz w:val="20"/>
                <w:szCs w:val="20"/>
                <w:lang w:eastAsia="ko-KR"/>
                <w14:ligatures w14:val="standardContextual"/>
              </w:rPr>
              <w:t>Pohang</w:t>
            </w:r>
          </w:p>
        </w:tc>
        <w:tc>
          <w:tcPr>
            <w:tcW w:w="2169" w:type="dxa"/>
          </w:tcPr>
          <w:p w14:paraId="77CC7132"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Tongyeong</w:t>
            </w:r>
            <w:proofErr w:type="spellEnd"/>
          </w:p>
        </w:tc>
      </w:tr>
      <w:tr w:rsidR="009123AC" w:rsidRPr="00F0379B" w14:paraId="2A160585" w14:textId="77777777" w:rsidTr="00CA749B">
        <w:trPr>
          <w:trHeight w:val="256"/>
          <w:jc w:val="center"/>
        </w:trPr>
        <w:tc>
          <w:tcPr>
            <w:tcW w:w="2169" w:type="dxa"/>
          </w:tcPr>
          <w:p w14:paraId="477DA623"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Gohyeon</w:t>
            </w:r>
            <w:proofErr w:type="spellEnd"/>
          </w:p>
        </w:tc>
        <w:tc>
          <w:tcPr>
            <w:tcW w:w="2169" w:type="dxa"/>
          </w:tcPr>
          <w:p w14:paraId="3A5B6FD8"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Jangseungpo</w:t>
            </w:r>
            <w:proofErr w:type="spellEnd"/>
          </w:p>
        </w:tc>
        <w:tc>
          <w:tcPr>
            <w:tcW w:w="2169" w:type="dxa"/>
          </w:tcPr>
          <w:p w14:paraId="60DE9738"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ja-JP"/>
                <w14:ligatures w14:val="standardContextual"/>
              </w:rPr>
              <w:t>Pyeongtaek·Dangjin</w:t>
            </w:r>
            <w:proofErr w:type="spellEnd"/>
          </w:p>
        </w:tc>
        <w:tc>
          <w:tcPr>
            <w:tcW w:w="2169" w:type="dxa"/>
          </w:tcPr>
          <w:p w14:paraId="565C32CF"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r w:rsidRPr="00F0379B">
              <w:rPr>
                <w:rFonts w:ascii="Cambria" w:eastAsiaTheme="minorEastAsia" w:hAnsi="Cambria"/>
                <w:bCs/>
                <w:kern w:val="2"/>
                <w:sz w:val="20"/>
                <w:szCs w:val="20"/>
                <w:lang w:eastAsia="ko-KR"/>
                <w14:ligatures w14:val="standardContextual"/>
              </w:rPr>
              <w:t>Ulsan</w:t>
            </w:r>
          </w:p>
        </w:tc>
      </w:tr>
      <w:tr w:rsidR="009123AC" w:rsidRPr="00F0379B" w14:paraId="666B62A8" w14:textId="77777777" w:rsidTr="00CA749B">
        <w:trPr>
          <w:trHeight w:val="245"/>
          <w:jc w:val="center"/>
        </w:trPr>
        <w:tc>
          <w:tcPr>
            <w:tcW w:w="2169" w:type="dxa"/>
          </w:tcPr>
          <w:p w14:paraId="29DE7C62"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Gunsan</w:t>
            </w:r>
            <w:proofErr w:type="spellEnd"/>
          </w:p>
        </w:tc>
        <w:tc>
          <w:tcPr>
            <w:tcW w:w="2169" w:type="dxa"/>
          </w:tcPr>
          <w:p w14:paraId="575696DD"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r w:rsidRPr="00F0379B">
              <w:rPr>
                <w:rFonts w:ascii="Cambria" w:eastAsiaTheme="minorEastAsia" w:hAnsi="Cambria"/>
                <w:bCs/>
                <w:kern w:val="2"/>
                <w:sz w:val="20"/>
                <w:szCs w:val="20"/>
                <w:lang w:eastAsia="ko-KR"/>
                <w14:ligatures w14:val="standardContextual"/>
              </w:rPr>
              <w:t>Jeju</w:t>
            </w:r>
          </w:p>
        </w:tc>
        <w:tc>
          <w:tcPr>
            <w:tcW w:w="2169" w:type="dxa"/>
          </w:tcPr>
          <w:p w14:paraId="2FE67F44"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Samcheok</w:t>
            </w:r>
            <w:proofErr w:type="spellEnd"/>
          </w:p>
        </w:tc>
        <w:tc>
          <w:tcPr>
            <w:tcW w:w="2169" w:type="dxa"/>
          </w:tcPr>
          <w:p w14:paraId="38AD2B85"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Wando</w:t>
            </w:r>
            <w:proofErr w:type="spellEnd"/>
          </w:p>
        </w:tc>
      </w:tr>
      <w:tr w:rsidR="009123AC" w:rsidRPr="00F0379B" w14:paraId="5BC426A6" w14:textId="77777777" w:rsidTr="00CA749B">
        <w:trPr>
          <w:trHeight w:val="256"/>
          <w:jc w:val="center"/>
        </w:trPr>
        <w:tc>
          <w:tcPr>
            <w:tcW w:w="2169" w:type="dxa"/>
          </w:tcPr>
          <w:p w14:paraId="40B4C2F7"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Gwangyang</w:t>
            </w:r>
            <w:proofErr w:type="spellEnd"/>
          </w:p>
        </w:tc>
        <w:tc>
          <w:tcPr>
            <w:tcW w:w="2169" w:type="dxa"/>
          </w:tcPr>
          <w:p w14:paraId="71A841D6"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Jinhae</w:t>
            </w:r>
            <w:proofErr w:type="spellEnd"/>
          </w:p>
        </w:tc>
        <w:tc>
          <w:tcPr>
            <w:tcW w:w="2169" w:type="dxa"/>
          </w:tcPr>
          <w:p w14:paraId="5EF2B337"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r w:rsidRPr="00F0379B">
              <w:rPr>
                <w:rFonts w:ascii="Cambria" w:eastAsiaTheme="minorEastAsia" w:hAnsi="Cambria"/>
                <w:bCs/>
                <w:kern w:val="2"/>
                <w:sz w:val="20"/>
                <w:szCs w:val="20"/>
                <w:lang w:eastAsia="ko-KR"/>
                <w14:ligatures w14:val="standardContextual"/>
              </w:rPr>
              <w:t>Samcheonpo</w:t>
            </w:r>
          </w:p>
        </w:tc>
        <w:tc>
          <w:tcPr>
            <w:tcW w:w="2169" w:type="dxa"/>
          </w:tcPr>
          <w:p w14:paraId="1FD22437"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Yeosu</w:t>
            </w:r>
            <w:proofErr w:type="spellEnd"/>
          </w:p>
        </w:tc>
      </w:tr>
      <w:tr w:rsidR="009123AC" w:rsidRPr="00F0379B" w14:paraId="7952B605" w14:textId="77777777" w:rsidTr="00CA749B">
        <w:trPr>
          <w:trHeight w:val="245"/>
          <w:jc w:val="center"/>
        </w:trPr>
        <w:tc>
          <w:tcPr>
            <w:tcW w:w="2169" w:type="dxa"/>
          </w:tcPr>
          <w:p w14:paraId="0F0B91E3"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roofErr w:type="spellStart"/>
            <w:r w:rsidRPr="00F0379B">
              <w:rPr>
                <w:rFonts w:ascii="Cambria" w:eastAsiaTheme="minorEastAsia" w:hAnsi="Cambria"/>
                <w:bCs/>
                <w:kern w:val="2"/>
                <w:sz w:val="20"/>
                <w:szCs w:val="20"/>
                <w:lang w:eastAsia="ko-KR"/>
                <w14:ligatures w14:val="standardContextual"/>
              </w:rPr>
              <w:t>Gyeongin</w:t>
            </w:r>
            <w:proofErr w:type="spellEnd"/>
          </w:p>
        </w:tc>
        <w:tc>
          <w:tcPr>
            <w:tcW w:w="2169" w:type="dxa"/>
          </w:tcPr>
          <w:p w14:paraId="49E8744D"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r w:rsidRPr="00F0379B">
              <w:rPr>
                <w:rFonts w:ascii="Cambria" w:eastAsiaTheme="minorEastAsia" w:hAnsi="Cambria"/>
                <w:bCs/>
                <w:kern w:val="2"/>
                <w:sz w:val="20"/>
                <w:szCs w:val="20"/>
                <w:lang w:eastAsia="ko-KR"/>
                <w14:ligatures w14:val="standardContextual"/>
              </w:rPr>
              <w:t>Masan</w:t>
            </w:r>
          </w:p>
        </w:tc>
        <w:tc>
          <w:tcPr>
            <w:tcW w:w="2169" w:type="dxa"/>
          </w:tcPr>
          <w:p w14:paraId="75C288B5"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r w:rsidRPr="00F0379B">
              <w:rPr>
                <w:rFonts w:ascii="Cambria" w:eastAsiaTheme="minorEastAsia" w:hAnsi="Cambria"/>
                <w:bCs/>
                <w:kern w:val="2"/>
                <w:sz w:val="20"/>
                <w:szCs w:val="20"/>
                <w:lang w:eastAsia="ko-KR"/>
                <w14:ligatures w14:val="standardContextual"/>
              </w:rPr>
              <w:t>Seogwipo</w:t>
            </w:r>
          </w:p>
        </w:tc>
        <w:tc>
          <w:tcPr>
            <w:tcW w:w="2169" w:type="dxa"/>
          </w:tcPr>
          <w:p w14:paraId="430386AF" w14:textId="77777777" w:rsidR="009123AC" w:rsidRPr="00F0379B" w:rsidRDefault="009123AC" w:rsidP="009123AC">
            <w:pPr>
              <w:spacing w:line="240" w:lineRule="auto"/>
              <w:rPr>
                <w:rFonts w:ascii="Cambria" w:eastAsiaTheme="minorEastAsia" w:hAnsi="Cambria"/>
                <w:bCs/>
                <w:kern w:val="2"/>
                <w:sz w:val="20"/>
                <w:szCs w:val="20"/>
                <w:lang w:eastAsia="ko-KR"/>
                <w14:ligatures w14:val="standardContextual"/>
              </w:rPr>
            </w:pPr>
          </w:p>
        </w:tc>
      </w:tr>
    </w:tbl>
    <w:p w14:paraId="751DE4D6" w14:textId="77777777" w:rsidR="009123AC" w:rsidRPr="00F0379B" w:rsidRDefault="009123AC" w:rsidP="00CE0EC8">
      <w:pPr>
        <w:widowControl w:val="0"/>
        <w:numPr>
          <w:ilvl w:val="0"/>
          <w:numId w:val="54"/>
        </w:numPr>
        <w:spacing w:after="0" w:line="240" w:lineRule="auto"/>
        <w:rPr>
          <w:rFonts w:ascii="Cambria" w:eastAsiaTheme="minorEastAsia" w:hAnsi="Cambria"/>
          <w:b/>
          <w:bCs/>
          <w:i/>
          <w:kern w:val="2"/>
          <w:sz w:val="20"/>
          <w:szCs w:val="20"/>
          <w:lang w:eastAsia="ja-JP"/>
          <w14:ligatures w14:val="standardContextual"/>
        </w:rPr>
        <w:sectPr w:rsidR="009123AC" w:rsidRPr="00F0379B" w:rsidSect="009123AC">
          <w:footnotePr>
            <w:numFmt w:val="chicago"/>
          </w:footnotePr>
          <w:pgSz w:w="11906" w:h="16838" w:code="9"/>
          <w:pgMar w:top="1418" w:right="1418" w:bottom="1418" w:left="1418" w:header="851" w:footer="1134" w:gutter="0"/>
          <w:cols w:space="425"/>
          <w:docGrid w:linePitch="360"/>
        </w:sectPr>
      </w:pPr>
    </w:p>
    <w:p w14:paraId="16E0CBDF" w14:textId="77777777" w:rsidR="009123AC" w:rsidRPr="00F0379B" w:rsidRDefault="009123AC" w:rsidP="009123AC">
      <w:pPr>
        <w:spacing w:after="0" w:line="240" w:lineRule="auto"/>
        <w:rPr>
          <w:rFonts w:ascii="Cambria" w:eastAsia="Malgun Gothic" w:hAnsi="Cambria" w:cs="Times New Roman"/>
          <w:bCs/>
          <w:sz w:val="20"/>
          <w:szCs w:val="20"/>
          <w:lang w:eastAsia="ko-KR" w:bidi="fr-FR"/>
          <w14:ligatures w14:val="standardContextual"/>
        </w:rPr>
      </w:pPr>
    </w:p>
    <w:p w14:paraId="48F9F3AA" w14:textId="77777777" w:rsidR="009123AC" w:rsidRPr="00F0379B" w:rsidRDefault="009123AC" w:rsidP="009123AC">
      <w:pPr>
        <w:spacing w:after="0" w:line="240" w:lineRule="auto"/>
        <w:rPr>
          <w:rFonts w:ascii="Cambria" w:eastAsiaTheme="minorEastAsia" w:hAnsi="Cambria"/>
          <w:b/>
          <w:kern w:val="2"/>
          <w:sz w:val="20"/>
          <w:szCs w:val="20"/>
          <w:lang w:eastAsia="ja-JP"/>
          <w14:ligatures w14:val="standardContextual"/>
        </w:rPr>
      </w:pPr>
    </w:p>
    <w:p w14:paraId="3805AFCD" w14:textId="77777777" w:rsidR="009123AC" w:rsidRPr="00F0379B" w:rsidRDefault="009123AC" w:rsidP="009123AC">
      <w:pPr>
        <w:spacing w:after="0" w:line="240" w:lineRule="auto"/>
        <w:rPr>
          <w:rFonts w:ascii="Cambria" w:eastAsiaTheme="minorEastAsia" w:hAnsi="Cambria" w:cs="Times New Roman"/>
          <w:b/>
          <w:sz w:val="20"/>
          <w:szCs w:val="20"/>
          <w14:ligatures w14:val="standardContextual"/>
        </w:rPr>
        <w:sectPr w:rsidR="009123AC" w:rsidRPr="00F0379B" w:rsidSect="009123AC">
          <w:pgSz w:w="11906" w:h="16838" w:code="9"/>
          <w:pgMar w:top="1418" w:right="1418" w:bottom="1418" w:left="1418" w:header="851" w:footer="1134" w:gutter="0"/>
          <w:cols w:num="2" w:space="425"/>
          <w:docGrid w:linePitch="360"/>
        </w:sectPr>
      </w:pPr>
    </w:p>
    <w:p w14:paraId="4D362CA7" w14:textId="77777777" w:rsidR="009123AC" w:rsidRPr="00F0379B" w:rsidRDefault="009123AC" w:rsidP="00CE0EC8">
      <w:pPr>
        <w:numPr>
          <w:ilvl w:val="0"/>
          <w:numId w:val="57"/>
        </w:numPr>
        <w:tabs>
          <w:tab w:val="left" w:pos="426"/>
        </w:tabs>
        <w:spacing w:after="0" w:line="240" w:lineRule="auto"/>
        <w:ind w:left="425" w:hanging="425"/>
        <w:contextualSpacing/>
        <w:jc w:val="both"/>
        <w:rPr>
          <w:rFonts w:ascii="Cambria" w:eastAsia="MS Gothic" w:hAnsi="Cambria"/>
          <w:b/>
          <w:i/>
          <w:kern w:val="2"/>
          <w:sz w:val="20"/>
          <w:szCs w:val="20"/>
          <w:lang w:eastAsia="fr-FR" w:bidi="fr-FR"/>
          <w14:ligatures w14:val="standardContextual"/>
        </w:rPr>
      </w:pPr>
      <w:r w:rsidRPr="00F0379B">
        <w:rPr>
          <w:rFonts w:ascii="Cambria" w:eastAsia="MS Gothic" w:hAnsi="Cambria"/>
          <w:b/>
          <w:kern w:val="2"/>
          <w:sz w:val="20"/>
          <w:szCs w:val="20"/>
          <w:lang w:eastAsia="fr-FR" w:bidi="fr-FR"/>
          <w14:ligatures w14:val="standardContextual"/>
        </w:rPr>
        <w:t>Plan anual de ordenación de la capacidad pesquera (párrs. 14-21)</w:t>
      </w:r>
    </w:p>
    <w:p w14:paraId="325BF310" w14:textId="77777777" w:rsidR="009123AC" w:rsidRPr="00F0379B" w:rsidRDefault="009123AC" w:rsidP="009123AC">
      <w:pPr>
        <w:spacing w:after="0" w:line="240" w:lineRule="auto"/>
        <w:jc w:val="both"/>
        <w:rPr>
          <w:rFonts w:ascii="Cambria" w:eastAsia="MS Gothic" w:hAnsi="Cambria" w:cs="Times New Roman"/>
          <w:b/>
          <w:sz w:val="20"/>
          <w:szCs w:val="20"/>
          <w:lang w:eastAsia="fr-FR" w:bidi="fr-FR"/>
          <w14:ligatures w14:val="standardContextual"/>
        </w:rPr>
      </w:pPr>
    </w:p>
    <w:p w14:paraId="0C8871FA" w14:textId="77777777" w:rsidR="009123AC" w:rsidRPr="00F0379B" w:rsidRDefault="009123AC" w:rsidP="009123AC">
      <w:pPr>
        <w:spacing w:after="0" w:line="240" w:lineRule="auto"/>
        <w:jc w:val="both"/>
        <w:rPr>
          <w:rFonts w:ascii="Cambria" w:eastAsia="Malgun Gothic" w:hAnsi="Cambria" w:cs="Times New Roman"/>
          <w:b/>
          <w:sz w:val="20"/>
          <w:szCs w:val="20"/>
          <w:lang w:eastAsia="fr-FR" w:bidi="fr-FR"/>
          <w14:ligatures w14:val="standardContextual"/>
        </w:rPr>
      </w:pPr>
      <w:r w:rsidRPr="00F0379B">
        <w:rPr>
          <w:rFonts w:ascii="Cambria" w:eastAsia="MS Gothic" w:hAnsi="Cambria" w:cs="Times New Roman"/>
          <w:iCs/>
          <w:sz w:val="20"/>
          <w:szCs w:val="20"/>
          <w:lang w:eastAsia="fr-FR" w:bidi="fr-FR"/>
          <w14:ligatures w14:val="standardContextual"/>
        </w:rPr>
        <w:t xml:space="preserve">Corea operará no más de seis palangreros en </w:t>
      </w:r>
      <w:r w:rsidRPr="00F0379B">
        <w:rPr>
          <w:rFonts w:ascii="Cambria" w:eastAsia="MS Gothic" w:hAnsi="Cambria" w:cs="Times New Roman"/>
          <w:sz w:val="20"/>
          <w:szCs w:val="20"/>
          <w:lang w:eastAsia="fr-FR" w:bidi="fr-FR"/>
          <w14:ligatures w14:val="standardContextual"/>
        </w:rPr>
        <w:t>2026</w:t>
      </w:r>
      <w:r w:rsidRPr="00F0379B">
        <w:rPr>
          <w:rFonts w:ascii="Cambria" w:eastAsia="MS Gothic" w:hAnsi="Cambria" w:cs="Times New Roman"/>
          <w:iCs/>
          <w:sz w:val="20"/>
          <w:szCs w:val="20"/>
          <w:lang w:eastAsia="fr-FR" w:bidi="fr-FR"/>
          <w14:ligatures w14:val="standardContextual"/>
        </w:rPr>
        <w:t>, aunque el número máximo de palangreros (de más de 40 m) que podría operar es de 10, de conformidad con la mejor tasa de captura definida por el SCRS y la capacidad correspondiente. Véase información detallada en la última página de este documento.</w:t>
      </w:r>
    </w:p>
    <w:p w14:paraId="69892A08" w14:textId="77777777" w:rsidR="009123AC" w:rsidRPr="00F0379B" w:rsidRDefault="009123AC" w:rsidP="009123AC">
      <w:pPr>
        <w:spacing w:after="0" w:line="240" w:lineRule="auto"/>
        <w:ind w:left="284" w:hanging="284"/>
        <w:jc w:val="both"/>
        <w:rPr>
          <w:rFonts w:ascii="Cambria" w:eastAsia="MS Gothic" w:hAnsi="Cambria" w:cs="Times New Roman"/>
          <w:iCs/>
          <w:sz w:val="20"/>
          <w:szCs w:val="20"/>
          <w:lang w:eastAsia="ja-JP" w:bidi="fr-FR"/>
          <w14:ligatures w14:val="standardContextual"/>
        </w:rPr>
      </w:pPr>
    </w:p>
    <w:p w14:paraId="4E1E672C" w14:textId="77777777" w:rsidR="009123AC" w:rsidRPr="00F0379B" w:rsidRDefault="009123AC" w:rsidP="009123AC">
      <w:pPr>
        <w:spacing w:after="0" w:line="240" w:lineRule="auto"/>
        <w:ind w:left="284" w:hanging="284"/>
        <w:jc w:val="both"/>
        <w:rPr>
          <w:rFonts w:ascii="Cambria" w:eastAsia="MS Gothic" w:hAnsi="Cambria" w:cs="Times New Roman"/>
          <w:iCs/>
          <w:sz w:val="20"/>
          <w:szCs w:val="20"/>
          <w:lang w:eastAsia="ja-JP" w:bidi="fr-FR"/>
          <w14:ligatures w14:val="standardContextual"/>
        </w:rPr>
      </w:pPr>
    </w:p>
    <w:p w14:paraId="7F68DCE5" w14:textId="77777777" w:rsidR="009123AC" w:rsidRPr="00F0379B" w:rsidRDefault="009123AC" w:rsidP="009123AC">
      <w:pPr>
        <w:spacing w:after="0" w:line="240" w:lineRule="auto"/>
        <w:ind w:left="426" w:hanging="426"/>
        <w:jc w:val="both"/>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bCs/>
          <w:iCs/>
          <w:kern w:val="2"/>
          <w:sz w:val="20"/>
          <w:szCs w:val="20"/>
          <w:lang w:eastAsia="ja-JP"/>
          <w14:ligatures w14:val="standardContextual"/>
        </w:rPr>
        <w:t xml:space="preserve">3. </w:t>
      </w:r>
      <w:r w:rsidRPr="00F0379B">
        <w:rPr>
          <w:rFonts w:ascii="Cambria" w:eastAsiaTheme="minorEastAsia" w:hAnsi="Cambria"/>
          <w:b/>
          <w:bCs/>
          <w:iCs/>
          <w:kern w:val="2"/>
          <w:sz w:val="20"/>
          <w:szCs w:val="20"/>
          <w:lang w:eastAsia="ja-JP"/>
          <w14:ligatures w14:val="standardContextual"/>
        </w:rPr>
        <w:tab/>
        <w:t>Plan anual de ordenación de la cría (párrs. 22-23), si es aplicable</w:t>
      </w:r>
    </w:p>
    <w:p w14:paraId="74EF3C31" w14:textId="77777777" w:rsidR="009123AC" w:rsidRPr="00F0379B" w:rsidRDefault="009123AC" w:rsidP="009123AC">
      <w:pPr>
        <w:spacing w:after="0" w:line="240" w:lineRule="auto"/>
        <w:ind w:left="284" w:hanging="284"/>
        <w:jc w:val="both"/>
        <w:rPr>
          <w:rFonts w:ascii="Cambria" w:eastAsia="MS Gothic" w:hAnsi="Cambria" w:cs="Times New Roman"/>
          <w:b/>
          <w:iCs/>
          <w:sz w:val="20"/>
          <w:szCs w:val="20"/>
          <w:lang w:eastAsia="fr-FR" w:bidi="fr-FR"/>
          <w14:ligatures w14:val="standardContextual"/>
        </w:rPr>
      </w:pPr>
    </w:p>
    <w:p w14:paraId="18E51F83"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No aplicable (Corea no es una CPC de cría).</w:t>
      </w:r>
    </w:p>
    <w:p w14:paraId="28F693DF"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16939D18" w14:textId="77777777" w:rsidR="009123AC" w:rsidRPr="00F0379B" w:rsidRDefault="009123AC" w:rsidP="009123AC">
      <w:pPr>
        <w:spacing w:after="0" w:line="240" w:lineRule="auto"/>
        <w:ind w:left="284" w:hanging="360"/>
        <w:jc w:val="both"/>
        <w:rPr>
          <w:rFonts w:ascii="Cambria" w:eastAsiaTheme="minorEastAsia" w:hAnsi="Cambria"/>
          <w:b/>
          <w:bCs/>
          <w:iCs/>
          <w:kern w:val="2"/>
          <w:sz w:val="20"/>
          <w:szCs w:val="20"/>
          <w:lang w:eastAsia="ja-JP"/>
          <w14:ligatures w14:val="standardContextual"/>
        </w:rPr>
      </w:pPr>
    </w:p>
    <w:p w14:paraId="37FE5558" w14:textId="77777777" w:rsidR="009123AC" w:rsidRPr="00F0379B" w:rsidRDefault="009123AC" w:rsidP="009123AC">
      <w:pPr>
        <w:spacing w:after="0" w:line="240" w:lineRule="auto"/>
        <w:ind w:left="426" w:hanging="426"/>
        <w:jc w:val="both"/>
        <w:rPr>
          <w:rFonts w:ascii="Cambria" w:eastAsia="MS Gothic" w:hAnsi="Cambria" w:cs="Times New Roman"/>
          <w:b/>
          <w:bCs/>
          <w:sz w:val="20"/>
          <w:szCs w:val="20"/>
          <w:lang w:eastAsia="fr-FR" w:bidi="fr-FR"/>
          <w14:ligatures w14:val="standardContextual"/>
        </w:rPr>
      </w:pPr>
      <w:r w:rsidRPr="00F0379B">
        <w:rPr>
          <w:rFonts w:ascii="Cambria" w:eastAsiaTheme="minorEastAsia" w:hAnsi="Cambria"/>
          <w:b/>
          <w:bCs/>
          <w:iCs/>
          <w:kern w:val="2"/>
          <w:sz w:val="20"/>
          <w:szCs w:val="20"/>
          <w:lang w:eastAsia="ja-JP"/>
          <w14:ligatures w14:val="standardContextual"/>
        </w:rPr>
        <w:t xml:space="preserve">4. </w:t>
      </w:r>
      <w:r w:rsidRPr="00F0379B">
        <w:rPr>
          <w:rFonts w:ascii="Cambria" w:eastAsiaTheme="minorEastAsia" w:hAnsi="Cambria"/>
          <w:b/>
          <w:bCs/>
          <w:iCs/>
          <w:kern w:val="2"/>
          <w:sz w:val="20"/>
          <w:szCs w:val="20"/>
          <w:lang w:eastAsia="ja-JP"/>
          <w14:ligatures w14:val="standardContextual"/>
        </w:rPr>
        <w:tab/>
        <w:t>Plan</w:t>
      </w:r>
      <w:r w:rsidRPr="00F0379B">
        <w:rPr>
          <w:rFonts w:ascii="Cambria" w:eastAsia="MS Gothic" w:hAnsi="Cambria" w:cs="Times New Roman"/>
          <w:b/>
          <w:bCs/>
          <w:sz w:val="20"/>
          <w:szCs w:val="20"/>
          <w:lang w:eastAsia="fr-FR" w:bidi="fr-FR"/>
          <w14:ligatures w14:val="standardContextual"/>
        </w:rPr>
        <w:t xml:space="preserve"> de acuicultura anual (párr. 10 e de la </w:t>
      </w:r>
      <w:hyperlink r:id="rId153" w:history="1">
        <w:r w:rsidRPr="00F0379B">
          <w:rPr>
            <w:rFonts w:ascii="Cambria" w:eastAsia="MS Gothic" w:hAnsi="Cambria" w:cs="Times New Roman"/>
            <w:b/>
            <w:bCs/>
            <w:color w:val="0563C1"/>
            <w:sz w:val="20"/>
            <w:szCs w:val="20"/>
            <w:lang w:eastAsia="fr-FR" w:bidi="fr-FR"/>
            <w14:ligatures w14:val="standardContextual"/>
          </w:rPr>
          <w:t xml:space="preserve">Rec. 25-04 </w:t>
        </w:r>
      </w:hyperlink>
      <w:r w:rsidRPr="00F0379B">
        <w:rPr>
          <w:rFonts w:ascii="Cambria" w:eastAsia="MS Gothic" w:hAnsi="Cambria" w:cs="Times New Roman"/>
          <w:b/>
          <w:bCs/>
          <w:sz w:val="20"/>
          <w:szCs w:val="20"/>
          <w:lang w:eastAsia="fr-FR" w:bidi="fr-FR"/>
          <w14:ligatures w14:val="standardContextual"/>
        </w:rPr>
        <w:t xml:space="preserve">de conformidad con la </w:t>
      </w:r>
      <w:hyperlink r:id="rId154" w:history="1">
        <w:r w:rsidRPr="00F0379B">
          <w:rPr>
            <w:rFonts w:ascii="Cambria" w:eastAsia="MS Gothic" w:hAnsi="Cambria" w:cs="Times New Roman"/>
            <w:b/>
            <w:bCs/>
            <w:color w:val="0563C1"/>
            <w:sz w:val="20"/>
            <w:szCs w:val="20"/>
            <w:lang w:eastAsia="fr-FR" w:bidi="fr-FR"/>
            <w14:ligatures w14:val="standardContextual"/>
          </w:rPr>
          <w:t>Rec. 24-07</w:t>
        </w:r>
      </w:hyperlink>
      <w:r w:rsidRPr="00F0379B">
        <w:rPr>
          <w:rFonts w:ascii="Cambria" w:eastAsia="MS Gothic" w:hAnsi="Cambria" w:cs="Times New Roman"/>
          <w:b/>
          <w:bCs/>
          <w:sz w:val="20"/>
          <w:szCs w:val="20"/>
          <w:lang w:eastAsia="fr-FR" w:bidi="fr-FR"/>
          <w14:ligatures w14:val="standardContextual"/>
        </w:rPr>
        <w:t>), si es aplicable</w:t>
      </w:r>
    </w:p>
    <w:p w14:paraId="331CF094" w14:textId="77777777" w:rsidR="009123AC" w:rsidRPr="00F0379B" w:rsidRDefault="009123AC" w:rsidP="009123AC">
      <w:pPr>
        <w:spacing w:after="0" w:line="240" w:lineRule="auto"/>
        <w:ind w:left="284" w:hanging="360"/>
        <w:jc w:val="both"/>
        <w:rPr>
          <w:rFonts w:ascii="Cambria" w:eastAsia="MS Gothic" w:hAnsi="Cambria" w:cs="Times New Roman"/>
          <w:b/>
          <w:bCs/>
          <w:sz w:val="20"/>
          <w:szCs w:val="20"/>
          <w:lang w:eastAsia="fr-FR" w:bidi="fr-FR"/>
          <w14:ligatures w14:val="standardContextual"/>
        </w:rPr>
      </w:pPr>
    </w:p>
    <w:p w14:paraId="78462EE9"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No aplicable (Corea no es una CPC de cría).</w:t>
      </w:r>
    </w:p>
    <w:p w14:paraId="378295FC"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27C0A968" w14:textId="77777777" w:rsidR="009123AC" w:rsidRPr="00F0379B" w:rsidRDefault="009123AC" w:rsidP="00CE0EC8">
      <w:pPr>
        <w:numPr>
          <w:ilvl w:val="0"/>
          <w:numId w:val="55"/>
        </w:numPr>
        <w:spacing w:after="0" w:line="240" w:lineRule="auto"/>
        <w:ind w:left="426" w:hanging="426"/>
        <w:contextualSpacing/>
        <w:jc w:val="both"/>
        <w:rPr>
          <w:rFonts w:ascii="Cambria" w:eastAsia="MS Gothic" w:hAnsi="Cambria"/>
          <w:i/>
          <w:iCs/>
          <w:kern w:val="2"/>
          <w:sz w:val="20"/>
          <w:szCs w:val="20"/>
          <w:lang w:eastAsia="fr-FR" w:bidi="fr-FR"/>
          <w14:ligatures w14:val="standardContextual"/>
        </w:rPr>
      </w:pPr>
      <w:r w:rsidRPr="00F0379B">
        <w:rPr>
          <w:rFonts w:ascii="Cambria" w:eastAsia="MS Gothic" w:hAnsi="Cambria"/>
          <w:iCs/>
          <w:kern w:val="2"/>
          <w:sz w:val="20"/>
          <w:szCs w:val="20"/>
          <w:lang w:eastAsia="fr-FR" w:bidi="fr-FR"/>
          <w14:ligatures w14:val="standardContextual"/>
        </w:rPr>
        <w:t>Plan de inspección, control y seguimiento</w:t>
      </w:r>
    </w:p>
    <w:p w14:paraId="252FD1DA" w14:textId="77777777" w:rsidR="009123AC" w:rsidRPr="00F0379B" w:rsidRDefault="009123AC" w:rsidP="009123AC">
      <w:pPr>
        <w:spacing w:after="0" w:line="240" w:lineRule="auto"/>
        <w:jc w:val="both"/>
        <w:rPr>
          <w:rFonts w:ascii="Cambria" w:eastAsia="MS Gothic" w:hAnsi="Cambria" w:cs="Times New Roman"/>
          <w:b/>
          <w:sz w:val="20"/>
          <w:szCs w:val="20"/>
          <w:lang w:eastAsia="fr-FR" w:bidi="fr-FR"/>
          <w14:ligatures w14:val="standardContextual"/>
        </w:rPr>
      </w:pPr>
    </w:p>
    <w:p w14:paraId="36924E38" w14:textId="77777777" w:rsidR="009123AC" w:rsidRPr="00F0379B" w:rsidRDefault="009123AC" w:rsidP="009123AC">
      <w:pPr>
        <w:spacing w:after="0" w:line="240" w:lineRule="auto"/>
        <w:jc w:val="both"/>
        <w:rPr>
          <w:rFonts w:ascii="Cambria" w:eastAsia="MS Gothic" w:hAnsi="Cambria" w:cs="Times New Roman"/>
          <w:b/>
          <w:i/>
          <w:iCs/>
          <w:sz w:val="20"/>
          <w:szCs w:val="20"/>
          <w:lang w:eastAsia="fr-FR" w:bidi="fr-FR"/>
          <w14:ligatures w14:val="standardContextual"/>
        </w:rPr>
      </w:pPr>
      <w:r w:rsidRPr="00F0379B">
        <w:rPr>
          <w:rFonts w:ascii="Cambria" w:eastAsia="MS Gothic" w:hAnsi="Cambria" w:cs="Times New Roman"/>
          <w:b/>
          <w:i/>
          <w:iCs/>
          <w:sz w:val="20"/>
          <w:szCs w:val="20"/>
          <w:lang w:eastAsia="fr-FR" w:bidi="fr-FR"/>
          <w14:ligatures w14:val="standardContextual"/>
        </w:rPr>
        <w:t>5 a) Inspección, control y seguimiento de la CPC (párr. 10c)</w:t>
      </w:r>
    </w:p>
    <w:p w14:paraId="25CF92C3" w14:textId="77777777" w:rsidR="009123AC" w:rsidRPr="00F0379B" w:rsidRDefault="009123AC" w:rsidP="009123AC">
      <w:pPr>
        <w:spacing w:after="0" w:line="240" w:lineRule="auto"/>
        <w:jc w:val="both"/>
        <w:rPr>
          <w:rFonts w:ascii="Cambria" w:eastAsia="MS Gothic" w:hAnsi="Cambria" w:cs="Times New Roman"/>
          <w:b/>
          <w:sz w:val="20"/>
          <w:szCs w:val="20"/>
          <w:lang w:eastAsia="fr-FR" w:bidi="fr-FR"/>
          <w14:ligatures w14:val="standardContextual"/>
        </w:rPr>
      </w:pPr>
    </w:p>
    <w:p w14:paraId="273E0335"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 xml:space="preserve">Los patrones de los palangreros coreanos deben proporcionar a las autoridades pertinentes, al menos 4 horas antes de la hora estimada de llegada, la información necesaria que requiere el párrafo 85. Además, tras cada marea, deben presentar en un plazo de 48 horas una declaración de desembarque a las autoridades competentes de la CPC donde se realiza el desembarque y al FMC de Corea. Los buques pesqueros coreanos deben comunicar diariamente su captura al FMC coreano y las actividades de transbordo/desembarque deben ser comunicadas también de conformidad con las disposiciones pertinentes de la Ley de desarrollo de las pesquerías en aguas distantes. El FMC de Corea analiza toda la información pertinente, incluido el registro de VMS, y el MOF investiga cualquier evento sospechoso identificado por el FMC. Cualquier infracción o incumplimiento se tratará de conformidad con las disposiciones pertinentes de la Ley de desarrollo de las pesquerías en aguas distantes que rige las pesquerías en ultramar de Corea. Al menos el 60 % de los buques de pesca coreanos que vuelvan a los puertos coreanos serán inspeccionados por el FMC coreano. </w:t>
      </w:r>
    </w:p>
    <w:p w14:paraId="110DBCDB"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14:ligatures w14:val="standardContextual"/>
        </w:rPr>
      </w:pPr>
    </w:p>
    <w:p w14:paraId="5712E4AA" w14:textId="77777777" w:rsidR="009123AC" w:rsidRPr="00F0379B" w:rsidRDefault="009123AC" w:rsidP="009123AC">
      <w:pPr>
        <w:spacing w:after="0" w:line="240" w:lineRule="auto"/>
        <w:jc w:val="both"/>
        <w:rPr>
          <w:rFonts w:ascii="Cambria" w:eastAsia="Malgun Gothic" w:hAnsi="Cambria" w:cs="Times New Roman"/>
          <w:sz w:val="20"/>
          <w:szCs w:val="20"/>
          <w:lang w:eastAsia="fr-FR" w:bidi="fr-FR"/>
          <w14:ligatures w14:val="standardContextual"/>
        </w:rPr>
      </w:pPr>
      <w:r w:rsidRPr="00F0379B">
        <w:rPr>
          <w:rFonts w:ascii="Cambria" w:eastAsia="Malgun Gothic" w:hAnsi="Cambria" w:cs="Times New Roman"/>
          <w:sz w:val="20"/>
          <w:szCs w:val="20"/>
          <w:lang w:eastAsia="fr-FR" w:bidi="fr-FR"/>
          <w14:ligatures w14:val="standardContextual"/>
        </w:rPr>
        <w:t>Las siguientes autoridades competentes en materia de control son responsables de la implementación del plan de seguimiento, control e inspección:</w:t>
      </w:r>
    </w:p>
    <w:p w14:paraId="0ADB3610" w14:textId="77777777" w:rsidR="009123AC" w:rsidRPr="00F0379B" w:rsidRDefault="009123AC" w:rsidP="00CE0EC8">
      <w:pPr>
        <w:numPr>
          <w:ilvl w:val="0"/>
          <w:numId w:val="56"/>
        </w:numPr>
        <w:spacing w:after="0" w:line="240" w:lineRule="auto"/>
        <w:ind w:left="567" w:hanging="141"/>
        <w:contextualSpacing/>
        <w:jc w:val="both"/>
        <w:rPr>
          <w:rFonts w:ascii="Cambria" w:eastAsia="Malgun Gothic" w:hAnsi="Cambria"/>
          <w:b/>
          <w:i/>
          <w:iCs/>
          <w:kern w:val="2"/>
          <w:sz w:val="20"/>
          <w:szCs w:val="20"/>
          <w:lang w:eastAsia="fr-FR" w:bidi="fr-FR"/>
          <w14:ligatures w14:val="standardContextual"/>
        </w:rPr>
      </w:pPr>
      <w:r w:rsidRPr="00F0379B">
        <w:rPr>
          <w:rFonts w:ascii="Cambria" w:eastAsia="Malgun Gothic" w:hAnsi="Cambria"/>
          <w:iCs/>
          <w:kern w:val="2"/>
          <w:sz w:val="20"/>
          <w:szCs w:val="20"/>
          <w:lang w:eastAsia="fr-FR" w:bidi="fr-FR"/>
          <w14:ligatures w14:val="standardContextual"/>
        </w:rPr>
        <w:t>Central: División de Cooperación Internacional, Ministerio de Océanos y Pesca</w:t>
      </w:r>
    </w:p>
    <w:p w14:paraId="16B5B14C" w14:textId="77777777" w:rsidR="009123AC" w:rsidRPr="00F0379B" w:rsidRDefault="009123AC" w:rsidP="009123AC">
      <w:pPr>
        <w:spacing w:after="0" w:line="240" w:lineRule="auto"/>
        <w:ind w:firstLine="720"/>
        <w:jc w:val="both"/>
        <w:rPr>
          <w:rFonts w:ascii="Cambria" w:eastAsia="MS Gothic" w:hAnsi="Cambria" w:cs="Times New Roman"/>
          <w:sz w:val="20"/>
          <w:szCs w:val="20"/>
          <w:lang w:val="pt-BR" w:eastAsia="fr-FR" w:bidi="fr-FR"/>
          <w14:ligatures w14:val="standardContextual"/>
        </w:rPr>
      </w:pPr>
      <w:bookmarkStart w:id="15" w:name="_Hlk197591357"/>
      <w:r w:rsidRPr="00F0379B">
        <w:rPr>
          <w:rFonts w:ascii="Cambria" w:eastAsia="MS Gothic" w:hAnsi="Cambria" w:cs="Times New Roman"/>
          <w:sz w:val="20"/>
          <w:szCs w:val="20"/>
          <w:lang w:val="pt-BR" w:eastAsia="fr-FR" w:bidi="fr-FR"/>
          <w14:ligatures w14:val="standardContextual"/>
        </w:rPr>
        <w:t xml:space="preserve">Sr. </w:t>
      </w:r>
      <w:proofErr w:type="spellStart"/>
      <w:r w:rsidRPr="00F0379B">
        <w:rPr>
          <w:rFonts w:ascii="Cambria" w:eastAsia="MS Gothic" w:hAnsi="Cambria" w:cs="Times New Roman"/>
          <w:sz w:val="20"/>
          <w:szCs w:val="20"/>
          <w:lang w:val="pt-BR" w:eastAsia="fr-FR" w:bidi="fr-FR"/>
          <w14:ligatures w14:val="standardContextual"/>
        </w:rPr>
        <w:t>Royun</w:t>
      </w:r>
      <w:proofErr w:type="spellEnd"/>
      <w:r w:rsidRPr="00F0379B">
        <w:rPr>
          <w:rFonts w:ascii="Cambria" w:eastAsia="MS Gothic" w:hAnsi="Cambria" w:cs="Times New Roman"/>
          <w:sz w:val="20"/>
          <w:szCs w:val="20"/>
          <w:lang w:val="pt-BR" w:eastAsia="fr-FR" w:bidi="fr-FR"/>
          <w14:ligatures w14:val="standardContextual"/>
        </w:rPr>
        <w:t xml:space="preserve"> Kim / 100ro@korea.kr / (+82) 51-773-5467</w:t>
      </w:r>
    </w:p>
    <w:bookmarkEnd w:id="15"/>
    <w:p w14:paraId="535F6DE6" w14:textId="77777777" w:rsidR="009123AC" w:rsidRPr="00F0379B" w:rsidRDefault="009123AC" w:rsidP="00CE0EC8">
      <w:pPr>
        <w:numPr>
          <w:ilvl w:val="0"/>
          <w:numId w:val="56"/>
        </w:numPr>
        <w:spacing w:after="0" w:line="240" w:lineRule="auto"/>
        <w:ind w:left="567" w:hanging="141"/>
        <w:contextualSpacing/>
        <w:jc w:val="both"/>
        <w:rPr>
          <w:rFonts w:ascii="Cambria" w:eastAsia="Malgun Gothic" w:hAnsi="Cambria"/>
          <w:b/>
          <w:i/>
          <w:iCs/>
          <w:kern w:val="2"/>
          <w:sz w:val="20"/>
          <w:szCs w:val="20"/>
          <w:lang w:eastAsia="fr-FR" w:bidi="fr-FR"/>
          <w14:ligatures w14:val="standardContextual"/>
        </w:rPr>
      </w:pPr>
      <w:r w:rsidRPr="00F0379B">
        <w:rPr>
          <w:rFonts w:ascii="Cambria" w:eastAsia="Malgun Gothic" w:hAnsi="Cambria"/>
          <w:iCs/>
          <w:kern w:val="2"/>
          <w:sz w:val="20"/>
          <w:szCs w:val="20"/>
          <w:lang w:val="pt-BR" w:eastAsia="fr-FR" w:bidi="fr-FR"/>
          <w14:ligatures w14:val="standardContextual"/>
        </w:rPr>
        <w:t xml:space="preserve"> </w:t>
      </w:r>
      <w:r w:rsidRPr="00F0379B">
        <w:rPr>
          <w:rFonts w:ascii="Cambria" w:eastAsia="Malgun Gothic" w:hAnsi="Cambria"/>
          <w:iCs/>
          <w:kern w:val="2"/>
          <w:sz w:val="20"/>
          <w:szCs w:val="20"/>
          <w:lang w:eastAsia="fr-FR" w:bidi="fr-FR"/>
          <w14:ligatures w14:val="standardContextual"/>
        </w:rPr>
        <w:t>Seguimiento: Centro de seguimiento de pesquerías (FMC) de Corea</w:t>
      </w:r>
    </w:p>
    <w:p w14:paraId="0F0800BA" w14:textId="77777777" w:rsidR="009123AC" w:rsidRPr="00F0379B" w:rsidRDefault="009123AC" w:rsidP="009123AC">
      <w:pPr>
        <w:spacing w:after="0" w:line="240" w:lineRule="auto"/>
        <w:ind w:firstLine="720"/>
        <w:jc w:val="both"/>
        <w:rPr>
          <w:rFonts w:ascii="Cambria" w:eastAsia="MS Gothic" w:hAnsi="Cambria" w:cs="Times New Roman"/>
          <w:sz w:val="20"/>
          <w:szCs w:val="20"/>
          <w:lang w:val="en-GB" w:eastAsia="fr-FR" w:bidi="fr-FR"/>
          <w14:ligatures w14:val="standardContextual"/>
        </w:rPr>
      </w:pPr>
      <w:r w:rsidRPr="00F0379B">
        <w:rPr>
          <w:rFonts w:ascii="Cambria" w:eastAsia="MS Gothic" w:hAnsi="Cambria" w:cs="Times New Roman"/>
          <w:sz w:val="20"/>
          <w:szCs w:val="20"/>
          <w:lang w:val="en-GB" w:eastAsia="fr-FR" w:bidi="fr-FR"/>
          <w14:ligatures w14:val="standardContextual"/>
        </w:rPr>
        <w:t>Fisheries Monitoring team / fmc2014@korea.kr / (+82) 51-410-1405</w:t>
      </w:r>
    </w:p>
    <w:p w14:paraId="41108FD3" w14:textId="77777777" w:rsidR="009123AC" w:rsidRPr="00F0379B" w:rsidRDefault="009123AC" w:rsidP="00CE0EC8">
      <w:pPr>
        <w:numPr>
          <w:ilvl w:val="0"/>
          <w:numId w:val="56"/>
        </w:numPr>
        <w:spacing w:after="0" w:line="240" w:lineRule="auto"/>
        <w:ind w:left="567" w:hanging="141"/>
        <w:contextualSpacing/>
        <w:jc w:val="both"/>
        <w:rPr>
          <w:rFonts w:ascii="Cambria" w:eastAsia="Malgun Gothic" w:hAnsi="Cambria"/>
          <w:b/>
          <w:bCs/>
          <w:i/>
          <w:iCs/>
          <w:kern w:val="2"/>
          <w:sz w:val="20"/>
          <w:szCs w:val="20"/>
          <w:lang w:eastAsia="fr-FR" w:bidi="fr-FR"/>
          <w14:ligatures w14:val="standardContextual"/>
        </w:rPr>
      </w:pPr>
      <w:r w:rsidRPr="00F0379B">
        <w:rPr>
          <w:rFonts w:ascii="Cambria" w:eastAsia="Malgun Gothic" w:hAnsi="Cambria" w:cs="Arial"/>
          <w:iCs/>
          <w:kern w:val="2"/>
          <w:sz w:val="20"/>
          <w:szCs w:val="20"/>
          <w:lang w:eastAsia="fr-FR" w:bidi="fr-FR"/>
          <w14:ligatures w14:val="standardContextual"/>
        </w:rPr>
        <w:t>Inspección</w:t>
      </w:r>
      <w:r w:rsidRPr="00F0379B">
        <w:rPr>
          <w:rFonts w:ascii="Cambria" w:eastAsia="Malgun Gothic" w:hAnsi="Cambria"/>
          <w:iCs/>
          <w:kern w:val="2"/>
          <w:sz w:val="20"/>
          <w:szCs w:val="20"/>
          <w:lang w:eastAsia="fr-FR" w:bidi="fr-FR"/>
          <w14:ligatures w14:val="standardContextual"/>
        </w:rPr>
        <w:t xml:space="preserve"> portuaria: </w:t>
      </w:r>
      <w:r w:rsidRPr="00F0379B">
        <w:rPr>
          <w:rFonts w:ascii="Cambria" w:eastAsia="Malgun Gothic" w:hAnsi="Cambria"/>
          <w:bCs/>
          <w:iCs/>
          <w:kern w:val="2"/>
          <w:sz w:val="20"/>
          <w:szCs w:val="20"/>
          <w:lang w:eastAsia="fr-FR" w:bidi="fr-FR"/>
          <w14:ligatures w14:val="standardContextual"/>
        </w:rPr>
        <w:t>División de cuarentena e inspección, Servicio nacional de gestión de la calidad de los productos pesqueros</w:t>
      </w:r>
    </w:p>
    <w:p w14:paraId="336A6A98" w14:textId="77777777" w:rsidR="009123AC" w:rsidRPr="00F0379B" w:rsidRDefault="009123AC" w:rsidP="009123AC">
      <w:pPr>
        <w:spacing w:after="0" w:line="240" w:lineRule="auto"/>
        <w:ind w:left="720"/>
        <w:jc w:val="both"/>
        <w:rPr>
          <w:rFonts w:ascii="Cambria" w:eastAsia="Malgun Gothic" w:hAnsi="Cambria"/>
          <w:bCs/>
          <w:iCs/>
          <w:kern w:val="2"/>
          <w:sz w:val="20"/>
          <w:szCs w:val="20"/>
          <w:lang w:val="pt-BR" w:eastAsia="fr-FR" w:bidi="fr-FR"/>
          <w14:ligatures w14:val="standardContextual"/>
        </w:rPr>
      </w:pPr>
      <w:r w:rsidRPr="00F0379B">
        <w:rPr>
          <w:rFonts w:ascii="Cambria" w:eastAsia="Malgun Gothic" w:hAnsi="Cambria"/>
          <w:bCs/>
          <w:iCs/>
          <w:kern w:val="2"/>
          <w:sz w:val="20"/>
          <w:szCs w:val="20"/>
          <w:lang w:val="pt-BR" w:eastAsia="fr-FR" w:bidi="fr-FR"/>
          <w14:ligatures w14:val="standardContextual"/>
        </w:rPr>
        <w:t xml:space="preserve">Sra. </w:t>
      </w:r>
      <w:proofErr w:type="spellStart"/>
      <w:r w:rsidRPr="00F0379B">
        <w:rPr>
          <w:rFonts w:ascii="Cambria" w:eastAsia="Malgun Gothic" w:hAnsi="Cambria"/>
          <w:bCs/>
          <w:iCs/>
          <w:color w:val="000000" w:themeColor="text1"/>
          <w:kern w:val="2"/>
          <w:sz w:val="20"/>
          <w:szCs w:val="20"/>
          <w:lang w:val="pt-BR" w:eastAsia="fr-FR" w:bidi="fr-FR"/>
          <w14:ligatures w14:val="standardContextual"/>
        </w:rPr>
        <w:t>Minkyung</w:t>
      </w:r>
      <w:proofErr w:type="spellEnd"/>
      <w:r w:rsidRPr="00F0379B">
        <w:rPr>
          <w:rFonts w:ascii="Cambria" w:eastAsia="Malgun Gothic" w:hAnsi="Cambria"/>
          <w:bCs/>
          <w:iCs/>
          <w:color w:val="000000" w:themeColor="text1"/>
          <w:kern w:val="2"/>
          <w:sz w:val="20"/>
          <w:szCs w:val="20"/>
          <w:lang w:val="pt-BR" w:eastAsia="fr-FR" w:bidi="fr-FR"/>
          <w14:ligatures w14:val="standardContextual"/>
        </w:rPr>
        <w:t xml:space="preserve"> Kim / </w:t>
      </w:r>
      <w:hyperlink r:id="rId155" w:history="1">
        <w:r w:rsidRPr="00F0379B">
          <w:rPr>
            <w:rFonts w:ascii="Cambria" w:eastAsia="Malgun Gothic" w:hAnsi="Cambria"/>
            <w:iCs/>
            <w:color w:val="000000" w:themeColor="text1"/>
            <w:kern w:val="2"/>
            <w:sz w:val="20"/>
            <w:szCs w:val="20"/>
            <w:lang w:val="pt-BR" w:eastAsia="fr-FR" w:bidi="fr-FR"/>
            <w14:ligatures w14:val="standardContextual"/>
          </w:rPr>
          <w:t>kyung91206@korea.kr</w:t>
        </w:r>
      </w:hyperlink>
      <w:r w:rsidRPr="00F0379B">
        <w:rPr>
          <w:rFonts w:ascii="Cambria" w:eastAsia="Malgun Gothic" w:hAnsi="Cambria"/>
          <w:bCs/>
          <w:iCs/>
          <w:color w:val="000000" w:themeColor="text1"/>
          <w:kern w:val="2"/>
          <w:sz w:val="20"/>
          <w:szCs w:val="20"/>
          <w:lang w:val="pt-BR" w:eastAsia="fr-FR" w:bidi="fr-FR"/>
          <w14:ligatures w14:val="standardContextual"/>
        </w:rPr>
        <w:t xml:space="preserve"> </w:t>
      </w:r>
      <w:r w:rsidRPr="00F0379B">
        <w:rPr>
          <w:rFonts w:ascii="Cambria" w:eastAsia="Malgun Gothic" w:hAnsi="Cambria"/>
          <w:bCs/>
          <w:iCs/>
          <w:kern w:val="2"/>
          <w:sz w:val="20"/>
          <w:szCs w:val="20"/>
          <w:lang w:val="pt-BR" w:eastAsia="fr-FR" w:bidi="fr-FR"/>
          <w14:ligatures w14:val="standardContextual"/>
        </w:rPr>
        <w:t>/ (+82) 51- 400-5741</w:t>
      </w:r>
    </w:p>
    <w:p w14:paraId="14881400" w14:textId="77777777" w:rsidR="009123AC" w:rsidRPr="00F0379B" w:rsidRDefault="009123AC" w:rsidP="009123AC">
      <w:pPr>
        <w:spacing w:after="0" w:line="240" w:lineRule="auto"/>
        <w:jc w:val="both"/>
        <w:rPr>
          <w:rFonts w:ascii="Cambria" w:eastAsia="Malgun Gothic" w:hAnsi="Cambria" w:cs="Times New Roman"/>
          <w:sz w:val="20"/>
          <w:szCs w:val="20"/>
          <w:lang w:val="pt-BR" w:eastAsia="fr-FR" w:bidi="fr-FR"/>
          <w14:ligatures w14:val="standardContextual"/>
        </w:rPr>
      </w:pPr>
    </w:p>
    <w:p w14:paraId="4374021E" w14:textId="77777777" w:rsidR="009123AC" w:rsidRPr="00F0379B" w:rsidRDefault="009123AC" w:rsidP="009123AC">
      <w:pPr>
        <w:tabs>
          <w:tab w:val="left" w:pos="426"/>
        </w:tabs>
        <w:spacing w:after="0" w:line="240" w:lineRule="auto"/>
        <w:jc w:val="both"/>
        <w:rPr>
          <w:rFonts w:ascii="Cambria" w:eastAsia="MS Gothic" w:hAnsi="Cambria" w:cs="Times New Roman"/>
          <w:b/>
          <w:i/>
          <w:iCs/>
          <w:sz w:val="20"/>
          <w:szCs w:val="20"/>
          <w:lang w:eastAsia="fr-FR" w:bidi="fr-FR"/>
          <w14:ligatures w14:val="standardContextual"/>
        </w:rPr>
      </w:pPr>
      <w:r w:rsidRPr="00F0379B">
        <w:rPr>
          <w:rFonts w:ascii="Cambria" w:eastAsia="MS Gothic" w:hAnsi="Cambria" w:cs="Times New Roman"/>
          <w:b/>
          <w:i/>
          <w:iCs/>
          <w:sz w:val="20"/>
          <w:szCs w:val="20"/>
          <w:lang w:eastAsia="fr-FR" w:bidi="fr-FR"/>
          <w14:ligatures w14:val="standardContextual"/>
        </w:rPr>
        <w:t>5 b)</w:t>
      </w:r>
      <w:r w:rsidRPr="00F0379B">
        <w:rPr>
          <w:rFonts w:ascii="Cambria" w:eastAsia="MS Gothic" w:hAnsi="Cambria" w:cs="Times New Roman"/>
          <w:b/>
          <w:i/>
          <w:iCs/>
          <w:sz w:val="20"/>
          <w:szCs w:val="20"/>
          <w:lang w:eastAsia="fr-FR" w:bidi="fr-FR"/>
          <w14:ligatures w14:val="standardContextual"/>
        </w:rPr>
        <w:tab/>
        <w:t>Programa conjunto de Inspección internacional (párrs. 232-235)</w:t>
      </w:r>
    </w:p>
    <w:p w14:paraId="548202A0" w14:textId="77777777" w:rsidR="009123AC" w:rsidRPr="00F0379B" w:rsidRDefault="009123AC" w:rsidP="009123AC">
      <w:pPr>
        <w:spacing w:after="0" w:line="240" w:lineRule="auto"/>
        <w:jc w:val="both"/>
        <w:rPr>
          <w:rFonts w:ascii="Cambria" w:eastAsia="MS Gothic" w:hAnsi="Cambria" w:cs="Times New Roman"/>
          <w:b/>
          <w:sz w:val="20"/>
          <w:szCs w:val="20"/>
          <w:lang w:eastAsia="fr-FR" w:bidi="fr-FR"/>
          <w14:ligatures w14:val="standardContextual"/>
        </w:rPr>
      </w:pPr>
    </w:p>
    <w:p w14:paraId="1AABAA24" w14:textId="77777777" w:rsidR="009123AC" w:rsidRPr="00F0379B" w:rsidRDefault="009123AC" w:rsidP="009123AC">
      <w:pPr>
        <w:spacing w:after="0" w:line="240" w:lineRule="auto"/>
        <w:jc w:val="both"/>
        <w:rPr>
          <w:rFonts w:ascii="Cambria" w:eastAsia="Malgun Gothic" w:hAnsi="Cambria" w:cs="Times New Roman"/>
          <w:sz w:val="20"/>
          <w:szCs w:val="20"/>
          <w:lang w:eastAsia="fr-FR" w:bidi="fr-FR"/>
          <w14:ligatures w14:val="standardContextual"/>
        </w:rPr>
      </w:pPr>
      <w:r w:rsidRPr="00F0379B">
        <w:rPr>
          <w:rFonts w:ascii="Cambria" w:eastAsia="MS Gothic" w:hAnsi="Cambria" w:cs="Times New Roman"/>
          <w:sz w:val="20"/>
          <w:szCs w:val="20"/>
          <w:lang w:eastAsia="fr-FR" w:bidi="fr-FR"/>
          <w14:ligatures w14:val="standardContextual"/>
        </w:rPr>
        <w:t>Corea no tiene ningún plan de tener un buque de inspección en la zona del Convenio de ICCAT en 2026 para el Programa conjunto de Inspección internacional, pero los buques pesqueros de Corea cooperarán plenamente con las actividades de visita e inspección.</w:t>
      </w:r>
    </w:p>
    <w:p w14:paraId="46AADDC7" w14:textId="77777777" w:rsidR="009123AC" w:rsidRPr="00F0379B" w:rsidRDefault="009123AC" w:rsidP="009123AC">
      <w:pPr>
        <w:spacing w:after="0" w:line="240" w:lineRule="auto"/>
        <w:jc w:val="both"/>
        <w:rPr>
          <w:rFonts w:ascii="Cambria" w:eastAsia="MS Gothic" w:hAnsi="Cambria" w:cs="Times New Roman"/>
          <w:i/>
          <w:sz w:val="20"/>
          <w:szCs w:val="20"/>
          <w:lang w:eastAsia="fr-FR" w:bidi="fr-FR"/>
          <w14:ligatures w14:val="standardContextual"/>
        </w:rPr>
      </w:pPr>
    </w:p>
    <w:p w14:paraId="240AE5B3" w14:textId="77777777" w:rsidR="009123AC" w:rsidRPr="00F0379B" w:rsidRDefault="009123AC" w:rsidP="009123AC">
      <w:pPr>
        <w:spacing w:after="0" w:line="240" w:lineRule="auto"/>
        <w:jc w:val="both"/>
        <w:rPr>
          <w:rFonts w:ascii="Cambria" w:eastAsia="MS Gothic" w:hAnsi="Cambria" w:cs="Times New Roman"/>
          <w:b/>
          <w:bCs/>
          <w:iCs/>
          <w:sz w:val="20"/>
          <w:szCs w:val="20"/>
          <w:lang w:eastAsia="fr-FR" w:bidi="fr-FR"/>
          <w14:ligatures w14:val="standardContextual"/>
        </w:rPr>
      </w:pPr>
      <w:r w:rsidRPr="00F0379B">
        <w:rPr>
          <w:rFonts w:ascii="Cambria" w:eastAsia="MS Gothic" w:hAnsi="Cambria" w:cs="Times New Roman"/>
          <w:b/>
          <w:bCs/>
          <w:iCs/>
          <w:sz w:val="20"/>
          <w:szCs w:val="20"/>
          <w:lang w:eastAsia="fr-FR" w:bidi="fr-FR"/>
          <w14:ligatures w14:val="standardContextual"/>
        </w:rPr>
        <w:t>6. Otros</w:t>
      </w:r>
    </w:p>
    <w:p w14:paraId="511AC5AA" w14:textId="77777777" w:rsidR="009123AC" w:rsidRPr="00F0379B" w:rsidRDefault="009123AC" w:rsidP="009123AC">
      <w:pPr>
        <w:spacing w:after="0" w:line="240" w:lineRule="auto"/>
        <w:jc w:val="both"/>
        <w:rPr>
          <w:rFonts w:ascii="Cambria" w:eastAsia="MS Gothic" w:hAnsi="Cambria" w:cs="Times New Roman"/>
          <w:b/>
          <w:bCs/>
          <w:iCs/>
          <w:sz w:val="20"/>
          <w:szCs w:val="20"/>
          <w:lang w:eastAsia="fr-FR" w:bidi="fr-FR"/>
          <w14:ligatures w14:val="standardContextual"/>
        </w:rPr>
      </w:pPr>
    </w:p>
    <w:p w14:paraId="0B1DE919" w14:textId="77777777" w:rsidR="009123AC" w:rsidRPr="00F0379B" w:rsidRDefault="009123AC" w:rsidP="009123AC">
      <w:pPr>
        <w:spacing w:after="0" w:line="240" w:lineRule="auto"/>
        <w:jc w:val="both"/>
        <w:rPr>
          <w:rFonts w:ascii="Cambria" w:eastAsia="MS Gothic" w:hAnsi="Cambria" w:cs="Times New Roman"/>
          <w:iCs/>
          <w:sz w:val="20"/>
          <w:szCs w:val="20"/>
          <w:lang w:eastAsia="fr-FR" w:bidi="fr-FR"/>
          <w14:ligatures w14:val="standardContextual"/>
        </w:rPr>
        <w:sectPr w:rsidR="009123AC" w:rsidRPr="00F0379B" w:rsidSect="009123AC">
          <w:type w:val="continuous"/>
          <w:pgSz w:w="11906" w:h="16838" w:code="9"/>
          <w:pgMar w:top="1418" w:right="1418" w:bottom="1418" w:left="1418" w:header="851" w:footer="1134" w:gutter="0"/>
          <w:cols w:space="425"/>
          <w:docGrid w:linePitch="360"/>
        </w:sectPr>
      </w:pPr>
      <w:r w:rsidRPr="00F0379B">
        <w:rPr>
          <w:rFonts w:ascii="Cambria" w:eastAsia="MS Gothic" w:hAnsi="Cambria" w:cs="Times New Roman"/>
          <w:iCs/>
          <w:sz w:val="20"/>
          <w:szCs w:val="20"/>
          <w:lang w:eastAsia="fr-FR" w:bidi="fr-FR"/>
          <w14:ligatures w14:val="standardContextual"/>
        </w:rPr>
        <w:t>Ninguno.</w:t>
      </w:r>
    </w:p>
    <w:p w14:paraId="15840B7F" w14:textId="77777777" w:rsidR="009123AC" w:rsidRPr="00F0379B" w:rsidRDefault="009123AC" w:rsidP="009123AC">
      <w:pPr>
        <w:spacing w:after="0" w:line="240" w:lineRule="auto"/>
        <w:rPr>
          <w:rFonts w:ascii="Cambria" w:eastAsia="MS Gothic" w:hAnsi="Cambria" w:cs="Times New Roman"/>
          <w:b/>
          <w:bCs/>
          <w:iCs/>
          <w:sz w:val="20"/>
          <w:szCs w:val="20"/>
          <w:lang w:eastAsia="fr-FR" w:bidi="fr-FR"/>
          <w14:ligatures w14:val="standardContextual"/>
        </w:rPr>
      </w:pPr>
      <w:r w:rsidRPr="00F0379B">
        <w:rPr>
          <w:rFonts w:ascii="Cambria" w:eastAsia="MS Gothic" w:hAnsi="Cambria" w:cs="Times New Roman"/>
          <w:b/>
          <w:bCs/>
          <w:iCs/>
          <w:sz w:val="20"/>
          <w:szCs w:val="20"/>
          <w:lang w:eastAsia="fr-FR" w:bidi="fr-FR"/>
          <w14:ligatures w14:val="standardContextual"/>
        </w:rPr>
        <w:t>Tabla de capacidad</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0"/>
        <w:gridCol w:w="1673"/>
        <w:gridCol w:w="850"/>
        <w:gridCol w:w="567"/>
        <w:gridCol w:w="709"/>
        <w:gridCol w:w="567"/>
        <w:gridCol w:w="567"/>
        <w:gridCol w:w="709"/>
        <w:gridCol w:w="567"/>
        <w:gridCol w:w="283"/>
        <w:gridCol w:w="567"/>
        <w:gridCol w:w="567"/>
        <w:gridCol w:w="709"/>
        <w:gridCol w:w="709"/>
        <w:gridCol w:w="708"/>
        <w:gridCol w:w="851"/>
        <w:gridCol w:w="850"/>
      </w:tblGrid>
      <w:tr w:rsidR="009123AC" w:rsidRPr="00F0379B" w14:paraId="7F580001" w14:textId="77777777" w:rsidTr="00CA749B">
        <w:trPr>
          <w:trHeight w:val="23"/>
        </w:trPr>
        <w:tc>
          <w:tcPr>
            <w:tcW w:w="2150" w:type="dxa"/>
            <w:noWrap/>
            <w:vAlign w:val="center"/>
            <w:hideMark/>
          </w:tcPr>
          <w:p w14:paraId="05B9CF72" w14:textId="77777777" w:rsidR="009123AC" w:rsidRPr="00F0379B" w:rsidRDefault="009123AC" w:rsidP="009123AC">
            <w:pPr>
              <w:keepNext/>
              <w:spacing w:after="0" w:line="240" w:lineRule="auto"/>
              <w:jc w:val="center"/>
              <w:outlineLvl w:val="1"/>
              <w:rPr>
                <w:rFonts w:ascii="Cambria" w:eastAsia="Times New Roman" w:hAnsi="Cambria" w:cs="Calibri"/>
                <w:i/>
                <w:iCs/>
                <w:sz w:val="14"/>
                <w:szCs w:val="14"/>
                <w:lang w:eastAsia="fr-FR" w:bidi="fr-FR"/>
              </w:rPr>
            </w:pPr>
            <w:r w:rsidRPr="00F0379B">
              <w:rPr>
                <w:rFonts w:ascii="Cambria" w:eastAsia="MS Gothic" w:hAnsi="Cambria" w:cs="Times New Roman"/>
                <w:i/>
                <w:sz w:val="14"/>
                <w:szCs w:val="14"/>
                <w:lang w:eastAsia="fr-FR" w:bidi="fr-FR"/>
              </w:rPr>
              <w:t>Tipo de buque atunero</w:t>
            </w:r>
          </w:p>
        </w:tc>
        <w:tc>
          <w:tcPr>
            <w:tcW w:w="1673" w:type="dxa"/>
            <w:noWrap/>
            <w:vAlign w:val="center"/>
            <w:hideMark/>
          </w:tcPr>
          <w:p w14:paraId="445806C1"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126" w:type="dxa"/>
            <w:gridSpan w:val="3"/>
          </w:tcPr>
          <w:p w14:paraId="0007F8C0" w14:textId="77777777" w:rsidR="009123AC" w:rsidRPr="00F0379B" w:rsidRDefault="009123AC" w:rsidP="009123AC">
            <w:pPr>
              <w:spacing w:after="0" w:line="240" w:lineRule="auto"/>
              <w:jc w:val="center"/>
              <w:rPr>
                <w:rFonts w:ascii="Cambria" w:eastAsia="Times New Roman" w:hAnsi="Cambria" w:cs="Calibri"/>
                <w:i/>
                <w:iCs/>
                <w:sz w:val="14"/>
                <w:szCs w:val="14"/>
                <w:lang w:eastAsia="fr-FR" w:bidi="fr-FR"/>
              </w:rPr>
            </w:pPr>
            <w:r w:rsidRPr="00F0379B">
              <w:rPr>
                <w:rFonts w:ascii="Cambria" w:eastAsia="MS Gothic" w:hAnsi="Cambria" w:cs="Times New Roman"/>
                <w:i/>
                <w:sz w:val="14"/>
                <w:szCs w:val="14"/>
                <w:lang w:eastAsia="fr-FR" w:bidi="fr-FR"/>
              </w:rPr>
              <w:t>Años de referencia</w:t>
            </w:r>
          </w:p>
        </w:tc>
        <w:tc>
          <w:tcPr>
            <w:tcW w:w="2410" w:type="dxa"/>
            <w:gridSpan w:val="4"/>
            <w:vAlign w:val="center"/>
          </w:tcPr>
          <w:p w14:paraId="4CDEA109" w14:textId="77777777" w:rsidR="009123AC" w:rsidRPr="00F0379B" w:rsidRDefault="009123AC" w:rsidP="009123AC">
            <w:pPr>
              <w:spacing w:after="0" w:line="240" w:lineRule="auto"/>
              <w:jc w:val="center"/>
              <w:rPr>
                <w:rFonts w:ascii="Cambria" w:eastAsia="Times New Roman" w:hAnsi="Cambria" w:cs="Times New Roman"/>
                <w:sz w:val="14"/>
                <w:szCs w:val="14"/>
                <w:lang w:eastAsia="fr-FR" w:bidi="fr-FR"/>
              </w:rPr>
            </w:pPr>
            <w:r w:rsidRPr="00F0379B">
              <w:rPr>
                <w:rFonts w:ascii="Cambria" w:eastAsia="MS Gothic" w:hAnsi="Cambria" w:cs="Times New Roman"/>
                <w:i/>
                <w:sz w:val="14"/>
                <w:szCs w:val="14"/>
                <w:lang w:eastAsia="fr-FR" w:bidi="fr-FR"/>
              </w:rPr>
              <w:t>N.º de buques</w:t>
            </w:r>
          </w:p>
        </w:tc>
        <w:tc>
          <w:tcPr>
            <w:tcW w:w="283" w:type="dxa"/>
            <w:shd w:val="clear" w:color="auto" w:fill="D9D9D9"/>
            <w:vAlign w:val="center"/>
            <w:hideMark/>
          </w:tcPr>
          <w:p w14:paraId="13D4B475" w14:textId="77777777" w:rsidR="009123AC" w:rsidRPr="00F0379B" w:rsidRDefault="009123AC" w:rsidP="009123AC">
            <w:pPr>
              <w:spacing w:after="0" w:line="240" w:lineRule="auto"/>
              <w:jc w:val="center"/>
              <w:rPr>
                <w:rFonts w:ascii="Cambria" w:eastAsia="Times New Roman" w:hAnsi="Cambria" w:cs="Times New Roman"/>
                <w:sz w:val="14"/>
                <w:szCs w:val="14"/>
                <w:lang w:val="en-US" w:eastAsia="ja-JP"/>
              </w:rPr>
            </w:pPr>
          </w:p>
        </w:tc>
        <w:tc>
          <w:tcPr>
            <w:tcW w:w="1843" w:type="dxa"/>
            <w:gridSpan w:val="3"/>
          </w:tcPr>
          <w:p w14:paraId="621BB9FA" w14:textId="77777777" w:rsidR="009123AC" w:rsidRPr="00F0379B" w:rsidRDefault="009123AC" w:rsidP="009123AC">
            <w:pPr>
              <w:spacing w:after="0" w:line="240" w:lineRule="auto"/>
              <w:jc w:val="center"/>
              <w:rPr>
                <w:rFonts w:ascii="Cambria" w:eastAsia="Times New Roman" w:hAnsi="Cambria" w:cs="Calibri"/>
                <w:i/>
                <w:iCs/>
                <w:sz w:val="14"/>
                <w:szCs w:val="14"/>
                <w:lang w:eastAsia="fr-FR" w:bidi="fr-FR"/>
              </w:rPr>
            </w:pPr>
            <w:r w:rsidRPr="00F0379B">
              <w:rPr>
                <w:rFonts w:ascii="Cambria" w:eastAsia="MS Gothic" w:hAnsi="Cambria" w:cs="Times New Roman"/>
                <w:i/>
                <w:sz w:val="14"/>
                <w:szCs w:val="14"/>
                <w:lang w:eastAsia="fr-FR" w:bidi="fr-FR"/>
              </w:rPr>
              <w:t>Años de referencia</w:t>
            </w:r>
          </w:p>
        </w:tc>
        <w:tc>
          <w:tcPr>
            <w:tcW w:w="3118" w:type="dxa"/>
            <w:gridSpan w:val="4"/>
          </w:tcPr>
          <w:p w14:paraId="5CBAA4FA" w14:textId="77777777" w:rsidR="009123AC" w:rsidRPr="00F0379B" w:rsidRDefault="009123AC" w:rsidP="009123AC">
            <w:pPr>
              <w:spacing w:after="0" w:line="240" w:lineRule="auto"/>
              <w:jc w:val="center"/>
              <w:rPr>
                <w:rFonts w:ascii="Cambria" w:eastAsia="Times New Roman" w:hAnsi="Cambria" w:cs="Calibri"/>
                <w:i/>
                <w:iCs/>
                <w:sz w:val="14"/>
                <w:szCs w:val="14"/>
                <w:lang w:eastAsia="fr-FR" w:bidi="fr-FR"/>
              </w:rPr>
            </w:pPr>
            <w:r w:rsidRPr="00F0379B">
              <w:rPr>
                <w:rFonts w:ascii="Cambria" w:eastAsia="MS Gothic" w:hAnsi="Cambria" w:cs="Times New Roman"/>
                <w:i/>
                <w:sz w:val="14"/>
                <w:szCs w:val="14"/>
                <w:lang w:eastAsia="fr-FR" w:bidi="fr-FR"/>
              </w:rPr>
              <w:t>Capacidad de pesca</w:t>
            </w:r>
          </w:p>
        </w:tc>
      </w:tr>
      <w:tr w:rsidR="009123AC" w:rsidRPr="00F0379B" w14:paraId="2D6E2D4A" w14:textId="77777777" w:rsidTr="00CA749B">
        <w:trPr>
          <w:trHeight w:val="23"/>
        </w:trPr>
        <w:tc>
          <w:tcPr>
            <w:tcW w:w="2150" w:type="dxa"/>
            <w:tcBorders>
              <w:bottom w:val="single" w:sz="12" w:space="0" w:color="000000"/>
            </w:tcBorders>
            <w:noWrap/>
            <w:vAlign w:val="center"/>
            <w:hideMark/>
          </w:tcPr>
          <w:p w14:paraId="6E0529DC"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Tipo</w:t>
            </w:r>
          </w:p>
        </w:tc>
        <w:tc>
          <w:tcPr>
            <w:tcW w:w="1673" w:type="dxa"/>
            <w:tcBorders>
              <w:bottom w:val="single" w:sz="12" w:space="0" w:color="000000"/>
            </w:tcBorders>
            <w:vAlign w:val="center"/>
            <w:hideMark/>
          </w:tcPr>
          <w:p w14:paraId="5723D4B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Mejores tasas de captura definidas por el SCRS en 2009 (t)</w:t>
            </w:r>
          </w:p>
        </w:tc>
        <w:tc>
          <w:tcPr>
            <w:tcW w:w="850" w:type="dxa"/>
            <w:tcBorders>
              <w:bottom w:val="single" w:sz="12" w:space="0" w:color="000000"/>
            </w:tcBorders>
            <w:vAlign w:val="center"/>
          </w:tcPr>
          <w:p w14:paraId="14A4F4D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2006</w:t>
            </w:r>
          </w:p>
        </w:tc>
        <w:tc>
          <w:tcPr>
            <w:tcW w:w="567" w:type="dxa"/>
            <w:tcBorders>
              <w:bottom w:val="single" w:sz="12" w:space="0" w:color="000000"/>
            </w:tcBorders>
            <w:noWrap/>
            <w:vAlign w:val="center"/>
            <w:hideMark/>
          </w:tcPr>
          <w:p w14:paraId="1752571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2008</w:t>
            </w:r>
          </w:p>
        </w:tc>
        <w:tc>
          <w:tcPr>
            <w:tcW w:w="709" w:type="dxa"/>
            <w:tcBorders>
              <w:bottom w:val="single" w:sz="12" w:space="0" w:color="000000"/>
            </w:tcBorders>
            <w:vAlign w:val="center"/>
            <w:hideMark/>
          </w:tcPr>
          <w:p w14:paraId="4CE4E06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2018</w:t>
            </w:r>
          </w:p>
        </w:tc>
        <w:tc>
          <w:tcPr>
            <w:tcW w:w="567" w:type="dxa"/>
            <w:tcBorders>
              <w:bottom w:val="single" w:sz="12" w:space="0" w:color="000000"/>
            </w:tcBorders>
            <w:vAlign w:val="center"/>
            <w:hideMark/>
          </w:tcPr>
          <w:p w14:paraId="0381CCB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2023</w:t>
            </w:r>
          </w:p>
        </w:tc>
        <w:tc>
          <w:tcPr>
            <w:tcW w:w="567" w:type="dxa"/>
            <w:tcBorders>
              <w:bottom w:val="single" w:sz="12" w:space="0" w:color="000000"/>
            </w:tcBorders>
            <w:vAlign w:val="center"/>
            <w:hideMark/>
          </w:tcPr>
          <w:p w14:paraId="2596BD7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2024</w:t>
            </w:r>
          </w:p>
        </w:tc>
        <w:tc>
          <w:tcPr>
            <w:tcW w:w="709" w:type="dxa"/>
            <w:tcBorders>
              <w:bottom w:val="single" w:sz="12" w:space="0" w:color="000000"/>
            </w:tcBorders>
            <w:vAlign w:val="center"/>
          </w:tcPr>
          <w:p w14:paraId="22EFD1F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2025</w:t>
            </w:r>
          </w:p>
        </w:tc>
        <w:tc>
          <w:tcPr>
            <w:tcW w:w="567" w:type="dxa"/>
            <w:tcBorders>
              <w:bottom w:val="single" w:sz="12" w:space="0" w:color="000000"/>
            </w:tcBorders>
            <w:vAlign w:val="center"/>
          </w:tcPr>
          <w:p w14:paraId="655749C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2026</w:t>
            </w:r>
          </w:p>
        </w:tc>
        <w:tc>
          <w:tcPr>
            <w:tcW w:w="283" w:type="dxa"/>
            <w:tcBorders>
              <w:bottom w:val="single" w:sz="12" w:space="0" w:color="000000"/>
            </w:tcBorders>
            <w:shd w:val="clear" w:color="000000" w:fill="D9D9D9"/>
            <w:vAlign w:val="center"/>
            <w:hideMark/>
          </w:tcPr>
          <w:p w14:paraId="60B6F91D"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tcBorders>
              <w:bottom w:val="single" w:sz="12" w:space="0" w:color="000000"/>
            </w:tcBorders>
            <w:vAlign w:val="center"/>
          </w:tcPr>
          <w:p w14:paraId="667FBDD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2006</w:t>
            </w:r>
          </w:p>
        </w:tc>
        <w:tc>
          <w:tcPr>
            <w:tcW w:w="567" w:type="dxa"/>
            <w:tcBorders>
              <w:bottom w:val="single" w:sz="12" w:space="0" w:color="000000"/>
            </w:tcBorders>
            <w:vAlign w:val="center"/>
            <w:hideMark/>
          </w:tcPr>
          <w:p w14:paraId="4DA338C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2008</w:t>
            </w:r>
          </w:p>
        </w:tc>
        <w:tc>
          <w:tcPr>
            <w:tcW w:w="709" w:type="dxa"/>
            <w:tcBorders>
              <w:bottom w:val="single" w:sz="12" w:space="0" w:color="000000"/>
            </w:tcBorders>
            <w:vAlign w:val="center"/>
            <w:hideMark/>
          </w:tcPr>
          <w:p w14:paraId="09C4EE7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2018</w:t>
            </w:r>
          </w:p>
        </w:tc>
        <w:tc>
          <w:tcPr>
            <w:tcW w:w="709" w:type="dxa"/>
            <w:tcBorders>
              <w:bottom w:val="single" w:sz="12" w:space="0" w:color="000000"/>
            </w:tcBorders>
            <w:vAlign w:val="center"/>
            <w:hideMark/>
          </w:tcPr>
          <w:p w14:paraId="62FC7D4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2023</w:t>
            </w:r>
          </w:p>
        </w:tc>
        <w:tc>
          <w:tcPr>
            <w:tcW w:w="708" w:type="dxa"/>
            <w:tcBorders>
              <w:bottom w:val="single" w:sz="12" w:space="0" w:color="000000"/>
            </w:tcBorders>
            <w:vAlign w:val="center"/>
            <w:hideMark/>
          </w:tcPr>
          <w:p w14:paraId="0B5FF6C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2024</w:t>
            </w:r>
          </w:p>
        </w:tc>
        <w:tc>
          <w:tcPr>
            <w:tcW w:w="851" w:type="dxa"/>
            <w:tcBorders>
              <w:bottom w:val="single" w:sz="12" w:space="0" w:color="000000"/>
            </w:tcBorders>
            <w:vAlign w:val="center"/>
            <w:hideMark/>
          </w:tcPr>
          <w:p w14:paraId="7B8AD0C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2025</w:t>
            </w:r>
          </w:p>
        </w:tc>
        <w:tc>
          <w:tcPr>
            <w:tcW w:w="850" w:type="dxa"/>
            <w:tcBorders>
              <w:bottom w:val="single" w:sz="12" w:space="0" w:color="000000"/>
            </w:tcBorders>
            <w:vAlign w:val="center"/>
          </w:tcPr>
          <w:p w14:paraId="17798EF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2026</w:t>
            </w:r>
          </w:p>
        </w:tc>
      </w:tr>
      <w:tr w:rsidR="009123AC" w:rsidRPr="00F0379B" w14:paraId="2C634025" w14:textId="77777777" w:rsidTr="00CA749B">
        <w:trPr>
          <w:trHeight w:val="247"/>
        </w:trPr>
        <w:tc>
          <w:tcPr>
            <w:tcW w:w="2150" w:type="dxa"/>
            <w:tcBorders>
              <w:top w:val="single" w:sz="12" w:space="0" w:color="000000"/>
              <w:left w:val="single" w:sz="12" w:space="0" w:color="000000"/>
            </w:tcBorders>
            <w:noWrap/>
            <w:vAlign w:val="center"/>
            <w:hideMark/>
          </w:tcPr>
          <w:p w14:paraId="76CC3304"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Cerqueros de más de 40 m</w:t>
            </w:r>
          </w:p>
        </w:tc>
        <w:tc>
          <w:tcPr>
            <w:tcW w:w="1673" w:type="dxa"/>
            <w:tcBorders>
              <w:top w:val="single" w:sz="12" w:space="0" w:color="000000"/>
            </w:tcBorders>
            <w:noWrap/>
            <w:vAlign w:val="center"/>
            <w:hideMark/>
          </w:tcPr>
          <w:p w14:paraId="12CE171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70,66</w:t>
            </w:r>
          </w:p>
        </w:tc>
        <w:tc>
          <w:tcPr>
            <w:tcW w:w="850" w:type="dxa"/>
            <w:tcBorders>
              <w:top w:val="single" w:sz="12" w:space="0" w:color="000000"/>
            </w:tcBorders>
            <w:vAlign w:val="center"/>
          </w:tcPr>
          <w:p w14:paraId="0757AF56"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top w:val="single" w:sz="12" w:space="0" w:color="000000"/>
            </w:tcBorders>
            <w:noWrap/>
            <w:vAlign w:val="center"/>
            <w:hideMark/>
          </w:tcPr>
          <w:p w14:paraId="49EE26A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tcBorders>
              <w:top w:val="single" w:sz="12" w:space="0" w:color="000000"/>
            </w:tcBorders>
            <w:vAlign w:val="center"/>
            <w:hideMark/>
          </w:tcPr>
          <w:p w14:paraId="504D6ED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vAlign w:val="center"/>
            <w:hideMark/>
          </w:tcPr>
          <w:p w14:paraId="45A130D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vAlign w:val="center"/>
            <w:hideMark/>
          </w:tcPr>
          <w:p w14:paraId="53DAF3E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tcBorders>
              <w:top w:val="single" w:sz="12" w:space="0" w:color="000000"/>
            </w:tcBorders>
            <w:vAlign w:val="center"/>
          </w:tcPr>
          <w:p w14:paraId="11CAE7CA"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tcBorders>
              <w:top w:val="single" w:sz="12" w:space="0" w:color="000000"/>
            </w:tcBorders>
            <w:vAlign w:val="center"/>
          </w:tcPr>
          <w:p w14:paraId="302AFD30"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tcBorders>
              <w:top w:val="single" w:sz="12" w:space="0" w:color="000000"/>
            </w:tcBorders>
            <w:shd w:val="clear" w:color="000000" w:fill="D9D9D9"/>
            <w:vAlign w:val="center"/>
            <w:hideMark/>
          </w:tcPr>
          <w:p w14:paraId="7C3FD4E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vAlign w:val="center"/>
          </w:tcPr>
          <w:p w14:paraId="37D6AFA7"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top w:val="single" w:sz="12" w:space="0" w:color="000000"/>
            </w:tcBorders>
            <w:vAlign w:val="center"/>
            <w:hideMark/>
          </w:tcPr>
          <w:p w14:paraId="421D738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tcBorders>
              <w:top w:val="single" w:sz="12" w:space="0" w:color="000000"/>
            </w:tcBorders>
            <w:vAlign w:val="center"/>
            <w:hideMark/>
          </w:tcPr>
          <w:p w14:paraId="7EE513E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tcBorders>
              <w:top w:val="single" w:sz="12" w:space="0" w:color="000000"/>
            </w:tcBorders>
            <w:vAlign w:val="center"/>
            <w:hideMark/>
          </w:tcPr>
          <w:p w14:paraId="353937F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tcBorders>
              <w:top w:val="single" w:sz="12" w:space="0" w:color="000000"/>
            </w:tcBorders>
            <w:vAlign w:val="center"/>
            <w:hideMark/>
          </w:tcPr>
          <w:p w14:paraId="6F240D3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tcBorders>
              <w:top w:val="single" w:sz="12" w:space="0" w:color="000000"/>
            </w:tcBorders>
            <w:vAlign w:val="center"/>
            <w:hideMark/>
          </w:tcPr>
          <w:p w14:paraId="551BC9B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tcBorders>
              <w:top w:val="single" w:sz="12" w:space="0" w:color="000000"/>
              <w:right w:val="single" w:sz="12" w:space="0" w:color="000000"/>
            </w:tcBorders>
            <w:vAlign w:val="center"/>
          </w:tcPr>
          <w:p w14:paraId="2615C640"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r>
      <w:tr w:rsidR="009123AC" w:rsidRPr="00F0379B" w14:paraId="5B81689A" w14:textId="77777777" w:rsidTr="00CA749B">
        <w:trPr>
          <w:trHeight w:val="23"/>
        </w:trPr>
        <w:tc>
          <w:tcPr>
            <w:tcW w:w="2150" w:type="dxa"/>
            <w:tcBorders>
              <w:left w:val="single" w:sz="12" w:space="0" w:color="000000"/>
            </w:tcBorders>
            <w:noWrap/>
            <w:vAlign w:val="center"/>
            <w:hideMark/>
          </w:tcPr>
          <w:p w14:paraId="76A09C70"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Cerqueros entre 24 y 40 m</w:t>
            </w:r>
          </w:p>
        </w:tc>
        <w:tc>
          <w:tcPr>
            <w:tcW w:w="1673" w:type="dxa"/>
            <w:noWrap/>
            <w:vAlign w:val="center"/>
            <w:hideMark/>
          </w:tcPr>
          <w:p w14:paraId="0A9E5C1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49,78</w:t>
            </w:r>
          </w:p>
        </w:tc>
        <w:tc>
          <w:tcPr>
            <w:tcW w:w="850" w:type="dxa"/>
            <w:vAlign w:val="center"/>
          </w:tcPr>
          <w:p w14:paraId="783FAB4E"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noWrap/>
            <w:vAlign w:val="center"/>
            <w:hideMark/>
          </w:tcPr>
          <w:p w14:paraId="3D9BBE1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1AD7F11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6948C17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2731EDD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tcPr>
          <w:p w14:paraId="417DDFCB"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vAlign w:val="center"/>
          </w:tcPr>
          <w:p w14:paraId="14FF394D"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shd w:val="clear" w:color="000000" w:fill="D9D9D9"/>
            <w:vAlign w:val="center"/>
            <w:hideMark/>
          </w:tcPr>
          <w:p w14:paraId="1E460E8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00A8E6F5"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hideMark/>
          </w:tcPr>
          <w:p w14:paraId="6AB0ED2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20874BE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01770A6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vAlign w:val="center"/>
            <w:hideMark/>
          </w:tcPr>
          <w:p w14:paraId="4ED7AB9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vAlign w:val="center"/>
            <w:hideMark/>
          </w:tcPr>
          <w:p w14:paraId="42DEE8A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tcBorders>
              <w:right w:val="single" w:sz="12" w:space="0" w:color="000000"/>
            </w:tcBorders>
            <w:vAlign w:val="center"/>
          </w:tcPr>
          <w:p w14:paraId="7C90D67D"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r>
      <w:tr w:rsidR="009123AC" w:rsidRPr="00F0379B" w14:paraId="5D93C851" w14:textId="77777777" w:rsidTr="00CA749B">
        <w:trPr>
          <w:trHeight w:val="23"/>
        </w:trPr>
        <w:tc>
          <w:tcPr>
            <w:tcW w:w="2150" w:type="dxa"/>
            <w:tcBorders>
              <w:left w:val="single" w:sz="12" w:space="0" w:color="000000"/>
            </w:tcBorders>
            <w:noWrap/>
            <w:vAlign w:val="center"/>
            <w:hideMark/>
          </w:tcPr>
          <w:p w14:paraId="0E96CB11"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Cerqueros de menos de 24 m</w:t>
            </w:r>
          </w:p>
        </w:tc>
        <w:tc>
          <w:tcPr>
            <w:tcW w:w="1673" w:type="dxa"/>
            <w:noWrap/>
            <w:vAlign w:val="center"/>
            <w:hideMark/>
          </w:tcPr>
          <w:p w14:paraId="49F90CF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33,68</w:t>
            </w:r>
          </w:p>
        </w:tc>
        <w:tc>
          <w:tcPr>
            <w:tcW w:w="850" w:type="dxa"/>
            <w:vAlign w:val="center"/>
          </w:tcPr>
          <w:p w14:paraId="727325A3"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noWrap/>
            <w:vAlign w:val="center"/>
            <w:hideMark/>
          </w:tcPr>
          <w:p w14:paraId="4677CA1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7C91839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7572158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34B044E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tcPr>
          <w:p w14:paraId="694FB3DF"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vAlign w:val="center"/>
          </w:tcPr>
          <w:p w14:paraId="31B45212"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shd w:val="clear" w:color="000000" w:fill="D9D9D9"/>
            <w:vAlign w:val="center"/>
            <w:hideMark/>
          </w:tcPr>
          <w:p w14:paraId="6DBD512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12DE61F7"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hideMark/>
          </w:tcPr>
          <w:p w14:paraId="786107A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3D70C54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2A4DF73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vAlign w:val="center"/>
            <w:hideMark/>
          </w:tcPr>
          <w:p w14:paraId="0C119D1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vAlign w:val="center"/>
            <w:hideMark/>
          </w:tcPr>
          <w:p w14:paraId="1AC490B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tcBorders>
              <w:right w:val="single" w:sz="12" w:space="0" w:color="000000"/>
            </w:tcBorders>
            <w:vAlign w:val="center"/>
          </w:tcPr>
          <w:p w14:paraId="01EF8A28"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r>
      <w:tr w:rsidR="009123AC" w:rsidRPr="00F0379B" w14:paraId="03CB5D96" w14:textId="77777777" w:rsidTr="00CA749B">
        <w:trPr>
          <w:trHeight w:val="23"/>
        </w:trPr>
        <w:tc>
          <w:tcPr>
            <w:tcW w:w="2150" w:type="dxa"/>
            <w:tcBorders>
              <w:left w:val="single" w:sz="12" w:space="0" w:color="000000"/>
            </w:tcBorders>
            <w:noWrap/>
            <w:vAlign w:val="center"/>
            <w:hideMark/>
          </w:tcPr>
          <w:p w14:paraId="0978B694"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Total flota de cerco</w:t>
            </w:r>
          </w:p>
        </w:tc>
        <w:tc>
          <w:tcPr>
            <w:tcW w:w="1673" w:type="dxa"/>
            <w:noWrap/>
            <w:vAlign w:val="center"/>
            <w:hideMark/>
          </w:tcPr>
          <w:p w14:paraId="77010C80" w14:textId="77777777" w:rsidR="009123AC" w:rsidRPr="00F0379B" w:rsidRDefault="009123AC" w:rsidP="009123AC">
            <w:pPr>
              <w:spacing w:after="0" w:line="240" w:lineRule="auto"/>
              <w:jc w:val="center"/>
              <w:rPr>
                <w:rFonts w:ascii="Cambria" w:eastAsia="Times New Roman" w:hAnsi="Cambria" w:cs="Times New Roman"/>
                <w:sz w:val="14"/>
                <w:szCs w:val="14"/>
                <w:lang w:eastAsia="fr-FR" w:bidi="fr-FR"/>
              </w:rPr>
            </w:pPr>
          </w:p>
        </w:tc>
        <w:tc>
          <w:tcPr>
            <w:tcW w:w="850" w:type="dxa"/>
            <w:vAlign w:val="center"/>
          </w:tcPr>
          <w:p w14:paraId="7E49884D"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noWrap/>
            <w:vAlign w:val="center"/>
            <w:hideMark/>
          </w:tcPr>
          <w:p w14:paraId="65FEF146"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hideMark/>
          </w:tcPr>
          <w:p w14:paraId="007AFBA7"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0914D464"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7F24C5E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tcPr>
          <w:p w14:paraId="40CA63B6"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567" w:type="dxa"/>
            <w:vAlign w:val="center"/>
          </w:tcPr>
          <w:p w14:paraId="2F602558"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shd w:val="clear" w:color="000000" w:fill="D9D9D9"/>
            <w:vAlign w:val="center"/>
            <w:hideMark/>
          </w:tcPr>
          <w:p w14:paraId="16856DD9"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17D3DF3F"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hideMark/>
          </w:tcPr>
          <w:p w14:paraId="36283D51"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hideMark/>
          </w:tcPr>
          <w:p w14:paraId="40C52691"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hideMark/>
          </w:tcPr>
          <w:p w14:paraId="66654FDB"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8" w:type="dxa"/>
            <w:vAlign w:val="center"/>
            <w:hideMark/>
          </w:tcPr>
          <w:p w14:paraId="57B573D3"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1" w:type="dxa"/>
            <w:vAlign w:val="center"/>
            <w:hideMark/>
          </w:tcPr>
          <w:p w14:paraId="67295BBD"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0" w:type="dxa"/>
            <w:tcBorders>
              <w:right w:val="single" w:sz="12" w:space="0" w:color="000000"/>
            </w:tcBorders>
            <w:vAlign w:val="center"/>
          </w:tcPr>
          <w:p w14:paraId="38B145B1"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r>
      <w:tr w:rsidR="009123AC" w:rsidRPr="00F0379B" w14:paraId="6029BC59" w14:textId="77777777" w:rsidTr="00CA749B">
        <w:trPr>
          <w:trHeight w:val="23"/>
        </w:trPr>
        <w:tc>
          <w:tcPr>
            <w:tcW w:w="2150" w:type="dxa"/>
            <w:tcBorders>
              <w:left w:val="single" w:sz="12" w:space="0" w:color="000000"/>
            </w:tcBorders>
            <w:noWrap/>
            <w:vAlign w:val="center"/>
            <w:hideMark/>
          </w:tcPr>
          <w:p w14:paraId="2BD20581"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Palangreros de más de 40 m</w:t>
            </w:r>
          </w:p>
        </w:tc>
        <w:tc>
          <w:tcPr>
            <w:tcW w:w="1673" w:type="dxa"/>
            <w:noWrap/>
            <w:vAlign w:val="center"/>
            <w:hideMark/>
          </w:tcPr>
          <w:p w14:paraId="332A00A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25</w:t>
            </w:r>
          </w:p>
        </w:tc>
        <w:tc>
          <w:tcPr>
            <w:tcW w:w="850" w:type="dxa"/>
            <w:vAlign w:val="center"/>
          </w:tcPr>
          <w:p w14:paraId="6D68CC61"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noWrap/>
            <w:vAlign w:val="center"/>
            <w:hideMark/>
          </w:tcPr>
          <w:p w14:paraId="687595C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01FFECE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Arial"/>
                <w:color w:val="000000"/>
                <w:kern w:val="2"/>
                <w:sz w:val="14"/>
                <w:szCs w:val="14"/>
                <w:lang w:val="en-US" w:eastAsia="ja-JP"/>
              </w:rPr>
              <w:t>3</w:t>
            </w:r>
          </w:p>
        </w:tc>
        <w:tc>
          <w:tcPr>
            <w:tcW w:w="567" w:type="dxa"/>
            <w:vAlign w:val="center"/>
            <w:hideMark/>
          </w:tcPr>
          <w:p w14:paraId="52302C3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Arial"/>
                <w:color w:val="000000"/>
                <w:kern w:val="2"/>
                <w:sz w:val="14"/>
                <w:szCs w:val="14"/>
                <w:lang w:val="en-GB" w:eastAsia="ja-JP"/>
              </w:rPr>
              <w:t>4</w:t>
            </w:r>
          </w:p>
        </w:tc>
        <w:tc>
          <w:tcPr>
            <w:tcW w:w="567" w:type="dxa"/>
            <w:vAlign w:val="center"/>
            <w:hideMark/>
          </w:tcPr>
          <w:p w14:paraId="1D1C183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Arial"/>
                <w:color w:val="000000"/>
                <w:kern w:val="2"/>
                <w:sz w:val="14"/>
                <w:szCs w:val="14"/>
                <w:lang w:val="en-GB" w:eastAsia="ja-JP"/>
              </w:rPr>
              <w:t>4</w:t>
            </w:r>
          </w:p>
        </w:tc>
        <w:tc>
          <w:tcPr>
            <w:tcW w:w="709" w:type="dxa"/>
            <w:vAlign w:val="center"/>
          </w:tcPr>
          <w:p w14:paraId="59D9BA3D"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Arial"/>
                <w:color w:val="000000"/>
                <w:kern w:val="2"/>
                <w:sz w:val="14"/>
                <w:szCs w:val="14"/>
                <w:lang w:val="en-GB" w:eastAsia="ja-JP"/>
              </w:rPr>
              <w:t>4</w:t>
            </w:r>
          </w:p>
        </w:tc>
        <w:tc>
          <w:tcPr>
            <w:tcW w:w="567" w:type="dxa"/>
            <w:vAlign w:val="center"/>
          </w:tcPr>
          <w:p w14:paraId="10CAA236"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Malgun Gothic" w:hAnsi="Cambria" w:cs="Calibri"/>
                <w:kern w:val="2"/>
                <w:sz w:val="14"/>
                <w:szCs w:val="14"/>
                <w:lang w:val="en-US" w:eastAsia="ko-KR"/>
              </w:rPr>
              <w:t>6</w:t>
            </w:r>
          </w:p>
        </w:tc>
        <w:tc>
          <w:tcPr>
            <w:tcW w:w="283" w:type="dxa"/>
            <w:shd w:val="clear" w:color="000000" w:fill="D9D9D9"/>
            <w:vAlign w:val="center"/>
            <w:hideMark/>
          </w:tcPr>
          <w:p w14:paraId="48BDA23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2E06204E"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hideMark/>
          </w:tcPr>
          <w:p w14:paraId="3C122CD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20504D5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Arial"/>
                <w:color w:val="000000"/>
                <w:kern w:val="2"/>
                <w:sz w:val="14"/>
                <w:szCs w:val="14"/>
                <w:lang w:val="en-GB" w:eastAsia="ja-JP"/>
              </w:rPr>
              <w:t>75</w:t>
            </w:r>
          </w:p>
        </w:tc>
        <w:tc>
          <w:tcPr>
            <w:tcW w:w="709" w:type="dxa"/>
            <w:vAlign w:val="center"/>
            <w:hideMark/>
          </w:tcPr>
          <w:p w14:paraId="43B4C74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Arial"/>
                <w:b/>
                <w:color w:val="000000"/>
                <w:kern w:val="2"/>
                <w:sz w:val="14"/>
                <w:szCs w:val="14"/>
                <w:lang w:val="en-GB" w:eastAsia="ja-JP"/>
              </w:rPr>
              <w:t>100</w:t>
            </w:r>
          </w:p>
        </w:tc>
        <w:tc>
          <w:tcPr>
            <w:tcW w:w="708" w:type="dxa"/>
            <w:vAlign w:val="center"/>
            <w:hideMark/>
          </w:tcPr>
          <w:p w14:paraId="094D7DC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Arial"/>
                <w:b/>
                <w:color w:val="000000"/>
                <w:kern w:val="2"/>
                <w:sz w:val="14"/>
                <w:szCs w:val="14"/>
                <w:lang w:val="en-GB" w:eastAsia="ja-JP"/>
              </w:rPr>
              <w:t>100</w:t>
            </w:r>
          </w:p>
        </w:tc>
        <w:tc>
          <w:tcPr>
            <w:tcW w:w="851" w:type="dxa"/>
            <w:vAlign w:val="center"/>
            <w:hideMark/>
          </w:tcPr>
          <w:p w14:paraId="7CDF21B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Arial"/>
                <w:b/>
                <w:color w:val="000000"/>
                <w:kern w:val="2"/>
                <w:sz w:val="14"/>
                <w:szCs w:val="14"/>
                <w:lang w:val="en-GB" w:eastAsia="ja-JP"/>
              </w:rPr>
              <w:t>100</w:t>
            </w:r>
          </w:p>
        </w:tc>
        <w:tc>
          <w:tcPr>
            <w:tcW w:w="850" w:type="dxa"/>
            <w:tcBorders>
              <w:right w:val="single" w:sz="12" w:space="0" w:color="000000"/>
            </w:tcBorders>
            <w:vAlign w:val="center"/>
          </w:tcPr>
          <w:p w14:paraId="171D754D"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Malgun Gothic" w:hAnsi="Cambria" w:cs="Calibri"/>
                <w:b/>
                <w:kern w:val="2"/>
                <w:sz w:val="14"/>
                <w:szCs w:val="14"/>
                <w:lang w:val="en-US" w:eastAsia="ko-KR"/>
              </w:rPr>
              <w:t>150</w:t>
            </w:r>
          </w:p>
        </w:tc>
      </w:tr>
      <w:tr w:rsidR="009123AC" w:rsidRPr="00F0379B" w14:paraId="6D5221FB" w14:textId="77777777" w:rsidTr="00CA749B">
        <w:trPr>
          <w:trHeight w:val="23"/>
        </w:trPr>
        <w:tc>
          <w:tcPr>
            <w:tcW w:w="2150" w:type="dxa"/>
            <w:tcBorders>
              <w:left w:val="single" w:sz="12" w:space="0" w:color="000000"/>
            </w:tcBorders>
            <w:noWrap/>
            <w:vAlign w:val="center"/>
            <w:hideMark/>
          </w:tcPr>
          <w:p w14:paraId="3C2B9712"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Palangreros entre 24 y 40 m</w:t>
            </w:r>
          </w:p>
        </w:tc>
        <w:tc>
          <w:tcPr>
            <w:tcW w:w="1673" w:type="dxa"/>
            <w:noWrap/>
            <w:vAlign w:val="center"/>
            <w:hideMark/>
          </w:tcPr>
          <w:p w14:paraId="6F4F673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5,68</w:t>
            </w:r>
          </w:p>
        </w:tc>
        <w:tc>
          <w:tcPr>
            <w:tcW w:w="850" w:type="dxa"/>
            <w:vAlign w:val="center"/>
          </w:tcPr>
          <w:p w14:paraId="5438062B"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noWrap/>
            <w:vAlign w:val="center"/>
            <w:hideMark/>
          </w:tcPr>
          <w:p w14:paraId="0451814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45D8681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1A1E0D2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0DEB5FF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tcPr>
          <w:p w14:paraId="19CE7069"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vAlign w:val="center"/>
          </w:tcPr>
          <w:p w14:paraId="1FBB3D85"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shd w:val="clear" w:color="000000" w:fill="D9D9D9"/>
            <w:vAlign w:val="center"/>
            <w:hideMark/>
          </w:tcPr>
          <w:p w14:paraId="6D33D4D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7878CE16"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hideMark/>
          </w:tcPr>
          <w:p w14:paraId="4D87129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51E1C4C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5D4826B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vAlign w:val="center"/>
            <w:hideMark/>
          </w:tcPr>
          <w:p w14:paraId="3403364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vAlign w:val="center"/>
            <w:hideMark/>
          </w:tcPr>
          <w:p w14:paraId="7A46AAF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tcBorders>
              <w:right w:val="single" w:sz="12" w:space="0" w:color="000000"/>
            </w:tcBorders>
            <w:vAlign w:val="center"/>
          </w:tcPr>
          <w:p w14:paraId="0419D021"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r>
      <w:tr w:rsidR="009123AC" w:rsidRPr="00F0379B" w14:paraId="1D1C73A5" w14:textId="77777777" w:rsidTr="00CA749B">
        <w:trPr>
          <w:trHeight w:val="23"/>
        </w:trPr>
        <w:tc>
          <w:tcPr>
            <w:tcW w:w="2150" w:type="dxa"/>
            <w:tcBorders>
              <w:left w:val="single" w:sz="12" w:space="0" w:color="000000"/>
            </w:tcBorders>
            <w:noWrap/>
            <w:vAlign w:val="center"/>
            <w:hideMark/>
          </w:tcPr>
          <w:p w14:paraId="02EE8988"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Palangreros de menos de 24 m</w:t>
            </w:r>
          </w:p>
        </w:tc>
        <w:tc>
          <w:tcPr>
            <w:tcW w:w="1673" w:type="dxa"/>
            <w:noWrap/>
            <w:vAlign w:val="center"/>
            <w:hideMark/>
          </w:tcPr>
          <w:p w14:paraId="141ED6E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5</w:t>
            </w:r>
          </w:p>
        </w:tc>
        <w:tc>
          <w:tcPr>
            <w:tcW w:w="850" w:type="dxa"/>
            <w:vAlign w:val="center"/>
          </w:tcPr>
          <w:p w14:paraId="7E2689F2"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noWrap/>
            <w:vAlign w:val="center"/>
            <w:hideMark/>
          </w:tcPr>
          <w:p w14:paraId="278704B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01CBFD3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09BD73E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44135D3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tcPr>
          <w:p w14:paraId="35EC466A"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vAlign w:val="center"/>
          </w:tcPr>
          <w:p w14:paraId="44561E95"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shd w:val="clear" w:color="000000" w:fill="D9D9D9"/>
            <w:vAlign w:val="center"/>
            <w:hideMark/>
          </w:tcPr>
          <w:p w14:paraId="36E01E4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4EF790EB"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hideMark/>
          </w:tcPr>
          <w:p w14:paraId="0A7F678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54B29B6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63017D1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vAlign w:val="center"/>
            <w:hideMark/>
          </w:tcPr>
          <w:p w14:paraId="4B28A2B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vAlign w:val="center"/>
            <w:hideMark/>
          </w:tcPr>
          <w:p w14:paraId="70F610C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tcBorders>
              <w:right w:val="single" w:sz="12" w:space="0" w:color="000000"/>
            </w:tcBorders>
            <w:vAlign w:val="center"/>
          </w:tcPr>
          <w:p w14:paraId="2AEE9024"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r>
      <w:tr w:rsidR="009123AC" w:rsidRPr="00F0379B" w14:paraId="009B36C9" w14:textId="77777777" w:rsidTr="00CA749B">
        <w:trPr>
          <w:trHeight w:val="23"/>
        </w:trPr>
        <w:tc>
          <w:tcPr>
            <w:tcW w:w="2150" w:type="dxa"/>
            <w:tcBorders>
              <w:left w:val="single" w:sz="12" w:space="0" w:color="000000"/>
            </w:tcBorders>
            <w:noWrap/>
            <w:vAlign w:val="center"/>
            <w:hideMark/>
          </w:tcPr>
          <w:p w14:paraId="678D4E1E"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Total flota de palangre</w:t>
            </w:r>
          </w:p>
        </w:tc>
        <w:tc>
          <w:tcPr>
            <w:tcW w:w="1673" w:type="dxa"/>
            <w:noWrap/>
            <w:vAlign w:val="center"/>
            <w:hideMark/>
          </w:tcPr>
          <w:p w14:paraId="32FAB22F" w14:textId="77777777" w:rsidR="009123AC" w:rsidRPr="00F0379B" w:rsidRDefault="009123AC" w:rsidP="009123AC">
            <w:pPr>
              <w:spacing w:after="0" w:line="240" w:lineRule="auto"/>
              <w:jc w:val="center"/>
              <w:rPr>
                <w:rFonts w:ascii="Cambria" w:eastAsia="Times New Roman" w:hAnsi="Cambria" w:cs="Times New Roman"/>
                <w:sz w:val="14"/>
                <w:szCs w:val="14"/>
                <w:lang w:eastAsia="fr-FR" w:bidi="fr-FR"/>
              </w:rPr>
            </w:pPr>
          </w:p>
        </w:tc>
        <w:tc>
          <w:tcPr>
            <w:tcW w:w="850" w:type="dxa"/>
            <w:vAlign w:val="center"/>
          </w:tcPr>
          <w:p w14:paraId="56929462"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noWrap/>
            <w:vAlign w:val="center"/>
            <w:hideMark/>
          </w:tcPr>
          <w:p w14:paraId="50534F3D"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hideMark/>
          </w:tcPr>
          <w:p w14:paraId="2713B69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Arial"/>
                <w:b/>
                <w:color w:val="000000"/>
                <w:kern w:val="2"/>
                <w:sz w:val="14"/>
                <w:szCs w:val="14"/>
                <w:lang w:val="en-US" w:eastAsia="ja-JP"/>
              </w:rPr>
              <w:t>3</w:t>
            </w:r>
          </w:p>
        </w:tc>
        <w:tc>
          <w:tcPr>
            <w:tcW w:w="567" w:type="dxa"/>
            <w:vAlign w:val="center"/>
            <w:hideMark/>
          </w:tcPr>
          <w:p w14:paraId="3A51B4F9"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Arial"/>
                <w:b/>
                <w:color w:val="000000"/>
                <w:kern w:val="2"/>
                <w:sz w:val="14"/>
                <w:szCs w:val="14"/>
                <w:lang w:val="en-GB" w:eastAsia="ja-JP"/>
              </w:rPr>
              <w:t>4</w:t>
            </w:r>
          </w:p>
        </w:tc>
        <w:tc>
          <w:tcPr>
            <w:tcW w:w="567" w:type="dxa"/>
            <w:vAlign w:val="center"/>
            <w:hideMark/>
          </w:tcPr>
          <w:p w14:paraId="6B988BAC"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Arial"/>
                <w:b/>
                <w:color w:val="000000"/>
                <w:kern w:val="2"/>
                <w:sz w:val="14"/>
                <w:szCs w:val="14"/>
                <w:lang w:val="en-GB" w:eastAsia="ja-JP"/>
              </w:rPr>
              <w:t>4</w:t>
            </w:r>
          </w:p>
        </w:tc>
        <w:tc>
          <w:tcPr>
            <w:tcW w:w="709" w:type="dxa"/>
            <w:vAlign w:val="center"/>
          </w:tcPr>
          <w:p w14:paraId="56332FCE"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Times New Roman" w:hAnsi="Cambria" w:cs="Arial"/>
                <w:b/>
                <w:color w:val="000000"/>
                <w:kern w:val="2"/>
                <w:sz w:val="14"/>
                <w:szCs w:val="14"/>
                <w:lang w:val="en-GB" w:eastAsia="ja-JP"/>
              </w:rPr>
              <w:t>4</w:t>
            </w:r>
          </w:p>
        </w:tc>
        <w:tc>
          <w:tcPr>
            <w:tcW w:w="567" w:type="dxa"/>
            <w:vAlign w:val="center"/>
          </w:tcPr>
          <w:p w14:paraId="04BDE874"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Malgun Gothic" w:hAnsi="Cambria" w:cs="Calibri"/>
                <w:kern w:val="2"/>
                <w:sz w:val="14"/>
                <w:szCs w:val="14"/>
                <w:lang w:val="en-US" w:eastAsia="ko-KR"/>
              </w:rPr>
              <w:t>6</w:t>
            </w:r>
          </w:p>
        </w:tc>
        <w:tc>
          <w:tcPr>
            <w:tcW w:w="283" w:type="dxa"/>
            <w:shd w:val="clear" w:color="000000" w:fill="D9D9D9"/>
            <w:vAlign w:val="center"/>
            <w:hideMark/>
          </w:tcPr>
          <w:p w14:paraId="048B4BDD"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6EEA06B8"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hideMark/>
          </w:tcPr>
          <w:p w14:paraId="2310ABD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hideMark/>
          </w:tcPr>
          <w:p w14:paraId="519D3FA1"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Arial"/>
                <w:b/>
                <w:color w:val="000000"/>
                <w:kern w:val="2"/>
                <w:sz w:val="14"/>
                <w:szCs w:val="14"/>
                <w:lang w:val="en-GB" w:eastAsia="ja-JP"/>
              </w:rPr>
              <w:t>75</w:t>
            </w:r>
          </w:p>
        </w:tc>
        <w:tc>
          <w:tcPr>
            <w:tcW w:w="709" w:type="dxa"/>
            <w:vAlign w:val="center"/>
            <w:hideMark/>
          </w:tcPr>
          <w:p w14:paraId="189EEC3E"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Arial"/>
                <w:b/>
                <w:color w:val="000000"/>
                <w:kern w:val="2"/>
                <w:sz w:val="14"/>
                <w:szCs w:val="14"/>
                <w:lang w:val="en-GB" w:eastAsia="ja-JP"/>
              </w:rPr>
              <w:t>100</w:t>
            </w:r>
          </w:p>
        </w:tc>
        <w:tc>
          <w:tcPr>
            <w:tcW w:w="708" w:type="dxa"/>
            <w:vAlign w:val="center"/>
            <w:hideMark/>
          </w:tcPr>
          <w:p w14:paraId="23D9B774"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Arial"/>
                <w:b/>
                <w:color w:val="000000"/>
                <w:kern w:val="2"/>
                <w:sz w:val="14"/>
                <w:szCs w:val="14"/>
                <w:lang w:val="en-GB" w:eastAsia="ja-JP"/>
              </w:rPr>
              <w:t>100</w:t>
            </w:r>
          </w:p>
        </w:tc>
        <w:tc>
          <w:tcPr>
            <w:tcW w:w="851" w:type="dxa"/>
            <w:vAlign w:val="center"/>
            <w:hideMark/>
          </w:tcPr>
          <w:p w14:paraId="725FA811"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Arial"/>
                <w:b/>
                <w:color w:val="000000"/>
                <w:kern w:val="2"/>
                <w:sz w:val="14"/>
                <w:szCs w:val="14"/>
                <w:lang w:val="en-GB" w:eastAsia="ja-JP"/>
              </w:rPr>
              <w:t>100</w:t>
            </w:r>
          </w:p>
        </w:tc>
        <w:tc>
          <w:tcPr>
            <w:tcW w:w="850" w:type="dxa"/>
            <w:tcBorders>
              <w:right w:val="single" w:sz="12" w:space="0" w:color="000000"/>
            </w:tcBorders>
            <w:vAlign w:val="center"/>
          </w:tcPr>
          <w:p w14:paraId="5ABF8697"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Malgun Gothic" w:hAnsi="Cambria" w:cs="Calibri"/>
                <w:b/>
                <w:bCs/>
                <w:kern w:val="2"/>
                <w:sz w:val="14"/>
                <w:szCs w:val="14"/>
                <w:lang w:val="en-US" w:eastAsia="ko-KR"/>
              </w:rPr>
              <w:t>150</w:t>
            </w:r>
          </w:p>
        </w:tc>
      </w:tr>
      <w:tr w:rsidR="009123AC" w:rsidRPr="00F0379B" w14:paraId="084D112F" w14:textId="77777777" w:rsidTr="00CA749B">
        <w:trPr>
          <w:trHeight w:val="221"/>
        </w:trPr>
        <w:tc>
          <w:tcPr>
            <w:tcW w:w="2150" w:type="dxa"/>
            <w:tcBorders>
              <w:left w:val="single" w:sz="12" w:space="0" w:color="000000"/>
            </w:tcBorders>
            <w:noWrap/>
            <w:vAlign w:val="center"/>
            <w:hideMark/>
          </w:tcPr>
          <w:p w14:paraId="5D916E05"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Cebo vivo</w:t>
            </w:r>
          </w:p>
        </w:tc>
        <w:tc>
          <w:tcPr>
            <w:tcW w:w="1673" w:type="dxa"/>
            <w:noWrap/>
            <w:vAlign w:val="center"/>
            <w:hideMark/>
          </w:tcPr>
          <w:p w14:paraId="2F36AE1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19,75</w:t>
            </w:r>
          </w:p>
        </w:tc>
        <w:tc>
          <w:tcPr>
            <w:tcW w:w="850" w:type="dxa"/>
            <w:vAlign w:val="center"/>
          </w:tcPr>
          <w:p w14:paraId="5FC108A9"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noWrap/>
            <w:vAlign w:val="center"/>
            <w:hideMark/>
          </w:tcPr>
          <w:p w14:paraId="0B761B9B"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hideMark/>
          </w:tcPr>
          <w:p w14:paraId="4D0DC57A"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245DADB1"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38DD270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tcPr>
          <w:p w14:paraId="172E4B0D"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567" w:type="dxa"/>
            <w:vAlign w:val="center"/>
          </w:tcPr>
          <w:p w14:paraId="6601E499"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shd w:val="clear" w:color="000000" w:fill="D9D9D9"/>
            <w:vAlign w:val="center"/>
            <w:hideMark/>
          </w:tcPr>
          <w:p w14:paraId="71ABA83B"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6161D9CA"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hideMark/>
          </w:tcPr>
          <w:p w14:paraId="01ED0C0E"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hideMark/>
          </w:tcPr>
          <w:p w14:paraId="7DF41740"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hideMark/>
          </w:tcPr>
          <w:p w14:paraId="182CEBDD"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8" w:type="dxa"/>
            <w:vAlign w:val="center"/>
            <w:hideMark/>
          </w:tcPr>
          <w:p w14:paraId="0E614033"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1" w:type="dxa"/>
            <w:vAlign w:val="center"/>
            <w:hideMark/>
          </w:tcPr>
          <w:p w14:paraId="43E89FD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0" w:type="dxa"/>
            <w:tcBorders>
              <w:right w:val="single" w:sz="12" w:space="0" w:color="000000"/>
            </w:tcBorders>
            <w:vAlign w:val="center"/>
          </w:tcPr>
          <w:p w14:paraId="4E4A0275"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r>
      <w:tr w:rsidR="009123AC" w:rsidRPr="00F0379B" w14:paraId="2B4807CC" w14:textId="77777777" w:rsidTr="00CA749B">
        <w:trPr>
          <w:trHeight w:val="23"/>
        </w:trPr>
        <w:tc>
          <w:tcPr>
            <w:tcW w:w="2150" w:type="dxa"/>
            <w:tcBorders>
              <w:left w:val="single" w:sz="12" w:space="0" w:color="000000"/>
            </w:tcBorders>
            <w:noWrap/>
            <w:vAlign w:val="center"/>
            <w:hideMark/>
          </w:tcPr>
          <w:p w14:paraId="0F98E0EA"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Liña de mano</w:t>
            </w:r>
          </w:p>
        </w:tc>
        <w:tc>
          <w:tcPr>
            <w:tcW w:w="1673" w:type="dxa"/>
            <w:noWrap/>
            <w:vAlign w:val="center"/>
            <w:hideMark/>
          </w:tcPr>
          <w:p w14:paraId="76F9244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5</w:t>
            </w:r>
          </w:p>
        </w:tc>
        <w:tc>
          <w:tcPr>
            <w:tcW w:w="850" w:type="dxa"/>
            <w:vAlign w:val="center"/>
          </w:tcPr>
          <w:p w14:paraId="4EF0DB1B"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noWrap/>
            <w:vAlign w:val="center"/>
            <w:hideMark/>
          </w:tcPr>
          <w:p w14:paraId="091280A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25DDC14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474CDFB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6B2F534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tcPr>
          <w:p w14:paraId="119AEF44"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vAlign w:val="center"/>
          </w:tcPr>
          <w:p w14:paraId="7FD9ABC9"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shd w:val="clear" w:color="000000" w:fill="D9D9D9"/>
            <w:vAlign w:val="center"/>
            <w:hideMark/>
          </w:tcPr>
          <w:p w14:paraId="5CA0450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0B8576C3"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hideMark/>
          </w:tcPr>
          <w:p w14:paraId="1A29E06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539350F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5595393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vAlign w:val="center"/>
            <w:hideMark/>
          </w:tcPr>
          <w:p w14:paraId="58C0E2F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vAlign w:val="center"/>
            <w:hideMark/>
          </w:tcPr>
          <w:p w14:paraId="7AD13FA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tcBorders>
              <w:right w:val="single" w:sz="12" w:space="0" w:color="000000"/>
            </w:tcBorders>
            <w:vAlign w:val="center"/>
          </w:tcPr>
          <w:p w14:paraId="4884D765"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r>
      <w:tr w:rsidR="009123AC" w:rsidRPr="00F0379B" w14:paraId="42F0A62A" w14:textId="77777777" w:rsidTr="00CA749B">
        <w:trPr>
          <w:trHeight w:val="23"/>
        </w:trPr>
        <w:tc>
          <w:tcPr>
            <w:tcW w:w="2150" w:type="dxa"/>
            <w:tcBorders>
              <w:left w:val="single" w:sz="12" w:space="0" w:color="000000"/>
            </w:tcBorders>
            <w:noWrap/>
            <w:vAlign w:val="center"/>
            <w:hideMark/>
          </w:tcPr>
          <w:p w14:paraId="055FE93E"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Arrastreros</w:t>
            </w:r>
          </w:p>
        </w:tc>
        <w:tc>
          <w:tcPr>
            <w:tcW w:w="1673" w:type="dxa"/>
            <w:noWrap/>
            <w:vAlign w:val="center"/>
            <w:hideMark/>
          </w:tcPr>
          <w:p w14:paraId="4B83919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10</w:t>
            </w:r>
          </w:p>
        </w:tc>
        <w:tc>
          <w:tcPr>
            <w:tcW w:w="850" w:type="dxa"/>
            <w:vAlign w:val="center"/>
          </w:tcPr>
          <w:p w14:paraId="117626AE"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noWrap/>
            <w:vAlign w:val="center"/>
            <w:hideMark/>
          </w:tcPr>
          <w:p w14:paraId="7CB6913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02EEBB9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1B9E341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hideMark/>
          </w:tcPr>
          <w:p w14:paraId="1F4139B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tcPr>
          <w:p w14:paraId="244FE66B"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vAlign w:val="center"/>
          </w:tcPr>
          <w:p w14:paraId="28474E8B"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shd w:val="clear" w:color="000000" w:fill="D9D9D9"/>
            <w:vAlign w:val="center"/>
            <w:hideMark/>
          </w:tcPr>
          <w:p w14:paraId="529D02C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vAlign w:val="center"/>
          </w:tcPr>
          <w:p w14:paraId="6C7FCBA1"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hideMark/>
          </w:tcPr>
          <w:p w14:paraId="7DB3C2B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7440ED0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vAlign w:val="center"/>
            <w:hideMark/>
          </w:tcPr>
          <w:p w14:paraId="79D1C83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8" w:type="dxa"/>
            <w:vAlign w:val="center"/>
            <w:hideMark/>
          </w:tcPr>
          <w:p w14:paraId="7FFB838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1" w:type="dxa"/>
            <w:vAlign w:val="center"/>
            <w:hideMark/>
          </w:tcPr>
          <w:p w14:paraId="6EF1DB3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tcBorders>
              <w:right w:val="single" w:sz="12" w:space="0" w:color="000000"/>
            </w:tcBorders>
            <w:vAlign w:val="center"/>
          </w:tcPr>
          <w:p w14:paraId="4F747D1D"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r>
      <w:tr w:rsidR="009123AC" w:rsidRPr="00F0379B" w14:paraId="0B5AAB09" w14:textId="77777777" w:rsidTr="00CA749B">
        <w:trPr>
          <w:trHeight w:val="23"/>
        </w:trPr>
        <w:tc>
          <w:tcPr>
            <w:tcW w:w="2150" w:type="dxa"/>
            <w:tcBorders>
              <w:left w:val="single" w:sz="12" w:space="0" w:color="000000"/>
            </w:tcBorders>
            <w:noWrap/>
            <w:vAlign w:val="center"/>
            <w:hideMark/>
          </w:tcPr>
          <w:p w14:paraId="252370ED"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Almadrabas</w:t>
            </w:r>
          </w:p>
        </w:tc>
        <w:tc>
          <w:tcPr>
            <w:tcW w:w="1673" w:type="dxa"/>
            <w:noWrap/>
            <w:vAlign w:val="center"/>
            <w:hideMark/>
          </w:tcPr>
          <w:p w14:paraId="5BAFFB8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130</w:t>
            </w:r>
          </w:p>
        </w:tc>
        <w:tc>
          <w:tcPr>
            <w:tcW w:w="850" w:type="dxa"/>
            <w:vAlign w:val="center"/>
          </w:tcPr>
          <w:p w14:paraId="095061AD"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noWrap/>
            <w:vAlign w:val="center"/>
            <w:hideMark/>
          </w:tcPr>
          <w:p w14:paraId="6BBFED3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hideMark/>
          </w:tcPr>
          <w:p w14:paraId="3CFBEF6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281C4B04"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607690F3"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tcPr>
          <w:p w14:paraId="3FA39278"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567" w:type="dxa"/>
            <w:vAlign w:val="center"/>
          </w:tcPr>
          <w:p w14:paraId="0136D76B"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shd w:val="clear" w:color="000000" w:fill="D9D9D9"/>
            <w:vAlign w:val="center"/>
            <w:hideMark/>
          </w:tcPr>
          <w:p w14:paraId="2FF2E4D6"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1441ABBB"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hideMark/>
          </w:tcPr>
          <w:p w14:paraId="3665D693"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hideMark/>
          </w:tcPr>
          <w:p w14:paraId="7BE598FB"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hideMark/>
          </w:tcPr>
          <w:p w14:paraId="322AD9F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8" w:type="dxa"/>
            <w:vAlign w:val="center"/>
            <w:hideMark/>
          </w:tcPr>
          <w:p w14:paraId="30F860C0"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1" w:type="dxa"/>
            <w:vAlign w:val="center"/>
            <w:hideMark/>
          </w:tcPr>
          <w:p w14:paraId="43A469E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0" w:type="dxa"/>
            <w:tcBorders>
              <w:right w:val="single" w:sz="12" w:space="0" w:color="000000"/>
            </w:tcBorders>
            <w:vAlign w:val="center"/>
          </w:tcPr>
          <w:p w14:paraId="1580DAE8"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r>
      <w:tr w:rsidR="009123AC" w:rsidRPr="00F0379B" w14:paraId="1FD9B755" w14:textId="77777777" w:rsidTr="00CA749B">
        <w:trPr>
          <w:trHeight w:val="23"/>
        </w:trPr>
        <w:tc>
          <w:tcPr>
            <w:tcW w:w="2150" w:type="dxa"/>
            <w:tcBorders>
              <w:left w:val="single" w:sz="12" w:space="0" w:color="000000"/>
            </w:tcBorders>
            <w:vAlign w:val="center"/>
            <w:hideMark/>
          </w:tcPr>
          <w:p w14:paraId="306026F3"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Pequeños barcos costeros</w:t>
            </w:r>
          </w:p>
        </w:tc>
        <w:tc>
          <w:tcPr>
            <w:tcW w:w="1673" w:type="dxa"/>
            <w:noWrap/>
            <w:vAlign w:val="center"/>
            <w:hideMark/>
          </w:tcPr>
          <w:p w14:paraId="73C3185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N/A</w:t>
            </w:r>
          </w:p>
        </w:tc>
        <w:tc>
          <w:tcPr>
            <w:tcW w:w="850" w:type="dxa"/>
            <w:vAlign w:val="center"/>
          </w:tcPr>
          <w:p w14:paraId="1E896FD7"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noWrap/>
            <w:vAlign w:val="center"/>
            <w:hideMark/>
          </w:tcPr>
          <w:p w14:paraId="1994416E"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hideMark/>
          </w:tcPr>
          <w:p w14:paraId="679EE6E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560C68B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hideMark/>
          </w:tcPr>
          <w:p w14:paraId="3519C437"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tcPr>
          <w:p w14:paraId="3889515D"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567" w:type="dxa"/>
            <w:vAlign w:val="center"/>
          </w:tcPr>
          <w:p w14:paraId="07033F65"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shd w:val="clear" w:color="000000" w:fill="D9D9D9"/>
            <w:vAlign w:val="center"/>
            <w:hideMark/>
          </w:tcPr>
          <w:p w14:paraId="22A3BAAB"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7E3CF5B4"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hideMark/>
          </w:tcPr>
          <w:p w14:paraId="03AAF474"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hideMark/>
          </w:tcPr>
          <w:p w14:paraId="5070B59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hideMark/>
          </w:tcPr>
          <w:p w14:paraId="0EF27B0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8" w:type="dxa"/>
            <w:vAlign w:val="center"/>
            <w:hideMark/>
          </w:tcPr>
          <w:p w14:paraId="076799D6"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1" w:type="dxa"/>
            <w:vAlign w:val="center"/>
            <w:hideMark/>
          </w:tcPr>
          <w:p w14:paraId="2C8560BD"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0" w:type="dxa"/>
            <w:tcBorders>
              <w:right w:val="single" w:sz="12" w:space="0" w:color="000000"/>
            </w:tcBorders>
            <w:vAlign w:val="center"/>
          </w:tcPr>
          <w:p w14:paraId="13DCFCC4"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r>
      <w:tr w:rsidR="009123AC" w:rsidRPr="00F0379B" w14:paraId="76653135" w14:textId="77777777" w:rsidTr="00CA749B">
        <w:trPr>
          <w:trHeight w:val="23"/>
        </w:trPr>
        <w:tc>
          <w:tcPr>
            <w:tcW w:w="2150" w:type="dxa"/>
            <w:tcBorders>
              <w:left w:val="single" w:sz="12" w:space="0" w:color="000000"/>
            </w:tcBorders>
            <w:vAlign w:val="center"/>
            <w:hideMark/>
          </w:tcPr>
          <w:p w14:paraId="7E5B0055" w14:textId="77777777" w:rsidR="009123AC" w:rsidRPr="00F0379B" w:rsidRDefault="009123AC" w:rsidP="009123AC">
            <w:pPr>
              <w:spacing w:after="0" w:line="240" w:lineRule="auto"/>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Otros (especificar)</w:t>
            </w:r>
          </w:p>
        </w:tc>
        <w:tc>
          <w:tcPr>
            <w:tcW w:w="1673" w:type="dxa"/>
            <w:noWrap/>
            <w:vAlign w:val="center"/>
            <w:hideMark/>
          </w:tcPr>
          <w:p w14:paraId="0428AF8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S Gothic" w:hAnsi="Cambria" w:cs="Times New Roman"/>
                <w:sz w:val="14"/>
                <w:szCs w:val="14"/>
                <w:lang w:eastAsia="fr-FR" w:bidi="fr-FR"/>
              </w:rPr>
              <w:t>5</w:t>
            </w:r>
          </w:p>
        </w:tc>
        <w:tc>
          <w:tcPr>
            <w:tcW w:w="850" w:type="dxa"/>
            <w:vAlign w:val="center"/>
          </w:tcPr>
          <w:p w14:paraId="27E257DC"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noWrap/>
            <w:vAlign w:val="center"/>
            <w:hideMark/>
          </w:tcPr>
          <w:p w14:paraId="315164E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tcPr>
          <w:p w14:paraId="1A98741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65AA7A7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5828CE1E"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tcPr>
          <w:p w14:paraId="30783927"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567" w:type="dxa"/>
            <w:vAlign w:val="center"/>
          </w:tcPr>
          <w:p w14:paraId="0F35685C"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shd w:val="clear" w:color="000000" w:fill="D9D9D9"/>
            <w:vAlign w:val="center"/>
            <w:hideMark/>
          </w:tcPr>
          <w:p w14:paraId="0EF14713"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vAlign w:val="center"/>
          </w:tcPr>
          <w:p w14:paraId="5940597A"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hideMark/>
          </w:tcPr>
          <w:p w14:paraId="14B5724B"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tcPr>
          <w:p w14:paraId="0FEE59FA"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vAlign w:val="center"/>
          </w:tcPr>
          <w:p w14:paraId="45FE7E2C"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8" w:type="dxa"/>
            <w:vAlign w:val="center"/>
          </w:tcPr>
          <w:p w14:paraId="4F3B3A3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1" w:type="dxa"/>
            <w:vAlign w:val="center"/>
          </w:tcPr>
          <w:p w14:paraId="2E356730"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850" w:type="dxa"/>
            <w:tcBorders>
              <w:right w:val="single" w:sz="12" w:space="0" w:color="000000"/>
            </w:tcBorders>
            <w:vAlign w:val="center"/>
          </w:tcPr>
          <w:p w14:paraId="51C4650B"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r>
      <w:tr w:rsidR="009123AC" w:rsidRPr="00F0379B" w14:paraId="1403F28D" w14:textId="77777777" w:rsidTr="00CA749B">
        <w:trPr>
          <w:trHeight w:val="23"/>
        </w:trPr>
        <w:tc>
          <w:tcPr>
            <w:tcW w:w="2150" w:type="dxa"/>
            <w:tcBorders>
              <w:left w:val="single" w:sz="12" w:space="0" w:color="000000"/>
              <w:bottom w:val="single" w:sz="12" w:space="0" w:color="000000"/>
            </w:tcBorders>
            <w:noWrap/>
            <w:vAlign w:val="center"/>
            <w:hideMark/>
          </w:tcPr>
          <w:p w14:paraId="231DB2C5"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Capacidad pesquera/flota total</w:t>
            </w:r>
          </w:p>
        </w:tc>
        <w:tc>
          <w:tcPr>
            <w:tcW w:w="1673" w:type="dxa"/>
            <w:tcBorders>
              <w:bottom w:val="single" w:sz="12" w:space="0" w:color="000000"/>
            </w:tcBorders>
            <w:noWrap/>
            <w:vAlign w:val="center"/>
            <w:hideMark/>
          </w:tcPr>
          <w:p w14:paraId="455FF46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tcBorders>
              <w:bottom w:val="single" w:sz="12" w:space="0" w:color="000000"/>
            </w:tcBorders>
            <w:vAlign w:val="center"/>
          </w:tcPr>
          <w:p w14:paraId="0D30D0AB"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tcBorders>
              <w:bottom w:val="single" w:sz="12" w:space="0" w:color="000000"/>
            </w:tcBorders>
            <w:noWrap/>
            <w:vAlign w:val="center"/>
            <w:hideMark/>
          </w:tcPr>
          <w:p w14:paraId="24C1E62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tcBorders>
              <w:bottom w:val="single" w:sz="12" w:space="0" w:color="000000"/>
            </w:tcBorders>
            <w:vAlign w:val="center"/>
            <w:hideMark/>
          </w:tcPr>
          <w:p w14:paraId="3DA6F1DB"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Arial"/>
                <w:b/>
                <w:color w:val="000000"/>
                <w:kern w:val="2"/>
                <w:sz w:val="14"/>
                <w:szCs w:val="14"/>
                <w:lang w:val="en-US" w:eastAsia="ja-JP"/>
              </w:rPr>
              <w:t>3</w:t>
            </w:r>
          </w:p>
        </w:tc>
        <w:tc>
          <w:tcPr>
            <w:tcW w:w="567" w:type="dxa"/>
            <w:tcBorders>
              <w:bottom w:val="single" w:sz="12" w:space="0" w:color="000000"/>
            </w:tcBorders>
            <w:vAlign w:val="center"/>
            <w:hideMark/>
          </w:tcPr>
          <w:p w14:paraId="48994549"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Arial"/>
                <w:b/>
                <w:color w:val="000000"/>
                <w:kern w:val="2"/>
                <w:sz w:val="14"/>
                <w:szCs w:val="14"/>
                <w:lang w:val="en-GB" w:eastAsia="ja-JP"/>
              </w:rPr>
              <w:t>4</w:t>
            </w:r>
          </w:p>
        </w:tc>
        <w:tc>
          <w:tcPr>
            <w:tcW w:w="567" w:type="dxa"/>
            <w:tcBorders>
              <w:bottom w:val="single" w:sz="12" w:space="0" w:color="000000"/>
            </w:tcBorders>
            <w:vAlign w:val="center"/>
            <w:hideMark/>
          </w:tcPr>
          <w:p w14:paraId="3B03DC7C"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Arial"/>
                <w:b/>
                <w:color w:val="000000"/>
                <w:kern w:val="2"/>
                <w:sz w:val="14"/>
                <w:szCs w:val="14"/>
                <w:lang w:val="en-GB" w:eastAsia="ja-JP"/>
              </w:rPr>
              <w:t>4</w:t>
            </w:r>
          </w:p>
        </w:tc>
        <w:tc>
          <w:tcPr>
            <w:tcW w:w="709" w:type="dxa"/>
            <w:tcBorders>
              <w:bottom w:val="single" w:sz="12" w:space="0" w:color="000000"/>
            </w:tcBorders>
            <w:vAlign w:val="center"/>
          </w:tcPr>
          <w:p w14:paraId="1E2E4828"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Times New Roman" w:hAnsi="Cambria" w:cs="Arial"/>
                <w:b/>
                <w:color w:val="000000"/>
                <w:kern w:val="2"/>
                <w:sz w:val="14"/>
                <w:szCs w:val="14"/>
                <w:lang w:val="en-GB" w:eastAsia="ja-JP"/>
              </w:rPr>
              <w:t>4</w:t>
            </w:r>
          </w:p>
        </w:tc>
        <w:tc>
          <w:tcPr>
            <w:tcW w:w="567" w:type="dxa"/>
            <w:tcBorders>
              <w:bottom w:val="single" w:sz="12" w:space="0" w:color="000000"/>
            </w:tcBorders>
            <w:vAlign w:val="center"/>
          </w:tcPr>
          <w:p w14:paraId="7092E877"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tcBorders>
              <w:bottom w:val="single" w:sz="12" w:space="0" w:color="000000"/>
            </w:tcBorders>
            <w:shd w:val="clear" w:color="000000" w:fill="D9D9D9"/>
            <w:vAlign w:val="center"/>
            <w:hideMark/>
          </w:tcPr>
          <w:p w14:paraId="4EED1770"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567" w:type="dxa"/>
            <w:tcBorders>
              <w:bottom w:val="single" w:sz="12" w:space="0" w:color="000000"/>
            </w:tcBorders>
            <w:vAlign w:val="center"/>
          </w:tcPr>
          <w:p w14:paraId="78A9076A"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tcBorders>
              <w:bottom w:val="single" w:sz="12" w:space="0" w:color="000000"/>
            </w:tcBorders>
            <w:vAlign w:val="center"/>
            <w:hideMark/>
          </w:tcPr>
          <w:p w14:paraId="078E64A6"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709" w:type="dxa"/>
            <w:tcBorders>
              <w:bottom w:val="single" w:sz="12" w:space="0" w:color="000000"/>
            </w:tcBorders>
            <w:vAlign w:val="center"/>
          </w:tcPr>
          <w:p w14:paraId="7CB7E09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Arial"/>
                <w:b/>
                <w:color w:val="000000"/>
                <w:kern w:val="2"/>
                <w:sz w:val="14"/>
                <w:szCs w:val="14"/>
                <w:lang w:val="en-GB" w:eastAsia="ja-JP"/>
              </w:rPr>
              <w:t>75</w:t>
            </w:r>
          </w:p>
        </w:tc>
        <w:tc>
          <w:tcPr>
            <w:tcW w:w="709" w:type="dxa"/>
            <w:tcBorders>
              <w:bottom w:val="single" w:sz="12" w:space="0" w:color="000000"/>
            </w:tcBorders>
            <w:noWrap/>
            <w:vAlign w:val="center"/>
          </w:tcPr>
          <w:p w14:paraId="352FC1B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Arial"/>
                <w:b/>
                <w:color w:val="000000"/>
                <w:kern w:val="2"/>
                <w:sz w:val="14"/>
                <w:szCs w:val="14"/>
                <w:lang w:val="en-GB" w:eastAsia="ja-JP"/>
              </w:rPr>
              <w:t>100</w:t>
            </w:r>
          </w:p>
        </w:tc>
        <w:tc>
          <w:tcPr>
            <w:tcW w:w="708" w:type="dxa"/>
            <w:tcBorders>
              <w:bottom w:val="single" w:sz="12" w:space="0" w:color="000000"/>
            </w:tcBorders>
            <w:noWrap/>
            <w:vAlign w:val="center"/>
          </w:tcPr>
          <w:p w14:paraId="04287B8E"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Arial"/>
                <w:b/>
                <w:color w:val="000000"/>
                <w:kern w:val="2"/>
                <w:sz w:val="14"/>
                <w:szCs w:val="14"/>
                <w:lang w:val="en-GB" w:eastAsia="ja-JP"/>
              </w:rPr>
              <w:t>100</w:t>
            </w:r>
          </w:p>
        </w:tc>
        <w:tc>
          <w:tcPr>
            <w:tcW w:w="851" w:type="dxa"/>
            <w:tcBorders>
              <w:bottom w:val="single" w:sz="12" w:space="0" w:color="000000"/>
            </w:tcBorders>
            <w:noWrap/>
            <w:vAlign w:val="center"/>
          </w:tcPr>
          <w:p w14:paraId="2018AEC9"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Arial"/>
                <w:b/>
                <w:color w:val="000000"/>
                <w:kern w:val="2"/>
                <w:sz w:val="14"/>
                <w:szCs w:val="14"/>
                <w:lang w:val="en-GB" w:eastAsia="ja-JP"/>
              </w:rPr>
              <w:t>100</w:t>
            </w:r>
          </w:p>
        </w:tc>
        <w:tc>
          <w:tcPr>
            <w:tcW w:w="850" w:type="dxa"/>
            <w:tcBorders>
              <w:bottom w:val="single" w:sz="12" w:space="0" w:color="000000"/>
              <w:right w:val="single" w:sz="12" w:space="0" w:color="000000"/>
            </w:tcBorders>
            <w:vAlign w:val="center"/>
          </w:tcPr>
          <w:p w14:paraId="6DF61156"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Malgun Gothic" w:hAnsi="Cambria" w:cs="Calibri"/>
                <w:b/>
                <w:bCs/>
                <w:kern w:val="2"/>
                <w:sz w:val="14"/>
                <w:szCs w:val="14"/>
                <w:lang w:val="en-US" w:eastAsia="ko-KR"/>
              </w:rPr>
              <w:t>150</w:t>
            </w:r>
          </w:p>
        </w:tc>
      </w:tr>
      <w:tr w:rsidR="009123AC" w:rsidRPr="00F0379B" w14:paraId="397A367B" w14:textId="77777777" w:rsidTr="00CA749B">
        <w:trPr>
          <w:trHeight w:val="23"/>
        </w:trPr>
        <w:tc>
          <w:tcPr>
            <w:tcW w:w="2150" w:type="dxa"/>
            <w:tcBorders>
              <w:top w:val="single" w:sz="12" w:space="0" w:color="000000"/>
              <w:left w:val="single" w:sz="12" w:space="0" w:color="000000"/>
            </w:tcBorders>
            <w:shd w:val="clear" w:color="auto" w:fill="D9D9D9"/>
            <w:noWrap/>
            <w:vAlign w:val="center"/>
            <w:hideMark/>
          </w:tcPr>
          <w:p w14:paraId="767CCAAF"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Cuota inicial</w:t>
            </w:r>
          </w:p>
        </w:tc>
        <w:tc>
          <w:tcPr>
            <w:tcW w:w="1673" w:type="dxa"/>
            <w:tcBorders>
              <w:top w:val="single" w:sz="12" w:space="0" w:color="000000"/>
            </w:tcBorders>
            <w:shd w:val="clear" w:color="auto" w:fill="D9D9D9"/>
            <w:noWrap/>
            <w:vAlign w:val="center"/>
            <w:hideMark/>
          </w:tcPr>
          <w:p w14:paraId="2C78960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tcBorders>
              <w:top w:val="single" w:sz="12" w:space="0" w:color="000000"/>
            </w:tcBorders>
            <w:shd w:val="clear" w:color="auto" w:fill="D9D9D9"/>
            <w:vAlign w:val="center"/>
          </w:tcPr>
          <w:p w14:paraId="291F9D13"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top w:val="single" w:sz="12" w:space="0" w:color="000000"/>
            </w:tcBorders>
            <w:shd w:val="clear" w:color="auto" w:fill="D9D9D9"/>
            <w:noWrap/>
            <w:vAlign w:val="center"/>
            <w:hideMark/>
          </w:tcPr>
          <w:p w14:paraId="3CD9AD4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tcBorders>
              <w:top w:val="single" w:sz="12" w:space="0" w:color="000000"/>
            </w:tcBorders>
            <w:shd w:val="clear" w:color="auto" w:fill="D9D9D9"/>
            <w:vAlign w:val="center"/>
            <w:hideMark/>
          </w:tcPr>
          <w:p w14:paraId="05D972A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shd w:val="clear" w:color="auto" w:fill="D9D9D9"/>
            <w:vAlign w:val="center"/>
            <w:hideMark/>
          </w:tcPr>
          <w:p w14:paraId="0210662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shd w:val="clear" w:color="auto" w:fill="D9D9D9"/>
            <w:vAlign w:val="center"/>
            <w:hideMark/>
          </w:tcPr>
          <w:p w14:paraId="4A2BDF2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tcBorders>
              <w:top w:val="single" w:sz="12" w:space="0" w:color="000000"/>
            </w:tcBorders>
            <w:shd w:val="clear" w:color="auto" w:fill="D9D9D9"/>
            <w:vAlign w:val="center"/>
          </w:tcPr>
          <w:p w14:paraId="101DA89B"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tcBorders>
              <w:top w:val="single" w:sz="12" w:space="0" w:color="000000"/>
            </w:tcBorders>
            <w:shd w:val="clear" w:color="auto" w:fill="D9D9D9"/>
            <w:vAlign w:val="center"/>
          </w:tcPr>
          <w:p w14:paraId="5CD9F1F6"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tcBorders>
              <w:top w:val="single" w:sz="12" w:space="0" w:color="000000"/>
            </w:tcBorders>
            <w:shd w:val="clear" w:color="auto" w:fill="D9D9D9"/>
            <w:vAlign w:val="center"/>
            <w:hideMark/>
          </w:tcPr>
          <w:p w14:paraId="3024584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shd w:val="clear" w:color="auto" w:fill="D9D9D9"/>
            <w:vAlign w:val="center"/>
          </w:tcPr>
          <w:p w14:paraId="7D5BD443"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top w:val="single" w:sz="12" w:space="0" w:color="000000"/>
            </w:tcBorders>
            <w:shd w:val="clear" w:color="auto" w:fill="D9D9D9"/>
            <w:vAlign w:val="center"/>
            <w:hideMark/>
          </w:tcPr>
          <w:p w14:paraId="46EB162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tcBorders>
              <w:top w:val="single" w:sz="12" w:space="0" w:color="000000"/>
            </w:tcBorders>
            <w:shd w:val="clear" w:color="auto" w:fill="D9D9D9"/>
            <w:vAlign w:val="center"/>
          </w:tcPr>
          <w:p w14:paraId="43BEEF0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Arial"/>
                <w:color w:val="000000"/>
                <w:kern w:val="2"/>
                <w:sz w:val="14"/>
                <w:szCs w:val="14"/>
                <w:lang w:val="en-GB" w:eastAsia="ja-JP"/>
              </w:rPr>
              <w:t>160</w:t>
            </w:r>
          </w:p>
        </w:tc>
        <w:tc>
          <w:tcPr>
            <w:tcW w:w="709" w:type="dxa"/>
            <w:tcBorders>
              <w:top w:val="single" w:sz="12" w:space="0" w:color="000000"/>
            </w:tcBorders>
            <w:shd w:val="clear" w:color="auto" w:fill="D9D9D9"/>
            <w:vAlign w:val="center"/>
          </w:tcPr>
          <w:p w14:paraId="0EE5A7B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kern w:val="2"/>
                <w:sz w:val="14"/>
                <w:szCs w:val="14"/>
                <w:lang w:val="en-US" w:eastAsia="ja-JP"/>
              </w:rPr>
              <w:t>221</w:t>
            </w:r>
          </w:p>
        </w:tc>
        <w:tc>
          <w:tcPr>
            <w:tcW w:w="708" w:type="dxa"/>
            <w:tcBorders>
              <w:top w:val="single" w:sz="12" w:space="0" w:color="000000"/>
            </w:tcBorders>
            <w:shd w:val="clear" w:color="auto" w:fill="D9D9D9"/>
            <w:vAlign w:val="center"/>
          </w:tcPr>
          <w:p w14:paraId="1B607AE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Arial"/>
                <w:color w:val="000000"/>
                <w:kern w:val="2"/>
                <w:sz w:val="14"/>
                <w:szCs w:val="14"/>
                <w:lang w:val="en-GB" w:eastAsia="ja-JP"/>
              </w:rPr>
              <w:t>221</w:t>
            </w:r>
          </w:p>
        </w:tc>
        <w:tc>
          <w:tcPr>
            <w:tcW w:w="851" w:type="dxa"/>
            <w:tcBorders>
              <w:top w:val="single" w:sz="12" w:space="0" w:color="000000"/>
            </w:tcBorders>
            <w:shd w:val="clear" w:color="auto" w:fill="D9D9D9"/>
            <w:vAlign w:val="center"/>
          </w:tcPr>
          <w:p w14:paraId="5F573B0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Arial"/>
                <w:color w:val="000000"/>
                <w:kern w:val="2"/>
                <w:sz w:val="14"/>
                <w:szCs w:val="14"/>
                <w:lang w:val="en-GB" w:eastAsia="ja-JP"/>
              </w:rPr>
              <w:t>221</w:t>
            </w:r>
          </w:p>
        </w:tc>
        <w:tc>
          <w:tcPr>
            <w:tcW w:w="850" w:type="dxa"/>
            <w:tcBorders>
              <w:top w:val="single" w:sz="12" w:space="0" w:color="000000"/>
              <w:right w:val="single" w:sz="12" w:space="0" w:color="000000"/>
            </w:tcBorders>
            <w:shd w:val="clear" w:color="auto" w:fill="D9D9D9"/>
            <w:vAlign w:val="center"/>
          </w:tcPr>
          <w:p w14:paraId="307FFF84"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Malgun Gothic" w:hAnsi="Cambria" w:cs="Calibri"/>
                <w:kern w:val="2"/>
                <w:sz w:val="14"/>
                <w:szCs w:val="14"/>
                <w:lang w:val="en-US" w:eastAsia="ko-KR"/>
              </w:rPr>
              <w:t>368,93</w:t>
            </w:r>
          </w:p>
        </w:tc>
      </w:tr>
      <w:tr w:rsidR="009123AC" w:rsidRPr="00F0379B" w14:paraId="322FA9AC" w14:textId="77777777" w:rsidTr="00CA749B">
        <w:trPr>
          <w:trHeight w:val="23"/>
        </w:trPr>
        <w:tc>
          <w:tcPr>
            <w:tcW w:w="2150" w:type="dxa"/>
            <w:tcBorders>
              <w:left w:val="single" w:sz="12" w:space="0" w:color="000000"/>
              <w:bottom w:val="single" w:sz="12" w:space="0" w:color="000000"/>
            </w:tcBorders>
            <w:shd w:val="clear" w:color="auto" w:fill="D9D9D9"/>
            <w:noWrap/>
            <w:vAlign w:val="center"/>
          </w:tcPr>
          <w:p w14:paraId="2088EA1F"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Cuota ajustada (si procede)</w:t>
            </w:r>
          </w:p>
        </w:tc>
        <w:tc>
          <w:tcPr>
            <w:tcW w:w="1673" w:type="dxa"/>
            <w:tcBorders>
              <w:bottom w:val="single" w:sz="12" w:space="0" w:color="000000"/>
            </w:tcBorders>
            <w:shd w:val="clear" w:color="auto" w:fill="D9D9D9"/>
            <w:noWrap/>
            <w:vAlign w:val="center"/>
          </w:tcPr>
          <w:p w14:paraId="3F8A6E25"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850" w:type="dxa"/>
            <w:tcBorders>
              <w:bottom w:val="single" w:sz="12" w:space="0" w:color="000000"/>
            </w:tcBorders>
            <w:shd w:val="clear" w:color="auto" w:fill="D9D9D9"/>
            <w:vAlign w:val="center"/>
          </w:tcPr>
          <w:p w14:paraId="3CB054D6"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bottom w:val="single" w:sz="12" w:space="0" w:color="000000"/>
            </w:tcBorders>
            <w:shd w:val="clear" w:color="auto" w:fill="D9D9D9"/>
            <w:noWrap/>
            <w:vAlign w:val="center"/>
          </w:tcPr>
          <w:p w14:paraId="53B375F3"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tcBorders>
              <w:bottom w:val="single" w:sz="12" w:space="0" w:color="000000"/>
            </w:tcBorders>
            <w:shd w:val="clear" w:color="auto" w:fill="D9D9D9"/>
            <w:vAlign w:val="center"/>
          </w:tcPr>
          <w:p w14:paraId="26C0CDCF"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bottom w:val="single" w:sz="12" w:space="0" w:color="000000"/>
            </w:tcBorders>
            <w:shd w:val="clear" w:color="auto" w:fill="D9D9D9"/>
            <w:vAlign w:val="center"/>
          </w:tcPr>
          <w:p w14:paraId="4DA45291"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tcBorders>
              <w:bottom w:val="single" w:sz="12" w:space="0" w:color="000000"/>
            </w:tcBorders>
            <w:shd w:val="clear" w:color="auto" w:fill="D9D9D9"/>
            <w:vAlign w:val="center"/>
          </w:tcPr>
          <w:p w14:paraId="340072BF"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709" w:type="dxa"/>
            <w:tcBorders>
              <w:bottom w:val="single" w:sz="12" w:space="0" w:color="000000"/>
            </w:tcBorders>
            <w:shd w:val="clear" w:color="auto" w:fill="D9D9D9"/>
            <w:vAlign w:val="center"/>
          </w:tcPr>
          <w:p w14:paraId="103EDCB6"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tcBorders>
              <w:bottom w:val="single" w:sz="12" w:space="0" w:color="000000"/>
            </w:tcBorders>
            <w:shd w:val="clear" w:color="auto" w:fill="D9D9D9"/>
            <w:vAlign w:val="center"/>
          </w:tcPr>
          <w:p w14:paraId="56A5E4FE"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tcBorders>
              <w:bottom w:val="single" w:sz="12" w:space="0" w:color="000000"/>
            </w:tcBorders>
            <w:shd w:val="clear" w:color="auto" w:fill="D9D9D9"/>
            <w:vAlign w:val="center"/>
          </w:tcPr>
          <w:p w14:paraId="354ECAED"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tcBorders>
              <w:bottom w:val="single" w:sz="12" w:space="0" w:color="000000"/>
            </w:tcBorders>
            <w:shd w:val="clear" w:color="auto" w:fill="D9D9D9"/>
            <w:vAlign w:val="center"/>
          </w:tcPr>
          <w:p w14:paraId="2ACBBA18"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bottom w:val="single" w:sz="12" w:space="0" w:color="000000"/>
            </w:tcBorders>
            <w:shd w:val="clear" w:color="auto" w:fill="D9D9D9"/>
            <w:vAlign w:val="center"/>
          </w:tcPr>
          <w:p w14:paraId="64AEF5F2"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tcBorders>
              <w:bottom w:val="single" w:sz="12" w:space="0" w:color="000000"/>
            </w:tcBorders>
            <w:shd w:val="clear" w:color="auto" w:fill="D9D9D9"/>
            <w:vAlign w:val="center"/>
          </w:tcPr>
          <w:p w14:paraId="271E2CD7"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Malgun Gothic" w:hAnsi="Cambria" w:cs="Calibri"/>
                <w:kern w:val="2"/>
                <w:sz w:val="14"/>
                <w:szCs w:val="14"/>
                <w:lang w:val="en-US" w:eastAsia="ko-KR"/>
              </w:rPr>
              <w:t>205,8</w:t>
            </w:r>
          </w:p>
        </w:tc>
        <w:tc>
          <w:tcPr>
            <w:tcW w:w="709" w:type="dxa"/>
            <w:tcBorders>
              <w:bottom w:val="single" w:sz="12" w:space="0" w:color="000000"/>
            </w:tcBorders>
            <w:shd w:val="clear" w:color="auto" w:fill="D9D9D9"/>
            <w:vAlign w:val="center"/>
          </w:tcPr>
          <w:p w14:paraId="4BAB0B79" w14:textId="77777777" w:rsidR="009123AC" w:rsidRPr="00F0379B" w:rsidRDefault="009123AC" w:rsidP="009123AC">
            <w:pPr>
              <w:spacing w:after="0" w:line="240" w:lineRule="auto"/>
              <w:ind w:left="-108" w:right="-107"/>
              <w:jc w:val="center"/>
              <w:rPr>
                <w:rFonts w:ascii="Cambria" w:eastAsia="Times New Roman" w:hAnsi="Cambria" w:cs="Calibri"/>
                <w:kern w:val="2"/>
                <w:sz w:val="14"/>
                <w:szCs w:val="14"/>
                <w:lang w:val="en-US" w:eastAsia="ja-JP"/>
              </w:rPr>
            </w:pPr>
            <w:r w:rsidRPr="00F0379B">
              <w:rPr>
                <w:rFonts w:ascii="Cambria" w:eastAsia="Malgun Gothic" w:hAnsi="Cambria" w:cs="Calibri"/>
                <w:kern w:val="2"/>
                <w:sz w:val="14"/>
                <w:szCs w:val="14"/>
                <w:lang w:val="en-US" w:eastAsia="ko-KR"/>
              </w:rPr>
              <w:t>278,724</w:t>
            </w:r>
            <w:r w:rsidRPr="00F0379B">
              <w:rPr>
                <w:rFonts w:ascii="Cambria" w:eastAsia="Times New Roman" w:hAnsi="Cambria" w:cs="Calibri"/>
                <w:kern w:val="2"/>
                <w:sz w:val="14"/>
                <w:szCs w:val="14"/>
                <w:lang w:val="en-US" w:eastAsia="ja-JP"/>
              </w:rPr>
              <w:t> </w:t>
            </w:r>
          </w:p>
          <w:p w14:paraId="7BE3F2DA" w14:textId="77777777" w:rsidR="009123AC" w:rsidRPr="00F0379B" w:rsidRDefault="009123AC" w:rsidP="009123AC">
            <w:pPr>
              <w:spacing w:after="0" w:line="240" w:lineRule="auto"/>
              <w:ind w:left="-108" w:right="-107"/>
              <w:jc w:val="center"/>
              <w:rPr>
                <w:rFonts w:ascii="Cambria" w:eastAsia="Malgun Gothic" w:hAnsi="Cambria" w:cs="Calibri"/>
                <w:kern w:val="2"/>
                <w:sz w:val="14"/>
                <w:szCs w:val="14"/>
                <w:lang w:val="en-US" w:eastAsia="ko-KR"/>
              </w:rPr>
            </w:pPr>
            <w:r w:rsidRPr="00F0379B">
              <w:rPr>
                <w:rFonts w:ascii="Cambria" w:eastAsia="Malgun Gothic" w:hAnsi="Cambria" w:cs="Calibri"/>
                <w:kern w:val="2"/>
                <w:sz w:val="14"/>
                <w:szCs w:val="14"/>
                <w:lang w:val="en-US" w:eastAsia="ko-KR"/>
              </w:rPr>
              <w:t>(221+50+</w:t>
            </w:r>
          </w:p>
          <w:p w14:paraId="72E8837D" w14:textId="77777777" w:rsidR="009123AC" w:rsidRPr="00F0379B" w:rsidRDefault="009123AC" w:rsidP="009123AC">
            <w:pPr>
              <w:spacing w:after="0" w:line="240" w:lineRule="auto"/>
              <w:ind w:left="-108" w:right="-107"/>
              <w:jc w:val="center"/>
              <w:rPr>
                <w:rFonts w:ascii="Cambria" w:eastAsia="Times New Roman" w:hAnsi="Cambria" w:cs="Calibri"/>
                <w:sz w:val="14"/>
                <w:szCs w:val="14"/>
                <w:lang w:val="en-US" w:eastAsia="ja-JP"/>
              </w:rPr>
            </w:pPr>
            <w:r w:rsidRPr="00F0379B">
              <w:rPr>
                <w:rFonts w:ascii="Cambria" w:eastAsia="Malgun Gothic" w:hAnsi="Cambria" w:cs="Calibri"/>
                <w:kern w:val="2"/>
                <w:sz w:val="14"/>
                <w:szCs w:val="14"/>
                <w:lang w:val="en-US" w:eastAsia="ko-KR"/>
              </w:rPr>
              <w:t>7,724)</w:t>
            </w:r>
          </w:p>
        </w:tc>
        <w:tc>
          <w:tcPr>
            <w:tcW w:w="708" w:type="dxa"/>
            <w:tcBorders>
              <w:bottom w:val="single" w:sz="12" w:space="0" w:color="000000"/>
            </w:tcBorders>
            <w:shd w:val="clear" w:color="auto" w:fill="D9D9D9"/>
            <w:vAlign w:val="center"/>
          </w:tcPr>
          <w:p w14:paraId="5D093AA2" w14:textId="77777777" w:rsidR="009123AC" w:rsidRPr="00F0379B" w:rsidRDefault="009123AC" w:rsidP="009123AC">
            <w:pPr>
              <w:spacing w:after="0" w:line="240" w:lineRule="auto"/>
              <w:ind w:right="-110"/>
              <w:jc w:val="center"/>
              <w:rPr>
                <w:rFonts w:ascii="Cambria" w:eastAsia="Times New Roman" w:hAnsi="Cambria" w:cs="Calibri"/>
                <w:sz w:val="14"/>
                <w:szCs w:val="14"/>
                <w:lang w:val="en-US" w:eastAsia="ja-JP"/>
              </w:rPr>
            </w:pPr>
            <w:r w:rsidRPr="00F0379B">
              <w:rPr>
                <w:rFonts w:ascii="Cambria" w:eastAsia="Malgun Gothic" w:hAnsi="Cambria" w:cs="Calibri"/>
                <w:kern w:val="2"/>
                <w:sz w:val="14"/>
                <w:szCs w:val="14"/>
                <w:lang w:val="en-US" w:eastAsia="ko-KR"/>
              </w:rPr>
              <w:t>276,179 (221+50+5,179)</w:t>
            </w:r>
          </w:p>
        </w:tc>
        <w:tc>
          <w:tcPr>
            <w:tcW w:w="851" w:type="dxa"/>
            <w:tcBorders>
              <w:bottom w:val="single" w:sz="12" w:space="0" w:color="000000"/>
            </w:tcBorders>
            <w:shd w:val="clear" w:color="auto" w:fill="D9D9D9"/>
            <w:vAlign w:val="center"/>
          </w:tcPr>
          <w:p w14:paraId="461B4C2B"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Malgun Gothic" w:hAnsi="Cambria" w:cs="Calibri"/>
                <w:kern w:val="2"/>
                <w:sz w:val="14"/>
                <w:szCs w:val="14"/>
                <w:lang w:val="en-US" w:eastAsia="ko-KR"/>
              </w:rPr>
              <w:t>279,224 (221+50+8,224)</w:t>
            </w:r>
          </w:p>
        </w:tc>
        <w:tc>
          <w:tcPr>
            <w:tcW w:w="850" w:type="dxa"/>
            <w:tcBorders>
              <w:bottom w:val="single" w:sz="12" w:space="0" w:color="000000"/>
              <w:right w:val="single" w:sz="12" w:space="0" w:color="000000"/>
            </w:tcBorders>
            <w:shd w:val="clear" w:color="auto" w:fill="D9D9D9"/>
            <w:vAlign w:val="center"/>
          </w:tcPr>
          <w:p w14:paraId="2045D601"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Malgun Gothic" w:hAnsi="Cambria" w:cs="Calibri"/>
                <w:kern w:val="2"/>
                <w:sz w:val="14"/>
                <w:szCs w:val="14"/>
                <w:lang w:val="en-US" w:eastAsia="ko-KR"/>
              </w:rPr>
              <w:t xml:space="preserve">440,323 (368,93 + 50 + </w:t>
            </w:r>
            <w:proofErr w:type="gramStart"/>
            <w:r w:rsidRPr="00F0379B">
              <w:rPr>
                <w:rFonts w:ascii="Cambria" w:eastAsia="Malgun Gothic" w:hAnsi="Cambria" w:cs="Calibri"/>
                <w:kern w:val="2"/>
                <w:sz w:val="14"/>
                <w:szCs w:val="14"/>
                <w:lang w:val="en-US" w:eastAsia="ko-KR"/>
              </w:rPr>
              <w:t>21,393)*</w:t>
            </w:r>
            <w:proofErr w:type="gramEnd"/>
          </w:p>
        </w:tc>
      </w:tr>
      <w:tr w:rsidR="009123AC" w:rsidRPr="00F0379B" w14:paraId="05E2D9D7" w14:textId="77777777" w:rsidTr="00CA749B">
        <w:trPr>
          <w:trHeight w:val="23"/>
        </w:trPr>
        <w:tc>
          <w:tcPr>
            <w:tcW w:w="2150" w:type="dxa"/>
            <w:tcBorders>
              <w:top w:val="single" w:sz="12" w:space="0" w:color="000000"/>
              <w:left w:val="single" w:sz="12" w:space="0" w:color="000000"/>
            </w:tcBorders>
            <w:noWrap/>
            <w:vAlign w:val="center"/>
            <w:hideMark/>
          </w:tcPr>
          <w:p w14:paraId="698D05FF"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Porcentaje asignado a captura fortuita</w:t>
            </w:r>
          </w:p>
        </w:tc>
        <w:tc>
          <w:tcPr>
            <w:tcW w:w="1673" w:type="dxa"/>
            <w:tcBorders>
              <w:top w:val="single" w:sz="12" w:space="0" w:color="000000"/>
            </w:tcBorders>
            <w:noWrap/>
            <w:vAlign w:val="center"/>
            <w:hideMark/>
          </w:tcPr>
          <w:p w14:paraId="622BF1A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tcBorders>
              <w:top w:val="single" w:sz="12" w:space="0" w:color="000000"/>
            </w:tcBorders>
            <w:vAlign w:val="center"/>
          </w:tcPr>
          <w:p w14:paraId="4AE2BB0F"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top w:val="single" w:sz="12" w:space="0" w:color="000000"/>
            </w:tcBorders>
            <w:noWrap/>
            <w:vAlign w:val="center"/>
            <w:hideMark/>
          </w:tcPr>
          <w:p w14:paraId="772F000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tcBorders>
              <w:top w:val="single" w:sz="12" w:space="0" w:color="000000"/>
            </w:tcBorders>
            <w:vAlign w:val="center"/>
            <w:hideMark/>
          </w:tcPr>
          <w:p w14:paraId="61219EC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vAlign w:val="center"/>
            <w:hideMark/>
          </w:tcPr>
          <w:p w14:paraId="61D5310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vAlign w:val="center"/>
            <w:hideMark/>
          </w:tcPr>
          <w:p w14:paraId="4AC5BEB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tcBorders>
              <w:top w:val="single" w:sz="12" w:space="0" w:color="000000"/>
            </w:tcBorders>
            <w:vAlign w:val="center"/>
          </w:tcPr>
          <w:p w14:paraId="1F334E86"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top w:val="single" w:sz="12" w:space="0" w:color="000000"/>
            </w:tcBorders>
            <w:vAlign w:val="center"/>
          </w:tcPr>
          <w:p w14:paraId="0E5839CF"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283" w:type="dxa"/>
            <w:tcBorders>
              <w:top w:val="single" w:sz="12" w:space="0" w:color="000000"/>
            </w:tcBorders>
            <w:shd w:val="clear" w:color="000000" w:fill="D9D9D9"/>
            <w:vAlign w:val="center"/>
            <w:hideMark/>
          </w:tcPr>
          <w:p w14:paraId="69AE667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tcBorders>
            <w:vAlign w:val="center"/>
          </w:tcPr>
          <w:p w14:paraId="629E63EF"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top w:val="single" w:sz="12" w:space="0" w:color="000000"/>
            </w:tcBorders>
            <w:vAlign w:val="center"/>
            <w:hideMark/>
          </w:tcPr>
          <w:p w14:paraId="716CAD3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tcBorders>
              <w:top w:val="single" w:sz="12" w:space="0" w:color="000000"/>
            </w:tcBorders>
            <w:vAlign w:val="center"/>
          </w:tcPr>
          <w:p w14:paraId="713D748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tcBorders>
              <w:top w:val="single" w:sz="12" w:space="0" w:color="000000"/>
            </w:tcBorders>
            <w:vAlign w:val="center"/>
          </w:tcPr>
          <w:p w14:paraId="5DABB08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Arial"/>
                <w:color w:val="000000"/>
                <w:kern w:val="2"/>
                <w:sz w:val="14"/>
                <w:szCs w:val="14"/>
                <w:lang w:val="en-US" w:eastAsia="ja-JP"/>
              </w:rPr>
              <w:t>0,18</w:t>
            </w:r>
          </w:p>
        </w:tc>
        <w:tc>
          <w:tcPr>
            <w:tcW w:w="708" w:type="dxa"/>
            <w:tcBorders>
              <w:top w:val="single" w:sz="12" w:space="0" w:color="000000"/>
            </w:tcBorders>
            <w:vAlign w:val="center"/>
          </w:tcPr>
          <w:p w14:paraId="1E9F733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Arial"/>
                <w:color w:val="000000"/>
                <w:kern w:val="2"/>
                <w:sz w:val="14"/>
                <w:szCs w:val="14"/>
                <w:lang w:val="en-GB" w:eastAsia="ja-JP"/>
              </w:rPr>
              <w:t>0,18</w:t>
            </w:r>
          </w:p>
        </w:tc>
        <w:tc>
          <w:tcPr>
            <w:tcW w:w="851" w:type="dxa"/>
            <w:tcBorders>
              <w:top w:val="single" w:sz="12" w:space="0" w:color="000000"/>
            </w:tcBorders>
            <w:vAlign w:val="center"/>
          </w:tcPr>
          <w:p w14:paraId="66141F2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Arial"/>
                <w:color w:val="000000"/>
                <w:kern w:val="2"/>
                <w:sz w:val="14"/>
                <w:szCs w:val="14"/>
                <w:lang w:val="en-GB" w:eastAsia="ja-JP"/>
              </w:rPr>
              <w:t>0,18</w:t>
            </w:r>
          </w:p>
        </w:tc>
        <w:tc>
          <w:tcPr>
            <w:tcW w:w="850" w:type="dxa"/>
            <w:tcBorders>
              <w:top w:val="single" w:sz="12" w:space="0" w:color="000000"/>
              <w:right w:val="single" w:sz="12" w:space="0" w:color="000000"/>
            </w:tcBorders>
            <w:vAlign w:val="center"/>
          </w:tcPr>
          <w:p w14:paraId="2CFD20DF"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kern w:val="2"/>
                <w:sz w:val="14"/>
                <w:szCs w:val="14"/>
                <w:lang w:val="en-US" w:eastAsia="ja-JP"/>
              </w:rPr>
              <w:t>0,11</w:t>
            </w:r>
          </w:p>
        </w:tc>
      </w:tr>
      <w:tr w:rsidR="009123AC" w:rsidRPr="00F0379B" w14:paraId="4B93B674" w14:textId="77777777" w:rsidTr="00CA749B">
        <w:trPr>
          <w:trHeight w:val="23"/>
        </w:trPr>
        <w:tc>
          <w:tcPr>
            <w:tcW w:w="2150" w:type="dxa"/>
            <w:tcBorders>
              <w:left w:val="single" w:sz="12" w:space="0" w:color="000000"/>
            </w:tcBorders>
            <w:noWrap/>
            <w:vAlign w:val="center"/>
          </w:tcPr>
          <w:p w14:paraId="6ACBC3E0"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Asignación a la captura fortuita</w:t>
            </w:r>
          </w:p>
        </w:tc>
        <w:tc>
          <w:tcPr>
            <w:tcW w:w="1673" w:type="dxa"/>
            <w:noWrap/>
            <w:vAlign w:val="center"/>
          </w:tcPr>
          <w:p w14:paraId="2626601D"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850" w:type="dxa"/>
            <w:vAlign w:val="center"/>
          </w:tcPr>
          <w:p w14:paraId="2941F634"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noWrap/>
            <w:vAlign w:val="center"/>
          </w:tcPr>
          <w:p w14:paraId="628EEF2C"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vAlign w:val="center"/>
          </w:tcPr>
          <w:p w14:paraId="207A535D"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tcPr>
          <w:p w14:paraId="0FDCCB3D"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tcPr>
          <w:p w14:paraId="246D9C55"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vAlign w:val="center"/>
          </w:tcPr>
          <w:p w14:paraId="1C13330F"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tcPr>
          <w:p w14:paraId="279A998C"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283" w:type="dxa"/>
            <w:shd w:val="clear" w:color="000000" w:fill="D9D9D9"/>
            <w:vAlign w:val="center"/>
          </w:tcPr>
          <w:p w14:paraId="71015431"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tcPr>
          <w:p w14:paraId="5B07CED0"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vAlign w:val="center"/>
          </w:tcPr>
          <w:p w14:paraId="5595FADF"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vAlign w:val="center"/>
          </w:tcPr>
          <w:p w14:paraId="75C619C5"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709" w:type="dxa"/>
            <w:vAlign w:val="center"/>
          </w:tcPr>
          <w:p w14:paraId="4BD795D3"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Malgun Gothic" w:hAnsi="Cambria" w:cs="Calibri"/>
                <w:kern w:val="2"/>
                <w:sz w:val="14"/>
                <w:szCs w:val="14"/>
                <w:lang w:val="en-US" w:eastAsia="ko-KR"/>
              </w:rPr>
              <w:t>0,5</w:t>
            </w:r>
          </w:p>
        </w:tc>
        <w:tc>
          <w:tcPr>
            <w:tcW w:w="708" w:type="dxa"/>
            <w:vAlign w:val="center"/>
          </w:tcPr>
          <w:p w14:paraId="289B91DA"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Malgun Gothic" w:hAnsi="Cambria" w:cs="Calibri"/>
                <w:kern w:val="2"/>
                <w:sz w:val="14"/>
                <w:szCs w:val="14"/>
                <w:lang w:val="en-US" w:eastAsia="ko-KR"/>
              </w:rPr>
              <w:t>0,5</w:t>
            </w:r>
          </w:p>
        </w:tc>
        <w:tc>
          <w:tcPr>
            <w:tcW w:w="851" w:type="dxa"/>
            <w:vAlign w:val="center"/>
          </w:tcPr>
          <w:p w14:paraId="733715A2"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Malgun Gothic" w:hAnsi="Cambria" w:cs="Calibri"/>
                <w:kern w:val="2"/>
                <w:sz w:val="14"/>
                <w:szCs w:val="14"/>
                <w:lang w:val="en-US" w:eastAsia="ko-KR"/>
              </w:rPr>
              <w:t>0,5</w:t>
            </w:r>
          </w:p>
        </w:tc>
        <w:tc>
          <w:tcPr>
            <w:tcW w:w="850" w:type="dxa"/>
            <w:tcBorders>
              <w:right w:val="single" w:sz="12" w:space="0" w:color="000000"/>
            </w:tcBorders>
            <w:vAlign w:val="center"/>
          </w:tcPr>
          <w:p w14:paraId="2345E5F5"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Malgun Gothic" w:hAnsi="Cambria" w:cs="Calibri"/>
                <w:kern w:val="2"/>
                <w:sz w:val="14"/>
                <w:szCs w:val="14"/>
                <w:lang w:val="en-US" w:eastAsia="ko-KR"/>
              </w:rPr>
              <w:t>0,5</w:t>
            </w:r>
          </w:p>
        </w:tc>
      </w:tr>
      <w:tr w:rsidR="009123AC" w:rsidRPr="00F0379B" w14:paraId="6251EC1F" w14:textId="77777777" w:rsidTr="00CA749B">
        <w:trPr>
          <w:trHeight w:val="23"/>
        </w:trPr>
        <w:tc>
          <w:tcPr>
            <w:tcW w:w="2150" w:type="dxa"/>
            <w:tcBorders>
              <w:left w:val="single" w:sz="12" w:space="0" w:color="000000"/>
            </w:tcBorders>
            <w:vAlign w:val="center"/>
          </w:tcPr>
          <w:p w14:paraId="7CCB60CB"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Cuota para investigación científica (si procede)</w:t>
            </w:r>
          </w:p>
        </w:tc>
        <w:tc>
          <w:tcPr>
            <w:tcW w:w="1673" w:type="dxa"/>
            <w:noWrap/>
            <w:vAlign w:val="center"/>
          </w:tcPr>
          <w:p w14:paraId="214D5817"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50" w:type="dxa"/>
            <w:vAlign w:val="center"/>
          </w:tcPr>
          <w:p w14:paraId="2F392613"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noWrap/>
            <w:vAlign w:val="center"/>
          </w:tcPr>
          <w:p w14:paraId="3E7677D3"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vAlign w:val="center"/>
          </w:tcPr>
          <w:p w14:paraId="61DFBA15"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5EF2AF10"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1F32E72F"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vAlign w:val="center"/>
          </w:tcPr>
          <w:p w14:paraId="7EDBBEE7"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4F379309"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283" w:type="dxa"/>
            <w:shd w:val="clear" w:color="000000" w:fill="D9D9D9"/>
            <w:vAlign w:val="center"/>
          </w:tcPr>
          <w:p w14:paraId="2210A87F"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741CDD03"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1257A3DE"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vAlign w:val="center"/>
          </w:tcPr>
          <w:p w14:paraId="47364527"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noWrap/>
            <w:vAlign w:val="center"/>
          </w:tcPr>
          <w:p w14:paraId="0807CA47"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8" w:type="dxa"/>
            <w:noWrap/>
            <w:vAlign w:val="center"/>
          </w:tcPr>
          <w:p w14:paraId="2DE7C8DB"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51" w:type="dxa"/>
            <w:noWrap/>
            <w:vAlign w:val="center"/>
          </w:tcPr>
          <w:p w14:paraId="301142D7"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50" w:type="dxa"/>
            <w:tcBorders>
              <w:right w:val="single" w:sz="12" w:space="0" w:color="000000"/>
            </w:tcBorders>
            <w:vAlign w:val="center"/>
          </w:tcPr>
          <w:p w14:paraId="213DFE4F"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r>
      <w:tr w:rsidR="009123AC" w:rsidRPr="00F0379B" w14:paraId="76255FC1" w14:textId="77777777" w:rsidTr="00CA749B">
        <w:trPr>
          <w:trHeight w:val="23"/>
        </w:trPr>
        <w:tc>
          <w:tcPr>
            <w:tcW w:w="2150" w:type="dxa"/>
            <w:tcBorders>
              <w:left w:val="single" w:sz="12" w:space="0" w:color="000000"/>
            </w:tcBorders>
            <w:vAlign w:val="center"/>
          </w:tcPr>
          <w:p w14:paraId="7BDC4FC7"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Tolerancia para pesca deportiva/de recreo (si procede)</w:t>
            </w:r>
          </w:p>
        </w:tc>
        <w:tc>
          <w:tcPr>
            <w:tcW w:w="1673" w:type="dxa"/>
            <w:noWrap/>
            <w:vAlign w:val="center"/>
          </w:tcPr>
          <w:p w14:paraId="4DED826C"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50" w:type="dxa"/>
            <w:vAlign w:val="center"/>
          </w:tcPr>
          <w:p w14:paraId="2BB15043"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noWrap/>
            <w:vAlign w:val="center"/>
          </w:tcPr>
          <w:p w14:paraId="4C60EAD0"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vAlign w:val="center"/>
          </w:tcPr>
          <w:p w14:paraId="3D1D0A8D"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1E2A86A9"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607CC727"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vAlign w:val="center"/>
          </w:tcPr>
          <w:p w14:paraId="2DF10121"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11C5204A"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283" w:type="dxa"/>
            <w:shd w:val="clear" w:color="000000" w:fill="D9D9D9"/>
            <w:vAlign w:val="center"/>
          </w:tcPr>
          <w:p w14:paraId="52746D6E"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5796F7CA"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vAlign w:val="center"/>
          </w:tcPr>
          <w:p w14:paraId="55ACF0A0"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vAlign w:val="center"/>
          </w:tcPr>
          <w:p w14:paraId="669807B5"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noWrap/>
            <w:vAlign w:val="center"/>
          </w:tcPr>
          <w:p w14:paraId="716CA5EF"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8" w:type="dxa"/>
            <w:noWrap/>
            <w:vAlign w:val="center"/>
          </w:tcPr>
          <w:p w14:paraId="7026B357"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51" w:type="dxa"/>
            <w:noWrap/>
            <w:vAlign w:val="center"/>
          </w:tcPr>
          <w:p w14:paraId="17BAF1A4"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50" w:type="dxa"/>
            <w:tcBorders>
              <w:right w:val="single" w:sz="12" w:space="0" w:color="000000"/>
            </w:tcBorders>
            <w:vAlign w:val="center"/>
          </w:tcPr>
          <w:p w14:paraId="79D4DCBE"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r>
      <w:tr w:rsidR="009123AC" w:rsidRPr="00F0379B" w14:paraId="1648F9CA" w14:textId="77777777" w:rsidTr="00CA749B">
        <w:trPr>
          <w:trHeight w:val="23"/>
        </w:trPr>
        <w:tc>
          <w:tcPr>
            <w:tcW w:w="2150" w:type="dxa"/>
            <w:tcBorders>
              <w:left w:val="single" w:sz="12" w:space="0" w:color="000000"/>
              <w:bottom w:val="single" w:sz="12" w:space="0" w:color="000000"/>
            </w:tcBorders>
            <w:vAlign w:val="center"/>
          </w:tcPr>
          <w:p w14:paraId="12D75D56"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r w:rsidRPr="00F0379B">
              <w:rPr>
                <w:rFonts w:ascii="Cambria" w:eastAsia="MS Gothic" w:hAnsi="Cambria" w:cs="Times New Roman"/>
                <w:b/>
                <w:sz w:val="14"/>
                <w:szCs w:val="14"/>
                <w:lang w:eastAsia="fr-FR" w:bidi="fr-FR"/>
              </w:rPr>
              <w:t>Cuota disponible</w:t>
            </w:r>
          </w:p>
        </w:tc>
        <w:tc>
          <w:tcPr>
            <w:tcW w:w="1673" w:type="dxa"/>
            <w:tcBorders>
              <w:bottom w:val="single" w:sz="12" w:space="0" w:color="000000"/>
            </w:tcBorders>
            <w:noWrap/>
            <w:vAlign w:val="center"/>
          </w:tcPr>
          <w:p w14:paraId="6B246735"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850" w:type="dxa"/>
            <w:tcBorders>
              <w:bottom w:val="single" w:sz="12" w:space="0" w:color="000000"/>
            </w:tcBorders>
            <w:vAlign w:val="center"/>
          </w:tcPr>
          <w:p w14:paraId="6E985A95"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tcBorders>
              <w:bottom w:val="single" w:sz="12" w:space="0" w:color="000000"/>
            </w:tcBorders>
            <w:noWrap/>
            <w:vAlign w:val="center"/>
          </w:tcPr>
          <w:p w14:paraId="65D7E98F"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tcBorders>
              <w:bottom w:val="single" w:sz="12" w:space="0" w:color="000000"/>
            </w:tcBorders>
            <w:vAlign w:val="center"/>
          </w:tcPr>
          <w:p w14:paraId="2727EE4A"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tcBorders>
              <w:bottom w:val="single" w:sz="12" w:space="0" w:color="000000"/>
            </w:tcBorders>
            <w:vAlign w:val="center"/>
          </w:tcPr>
          <w:p w14:paraId="41ED5078"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567" w:type="dxa"/>
            <w:tcBorders>
              <w:bottom w:val="single" w:sz="12" w:space="0" w:color="000000"/>
            </w:tcBorders>
            <w:vAlign w:val="center"/>
          </w:tcPr>
          <w:p w14:paraId="4834DF4A"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709" w:type="dxa"/>
            <w:tcBorders>
              <w:bottom w:val="single" w:sz="12" w:space="0" w:color="000000"/>
            </w:tcBorders>
            <w:vAlign w:val="center"/>
          </w:tcPr>
          <w:p w14:paraId="2F66EF9A"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567" w:type="dxa"/>
            <w:tcBorders>
              <w:bottom w:val="single" w:sz="12" w:space="0" w:color="000000"/>
            </w:tcBorders>
            <w:vAlign w:val="center"/>
          </w:tcPr>
          <w:p w14:paraId="1B02B8FF"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tcBorders>
              <w:bottom w:val="single" w:sz="12" w:space="0" w:color="000000"/>
            </w:tcBorders>
            <w:shd w:val="clear" w:color="000000" w:fill="D9D9D9"/>
            <w:vAlign w:val="center"/>
          </w:tcPr>
          <w:p w14:paraId="527FBE24"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567" w:type="dxa"/>
            <w:tcBorders>
              <w:bottom w:val="single" w:sz="12" w:space="0" w:color="000000"/>
            </w:tcBorders>
            <w:vAlign w:val="center"/>
          </w:tcPr>
          <w:p w14:paraId="09AE4B11"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567" w:type="dxa"/>
            <w:tcBorders>
              <w:bottom w:val="single" w:sz="12" w:space="0" w:color="000000"/>
            </w:tcBorders>
            <w:vAlign w:val="center"/>
          </w:tcPr>
          <w:p w14:paraId="7E82726F"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709" w:type="dxa"/>
            <w:tcBorders>
              <w:bottom w:val="single" w:sz="12" w:space="0" w:color="000000"/>
            </w:tcBorders>
            <w:vAlign w:val="center"/>
          </w:tcPr>
          <w:p w14:paraId="6D6D136B"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709" w:type="dxa"/>
            <w:tcBorders>
              <w:bottom w:val="single" w:sz="12" w:space="0" w:color="000000"/>
            </w:tcBorders>
            <w:noWrap/>
            <w:vAlign w:val="center"/>
          </w:tcPr>
          <w:p w14:paraId="0C8EDCE5" w14:textId="77777777" w:rsidR="009123AC" w:rsidRPr="00F0379B" w:rsidRDefault="009123AC" w:rsidP="009123AC">
            <w:pPr>
              <w:spacing w:after="0" w:line="240" w:lineRule="auto"/>
              <w:ind w:left="-108" w:right="-107"/>
              <w:jc w:val="center"/>
              <w:rPr>
                <w:rFonts w:ascii="Cambria" w:eastAsia="Times New Roman" w:hAnsi="Cambria" w:cs="Calibri"/>
                <w:kern w:val="2"/>
                <w:sz w:val="14"/>
                <w:szCs w:val="14"/>
                <w:lang w:val="en-US" w:eastAsia="ja-JP"/>
              </w:rPr>
            </w:pPr>
            <w:r w:rsidRPr="00F0379B">
              <w:rPr>
                <w:rFonts w:ascii="Cambria" w:eastAsia="Malgun Gothic" w:hAnsi="Cambria" w:cs="Calibri"/>
                <w:kern w:val="2"/>
                <w:sz w:val="14"/>
                <w:szCs w:val="14"/>
                <w:lang w:val="en-US" w:eastAsia="ko-KR"/>
              </w:rPr>
              <w:t>278,224</w:t>
            </w:r>
            <w:r w:rsidRPr="00F0379B">
              <w:rPr>
                <w:rFonts w:ascii="Cambria" w:eastAsia="Times New Roman" w:hAnsi="Cambria" w:cs="Calibri"/>
                <w:kern w:val="2"/>
                <w:sz w:val="14"/>
                <w:szCs w:val="14"/>
                <w:lang w:val="en-US" w:eastAsia="ja-JP"/>
              </w:rPr>
              <w:t> </w:t>
            </w:r>
          </w:p>
          <w:p w14:paraId="5FBCFBC1" w14:textId="77777777" w:rsidR="009123AC" w:rsidRPr="00F0379B" w:rsidRDefault="009123AC" w:rsidP="009123AC">
            <w:pPr>
              <w:spacing w:after="0" w:line="240" w:lineRule="auto"/>
              <w:ind w:left="-108" w:right="-107"/>
              <w:jc w:val="center"/>
              <w:rPr>
                <w:rFonts w:ascii="Cambria" w:eastAsia="Times New Roman" w:hAnsi="Cambria" w:cs="Calibri"/>
                <w:b/>
                <w:bCs/>
                <w:sz w:val="14"/>
                <w:szCs w:val="14"/>
                <w:lang w:val="en-US" w:eastAsia="ja-JP"/>
              </w:rPr>
            </w:pPr>
            <w:r w:rsidRPr="00F0379B">
              <w:rPr>
                <w:rFonts w:ascii="Cambria" w:eastAsia="Times New Roman" w:hAnsi="Cambria" w:cs="Calibri"/>
                <w:kern w:val="2"/>
                <w:sz w:val="14"/>
                <w:szCs w:val="14"/>
                <w:lang w:val="en-US" w:eastAsia="ja-JP"/>
              </w:rPr>
              <w:t>(278,724 -0,5)</w:t>
            </w:r>
          </w:p>
        </w:tc>
        <w:tc>
          <w:tcPr>
            <w:tcW w:w="708" w:type="dxa"/>
            <w:tcBorders>
              <w:bottom w:val="single" w:sz="12" w:space="0" w:color="000000"/>
            </w:tcBorders>
            <w:noWrap/>
            <w:vAlign w:val="center"/>
          </w:tcPr>
          <w:p w14:paraId="70130EA6" w14:textId="77777777" w:rsidR="009123AC" w:rsidRPr="00F0379B" w:rsidRDefault="009123AC" w:rsidP="009123AC">
            <w:pPr>
              <w:spacing w:after="0" w:line="240" w:lineRule="auto"/>
              <w:ind w:left="-109" w:right="-110"/>
              <w:jc w:val="center"/>
              <w:rPr>
                <w:rFonts w:ascii="Cambria" w:eastAsia="Malgun Gothic" w:hAnsi="Cambria" w:cs="Calibri"/>
                <w:kern w:val="2"/>
                <w:sz w:val="14"/>
                <w:szCs w:val="14"/>
                <w:lang w:val="en-US" w:eastAsia="ko-KR"/>
              </w:rPr>
            </w:pPr>
            <w:r w:rsidRPr="00F0379B">
              <w:rPr>
                <w:rFonts w:ascii="Cambria" w:eastAsia="Malgun Gothic" w:hAnsi="Cambria" w:cs="Calibri"/>
                <w:kern w:val="2"/>
                <w:sz w:val="14"/>
                <w:szCs w:val="14"/>
                <w:lang w:val="en-US" w:eastAsia="ko-KR"/>
              </w:rPr>
              <w:t>275,679 (276,179 -0,5)</w:t>
            </w:r>
          </w:p>
        </w:tc>
        <w:tc>
          <w:tcPr>
            <w:tcW w:w="851" w:type="dxa"/>
            <w:tcBorders>
              <w:bottom w:val="single" w:sz="12" w:space="0" w:color="000000"/>
            </w:tcBorders>
            <w:noWrap/>
            <w:vAlign w:val="center"/>
          </w:tcPr>
          <w:p w14:paraId="2625F9F5"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Malgun Gothic" w:hAnsi="Cambria" w:cs="Calibri"/>
                <w:kern w:val="2"/>
                <w:sz w:val="14"/>
                <w:szCs w:val="14"/>
                <w:lang w:val="en-US" w:eastAsia="ko-KR"/>
              </w:rPr>
              <w:t>278,724 (279,224 -0,5)</w:t>
            </w:r>
          </w:p>
        </w:tc>
        <w:tc>
          <w:tcPr>
            <w:tcW w:w="850" w:type="dxa"/>
            <w:tcBorders>
              <w:bottom w:val="single" w:sz="12" w:space="0" w:color="000000"/>
              <w:right w:val="single" w:sz="12" w:space="0" w:color="000000"/>
            </w:tcBorders>
            <w:vAlign w:val="center"/>
          </w:tcPr>
          <w:p w14:paraId="19F2E507"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Times New Roman" w:hAnsi="Cambria" w:cs="Calibri"/>
                <w:b/>
                <w:bCs/>
                <w:kern w:val="2"/>
                <w:sz w:val="14"/>
                <w:szCs w:val="14"/>
                <w:lang w:val="en-US" w:eastAsia="ja-JP"/>
              </w:rPr>
              <w:t>439,823 (440,323 – 0,5)</w:t>
            </w:r>
          </w:p>
        </w:tc>
      </w:tr>
      <w:tr w:rsidR="009123AC" w:rsidRPr="00F0379B" w14:paraId="3BE3E4A2" w14:textId="77777777" w:rsidTr="00CA749B">
        <w:trPr>
          <w:trHeight w:val="23"/>
        </w:trPr>
        <w:tc>
          <w:tcPr>
            <w:tcW w:w="2150" w:type="dxa"/>
            <w:tcBorders>
              <w:top w:val="single" w:sz="12" w:space="0" w:color="000000"/>
              <w:left w:val="single" w:sz="12" w:space="0" w:color="000000"/>
              <w:bottom w:val="single" w:sz="12" w:space="0" w:color="000000"/>
            </w:tcBorders>
            <w:shd w:val="clear" w:color="auto" w:fill="D9D9D9"/>
            <w:noWrap/>
            <w:vAlign w:val="center"/>
            <w:hideMark/>
          </w:tcPr>
          <w:p w14:paraId="08A36F5C" w14:textId="77777777" w:rsidR="009123AC" w:rsidRPr="00F0379B" w:rsidRDefault="009123AC" w:rsidP="009123AC">
            <w:pPr>
              <w:spacing w:after="0" w:line="240" w:lineRule="auto"/>
              <w:rPr>
                <w:rFonts w:ascii="Cambria" w:eastAsia="Times New Roman" w:hAnsi="Cambria" w:cs="Calibri"/>
                <w:b/>
                <w:bCs/>
                <w:sz w:val="14"/>
                <w:szCs w:val="14"/>
                <w:lang w:eastAsia="fr-FR" w:bidi="fr-FR"/>
              </w:rPr>
            </w:pPr>
            <w:proofErr w:type="spellStart"/>
            <w:r w:rsidRPr="00F0379B">
              <w:rPr>
                <w:rFonts w:ascii="Cambria" w:eastAsia="MS Gothic" w:hAnsi="Cambria" w:cs="Times New Roman"/>
                <w:b/>
                <w:sz w:val="14"/>
                <w:szCs w:val="14"/>
                <w:lang w:eastAsia="fr-FR" w:bidi="fr-FR"/>
              </w:rPr>
              <w:t>Subcapacidad</w:t>
            </w:r>
            <w:proofErr w:type="spellEnd"/>
            <w:r w:rsidRPr="00F0379B">
              <w:rPr>
                <w:rFonts w:ascii="Cambria" w:eastAsia="MS Gothic" w:hAnsi="Cambria" w:cs="Times New Roman"/>
                <w:b/>
                <w:sz w:val="14"/>
                <w:szCs w:val="14"/>
                <w:lang w:eastAsia="fr-FR" w:bidi="fr-FR"/>
              </w:rPr>
              <w:t>/exceso de capacidad</w:t>
            </w:r>
          </w:p>
        </w:tc>
        <w:tc>
          <w:tcPr>
            <w:tcW w:w="1673" w:type="dxa"/>
            <w:tcBorders>
              <w:top w:val="single" w:sz="12" w:space="0" w:color="000000"/>
              <w:bottom w:val="single" w:sz="12" w:space="0" w:color="000000"/>
            </w:tcBorders>
            <w:shd w:val="clear" w:color="auto" w:fill="D9D9D9"/>
            <w:noWrap/>
            <w:vAlign w:val="center"/>
            <w:hideMark/>
          </w:tcPr>
          <w:p w14:paraId="00F3E00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850" w:type="dxa"/>
            <w:tcBorders>
              <w:top w:val="single" w:sz="12" w:space="0" w:color="000000"/>
              <w:bottom w:val="single" w:sz="12" w:space="0" w:color="000000"/>
            </w:tcBorders>
            <w:shd w:val="clear" w:color="auto" w:fill="D9D9D9"/>
            <w:vAlign w:val="center"/>
          </w:tcPr>
          <w:p w14:paraId="26E5806C"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top w:val="single" w:sz="12" w:space="0" w:color="000000"/>
              <w:bottom w:val="single" w:sz="12" w:space="0" w:color="000000"/>
            </w:tcBorders>
            <w:shd w:val="clear" w:color="auto" w:fill="D9D9D9"/>
            <w:noWrap/>
            <w:vAlign w:val="center"/>
            <w:hideMark/>
          </w:tcPr>
          <w:p w14:paraId="4D7C84F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tcBorders>
              <w:top w:val="single" w:sz="12" w:space="0" w:color="000000"/>
              <w:bottom w:val="single" w:sz="12" w:space="0" w:color="000000"/>
            </w:tcBorders>
            <w:shd w:val="clear" w:color="auto" w:fill="D9D9D9"/>
            <w:vAlign w:val="center"/>
            <w:hideMark/>
          </w:tcPr>
          <w:p w14:paraId="3D05623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bottom w:val="single" w:sz="12" w:space="0" w:color="000000"/>
            </w:tcBorders>
            <w:shd w:val="clear" w:color="auto" w:fill="D9D9D9"/>
            <w:vAlign w:val="center"/>
            <w:hideMark/>
          </w:tcPr>
          <w:p w14:paraId="1294AFF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bottom w:val="single" w:sz="12" w:space="0" w:color="000000"/>
            </w:tcBorders>
            <w:shd w:val="clear" w:color="auto" w:fill="D9D9D9"/>
            <w:vAlign w:val="center"/>
            <w:hideMark/>
          </w:tcPr>
          <w:p w14:paraId="6D3073F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tcBorders>
              <w:top w:val="single" w:sz="12" w:space="0" w:color="000000"/>
              <w:bottom w:val="single" w:sz="12" w:space="0" w:color="000000"/>
            </w:tcBorders>
            <w:shd w:val="clear" w:color="auto" w:fill="D9D9D9"/>
            <w:vAlign w:val="center"/>
          </w:tcPr>
          <w:p w14:paraId="76DDE2FB"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567" w:type="dxa"/>
            <w:tcBorders>
              <w:top w:val="single" w:sz="12" w:space="0" w:color="000000"/>
              <w:bottom w:val="single" w:sz="12" w:space="0" w:color="000000"/>
            </w:tcBorders>
            <w:shd w:val="clear" w:color="auto" w:fill="D9D9D9"/>
            <w:vAlign w:val="center"/>
          </w:tcPr>
          <w:p w14:paraId="3959BAFC"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283" w:type="dxa"/>
            <w:tcBorders>
              <w:top w:val="single" w:sz="12" w:space="0" w:color="000000"/>
              <w:bottom w:val="single" w:sz="12" w:space="0" w:color="000000"/>
            </w:tcBorders>
            <w:shd w:val="clear" w:color="auto" w:fill="D9D9D9"/>
            <w:vAlign w:val="center"/>
            <w:hideMark/>
          </w:tcPr>
          <w:p w14:paraId="42671C8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567" w:type="dxa"/>
            <w:tcBorders>
              <w:top w:val="single" w:sz="12" w:space="0" w:color="000000"/>
              <w:bottom w:val="single" w:sz="12" w:space="0" w:color="000000"/>
            </w:tcBorders>
            <w:shd w:val="clear" w:color="auto" w:fill="D9D9D9"/>
            <w:vAlign w:val="center"/>
          </w:tcPr>
          <w:p w14:paraId="08BD5B3B"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567" w:type="dxa"/>
            <w:tcBorders>
              <w:top w:val="single" w:sz="12" w:space="0" w:color="000000"/>
              <w:bottom w:val="single" w:sz="12" w:space="0" w:color="000000"/>
            </w:tcBorders>
            <w:shd w:val="clear" w:color="auto" w:fill="D9D9D9"/>
            <w:vAlign w:val="center"/>
            <w:hideMark/>
          </w:tcPr>
          <w:p w14:paraId="63619C2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709" w:type="dxa"/>
            <w:tcBorders>
              <w:top w:val="single" w:sz="12" w:space="0" w:color="000000"/>
              <w:bottom w:val="single" w:sz="12" w:space="0" w:color="000000"/>
            </w:tcBorders>
            <w:shd w:val="clear" w:color="auto" w:fill="D9D9D9"/>
            <w:vAlign w:val="center"/>
            <w:hideMark/>
          </w:tcPr>
          <w:p w14:paraId="32B08D70" w14:textId="77777777" w:rsidR="009123AC" w:rsidRPr="00F0379B" w:rsidRDefault="009123AC" w:rsidP="009123AC">
            <w:pPr>
              <w:widowControl w:val="0"/>
              <w:spacing w:after="0" w:line="240" w:lineRule="auto"/>
              <w:jc w:val="center"/>
              <w:rPr>
                <w:rFonts w:ascii="Cambria" w:eastAsia="Times New Roman" w:hAnsi="Cambria" w:cs="Calibri"/>
                <w:sz w:val="14"/>
                <w:szCs w:val="14"/>
                <w:lang w:eastAsia="fr-FR" w:bidi="fr-FR"/>
              </w:rPr>
            </w:pPr>
            <w:r w:rsidRPr="00F0379B">
              <w:rPr>
                <w:rFonts w:ascii="Cambria" w:eastAsia="Malgun Gothic" w:hAnsi="Cambria" w:cs="Calibri"/>
                <w:kern w:val="2"/>
                <w:sz w:val="14"/>
                <w:szCs w:val="14"/>
                <w:lang w:val="en-US" w:eastAsia="ko-KR"/>
              </w:rPr>
              <w:t>-</w:t>
            </w:r>
            <w:r w:rsidRPr="00F0379B">
              <w:rPr>
                <w:rFonts w:ascii="Cambria" w:eastAsia="Times New Roman" w:hAnsi="Cambria" w:cs="Arial"/>
                <w:kern w:val="2"/>
                <w:sz w:val="14"/>
                <w:szCs w:val="14"/>
                <w:lang w:val="en-US" w:eastAsia="ja-JP"/>
              </w:rPr>
              <w:t>130,8</w:t>
            </w:r>
          </w:p>
        </w:tc>
        <w:tc>
          <w:tcPr>
            <w:tcW w:w="709" w:type="dxa"/>
            <w:tcBorders>
              <w:top w:val="single" w:sz="12" w:space="0" w:color="000000"/>
              <w:bottom w:val="single" w:sz="12" w:space="0" w:color="000000"/>
            </w:tcBorders>
            <w:shd w:val="clear" w:color="auto" w:fill="D9D9D9"/>
            <w:vAlign w:val="center"/>
          </w:tcPr>
          <w:p w14:paraId="3A2ED289" w14:textId="77777777" w:rsidR="009123AC" w:rsidRPr="00F0379B" w:rsidRDefault="009123AC" w:rsidP="009123AC">
            <w:pPr>
              <w:spacing w:after="0" w:line="240" w:lineRule="auto"/>
              <w:ind w:left="-108" w:right="-107"/>
              <w:jc w:val="center"/>
              <w:rPr>
                <w:rFonts w:ascii="Cambria" w:eastAsia="Times New Roman" w:hAnsi="Cambria" w:cs="Calibri"/>
                <w:sz w:val="14"/>
                <w:szCs w:val="14"/>
                <w:lang w:eastAsia="fr-FR" w:bidi="fr-FR"/>
              </w:rPr>
            </w:pPr>
            <w:r w:rsidRPr="00F0379B">
              <w:rPr>
                <w:rFonts w:ascii="Cambria" w:eastAsia="Times New Roman" w:hAnsi="Cambria" w:cs="Arial"/>
                <w:kern w:val="2"/>
                <w:sz w:val="14"/>
                <w:szCs w:val="14"/>
                <w:lang w:val="en-US" w:eastAsia="ja-JP"/>
              </w:rPr>
              <w:t>-</w:t>
            </w:r>
            <w:r w:rsidRPr="00F0379B">
              <w:rPr>
                <w:rFonts w:ascii="Cambria" w:eastAsia="Malgun Gothic" w:hAnsi="Cambria" w:cs="Calibri"/>
                <w:kern w:val="2"/>
                <w:sz w:val="14"/>
                <w:szCs w:val="14"/>
                <w:lang w:val="en-US" w:eastAsia="ko-KR"/>
              </w:rPr>
              <w:t>178,224</w:t>
            </w:r>
          </w:p>
        </w:tc>
        <w:tc>
          <w:tcPr>
            <w:tcW w:w="708" w:type="dxa"/>
            <w:tcBorders>
              <w:top w:val="single" w:sz="12" w:space="0" w:color="000000"/>
              <w:bottom w:val="single" w:sz="12" w:space="0" w:color="000000"/>
            </w:tcBorders>
            <w:shd w:val="clear" w:color="auto" w:fill="D9D9D9"/>
            <w:vAlign w:val="center"/>
          </w:tcPr>
          <w:p w14:paraId="314FAB3C" w14:textId="77777777" w:rsidR="009123AC" w:rsidRPr="00F0379B" w:rsidRDefault="009123AC" w:rsidP="009123AC">
            <w:pPr>
              <w:spacing w:after="0" w:line="240" w:lineRule="auto"/>
              <w:ind w:left="-109" w:right="-110"/>
              <w:jc w:val="center"/>
              <w:rPr>
                <w:rFonts w:ascii="Cambria" w:eastAsia="Times New Roman" w:hAnsi="Cambria" w:cs="Calibri"/>
                <w:sz w:val="14"/>
                <w:szCs w:val="14"/>
                <w:lang w:eastAsia="fr-FR" w:bidi="fr-FR"/>
              </w:rPr>
            </w:pPr>
            <w:r w:rsidRPr="00F0379B">
              <w:rPr>
                <w:rFonts w:ascii="Cambria" w:eastAsia="Times New Roman" w:hAnsi="Cambria" w:cs="Arial"/>
                <w:kern w:val="2"/>
                <w:sz w:val="14"/>
                <w:szCs w:val="14"/>
                <w:lang w:val="en-US" w:eastAsia="ja-JP"/>
              </w:rPr>
              <w:t>-</w:t>
            </w:r>
            <w:r w:rsidRPr="00F0379B">
              <w:rPr>
                <w:rFonts w:ascii="Cambria" w:eastAsia="Malgun Gothic" w:hAnsi="Cambria" w:cs="Calibri"/>
                <w:kern w:val="2"/>
                <w:sz w:val="14"/>
                <w:szCs w:val="14"/>
                <w:lang w:val="en-US" w:eastAsia="ko-KR"/>
              </w:rPr>
              <w:t>175,679</w:t>
            </w:r>
          </w:p>
        </w:tc>
        <w:tc>
          <w:tcPr>
            <w:tcW w:w="851" w:type="dxa"/>
            <w:tcBorders>
              <w:top w:val="single" w:sz="12" w:space="0" w:color="000000"/>
              <w:bottom w:val="single" w:sz="12" w:space="0" w:color="000000"/>
            </w:tcBorders>
            <w:shd w:val="clear" w:color="auto" w:fill="D9D9D9"/>
            <w:vAlign w:val="center"/>
          </w:tcPr>
          <w:p w14:paraId="5868F1F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Malgun Gothic" w:hAnsi="Cambria" w:cs="Calibri"/>
                <w:kern w:val="2"/>
                <w:sz w:val="14"/>
                <w:szCs w:val="14"/>
                <w:lang w:val="en-US" w:eastAsia="ko-KR"/>
              </w:rPr>
              <w:t>-178,724</w:t>
            </w:r>
          </w:p>
        </w:tc>
        <w:tc>
          <w:tcPr>
            <w:tcW w:w="850" w:type="dxa"/>
            <w:tcBorders>
              <w:top w:val="single" w:sz="12" w:space="0" w:color="000000"/>
              <w:bottom w:val="single" w:sz="12" w:space="0" w:color="000000"/>
              <w:right w:val="single" w:sz="12" w:space="0" w:color="000000"/>
            </w:tcBorders>
            <w:shd w:val="clear" w:color="auto" w:fill="D9D9D9"/>
            <w:vAlign w:val="center"/>
          </w:tcPr>
          <w:p w14:paraId="4D1864E8"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Arial"/>
                <w:color w:val="000000"/>
                <w:kern w:val="2"/>
                <w:sz w:val="14"/>
                <w:szCs w:val="14"/>
                <w:lang w:val="en-GB" w:eastAsia="ja-JP"/>
              </w:rPr>
              <w:t>-</w:t>
            </w:r>
            <w:r w:rsidRPr="00F0379B">
              <w:rPr>
                <w:rFonts w:ascii="Cambria" w:eastAsia="Malgun Gothic" w:hAnsi="Cambria" w:cs="Calibri"/>
                <w:kern w:val="2"/>
                <w:sz w:val="14"/>
                <w:szCs w:val="14"/>
                <w:lang w:val="en-US" w:eastAsia="ko-KR"/>
              </w:rPr>
              <w:t>289,823</w:t>
            </w:r>
          </w:p>
        </w:tc>
      </w:tr>
    </w:tbl>
    <w:p w14:paraId="30C6F837" w14:textId="77777777" w:rsidR="009123AC" w:rsidRPr="00F0379B" w:rsidRDefault="009123AC" w:rsidP="009123AC">
      <w:pPr>
        <w:spacing w:after="0" w:line="240" w:lineRule="auto"/>
        <w:rPr>
          <w:rFonts w:ascii="Cambria" w:eastAsia="MS Gothic" w:hAnsi="Cambria" w:cs="Times New Roman"/>
          <w:b/>
          <w:bCs/>
          <w:iCs/>
          <w:sz w:val="20"/>
          <w:szCs w:val="20"/>
          <w:lang w:eastAsia="fr-FR" w:bidi="fr-FR"/>
          <w14:ligatures w14:val="standardContextual"/>
        </w:rPr>
      </w:pPr>
    </w:p>
    <w:p w14:paraId="5C2D15E5" w14:textId="77777777" w:rsidR="009123AC" w:rsidRPr="00F0379B" w:rsidRDefault="009123AC" w:rsidP="009123AC">
      <w:pPr>
        <w:spacing w:after="0" w:line="240" w:lineRule="auto"/>
        <w:rPr>
          <w:rFonts w:ascii="Cambria" w:eastAsia="MS Gothic" w:hAnsi="Cambria" w:cs="Times New Roman"/>
          <w:sz w:val="16"/>
          <w:szCs w:val="16"/>
          <w:lang w:eastAsia="fr-FR" w:bidi="fr-FR"/>
          <w14:ligatures w14:val="standardContextual"/>
        </w:rPr>
        <w:sectPr w:rsidR="009123AC" w:rsidRPr="00F0379B" w:rsidSect="009123AC">
          <w:headerReference w:type="default" r:id="rId156"/>
          <w:footerReference w:type="default" r:id="rId157"/>
          <w:footnotePr>
            <w:numFmt w:val="chicago"/>
          </w:footnotePr>
          <w:pgSz w:w="16838" w:h="11906" w:orient="landscape" w:code="9"/>
          <w:pgMar w:top="1418" w:right="1418" w:bottom="1418" w:left="1418" w:header="851" w:footer="1134" w:gutter="0"/>
          <w:cols w:space="425"/>
          <w:docGrid w:linePitch="360"/>
        </w:sectPr>
      </w:pPr>
      <w:r w:rsidRPr="00F0379B">
        <w:rPr>
          <w:rFonts w:ascii="Cambria" w:eastAsia="MS Gothic" w:hAnsi="Cambria" w:cs="Times New Roman"/>
          <w:sz w:val="16"/>
          <w:szCs w:val="16"/>
          <w:lang w:eastAsia="fr-FR" w:bidi="fr-FR"/>
          <w14:ligatures w14:val="standardContextual"/>
        </w:rPr>
        <w:t xml:space="preserve"> *368,93 t (cuota inicial) + 50 t (transferencia de cuota de Taipei Chino) + 21,393 t (cuota no utilizada traspasada de 2025) - 0,5 t (posibles capturas fortuitas).</w:t>
      </w:r>
    </w:p>
    <w:p w14:paraId="48ADC9B5" w14:textId="2E51A8AF" w:rsidR="009123AC" w:rsidRPr="00F0379B" w:rsidRDefault="009123AC" w:rsidP="009123AC">
      <w:pPr>
        <w:spacing w:after="0"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Libia</w:t>
      </w:r>
    </w:p>
    <w:p w14:paraId="4E200496"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3D5CD48C"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Año del plan de pesca: 2026</w:t>
      </w:r>
    </w:p>
    <w:p w14:paraId="2D52C179"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5AD504CA" w14:textId="77777777" w:rsidR="009123AC" w:rsidRPr="00F0379B" w:rsidRDefault="009123AC" w:rsidP="009123AC">
      <w:pPr>
        <w:tabs>
          <w:tab w:val="left" w:pos="426"/>
        </w:tabs>
        <w:spacing w:after="0" w:line="240" w:lineRule="auto"/>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1. </w:t>
      </w:r>
      <w:r w:rsidRPr="00F0379B">
        <w:rPr>
          <w:rFonts w:ascii="Cambria" w:eastAsiaTheme="minorEastAsia" w:hAnsi="Cambria"/>
          <w:b/>
          <w:kern w:val="2"/>
          <w:sz w:val="20"/>
          <w:szCs w:val="20"/>
          <w:lang w:eastAsia="ja-JP"/>
          <w14:ligatures w14:val="standardContextual"/>
        </w:rPr>
        <w:tab/>
        <w:t xml:space="preserve">Detalles del plan anual de pesca para los buques de captura y las almadrabas </w:t>
      </w:r>
    </w:p>
    <w:p w14:paraId="39259E50" w14:textId="77777777" w:rsidR="009123AC" w:rsidRPr="00F0379B" w:rsidRDefault="009123AC" w:rsidP="009123AC">
      <w:pPr>
        <w:tabs>
          <w:tab w:val="left" w:pos="426"/>
        </w:tabs>
        <w:spacing w:after="0" w:line="240" w:lineRule="auto"/>
        <w:jc w:val="both"/>
        <w:rPr>
          <w:rFonts w:ascii="Cambria" w:eastAsiaTheme="minorEastAsia" w:hAnsi="Cambria"/>
          <w:b/>
          <w:kern w:val="2"/>
          <w:sz w:val="20"/>
          <w:szCs w:val="20"/>
          <w:lang w:eastAsia="ja-JP"/>
          <w14:ligatures w14:val="standardContextual"/>
        </w:rPr>
      </w:pPr>
    </w:p>
    <w:p w14:paraId="7337303C" w14:textId="77777777" w:rsidR="009123AC" w:rsidRPr="00F0379B" w:rsidRDefault="009123AC" w:rsidP="009123AC">
      <w:pPr>
        <w:spacing w:after="0" w:line="240" w:lineRule="auto"/>
        <w:jc w:val="both"/>
        <w:rPr>
          <w:rFonts w:ascii="Cambria" w:eastAsia="Cambria" w:hAnsi="Cambria" w:cs="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Gobierno de Libia presenta aquí su Plan de pesca, cría, inspección y ordenación de la capacidad para la temporada de 2026 de atún rojo del Mediterráneo. Este plan se ha elaborado en plena conformidad con la Recomendación 25-04 de ICCAT. La cuota de Libia para 2026 se ha fijado en 2.950 t, lo que refleja el compromiso colectivo con la ordenación sostenible de los recursos de atún rojo.</w:t>
      </w:r>
    </w:p>
    <w:p w14:paraId="27427173" w14:textId="77777777" w:rsidR="009123AC" w:rsidRPr="00F0379B" w:rsidRDefault="009123AC" w:rsidP="009123AC">
      <w:pPr>
        <w:spacing w:after="0" w:line="240" w:lineRule="auto"/>
        <w:jc w:val="both"/>
        <w:rPr>
          <w:rFonts w:ascii="Cambria" w:eastAsiaTheme="minorEastAsia" w:hAnsi="Cambria"/>
          <w:i/>
          <w:kern w:val="2"/>
          <w:sz w:val="20"/>
          <w:szCs w:val="20"/>
          <w:lang w:eastAsia="ja-JP"/>
          <w14:ligatures w14:val="standardContextual"/>
        </w:rPr>
      </w:pPr>
    </w:p>
    <w:p w14:paraId="3B0701CC" w14:textId="77777777" w:rsidR="009123AC" w:rsidRPr="00F0379B" w:rsidRDefault="009123AC" w:rsidP="009123AC">
      <w:pPr>
        <w:spacing w:after="0" w:line="240" w:lineRule="auto"/>
        <w:jc w:val="both"/>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i/>
          <w:kern w:val="2"/>
          <w:sz w:val="20"/>
          <w:szCs w:val="20"/>
          <w:lang w:eastAsia="ja-JP"/>
          <w14:ligatures w14:val="standardContextual"/>
        </w:rPr>
        <w:t>1 a) Presentación (párr. 12)</w:t>
      </w:r>
    </w:p>
    <w:p w14:paraId="16DCD1B8" w14:textId="77777777" w:rsidR="009123AC" w:rsidRPr="00F0379B" w:rsidRDefault="009123AC" w:rsidP="009123AC">
      <w:pPr>
        <w:spacing w:after="0" w:line="240" w:lineRule="auto"/>
        <w:jc w:val="both"/>
        <w:rPr>
          <w:rFonts w:ascii="Cambria" w:eastAsiaTheme="minorEastAsia" w:hAnsi="Cambria"/>
          <w:b/>
          <w:bCs/>
          <w:i/>
          <w:iCs/>
          <w:kern w:val="2"/>
          <w:sz w:val="20"/>
          <w:szCs w:val="20"/>
          <w:lang w:eastAsia="ja-JP"/>
          <w14:ligatures w14:val="standardContextual"/>
        </w:rPr>
      </w:pPr>
    </w:p>
    <w:p w14:paraId="306634D2"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En preparación para la temporada de 2026, Libia ha ajustado su capacidad pesquera en estricta conformidad con las metodologías de ICCAT. El Plan de PESCA asigna cuotas individuales a 15 buques cerqueros autorizados, cada uno de más de 24 m de eslora, que participarán activamente en la pesca del atún rojo del Mediterráneo.</w:t>
      </w:r>
    </w:p>
    <w:p w14:paraId="5C051FDF" w14:textId="77777777" w:rsidR="009123AC" w:rsidRPr="00F0379B" w:rsidRDefault="009123AC" w:rsidP="009123AC">
      <w:pPr>
        <w:spacing w:after="0" w:line="240" w:lineRule="auto"/>
        <w:jc w:val="both"/>
        <w:rPr>
          <w:rFonts w:ascii="Cambria" w:eastAsia="Cambria" w:hAnsi="Cambria" w:cs="Cambria"/>
          <w:kern w:val="2"/>
          <w:sz w:val="20"/>
          <w:szCs w:val="20"/>
          <w:lang w:eastAsia="ja-JP"/>
          <w14:ligatures w14:val="standardContextual"/>
        </w:rPr>
      </w:pPr>
    </w:p>
    <w:p w14:paraId="4BA4A812"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autorizaciones de pesca serán expedidas por el Ministerio de Riqueza Marina y debidamente comunicadas a ICCAT. La ordenación de las actividades pesqueras se regirá por:</w:t>
      </w:r>
    </w:p>
    <w:p w14:paraId="06D09043" w14:textId="77777777" w:rsidR="009123AC" w:rsidRPr="00F0379B" w:rsidRDefault="009123AC" w:rsidP="009123AC">
      <w:pPr>
        <w:spacing w:after="0" w:line="240" w:lineRule="auto"/>
        <w:jc w:val="both"/>
        <w:rPr>
          <w:rFonts w:ascii="Cambria" w:eastAsia="Cambria" w:hAnsi="Cambria" w:cs="Cambria"/>
          <w:kern w:val="2"/>
          <w:sz w:val="20"/>
          <w:szCs w:val="20"/>
          <w:lang w:eastAsia="ja-JP"/>
          <w14:ligatures w14:val="standardContextual"/>
        </w:rPr>
      </w:pPr>
    </w:p>
    <w:p w14:paraId="0A3B0607" w14:textId="77777777" w:rsidR="009123AC" w:rsidRPr="00F0379B" w:rsidRDefault="009123AC" w:rsidP="00CE0EC8">
      <w:pPr>
        <w:widowControl w:val="0"/>
        <w:numPr>
          <w:ilvl w:val="0"/>
          <w:numId w:val="81"/>
        </w:numPr>
        <w:spacing w:after="0" w:line="240" w:lineRule="auto"/>
        <w:jc w:val="both"/>
        <w:rPr>
          <w:rFonts w:ascii="Cambria" w:eastAsia="Cambria" w:hAnsi="Cambria" w:cs="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Recomendación 25-04 de ICCAT,</w:t>
      </w:r>
    </w:p>
    <w:p w14:paraId="1562EA0D" w14:textId="77777777" w:rsidR="009123AC" w:rsidRPr="00F0379B" w:rsidRDefault="009123AC" w:rsidP="00CE0EC8">
      <w:pPr>
        <w:widowControl w:val="0"/>
        <w:numPr>
          <w:ilvl w:val="0"/>
          <w:numId w:val="81"/>
        </w:numPr>
        <w:spacing w:after="0" w:line="240" w:lineRule="auto"/>
        <w:jc w:val="both"/>
        <w:rPr>
          <w:rFonts w:ascii="Cambria" w:eastAsia="Cambria" w:hAnsi="Cambria" w:cs="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Ley #14/1989 que organiza la pesca y la acuicultura en Libia</w:t>
      </w:r>
    </w:p>
    <w:p w14:paraId="0EB9AE59" w14:textId="77777777" w:rsidR="009123AC" w:rsidRPr="00F0379B" w:rsidRDefault="009123AC" w:rsidP="00CE0EC8">
      <w:pPr>
        <w:widowControl w:val="0"/>
        <w:numPr>
          <w:ilvl w:val="0"/>
          <w:numId w:val="81"/>
        </w:numPr>
        <w:spacing w:after="0" w:line="240" w:lineRule="auto"/>
        <w:jc w:val="both"/>
        <w:rPr>
          <w:rFonts w:ascii="Cambria" w:eastAsia="Cambria" w:hAnsi="Cambria" w:cs="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Decreto Ministerial N.º 32/2022, modificado por el Decreto N.º 35/2023.</w:t>
      </w:r>
    </w:p>
    <w:p w14:paraId="04623399" w14:textId="77777777" w:rsidR="009123AC" w:rsidRPr="00F0379B" w:rsidRDefault="009123AC" w:rsidP="009123AC">
      <w:pPr>
        <w:spacing w:after="0" w:line="240" w:lineRule="auto"/>
        <w:ind w:left="720"/>
        <w:jc w:val="both"/>
        <w:rPr>
          <w:rFonts w:ascii="Cambria" w:eastAsia="Cambria" w:hAnsi="Cambria" w:cs="Cambria"/>
          <w:kern w:val="2"/>
          <w:sz w:val="20"/>
          <w:szCs w:val="20"/>
          <w:lang w:eastAsia="ja-JP"/>
          <w14:ligatures w14:val="standardContextual"/>
        </w:rPr>
      </w:pPr>
    </w:p>
    <w:p w14:paraId="46622EF3"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 la cuota asignada, incluido el traspaso de la cuota no utilizada de 2025, 2.958 t se distribuirán entre los 15 cerqueros, mientras que 10 t se reservarán para capturas fortuitas o rebasamientos menores.</w:t>
      </w:r>
    </w:p>
    <w:p w14:paraId="3FB00D39" w14:textId="77777777" w:rsidR="009123AC" w:rsidRPr="00F0379B" w:rsidRDefault="009123AC" w:rsidP="009123AC">
      <w:pPr>
        <w:spacing w:after="0" w:line="240" w:lineRule="auto"/>
        <w:jc w:val="both"/>
        <w:rPr>
          <w:rFonts w:ascii="Cambria" w:eastAsia="Cambria" w:hAnsi="Cambria" w:cs="Cambria"/>
          <w:kern w:val="2"/>
          <w:sz w:val="20"/>
          <w:szCs w:val="20"/>
          <w:lang w:eastAsia="ja-JP"/>
          <w14:ligatures w14:val="standardContextual"/>
        </w:rPr>
      </w:pPr>
    </w:p>
    <w:p w14:paraId="5FF82197"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Libia notificará a ICCAT los buques autorizados y sus cuotas dentro del plazo establecido. Se permitirán las operaciones conjuntas de pesca (JFO) entre buques libios, y las JFO con buques de otras CPC podrán autorizarse de conformidad con el párrafo 73 de la Recomendación 25-04.</w:t>
      </w:r>
    </w:p>
    <w:p w14:paraId="4D2D8E8C"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67C271E4" w14:textId="77777777" w:rsidR="009123AC" w:rsidRPr="00F0379B" w:rsidRDefault="009123AC" w:rsidP="009123AC">
      <w:pPr>
        <w:spacing w:after="0" w:line="240" w:lineRule="auto"/>
        <w:jc w:val="both"/>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i/>
          <w:kern w:val="2"/>
          <w:sz w:val="20"/>
          <w:szCs w:val="20"/>
          <w:lang w:eastAsia="ja-JP"/>
          <w14:ligatures w14:val="standardContextual"/>
        </w:rPr>
        <w:t>1 b) Traspaso (párr. 6)</w:t>
      </w:r>
    </w:p>
    <w:p w14:paraId="29981A49"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4B352FEC" w14:textId="77777777" w:rsidR="009123AC" w:rsidRPr="00F0379B" w:rsidRDefault="009123AC" w:rsidP="009123AC">
      <w:pPr>
        <w:widowControl w:val="0"/>
        <w:autoSpaceDE w:val="0"/>
        <w:autoSpaceDN w:val="0"/>
        <w:spacing w:after="0" w:line="240" w:lineRule="auto"/>
        <w:jc w:val="both"/>
        <w:rPr>
          <w:rFonts w:ascii="Cambria" w:eastAsia="Cambria" w:hAnsi="Cambria" w:cs="Cambria"/>
          <w:sz w:val="20"/>
          <w:szCs w:val="20"/>
        </w:rPr>
      </w:pPr>
      <w:r w:rsidRPr="00F0379B">
        <w:rPr>
          <w:rFonts w:ascii="Cambria" w:eastAsia="Cambria" w:hAnsi="Cambria" w:cs="Cambria"/>
          <w:sz w:val="20"/>
          <w:szCs w:val="20"/>
        </w:rPr>
        <w:t>Libia tenía una cuota no utilizada de 18 t en 2025, que se traspasará a 2026, de conformidad con lo dispuesto en el párrafo 6 de la Rec. 25-04. Por lo tanto, la cuota total de Libia para 2026 será equivalente a 2.968 t.</w:t>
      </w:r>
    </w:p>
    <w:p w14:paraId="527C3C90" w14:textId="77777777" w:rsidR="009123AC" w:rsidRPr="00F0379B" w:rsidRDefault="009123AC" w:rsidP="009123AC">
      <w:pPr>
        <w:spacing w:after="0" w:line="240" w:lineRule="auto"/>
        <w:jc w:val="both"/>
        <w:rPr>
          <w:rFonts w:ascii="Cambria" w:eastAsiaTheme="minorEastAsia" w:hAnsi="Cambria"/>
          <w:b/>
          <w:i/>
          <w:kern w:val="2"/>
          <w:sz w:val="20"/>
          <w:szCs w:val="20"/>
          <w:lang w:eastAsia="ja-JP"/>
          <w14:ligatures w14:val="standardContextual"/>
        </w:rPr>
      </w:pPr>
    </w:p>
    <w:p w14:paraId="032C3343" w14:textId="77777777" w:rsidR="009123AC" w:rsidRPr="00F0379B" w:rsidRDefault="009123AC" w:rsidP="009123AC">
      <w:pPr>
        <w:spacing w:after="0" w:line="240" w:lineRule="auto"/>
        <w:jc w:val="both"/>
        <w:rPr>
          <w:rFonts w:ascii="Cambria" w:eastAsiaTheme="minorEastAsia" w:hAnsi="Cambria"/>
          <w:b/>
          <w:bCs/>
          <w:i/>
          <w:kern w:val="2"/>
          <w:sz w:val="20"/>
          <w:szCs w:val="20"/>
          <w:lang w:eastAsia="ja-JP"/>
          <w14:ligatures w14:val="standardContextual"/>
        </w:rPr>
      </w:pPr>
      <w:r w:rsidRPr="00F0379B">
        <w:rPr>
          <w:rFonts w:ascii="Cambria" w:eastAsiaTheme="minorEastAsia" w:hAnsi="Cambria"/>
          <w:b/>
          <w:i/>
          <w:kern w:val="2"/>
          <w:sz w:val="20"/>
          <w:szCs w:val="20"/>
          <w:lang w:eastAsia="ja-JP"/>
          <w14:ligatures w14:val="standardContextual"/>
        </w:rPr>
        <w:t>1 c) Destino de la captura</w:t>
      </w:r>
    </w:p>
    <w:p w14:paraId="51B747BD" w14:textId="77777777" w:rsidR="009123AC" w:rsidRPr="00F0379B" w:rsidRDefault="009123AC" w:rsidP="009123AC">
      <w:pPr>
        <w:spacing w:after="0" w:line="240" w:lineRule="auto"/>
        <w:jc w:val="both"/>
        <w:rPr>
          <w:rFonts w:ascii="Cambria" w:eastAsiaTheme="minorEastAsia" w:hAnsi="Cambria"/>
          <w:iCs/>
          <w:kern w:val="2"/>
          <w:sz w:val="20"/>
          <w:szCs w:val="20"/>
          <w:lang w:eastAsia="ja-JP"/>
          <w14:ligatures w14:val="standardContextual"/>
        </w:rPr>
      </w:pPr>
    </w:p>
    <w:p w14:paraId="7F47F28D"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Todas las capturas se destinarán a la cría, de conformidad con los formularios y procedimientos de ICCAT. El destino de la cría se indicará más adelante en los formularios especificados.</w:t>
      </w:r>
    </w:p>
    <w:p w14:paraId="06311AB7" w14:textId="77777777" w:rsidR="009123AC" w:rsidRPr="00F0379B" w:rsidRDefault="009123AC" w:rsidP="009123AC">
      <w:pPr>
        <w:spacing w:after="0" w:line="240" w:lineRule="auto"/>
        <w:jc w:val="both"/>
        <w:rPr>
          <w:rFonts w:ascii="Cambria" w:eastAsiaTheme="minorEastAsia" w:hAnsi="Cambria"/>
          <w:i/>
          <w:kern w:val="2"/>
          <w:sz w:val="20"/>
          <w:szCs w:val="20"/>
          <w:lang w:eastAsia="ja-JP"/>
          <w14:ligatures w14:val="standardContextual"/>
        </w:rPr>
      </w:pPr>
    </w:p>
    <w:p w14:paraId="24DA8BF7" w14:textId="77777777" w:rsidR="009123AC" w:rsidRPr="00F0379B" w:rsidRDefault="009123AC" w:rsidP="009123AC">
      <w:pPr>
        <w:spacing w:after="0" w:line="240" w:lineRule="auto"/>
        <w:rPr>
          <w:rFonts w:ascii="Cambria" w:eastAsiaTheme="minorEastAsia" w:hAnsi="Cambria"/>
          <w:b/>
          <w:bCs/>
          <w:i/>
          <w:iCs/>
          <w:kern w:val="2"/>
          <w:sz w:val="20"/>
          <w:szCs w:val="20"/>
          <w:lang w:eastAsia="ja-JP"/>
          <w14:ligatures w14:val="standardContextual"/>
        </w:rPr>
      </w:pPr>
      <w:r w:rsidRPr="00F0379B">
        <w:rPr>
          <w:rFonts w:ascii="Cambria" w:eastAsiaTheme="minorEastAsia" w:hAnsi="Cambria"/>
          <w:b/>
          <w:bCs/>
          <w:i/>
          <w:iCs/>
          <w:kern w:val="2"/>
          <w:sz w:val="20"/>
          <w:szCs w:val="20"/>
          <w:lang w:eastAsia="ja-JP"/>
          <w14:ligatures w14:val="standardContextual"/>
        </w:rPr>
        <w:t xml:space="preserve">1 d) </w:t>
      </w:r>
    </w:p>
    <w:p w14:paraId="6F384005" w14:textId="77777777" w:rsidR="009123AC" w:rsidRPr="00F0379B" w:rsidRDefault="009123AC" w:rsidP="009123AC">
      <w:pPr>
        <w:spacing w:line="259"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br w:type="page"/>
      </w:r>
    </w:p>
    <w:tbl>
      <w:tblPr>
        <w:tblStyle w:val="TableGrid"/>
        <w:tblpPr w:leftFromText="180" w:rightFromText="180" w:vertAnchor="text" w:tblpY="1"/>
        <w:tblOverlap w:val="never"/>
        <w:tblW w:w="0" w:type="auto"/>
        <w:tblLook w:val="04A0" w:firstRow="1" w:lastRow="0" w:firstColumn="1" w:lastColumn="0" w:noHBand="0" w:noVBand="1"/>
      </w:tblPr>
      <w:tblGrid>
        <w:gridCol w:w="453"/>
        <w:gridCol w:w="2593"/>
        <w:gridCol w:w="1955"/>
        <w:gridCol w:w="1952"/>
        <w:gridCol w:w="2107"/>
      </w:tblGrid>
      <w:tr w:rsidR="009123AC" w:rsidRPr="00F0379B" w14:paraId="1B32BAAA" w14:textId="77777777" w:rsidTr="00CA749B">
        <w:trPr>
          <w:tblHeader/>
        </w:trPr>
        <w:tc>
          <w:tcPr>
            <w:tcW w:w="453" w:type="dxa"/>
          </w:tcPr>
          <w:p w14:paraId="5BFCEFF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593" w:type="dxa"/>
            <w:vAlign w:val="center"/>
          </w:tcPr>
          <w:p w14:paraId="118F6D3E"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 xml:space="preserve">Requisito ICCAT </w:t>
            </w:r>
          </w:p>
          <w:p w14:paraId="465E9D11"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 xml:space="preserve">(según </w:t>
            </w:r>
            <w:hyperlink r:id="rId158" w:history="1">
              <w:r w:rsidRPr="00F0379B">
                <w:rPr>
                  <w:rFonts w:ascii="Cambria" w:eastAsiaTheme="minorEastAsia" w:hAnsi="Cambria"/>
                  <w:i/>
                  <w:color w:val="0563C1" w:themeColor="hyperlink"/>
                  <w:kern w:val="2"/>
                  <w:sz w:val="20"/>
                  <w:szCs w:val="20"/>
                  <w:lang w:eastAsia="ja-JP"/>
                  <w14:ligatures w14:val="standardContextual"/>
                </w:rPr>
                <w:t>Rec. 25-04</w:t>
              </w:r>
            </w:hyperlink>
            <w:r w:rsidRPr="00F0379B">
              <w:rPr>
                <w:rFonts w:ascii="Cambria" w:eastAsiaTheme="minorEastAsia" w:hAnsi="Cambria"/>
                <w:i/>
                <w:kern w:val="2"/>
                <w:sz w:val="20"/>
                <w:szCs w:val="20"/>
                <w:lang w:eastAsia="ja-JP"/>
                <w14:ligatures w14:val="standardContextual"/>
              </w:rPr>
              <w:t>)</w:t>
            </w:r>
          </w:p>
        </w:tc>
        <w:tc>
          <w:tcPr>
            <w:tcW w:w="1955" w:type="dxa"/>
            <w:vAlign w:val="center"/>
          </w:tcPr>
          <w:p w14:paraId="36BC8233"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Explicación de las acciones emprendidas por la CPC con fines de implementación</w:t>
            </w:r>
          </w:p>
        </w:tc>
        <w:tc>
          <w:tcPr>
            <w:tcW w:w="1952" w:type="dxa"/>
            <w:vAlign w:val="center"/>
          </w:tcPr>
          <w:p w14:paraId="78DB9D04"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Leyes o reglamentos internos pertinentes (si procede)</w:t>
            </w:r>
          </w:p>
        </w:tc>
        <w:tc>
          <w:tcPr>
            <w:tcW w:w="2107" w:type="dxa"/>
            <w:vAlign w:val="center"/>
          </w:tcPr>
          <w:p w14:paraId="1C238F07" w14:textId="77777777" w:rsidR="009123AC" w:rsidRPr="00F0379B" w:rsidRDefault="009123AC" w:rsidP="009123AC">
            <w:pPr>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Nota</w:t>
            </w:r>
          </w:p>
        </w:tc>
      </w:tr>
      <w:tr w:rsidR="009123AC" w:rsidRPr="00F0379B" w14:paraId="20CCCD63" w14:textId="77777777" w:rsidTr="00CA749B">
        <w:tc>
          <w:tcPr>
            <w:tcW w:w="453" w:type="dxa"/>
          </w:tcPr>
          <w:p w14:paraId="042FCB4D"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w:t>
            </w:r>
          </w:p>
        </w:tc>
        <w:tc>
          <w:tcPr>
            <w:tcW w:w="2593" w:type="dxa"/>
          </w:tcPr>
          <w:p w14:paraId="3896FDA6"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Consignación y comunicación de la captura </w:t>
            </w:r>
          </w:p>
          <w:p w14:paraId="138D9762"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74-88)</w:t>
            </w:r>
          </w:p>
        </w:tc>
        <w:tc>
          <w:tcPr>
            <w:tcW w:w="1955" w:type="dxa"/>
          </w:tcPr>
          <w:p w14:paraId="39F5486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patrones de todos los buques libios autorizados que participen en la pesca de atún rojo deberán llevar cuadernos de pesca encuadernados, de conformidad con los procedimientos descritos en el anexo 2 de la Recomendación 25-04 de ICCAT. Estos cuadernos de pesca deben registrar todas las operaciones pesqueras con precisión y exactitud. En estricto cumplimiento del párrafo 74 de la Recomendación 25-04, las autoridades libias recopilarán y transmitirán a la Secretaría de ICCAT los informes semanales y mensuales de capturas, incluidas las declaraciones de capturas nulas. Este marco de presentación de informes garantiza el seguimiento continuo, la transparencia y la rendición de cuentas de las actividades pesqueras nacionales.</w:t>
            </w:r>
          </w:p>
          <w:p w14:paraId="11E8051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952" w:type="dxa"/>
          </w:tcPr>
          <w:p w14:paraId="0D18237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Art. 15/</w:t>
            </w:r>
          </w:p>
          <w:p w14:paraId="72164DF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Decreto# 35/2023.</w:t>
            </w:r>
          </w:p>
          <w:p w14:paraId="5CBA21F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107" w:type="dxa"/>
          </w:tcPr>
          <w:p w14:paraId="6BB52EA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5F7ED700" w14:textId="77777777" w:rsidTr="00CA749B">
        <w:tc>
          <w:tcPr>
            <w:tcW w:w="453" w:type="dxa"/>
          </w:tcPr>
          <w:p w14:paraId="6BF01253"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2</w:t>
            </w:r>
          </w:p>
        </w:tc>
        <w:tc>
          <w:tcPr>
            <w:tcW w:w="2593" w:type="dxa"/>
          </w:tcPr>
          <w:p w14:paraId="73FBDF4D"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Temporadas de pesca abiertas </w:t>
            </w:r>
          </w:p>
          <w:p w14:paraId="20B29592"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28-32)</w:t>
            </w:r>
          </w:p>
        </w:tc>
        <w:tc>
          <w:tcPr>
            <w:tcW w:w="1955" w:type="dxa"/>
          </w:tcPr>
          <w:p w14:paraId="7E20BA9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 conformidad con la Recomendación 25-04 de ICCAT, los buques cerqueros libios estarán autorizados a faenar exclusivamente en el Atlántico este y el Mediterráneo durante el período de pesca designado, comprendido entre el 19 de mayo y el 1 de julio.</w:t>
            </w:r>
          </w:p>
          <w:p w14:paraId="48A3D1D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obstante lo anterior, y estrictamente limitado al cumplimiento del párrafo 29 de la Recomendación, un máximo de tres cerqueros libios que faenen en las zonas FAO 37.3.1 y 37.3.2 podrán comenzar a pescar entre el 15 de mayo y el 1 de julio, siempre que sus capturas se destinen a unidades de cría de CPC situadas en las zonas mencionadas.</w:t>
            </w:r>
          </w:p>
          <w:p w14:paraId="4FB5A63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Además, de conformidad con el párrafo 30 de la Recomendación 25-04, Libia se reserva el derecho de prorrogar el período de pesca autorizado para los buques afectados hasta por diez días adicionales en caso de condiciones meteorológicas adversas. Dichas prórrogas solo se concederán cuando la velocidad del viento alcance fuerza 4 o superior en la escala de Beaufort, y deberán justificarse mediante informes del VMS que demuestren la inactividad del buque. En el caso de las operaciones de pesca conjuntas (JFO), debe demostrarse la inactividad simultánea de todos los buques participantes.</w:t>
            </w:r>
          </w:p>
          <w:p w14:paraId="06B6F4B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Administración libia notificará a la Secretaría de ICCAT el cierre oficial de la temporada de pesca, de conformidad con lo dispuesto en la Recomendación 25-04. Este marco garantiza que las actividades pesqueras se realicen dentro de los límites temporales prescritos, al tiempo que salvaguarda la flexibilidad operativa en circunstancias excepcionales.</w:t>
            </w:r>
          </w:p>
        </w:tc>
        <w:tc>
          <w:tcPr>
            <w:tcW w:w="1952" w:type="dxa"/>
          </w:tcPr>
          <w:p w14:paraId="33D6A45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Art.</w:t>
            </w:r>
            <w:proofErr w:type="gramStart"/>
            <w:r w:rsidRPr="00F0379B">
              <w:rPr>
                <w:rFonts w:ascii="Cambria" w:eastAsiaTheme="minorEastAsia" w:hAnsi="Cambria"/>
                <w:kern w:val="2"/>
                <w:sz w:val="20"/>
                <w:szCs w:val="20"/>
                <w:lang w:eastAsia="ja-JP"/>
                <w14:ligatures w14:val="standardContextual"/>
              </w:rPr>
              <w:t>12./</w:t>
            </w:r>
            <w:proofErr w:type="gramEnd"/>
          </w:p>
          <w:p w14:paraId="4C6B564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Decreto# 35/2023.</w:t>
            </w:r>
          </w:p>
          <w:p w14:paraId="4CD8BB6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107" w:type="dxa"/>
          </w:tcPr>
          <w:p w14:paraId="319941D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zonas y las temporadas de pesca deberían estar claramente definidas.</w:t>
            </w:r>
          </w:p>
        </w:tc>
      </w:tr>
      <w:tr w:rsidR="009123AC" w:rsidRPr="00F0379B" w14:paraId="0AC87EB6" w14:textId="77777777" w:rsidTr="00CA749B">
        <w:tc>
          <w:tcPr>
            <w:tcW w:w="453" w:type="dxa"/>
          </w:tcPr>
          <w:p w14:paraId="200B004E"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3</w:t>
            </w:r>
          </w:p>
        </w:tc>
        <w:tc>
          <w:tcPr>
            <w:tcW w:w="2593" w:type="dxa"/>
          </w:tcPr>
          <w:p w14:paraId="611779FD"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Talla mínima</w:t>
            </w:r>
          </w:p>
          <w:p w14:paraId="5CAFCDF4"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33-35)</w:t>
            </w:r>
          </w:p>
        </w:tc>
        <w:tc>
          <w:tcPr>
            <w:tcW w:w="1955" w:type="dxa"/>
          </w:tcPr>
          <w:p w14:paraId="5F7CEAD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Con arreglo al párrafo 33 de la Rec. 25-04, está prohibido capturar, retener, desembarcar, transbordar, transferir, vender u ofrecer para la venta atún rojo con un peso inferior a 30 kg o una talla inferior a 115 cm de longitud a la horquilla.</w:t>
            </w:r>
          </w:p>
          <w:p w14:paraId="56496AA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Cualquier captura fortuitas de un máximo del 5 % con un peso comprendido entre 8 y 30 kg se contabilizará en la cuota de Libia.</w:t>
            </w:r>
          </w:p>
        </w:tc>
        <w:tc>
          <w:tcPr>
            <w:tcW w:w="1952" w:type="dxa"/>
          </w:tcPr>
          <w:p w14:paraId="598E80B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Art. 31/ 32</w:t>
            </w:r>
          </w:p>
          <w:p w14:paraId="4AED78E0"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Decreto #35/2023</w:t>
            </w:r>
          </w:p>
        </w:tc>
        <w:tc>
          <w:tcPr>
            <w:tcW w:w="2107" w:type="dxa"/>
          </w:tcPr>
          <w:p w14:paraId="1342F54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20D83633" w14:textId="77777777" w:rsidTr="00CA749B">
        <w:tc>
          <w:tcPr>
            <w:tcW w:w="453" w:type="dxa"/>
          </w:tcPr>
          <w:p w14:paraId="48B1BE65"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4</w:t>
            </w:r>
          </w:p>
        </w:tc>
        <w:tc>
          <w:tcPr>
            <w:tcW w:w="2593" w:type="dxa"/>
          </w:tcPr>
          <w:p w14:paraId="65E1FDF5"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Capturas fortuitas </w:t>
            </w:r>
          </w:p>
          <w:p w14:paraId="29D894F8"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(párr. 37) </w:t>
            </w:r>
          </w:p>
        </w:tc>
        <w:tc>
          <w:tcPr>
            <w:tcW w:w="1955" w:type="dxa"/>
          </w:tcPr>
          <w:p w14:paraId="74D7B65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buques pesqueros libios liberarán, siempre que sea posible, el atún rojo capturado accidentalmente como captura fortuita; cuando no sea posible liberarlo, se comunicará inmediatamente a la autoridad competente la cantidad descartada, especificando si los peces estaban vivos o muertos. Mediante este plan se establece una cuota anual de capturas fortuitas de 10 t, tomando como referencia los niveles de capturas fortuitas registrados en años anteriores para realizar un seguimiento comparativo. Todas las capturas fortuitas, incluidos los descartes, se contabilizarán íntegramente en la cuota nacional asignada a Libia. La metodología para calcular los niveles autorizados de capturas fortuitas, expresados en relación con el total de capturas a bordo (por peso o número de ejemplares), se definirá claramente y se aplicará de manera coherente para garantizar el cumplimiento de los procedimientos de ordenación de ICCAT </w:t>
            </w:r>
          </w:p>
        </w:tc>
        <w:tc>
          <w:tcPr>
            <w:tcW w:w="1952" w:type="dxa"/>
          </w:tcPr>
          <w:p w14:paraId="127A6BE4"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Art. 37/</w:t>
            </w:r>
          </w:p>
          <w:p w14:paraId="7D89C64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Decreto# 35/2023.</w:t>
            </w:r>
          </w:p>
          <w:p w14:paraId="29891B7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107" w:type="dxa"/>
          </w:tcPr>
          <w:p w14:paraId="0BF0682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456AD0A6" w14:textId="77777777" w:rsidTr="00CA749B">
        <w:tc>
          <w:tcPr>
            <w:tcW w:w="453" w:type="dxa"/>
          </w:tcPr>
          <w:p w14:paraId="21A40571"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5</w:t>
            </w:r>
          </w:p>
        </w:tc>
        <w:tc>
          <w:tcPr>
            <w:tcW w:w="2593" w:type="dxa"/>
          </w:tcPr>
          <w:p w14:paraId="2C717B65"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Pesquerías deportivas y de recreo </w:t>
            </w:r>
          </w:p>
          <w:p w14:paraId="1897A623"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38-46)</w:t>
            </w:r>
          </w:p>
        </w:tc>
        <w:tc>
          <w:tcPr>
            <w:tcW w:w="1955" w:type="dxa"/>
          </w:tcPr>
          <w:p w14:paraId="0CCD5B6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se permitirá ninguna pesquería deportiva o de recreo.</w:t>
            </w:r>
          </w:p>
        </w:tc>
        <w:tc>
          <w:tcPr>
            <w:tcW w:w="1952" w:type="dxa"/>
          </w:tcPr>
          <w:p w14:paraId="3D37DA87"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Art. 7&amp; 8/</w:t>
            </w:r>
          </w:p>
          <w:p w14:paraId="22C746A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Decreto# 35/2023.</w:t>
            </w:r>
          </w:p>
        </w:tc>
        <w:tc>
          <w:tcPr>
            <w:tcW w:w="2107" w:type="dxa"/>
          </w:tcPr>
          <w:p w14:paraId="51EE7E2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449DDF7F" w14:textId="77777777" w:rsidTr="00CA749B">
        <w:tc>
          <w:tcPr>
            <w:tcW w:w="453" w:type="dxa"/>
          </w:tcPr>
          <w:p w14:paraId="2DD33D68"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6</w:t>
            </w:r>
          </w:p>
        </w:tc>
        <w:tc>
          <w:tcPr>
            <w:tcW w:w="2593" w:type="dxa"/>
          </w:tcPr>
          <w:p w14:paraId="1BE7951A"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Transbordo</w:t>
            </w:r>
          </w:p>
          <w:p w14:paraId="1E4FC384"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(párrs. 89-94) </w:t>
            </w:r>
          </w:p>
        </w:tc>
        <w:tc>
          <w:tcPr>
            <w:tcW w:w="1955" w:type="dxa"/>
          </w:tcPr>
          <w:p w14:paraId="750C53D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transbordo de atún rojo en el mar está estrictamente prohibido. Todos los buques pesqueros libios autorizados desembarcarán sus capturas exclusivamente en los puertos designados por la autoridad pesquera competente, a saber, Al-</w:t>
            </w:r>
            <w:proofErr w:type="spellStart"/>
            <w:r w:rsidRPr="00F0379B">
              <w:rPr>
                <w:rFonts w:ascii="Cambria" w:eastAsiaTheme="minorEastAsia" w:hAnsi="Cambria"/>
                <w:kern w:val="2"/>
                <w:sz w:val="20"/>
                <w:szCs w:val="20"/>
                <w:lang w:eastAsia="ja-JP"/>
                <w14:ligatures w14:val="standardContextual"/>
              </w:rPr>
              <w:t>Khoms</w:t>
            </w:r>
            <w:proofErr w:type="spellEnd"/>
            <w:r w:rsidRPr="00F0379B">
              <w:rPr>
                <w:rFonts w:ascii="Cambria" w:eastAsiaTheme="minorEastAsia" w:hAnsi="Cambria"/>
                <w:kern w:val="2"/>
                <w:sz w:val="20"/>
                <w:szCs w:val="20"/>
                <w:lang w:eastAsia="ja-JP"/>
                <w14:ligatures w14:val="standardContextual"/>
              </w:rPr>
              <w:t>, Trípoli, Misurata y Tobruk. Los buques que tengan la intención de entrar en cualquiera de estos puertos con el fin de desembarcar deberán obtener una autorización previa de entrada de las autoridades portuarias competentes. Todos los desembarques de atún rojo estarán sujetos a inspección por parte de las autoridades portuarias y pesqueras, y los resultados de dichas inspecciones se comunicarán formalmente al Estado del pabellón del buque pesquero mediante un informe oficial.</w:t>
            </w:r>
          </w:p>
          <w:p w14:paraId="74F9B52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1952" w:type="dxa"/>
          </w:tcPr>
          <w:p w14:paraId="2AA8573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Art. 32/</w:t>
            </w:r>
          </w:p>
          <w:p w14:paraId="17279B8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Decreto #35/2023</w:t>
            </w:r>
          </w:p>
          <w:p w14:paraId="6587224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107" w:type="dxa"/>
          </w:tcPr>
          <w:p w14:paraId="0C3ABE2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63009E44" w14:textId="77777777" w:rsidTr="00CA749B">
        <w:tc>
          <w:tcPr>
            <w:tcW w:w="453" w:type="dxa"/>
          </w:tcPr>
          <w:p w14:paraId="7793D23E"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7</w:t>
            </w:r>
          </w:p>
        </w:tc>
        <w:tc>
          <w:tcPr>
            <w:tcW w:w="2593" w:type="dxa"/>
          </w:tcPr>
          <w:p w14:paraId="7CF57CD2"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VMS </w:t>
            </w:r>
          </w:p>
          <w:p w14:paraId="70C27E7F"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222-228)</w:t>
            </w:r>
          </w:p>
        </w:tc>
        <w:tc>
          <w:tcPr>
            <w:tcW w:w="1955" w:type="dxa"/>
          </w:tcPr>
          <w:p w14:paraId="707BB1DD"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buques pesqueros que participen en operaciones de pesca de atún rojo deberán estar equipados con un sistema de seguimiento de buques (VSM) plenamente operativo. La transmisión de los datos de posición comenzará a más tardar quince (15) días antes del período de pesca autorizado del buque y continuará durante quince (15) días después de la expiración de dicha autorización. La Autoridad Pesquera supervisará las transmisiones del VMS cada hora, y cualquier interrupción se investigará y solucionará de inmediato. Cuando no sea posible restablecer la transmisión en un plazo de veinticuatro (24) horas, se ordenará al buque en cuestión que regrese al puerto sin demora.</w:t>
            </w:r>
          </w:p>
        </w:tc>
        <w:tc>
          <w:tcPr>
            <w:tcW w:w="1952" w:type="dxa"/>
          </w:tcPr>
          <w:p w14:paraId="5463627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Art 8, 34/</w:t>
            </w:r>
          </w:p>
          <w:p w14:paraId="03C67BA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Decreto# 35/2023.</w:t>
            </w:r>
          </w:p>
          <w:p w14:paraId="7083780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p w14:paraId="7E9FCE9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transmisión se iniciará 15 días antes del periodo de autorización y finalizará 15 días después del fin de la campaña de pesca).</w:t>
            </w:r>
          </w:p>
        </w:tc>
        <w:tc>
          <w:tcPr>
            <w:tcW w:w="2107" w:type="dxa"/>
          </w:tcPr>
          <w:p w14:paraId="53C5B6BF"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6FB2367F" w14:textId="77777777" w:rsidTr="00CA749B">
        <w:tc>
          <w:tcPr>
            <w:tcW w:w="453" w:type="dxa"/>
          </w:tcPr>
          <w:p w14:paraId="29C49196"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8</w:t>
            </w:r>
          </w:p>
        </w:tc>
        <w:tc>
          <w:tcPr>
            <w:tcW w:w="2593" w:type="dxa"/>
          </w:tcPr>
          <w:p w14:paraId="7511FD22"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Programa de observadores de las CPC </w:t>
            </w:r>
          </w:p>
          <w:p w14:paraId="4E28F2CB"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95-100)</w:t>
            </w:r>
          </w:p>
        </w:tc>
        <w:tc>
          <w:tcPr>
            <w:tcW w:w="1955" w:type="dxa"/>
          </w:tcPr>
          <w:p w14:paraId="13F72FE3"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observadores nacionales cubrirán el 100 % de la actividad de los buques de remolque y los barcos auxiliares (Otros buques de atún rojo, si los hubiera).</w:t>
            </w:r>
          </w:p>
          <w:p w14:paraId="0CF4DEA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se desplegarán observadores nacionales en los buques pesqueros. A efectos científicos, la autoridad competente podrá designar a investigadores cualificados para que acompañen las operaciones, siempre que dichas designaciones no sustituyan ni reduzcan los requisitos obligatorios del Programa regional de observadores de ICCAT</w:t>
            </w:r>
          </w:p>
        </w:tc>
        <w:tc>
          <w:tcPr>
            <w:tcW w:w="1952" w:type="dxa"/>
          </w:tcPr>
          <w:p w14:paraId="290E4F3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Documento Art.14/15</w:t>
            </w:r>
          </w:p>
          <w:p w14:paraId="25019A58"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Decreto# 35/2023.</w:t>
            </w:r>
          </w:p>
        </w:tc>
        <w:tc>
          <w:tcPr>
            <w:tcW w:w="2107" w:type="dxa"/>
          </w:tcPr>
          <w:p w14:paraId="498ADFA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30E39E27" w14:textId="77777777" w:rsidTr="00CA749B">
        <w:tc>
          <w:tcPr>
            <w:tcW w:w="453" w:type="dxa"/>
          </w:tcPr>
          <w:p w14:paraId="22E18E84"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9</w:t>
            </w:r>
          </w:p>
        </w:tc>
        <w:tc>
          <w:tcPr>
            <w:tcW w:w="2593" w:type="dxa"/>
          </w:tcPr>
          <w:p w14:paraId="4225127A" w14:textId="77777777" w:rsidR="009123AC" w:rsidRPr="00F0379B" w:rsidRDefault="009123AC" w:rsidP="009123AC">
            <w:pPr>
              <w:spacing w:line="240" w:lineRule="auto"/>
              <w:rPr>
                <w:rFonts w:ascii="Cambria" w:eastAsiaTheme="minorEastAsia" w:hAnsi="Cambria"/>
                <w:b/>
                <w:kern w:val="2"/>
                <w:sz w:val="20"/>
                <w:szCs w:val="20"/>
                <w:lang w:val="pt-BR" w:eastAsia="ja-JP"/>
                <w14:ligatures w14:val="standardContextual"/>
              </w:rPr>
            </w:pPr>
            <w:r w:rsidRPr="00F0379B">
              <w:rPr>
                <w:rFonts w:ascii="Cambria" w:eastAsiaTheme="minorEastAsia" w:hAnsi="Cambria"/>
                <w:b/>
                <w:kern w:val="2"/>
                <w:sz w:val="20"/>
                <w:szCs w:val="20"/>
                <w:lang w:val="pt-BR" w:eastAsia="ja-JP"/>
                <w14:ligatures w14:val="standardContextual"/>
              </w:rPr>
              <w:t xml:space="preserve">Programa regional de observadores </w:t>
            </w:r>
          </w:p>
          <w:p w14:paraId="2342B8D3" w14:textId="77777777" w:rsidR="009123AC" w:rsidRPr="00F0379B" w:rsidRDefault="009123AC" w:rsidP="009123AC">
            <w:pPr>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val="pt-BR" w:eastAsia="ja-JP"/>
                <w14:ligatures w14:val="standardContextual"/>
              </w:rPr>
              <w:t xml:space="preserve">(párrs. </w:t>
            </w:r>
            <w:r w:rsidRPr="00F0379B">
              <w:rPr>
                <w:rFonts w:ascii="Cambria" w:eastAsiaTheme="minorEastAsia" w:hAnsi="Cambria"/>
                <w:b/>
                <w:kern w:val="2"/>
                <w:sz w:val="20"/>
                <w:szCs w:val="20"/>
                <w:lang w:eastAsia="ja-JP"/>
                <w14:ligatures w14:val="standardContextual"/>
              </w:rPr>
              <w:t>101-107)</w:t>
            </w:r>
          </w:p>
        </w:tc>
        <w:tc>
          <w:tcPr>
            <w:tcW w:w="1955" w:type="dxa"/>
          </w:tcPr>
          <w:p w14:paraId="51B93CB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colocarán observadores regionales a bordo de todos los buques pesqueros autorizados para pescar atún rojo durante la temporada de 2026, con una cobertura total (100 %).</w:t>
            </w:r>
          </w:p>
        </w:tc>
        <w:tc>
          <w:tcPr>
            <w:tcW w:w="1952" w:type="dxa"/>
          </w:tcPr>
          <w:p w14:paraId="4A5AE596"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Art.</w:t>
            </w:r>
            <w:proofErr w:type="gramStart"/>
            <w:r w:rsidRPr="00F0379B">
              <w:rPr>
                <w:rFonts w:ascii="Cambria" w:eastAsiaTheme="minorEastAsia" w:hAnsi="Cambria"/>
                <w:kern w:val="2"/>
                <w:sz w:val="20"/>
                <w:szCs w:val="20"/>
                <w:lang w:eastAsia="ja-JP"/>
                <w14:ligatures w14:val="standardContextual"/>
              </w:rPr>
              <w:t>14./</w:t>
            </w:r>
            <w:proofErr w:type="gramEnd"/>
          </w:p>
          <w:p w14:paraId="1C2692AC"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Decreto# 35/2023.</w:t>
            </w:r>
          </w:p>
        </w:tc>
        <w:tc>
          <w:tcPr>
            <w:tcW w:w="2107" w:type="dxa"/>
          </w:tcPr>
          <w:p w14:paraId="0ED5888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625313CD" w14:textId="77777777" w:rsidTr="00CA749B">
        <w:tc>
          <w:tcPr>
            <w:tcW w:w="453" w:type="dxa"/>
          </w:tcPr>
          <w:p w14:paraId="2737025B" w14:textId="77777777" w:rsidR="009123AC" w:rsidRPr="00F0379B" w:rsidRDefault="009123AC" w:rsidP="009123AC">
            <w:pPr>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10</w:t>
            </w:r>
          </w:p>
        </w:tc>
        <w:tc>
          <w:tcPr>
            <w:tcW w:w="2593" w:type="dxa"/>
          </w:tcPr>
          <w:p w14:paraId="04621BC7" w14:textId="77777777" w:rsidR="009123AC" w:rsidRPr="00F0379B" w:rsidRDefault="009123AC" w:rsidP="009123AC">
            <w:pPr>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Legislación nacional</w:t>
            </w:r>
          </w:p>
        </w:tc>
        <w:tc>
          <w:tcPr>
            <w:tcW w:w="1955" w:type="dxa"/>
          </w:tcPr>
          <w:p w14:paraId="42D0560B"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14/1989, sobre pesca y acuicultura en Libia, y Decreto Ministerial (emitido por el Ministerio de Agricultura, Ganadería y Recursos Marinos) n.º 32/2022, modificado por el Decreto n.º 35/2023 (emitido por el Gobierno de Unidad Nacional) por el que se adopta la Rec. 22-08 y que modifica el Decreto n.º 205/2013, para establecer un plan plurianual de recuperación.</w:t>
            </w:r>
          </w:p>
          <w:p w14:paraId="4D81B90A"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roofErr w:type="spellStart"/>
            <w:r w:rsidRPr="00F0379B">
              <w:rPr>
                <w:rFonts w:ascii="Cambria" w:eastAsiaTheme="minorEastAsia" w:hAnsi="Cambria"/>
                <w:kern w:val="2"/>
                <w:sz w:val="20"/>
                <w:szCs w:val="20"/>
                <w:lang w:eastAsia="ja-JP"/>
                <w14:ligatures w14:val="standardContextual"/>
              </w:rPr>
              <w:t>Ppara</w:t>
            </w:r>
            <w:proofErr w:type="spellEnd"/>
            <w:r w:rsidRPr="00F0379B">
              <w:rPr>
                <w:rFonts w:ascii="Cambria" w:eastAsiaTheme="minorEastAsia" w:hAnsi="Cambria"/>
                <w:kern w:val="2"/>
                <w:sz w:val="20"/>
                <w:szCs w:val="20"/>
                <w:lang w:eastAsia="ja-JP"/>
                <w14:ligatures w14:val="standardContextual"/>
              </w:rPr>
              <w:t xml:space="preserve"> el atún rojo en el Atlántico este y el Mediterráneo.</w:t>
            </w:r>
          </w:p>
        </w:tc>
        <w:tc>
          <w:tcPr>
            <w:tcW w:w="1952" w:type="dxa"/>
          </w:tcPr>
          <w:p w14:paraId="04A494B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107" w:type="dxa"/>
          </w:tcPr>
          <w:p w14:paraId="38E91EE5"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43E230B7" w14:textId="77777777" w:rsidTr="00CA749B">
        <w:tc>
          <w:tcPr>
            <w:tcW w:w="453" w:type="dxa"/>
          </w:tcPr>
          <w:p w14:paraId="282B8CCB"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p>
        </w:tc>
        <w:tc>
          <w:tcPr>
            <w:tcW w:w="2593" w:type="dxa"/>
          </w:tcPr>
          <w:p w14:paraId="29C5221C"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Otros requisitos, como:</w:t>
            </w:r>
          </w:p>
          <w:p w14:paraId="0ABA6843"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 xml:space="preserve">programa de marcado </w:t>
            </w:r>
          </w:p>
          <w:p w14:paraId="2C3E8EE2" w14:textId="77777777" w:rsidR="009123AC" w:rsidRPr="00F0379B" w:rsidRDefault="009123AC" w:rsidP="009123AC">
            <w:pPr>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(párr. 44), etc.</w:t>
            </w:r>
          </w:p>
        </w:tc>
        <w:tc>
          <w:tcPr>
            <w:tcW w:w="1955" w:type="dxa"/>
          </w:tcPr>
          <w:p w14:paraId="76FC44F2"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hay programa de marcado en el mar de Libia.</w:t>
            </w:r>
          </w:p>
        </w:tc>
        <w:tc>
          <w:tcPr>
            <w:tcW w:w="1952" w:type="dxa"/>
          </w:tcPr>
          <w:p w14:paraId="46EDF7B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c>
          <w:tcPr>
            <w:tcW w:w="2107" w:type="dxa"/>
          </w:tcPr>
          <w:p w14:paraId="3246095E"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bl>
    <w:p w14:paraId="5773C6F4"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br w:type="textWrapping" w:clear="all"/>
      </w:r>
    </w:p>
    <w:p w14:paraId="0FA45CC1"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kern w:val="2"/>
          <w:sz w:val="20"/>
          <w:szCs w:val="20"/>
          <w:lang w:eastAsia="ja-JP"/>
          <w14:ligatures w14:val="standardContextual"/>
        </w:rPr>
        <w:t xml:space="preserve">1 e) Puertos designados (párr. 80) </w:t>
      </w:r>
    </w:p>
    <w:p w14:paraId="2F8710FC"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p>
    <w:p w14:paraId="6BA36837" w14:textId="77777777" w:rsidR="009123AC" w:rsidRPr="00F0379B" w:rsidRDefault="009123AC" w:rsidP="009123AC">
      <w:pPr>
        <w:spacing w:after="0" w:line="240" w:lineRule="auto"/>
        <w:jc w:val="both"/>
        <w:rPr>
          <w:rFonts w:ascii="Cambria" w:eastAsiaTheme="minorEastAsia" w:hAnsi="Cambria"/>
          <w:b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lista de puertos designados que figura en el CP24 es la siguiente: </w:t>
      </w:r>
      <w:proofErr w:type="spellStart"/>
      <w:r w:rsidRPr="00F0379B">
        <w:rPr>
          <w:rFonts w:ascii="Cambria" w:eastAsiaTheme="minorEastAsia" w:hAnsi="Cambria"/>
          <w:kern w:val="2"/>
          <w:sz w:val="20"/>
          <w:szCs w:val="20"/>
          <w:lang w:eastAsia="ja-JP"/>
          <w14:ligatures w14:val="standardContextual"/>
        </w:rPr>
        <w:t>Tripolí</w:t>
      </w:r>
      <w:proofErr w:type="spellEnd"/>
      <w:r w:rsidRPr="00F0379B">
        <w:rPr>
          <w:rFonts w:ascii="Cambria" w:eastAsiaTheme="minorEastAsia" w:hAnsi="Cambria"/>
          <w:kern w:val="2"/>
          <w:sz w:val="20"/>
          <w:szCs w:val="20"/>
          <w:lang w:eastAsia="ja-JP"/>
          <w14:ligatures w14:val="standardContextual"/>
        </w:rPr>
        <w:t xml:space="preserve">, </w:t>
      </w:r>
      <w:proofErr w:type="spellStart"/>
      <w:r w:rsidRPr="00F0379B">
        <w:rPr>
          <w:rFonts w:ascii="Cambria" w:eastAsiaTheme="minorEastAsia" w:hAnsi="Cambria"/>
          <w:kern w:val="2"/>
          <w:sz w:val="20"/>
          <w:szCs w:val="20"/>
          <w:lang w:eastAsia="ja-JP"/>
          <w14:ligatures w14:val="standardContextual"/>
        </w:rPr>
        <w:t>Alkhoums</w:t>
      </w:r>
      <w:proofErr w:type="spellEnd"/>
      <w:r w:rsidRPr="00F0379B">
        <w:rPr>
          <w:rFonts w:ascii="Cambria" w:eastAsiaTheme="minorEastAsia" w:hAnsi="Cambria"/>
          <w:kern w:val="2"/>
          <w:sz w:val="20"/>
          <w:szCs w:val="20"/>
          <w:lang w:eastAsia="ja-JP"/>
          <w14:ligatures w14:val="standardContextual"/>
        </w:rPr>
        <w:t xml:space="preserve">, </w:t>
      </w:r>
      <w:proofErr w:type="spellStart"/>
      <w:r w:rsidRPr="00F0379B">
        <w:rPr>
          <w:rFonts w:ascii="Cambria" w:eastAsiaTheme="minorEastAsia" w:hAnsi="Cambria"/>
          <w:kern w:val="2"/>
          <w:sz w:val="20"/>
          <w:szCs w:val="20"/>
          <w:lang w:eastAsia="ja-JP"/>
          <w14:ligatures w14:val="standardContextual"/>
        </w:rPr>
        <w:t>Musratah</w:t>
      </w:r>
      <w:proofErr w:type="spellEnd"/>
      <w:r w:rsidRPr="00F0379B">
        <w:rPr>
          <w:rFonts w:ascii="Cambria" w:eastAsiaTheme="minorEastAsia" w:hAnsi="Cambria"/>
          <w:kern w:val="2"/>
          <w:sz w:val="20"/>
          <w:szCs w:val="20"/>
          <w:lang w:eastAsia="ja-JP"/>
          <w14:ligatures w14:val="standardContextual"/>
        </w:rPr>
        <w:t xml:space="preserve"> y </w:t>
      </w:r>
      <w:proofErr w:type="spellStart"/>
      <w:r w:rsidRPr="00F0379B">
        <w:rPr>
          <w:rFonts w:ascii="Cambria" w:eastAsiaTheme="minorEastAsia" w:hAnsi="Cambria"/>
          <w:kern w:val="2"/>
          <w:sz w:val="20"/>
          <w:szCs w:val="20"/>
          <w:lang w:eastAsia="ja-JP"/>
          <w14:ligatures w14:val="standardContextual"/>
        </w:rPr>
        <w:t>Topruk</w:t>
      </w:r>
      <w:proofErr w:type="spellEnd"/>
    </w:p>
    <w:p w14:paraId="76E1E98F"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53C9FC39" w14:textId="77777777" w:rsidR="009123AC" w:rsidRPr="00F0379B" w:rsidRDefault="009123AC" w:rsidP="009123AC">
      <w:pPr>
        <w:tabs>
          <w:tab w:val="left" w:pos="426"/>
        </w:tabs>
        <w:spacing w:after="0" w:line="240" w:lineRule="auto"/>
        <w:ind w:left="426" w:hanging="426"/>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2.</w:t>
      </w:r>
      <w:r w:rsidRPr="00F0379B">
        <w:rPr>
          <w:rFonts w:ascii="Cambria" w:eastAsiaTheme="minorEastAsia" w:hAnsi="Cambria"/>
          <w:b/>
          <w:kern w:val="2"/>
          <w:sz w:val="20"/>
          <w:szCs w:val="20"/>
          <w:lang w:eastAsia="ja-JP"/>
          <w14:ligatures w14:val="standardContextual"/>
        </w:rPr>
        <w:tab/>
      </w:r>
      <w:r w:rsidRPr="00F0379B">
        <w:rPr>
          <w:rFonts w:ascii="Cambria" w:eastAsiaTheme="minorEastAsia" w:hAnsi="Cambria"/>
          <w:b/>
          <w:bCs/>
          <w:kern w:val="2"/>
          <w:sz w:val="20"/>
          <w:szCs w:val="20"/>
          <w:lang w:eastAsia="ja-JP"/>
          <w14:ligatures w14:val="standardContextual"/>
        </w:rPr>
        <w:t>Plan anual de ordenación de la capacidad pesquera (párrs</w:t>
      </w:r>
      <w:r w:rsidRPr="00F0379B">
        <w:rPr>
          <w:rFonts w:ascii="Cambria" w:eastAsiaTheme="minorEastAsia" w:hAnsi="Cambria"/>
          <w:kern w:val="2"/>
          <w:sz w:val="20"/>
          <w:szCs w:val="20"/>
          <w:lang w:eastAsia="ja-JP"/>
          <w14:ligatures w14:val="standardContextual"/>
        </w:rPr>
        <w:t xml:space="preserve">. </w:t>
      </w:r>
      <w:r w:rsidRPr="00F0379B">
        <w:rPr>
          <w:rFonts w:ascii="Cambria" w:eastAsiaTheme="minorEastAsia" w:hAnsi="Cambria"/>
          <w:b/>
          <w:kern w:val="2"/>
          <w:sz w:val="20"/>
          <w:szCs w:val="20"/>
          <w:lang w:eastAsia="ja-JP"/>
          <w14:ligatures w14:val="standardContextual"/>
        </w:rPr>
        <w:t>14-21)</w:t>
      </w:r>
    </w:p>
    <w:p w14:paraId="06DDF87E"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0C92AED3"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 conformidad con las recomendaciones del SCRS, la CPC-Libia se ha esforzado por mantener su capacidad pesquera en un nivel bajo. La CPC-Libia, de conformidad con el párrafo 21 de la Recomendación 25-04, ajustará su capacidad pesquera de manera acorde con las «mejores tasas de captura» indicadas por el SCRS y la cuota asignada al arte de pesca concreto (</w:t>
      </w:r>
      <w:r w:rsidRPr="00F0379B">
        <w:rPr>
          <w:rFonts w:ascii="Cambria" w:eastAsiaTheme="minorEastAsia" w:hAnsi="Cambria"/>
          <w:b/>
          <w:bCs/>
          <w:kern w:val="2"/>
          <w:sz w:val="20"/>
          <w:szCs w:val="20"/>
          <w:lang w:eastAsia="ja-JP"/>
          <w14:ligatures w14:val="standardContextual"/>
        </w:rPr>
        <w:t>tabla 2</w:t>
      </w:r>
      <w:r w:rsidRPr="00F0379B">
        <w:rPr>
          <w:rFonts w:ascii="Cambria" w:eastAsiaTheme="minorEastAsia" w:hAnsi="Cambria"/>
          <w:kern w:val="2"/>
          <w:sz w:val="20"/>
          <w:szCs w:val="20"/>
          <w:lang w:eastAsia="ja-JP"/>
          <w14:ligatures w14:val="standardContextual"/>
        </w:rPr>
        <w:t>).</w:t>
      </w:r>
    </w:p>
    <w:p w14:paraId="72499F34"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0D6D83D5" w14:textId="77777777" w:rsidR="009123AC" w:rsidRPr="00F0379B" w:rsidRDefault="009123AC" w:rsidP="009123AC">
      <w:pPr>
        <w:tabs>
          <w:tab w:val="left" w:pos="426"/>
        </w:tabs>
        <w:spacing w:after="0" w:line="240" w:lineRule="auto"/>
        <w:ind w:left="426" w:hanging="426"/>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3.  </w:t>
      </w:r>
      <w:r w:rsidRPr="00F0379B">
        <w:rPr>
          <w:rFonts w:ascii="Cambria" w:eastAsiaTheme="minorEastAsia" w:hAnsi="Cambria"/>
          <w:b/>
          <w:kern w:val="2"/>
          <w:sz w:val="20"/>
          <w:szCs w:val="20"/>
          <w:lang w:eastAsia="ja-JP"/>
          <w14:ligatures w14:val="standardContextual"/>
        </w:rPr>
        <w:tab/>
      </w:r>
      <w:r w:rsidRPr="00F0379B">
        <w:rPr>
          <w:rFonts w:ascii="Cambria" w:eastAsiaTheme="minorEastAsia" w:hAnsi="Cambria"/>
          <w:b/>
          <w:bCs/>
          <w:kern w:val="2"/>
          <w:sz w:val="20"/>
          <w:szCs w:val="20"/>
          <w:lang w:eastAsia="ja-JP"/>
          <w14:ligatures w14:val="standardContextual"/>
        </w:rPr>
        <w:t>Plan anual de ordenación de la cría (párrs. 22-23), si es aplicable</w:t>
      </w:r>
    </w:p>
    <w:p w14:paraId="3D673242"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3AFFEA70"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 conformidad con los párrafos 22 a 23 de la Recomendación 25-04, Libia ha comunicado debidamente a la Secretaría de ICCAT la existencia de tres granjas autorizadas de atún rojo con una capacidad combinada de 1.800 t. A pesar de esta notificación, no se llevará a cabo ninguna actividad de cría durante el año 2026 debido a las circunstancias de seguridad imperantes.</w:t>
      </w:r>
    </w:p>
    <w:p w14:paraId="06D1AA13"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3476572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3AFA01C8" w14:textId="77777777" w:rsidR="009123AC" w:rsidRPr="00F0379B" w:rsidRDefault="009123AC" w:rsidP="009123AC">
      <w:pPr>
        <w:tabs>
          <w:tab w:val="left" w:pos="426"/>
        </w:tabs>
        <w:spacing w:after="0" w:line="240" w:lineRule="auto"/>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4.  Plan de acuicultura anual (párr. 10e de la </w:t>
      </w:r>
      <w:hyperlink r:id="rId159" w:history="1">
        <w:r w:rsidRPr="00F0379B">
          <w:rPr>
            <w:rFonts w:ascii="Cambria" w:eastAsiaTheme="minorEastAsia" w:hAnsi="Cambria"/>
            <w:b/>
            <w:color w:val="0563C1" w:themeColor="hyperlink"/>
            <w:kern w:val="2"/>
            <w:sz w:val="20"/>
            <w:szCs w:val="20"/>
            <w:lang w:eastAsia="ja-JP"/>
            <w14:ligatures w14:val="standardContextual"/>
          </w:rPr>
          <w:t>Rec. 25-04</w:t>
        </w:r>
      </w:hyperlink>
      <w:r w:rsidRPr="00F0379B">
        <w:rPr>
          <w:rFonts w:ascii="Cambria" w:eastAsiaTheme="minorEastAsia" w:hAnsi="Cambria"/>
          <w:b/>
          <w:kern w:val="2"/>
          <w:sz w:val="20"/>
          <w:szCs w:val="20"/>
          <w:lang w:eastAsia="ja-JP"/>
          <w14:ligatures w14:val="standardContextual"/>
        </w:rPr>
        <w:t xml:space="preserve"> de conformidad con la </w:t>
      </w:r>
      <w:hyperlink r:id="rId160" w:history="1">
        <w:r w:rsidRPr="00F0379B">
          <w:rPr>
            <w:rFonts w:ascii="Cambria" w:eastAsiaTheme="minorEastAsia" w:hAnsi="Cambria"/>
            <w:b/>
            <w:color w:val="0563C1" w:themeColor="hyperlink"/>
            <w:kern w:val="2"/>
            <w:sz w:val="20"/>
            <w:szCs w:val="20"/>
            <w:lang w:eastAsia="ja-JP"/>
            <w14:ligatures w14:val="standardContextual"/>
          </w:rPr>
          <w:t>Rec. 24-07</w:t>
        </w:r>
      </w:hyperlink>
      <w:r w:rsidRPr="00F0379B">
        <w:rPr>
          <w:rFonts w:ascii="Cambria" w:eastAsiaTheme="minorEastAsia" w:hAnsi="Cambria"/>
          <w:b/>
          <w:kern w:val="2"/>
          <w:sz w:val="20"/>
          <w:szCs w:val="20"/>
          <w:lang w:eastAsia="ja-JP"/>
          <w14:ligatures w14:val="standardContextual"/>
        </w:rPr>
        <w:t>), si es aplicable</w:t>
      </w:r>
    </w:p>
    <w:p w14:paraId="2423193E"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718C3337" w14:textId="77777777" w:rsidR="009123AC" w:rsidRPr="00F0379B" w:rsidRDefault="009123AC" w:rsidP="009123AC">
      <w:pPr>
        <w:spacing w:after="0" w:line="240" w:lineRule="auto"/>
        <w:jc w:val="both"/>
        <w:rPr>
          <w:rFonts w:ascii="Cambria" w:eastAsiaTheme="minorEastAsia" w:hAnsi="Cambria"/>
          <w:i/>
          <w:iCs/>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Este caso no es aplicable en el Plan CPC Libia.</w:t>
      </w:r>
    </w:p>
    <w:p w14:paraId="2A95C110"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4E1C54DC" w14:textId="77777777" w:rsidR="009123AC" w:rsidRPr="00F0379B" w:rsidRDefault="009123AC" w:rsidP="009123AC">
      <w:pPr>
        <w:spacing w:after="0" w:line="240" w:lineRule="auto"/>
        <w:jc w:val="both"/>
        <w:rPr>
          <w:rFonts w:ascii="Cambria" w:eastAsiaTheme="minorEastAsia" w:hAnsi="Cambria"/>
          <w:i/>
          <w:iCs/>
          <w:kern w:val="2"/>
          <w:sz w:val="20"/>
          <w:szCs w:val="20"/>
          <w:lang w:eastAsia="ja-JP"/>
          <w14:ligatures w14:val="standardContextual"/>
        </w:rPr>
      </w:pPr>
    </w:p>
    <w:p w14:paraId="2FF051CA" w14:textId="77777777" w:rsidR="009123AC" w:rsidRPr="00F0379B" w:rsidRDefault="009123AC" w:rsidP="009123AC">
      <w:pPr>
        <w:tabs>
          <w:tab w:val="left" w:pos="426"/>
        </w:tabs>
        <w:spacing w:after="0" w:line="240" w:lineRule="auto"/>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5. </w:t>
      </w:r>
      <w:r w:rsidRPr="00F0379B">
        <w:rPr>
          <w:rFonts w:ascii="Cambria" w:eastAsiaTheme="minorEastAsia" w:hAnsi="Cambria"/>
          <w:b/>
          <w:kern w:val="2"/>
          <w:sz w:val="20"/>
          <w:szCs w:val="20"/>
          <w:lang w:eastAsia="ja-JP"/>
          <w14:ligatures w14:val="standardContextual"/>
        </w:rPr>
        <w:tab/>
        <w:t>Plan de inspección, control y seguimiento</w:t>
      </w:r>
    </w:p>
    <w:p w14:paraId="317E925E" w14:textId="77777777" w:rsidR="009123AC" w:rsidRPr="00F0379B" w:rsidRDefault="009123AC" w:rsidP="009123AC">
      <w:pPr>
        <w:spacing w:after="0" w:line="240" w:lineRule="auto"/>
        <w:jc w:val="both"/>
        <w:rPr>
          <w:rFonts w:ascii="Cambria" w:eastAsiaTheme="minorEastAsia" w:hAnsi="Cambria"/>
          <w:b/>
          <w:kern w:val="2"/>
          <w:sz w:val="20"/>
          <w:szCs w:val="20"/>
          <w:lang w:eastAsia="ja-JP"/>
          <w14:ligatures w14:val="standardContextual"/>
        </w:rPr>
      </w:pPr>
    </w:p>
    <w:p w14:paraId="5FC1EDC6" w14:textId="77777777" w:rsidR="009123AC" w:rsidRPr="00F0379B" w:rsidRDefault="009123AC" w:rsidP="009123AC">
      <w:pPr>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kern w:val="2"/>
          <w:sz w:val="20"/>
          <w:szCs w:val="20"/>
          <w:lang w:eastAsia="ja-JP"/>
          <w14:ligatures w14:val="standardContextual"/>
        </w:rPr>
        <w:t>5 a) Inspección, control y seguimiento de la CPC (párr. 10c)</w:t>
      </w:r>
    </w:p>
    <w:p w14:paraId="2DCBA5AA"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789F3156"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Ministerio de Recursos Marinos (MOMW) es la autoridad competente encargada de garantizar que el plan de seguimiento, control e inspección se aplique de conformidad con lo dispuesto en la Recomendación 25-04 de ICCAT. Los puntos de contacto oficiales dentro del MOMW encargados de la ejecución de este plan son:</w:t>
      </w:r>
    </w:p>
    <w:p w14:paraId="0E34B47E" w14:textId="77777777" w:rsidR="009123AC" w:rsidRPr="00F0379B" w:rsidRDefault="009123AC" w:rsidP="00CE0EC8">
      <w:pPr>
        <w:widowControl w:val="0"/>
        <w:numPr>
          <w:ilvl w:val="0"/>
          <w:numId w:val="82"/>
        </w:numPr>
        <w:spacing w:after="0" w:line="240" w:lineRule="auto"/>
        <w:contextualSpacing/>
        <w:jc w:val="both"/>
        <w:rPr>
          <w:rFonts w:ascii="Cambria" w:eastAsiaTheme="minorEastAsia" w:hAnsi="Cambria"/>
          <w:color w:val="000000" w:themeColor="text1"/>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Hasan Fouzi Gafri, director de la Administración de Puertos </w:t>
      </w:r>
      <w:r w:rsidRPr="00F0379B">
        <w:rPr>
          <w:rFonts w:ascii="Cambria" w:eastAsiaTheme="minorEastAsia" w:hAnsi="Cambria"/>
          <w:color w:val="000000" w:themeColor="text1"/>
          <w:kern w:val="2"/>
          <w:sz w:val="20"/>
          <w:szCs w:val="20"/>
          <w:lang w:eastAsia="ja-JP"/>
          <w14:ligatures w14:val="standardContextual"/>
        </w:rPr>
        <w:t>Pesqueros (</w:t>
      </w:r>
      <w:hyperlink r:id="rId161" w:history="1">
        <w:r w:rsidRPr="00F0379B">
          <w:rPr>
            <w:rFonts w:ascii="Cambria" w:eastAsiaTheme="minorEastAsia" w:hAnsi="Cambria"/>
            <w:color w:val="000000" w:themeColor="text1"/>
            <w:kern w:val="2"/>
            <w:sz w:val="20"/>
            <w:szCs w:val="20"/>
            <w:lang w:eastAsia="ja-JP"/>
            <w14:ligatures w14:val="standardContextual"/>
          </w:rPr>
          <w:t>gafrihasan@gmail.com</w:t>
        </w:r>
      </w:hyperlink>
      <w:r w:rsidRPr="00F0379B">
        <w:rPr>
          <w:rFonts w:ascii="Cambria" w:eastAsiaTheme="minorEastAsia" w:hAnsi="Cambria"/>
          <w:color w:val="000000" w:themeColor="text1"/>
          <w:kern w:val="2"/>
          <w:sz w:val="20"/>
          <w:szCs w:val="20"/>
          <w:lang w:eastAsia="ja-JP"/>
          <w14:ligatures w14:val="standardContextual"/>
        </w:rPr>
        <w:t>),</w:t>
      </w:r>
    </w:p>
    <w:p w14:paraId="16FD102E" w14:textId="77777777" w:rsidR="009123AC" w:rsidRPr="00F0379B" w:rsidRDefault="009123AC" w:rsidP="00CE0EC8">
      <w:pPr>
        <w:widowControl w:val="0"/>
        <w:numPr>
          <w:ilvl w:val="0"/>
          <w:numId w:val="82"/>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color w:val="000000" w:themeColor="text1"/>
          <w:kern w:val="2"/>
          <w:sz w:val="20"/>
          <w:szCs w:val="20"/>
          <w:lang w:eastAsia="ja-JP"/>
          <w14:ligatures w14:val="standardContextual"/>
        </w:rPr>
        <w:t xml:space="preserve">Mohamed Noor Rabeie, director del Departamento de Registro de Buques </w:t>
      </w:r>
      <w:r w:rsidRPr="00F0379B">
        <w:rPr>
          <w:rFonts w:ascii="Cambria" w:eastAsiaTheme="minorEastAsia" w:hAnsi="Cambria"/>
          <w:kern w:val="2"/>
          <w:sz w:val="20"/>
          <w:szCs w:val="20"/>
          <w:lang w:eastAsia="ja-JP"/>
          <w14:ligatures w14:val="standardContextual"/>
        </w:rPr>
        <w:t>(Elrabeie.Mohamed@gmail.com).</w:t>
      </w:r>
    </w:p>
    <w:p w14:paraId="0562765A"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2D6312AB"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Este marco se establece de conformidad con la Ley de Pesca y Acuicultura n.º 14/1989, el Decreto n.º 32/2022, modificado por el Decreto n.º 35/2023, y la Ley de Guardacostas y Seguridad Portuaria n.º 229/2005, modificada en 2019. Antes de entrar en cualquier puerto designado, los patrones de los buques pesqueros y barcos auxiliares, o sus representantes debidamente designados, deberán notificar a las autoridades portuarias competentes su llegada al menos cuatro (4) horas antes de la hora prevista de llegada. Dicha notificación deberá incluir: </w:t>
      </w:r>
    </w:p>
    <w:p w14:paraId="4CCFF7E5"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6165FADC" w14:textId="77777777" w:rsidR="009123AC" w:rsidRPr="00F0379B" w:rsidRDefault="009123AC" w:rsidP="00CE0EC8">
      <w:pPr>
        <w:widowControl w:val="0"/>
        <w:numPr>
          <w:ilvl w:val="0"/>
          <w:numId w:val="80"/>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hora estimada de llegada;</w:t>
      </w:r>
    </w:p>
    <w:p w14:paraId="2055AEA1" w14:textId="77777777" w:rsidR="009123AC" w:rsidRPr="00F0379B" w:rsidRDefault="009123AC" w:rsidP="00CE0EC8">
      <w:pPr>
        <w:widowControl w:val="0"/>
        <w:numPr>
          <w:ilvl w:val="0"/>
          <w:numId w:val="80"/>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cantidad estimada de atún rojo retenido a bordo (atún rojo muerto, en su caso).</w:t>
      </w:r>
    </w:p>
    <w:p w14:paraId="12190EC3" w14:textId="77777777" w:rsidR="009123AC" w:rsidRPr="00F0379B" w:rsidRDefault="009123AC" w:rsidP="00CE0EC8">
      <w:pPr>
        <w:widowControl w:val="0"/>
        <w:numPr>
          <w:ilvl w:val="0"/>
          <w:numId w:val="80"/>
        </w:numPr>
        <w:spacing w:after="0"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zona geográfica donde se realizó la captura.</w:t>
      </w:r>
    </w:p>
    <w:p w14:paraId="66581220" w14:textId="77777777" w:rsidR="009123AC" w:rsidRPr="00F0379B" w:rsidRDefault="009123AC" w:rsidP="009123AC">
      <w:pPr>
        <w:spacing w:after="0" w:line="240" w:lineRule="auto"/>
        <w:jc w:val="both"/>
        <w:rPr>
          <w:rFonts w:ascii="Cambria" w:eastAsiaTheme="minorEastAsia" w:hAnsi="Cambria"/>
          <w:kern w:val="2"/>
          <w:sz w:val="20"/>
          <w:szCs w:val="20"/>
          <w:lang w:eastAsia="ja-JP"/>
          <w14:ligatures w14:val="standardContextual"/>
        </w:rPr>
      </w:pPr>
    </w:p>
    <w:p w14:paraId="5BBC33CF" w14:textId="77777777" w:rsidR="009123AC" w:rsidRPr="00F0379B" w:rsidRDefault="009123AC" w:rsidP="009123AC">
      <w:pPr>
        <w:autoSpaceDE w:val="0"/>
        <w:autoSpaceDN w:val="0"/>
        <w:adjustRightInd w:val="0"/>
        <w:spacing w:after="0" w:line="240" w:lineRule="auto"/>
        <w:jc w:val="both"/>
        <w:rPr>
          <w:rFonts w:ascii="Cambria" w:eastAsia="Times New Roman" w:hAnsi="Cambria" w:cs="Cambria"/>
          <w:kern w:val="2"/>
          <w:sz w:val="20"/>
          <w:szCs w:val="20"/>
          <w:lang w:val="es-ES_tradnl" w:eastAsia="ja-JP"/>
          <w14:ligatures w14:val="standardContextual"/>
        </w:rPr>
      </w:pPr>
      <w:r w:rsidRPr="00F0379B">
        <w:rPr>
          <w:rFonts w:ascii="Cambria" w:eastAsia="Times New Roman" w:hAnsi="Cambria" w:cs="Arial"/>
          <w:kern w:val="2"/>
          <w:sz w:val="20"/>
          <w:szCs w:val="20"/>
          <w:lang w:val="es-ES_tradnl" w:eastAsia="ja-JP"/>
          <w14:ligatures w14:val="standardContextual"/>
        </w:rPr>
        <w:t>Las autoridades del Estado rector del puerto mantendrán un registro de todas las notificaciones previas para el año en curso.</w:t>
      </w:r>
    </w:p>
    <w:p w14:paraId="5E1C7266" w14:textId="77777777" w:rsidR="009123AC" w:rsidRPr="00F0379B" w:rsidRDefault="009123AC" w:rsidP="009123AC">
      <w:pPr>
        <w:autoSpaceDE w:val="0"/>
        <w:autoSpaceDN w:val="0"/>
        <w:adjustRightInd w:val="0"/>
        <w:spacing w:after="0" w:line="240" w:lineRule="auto"/>
        <w:jc w:val="both"/>
        <w:rPr>
          <w:rFonts w:ascii="Cambria" w:eastAsia="Times New Roman" w:hAnsi="Cambria" w:cs="Cambria"/>
          <w:kern w:val="2"/>
          <w:sz w:val="20"/>
          <w:szCs w:val="20"/>
          <w:lang w:val="es-ES_tradnl" w:eastAsia="ja-JP"/>
          <w14:ligatures w14:val="standardContextual"/>
        </w:rPr>
      </w:pPr>
      <w:r w:rsidRPr="00F0379B">
        <w:rPr>
          <w:rFonts w:ascii="Cambria" w:eastAsia="Times New Roman" w:hAnsi="Cambria" w:cs="Arial"/>
          <w:kern w:val="2"/>
          <w:sz w:val="20"/>
          <w:szCs w:val="20"/>
          <w:lang w:val="es-ES_tradnl" w:eastAsia="ja-JP"/>
          <w14:ligatures w14:val="standardContextual"/>
        </w:rPr>
        <w:t>Los inspectores pesqueros de la Autoridad de Pesca/Guardia Costera serán formado con este fin.</w:t>
      </w:r>
    </w:p>
    <w:p w14:paraId="045DA9F8" w14:textId="77777777" w:rsidR="009123AC" w:rsidRPr="00F0379B" w:rsidRDefault="009123AC" w:rsidP="009123AC">
      <w:pPr>
        <w:autoSpaceDE w:val="0"/>
        <w:autoSpaceDN w:val="0"/>
        <w:adjustRightInd w:val="0"/>
        <w:spacing w:after="0" w:line="240" w:lineRule="auto"/>
        <w:jc w:val="both"/>
        <w:rPr>
          <w:rFonts w:ascii="Cambria" w:eastAsia="Times New Roman" w:hAnsi="Cambria" w:cs="Arial"/>
          <w:kern w:val="2"/>
          <w:sz w:val="20"/>
          <w:szCs w:val="20"/>
          <w:lang w:val="es-ES_tradnl" w:eastAsia="ja-JP"/>
          <w14:ligatures w14:val="standardContextual"/>
        </w:rPr>
      </w:pPr>
    </w:p>
    <w:p w14:paraId="184E4CB0" w14:textId="77777777" w:rsidR="009123AC" w:rsidRPr="00F0379B" w:rsidRDefault="009123AC" w:rsidP="009123AC">
      <w:pPr>
        <w:autoSpaceDE w:val="0"/>
        <w:autoSpaceDN w:val="0"/>
        <w:adjustRightInd w:val="0"/>
        <w:spacing w:after="0" w:line="240" w:lineRule="auto"/>
        <w:jc w:val="both"/>
        <w:rPr>
          <w:rFonts w:ascii="Cambria" w:eastAsia="Times New Roman" w:hAnsi="Cambria" w:cs="Cambria"/>
          <w:kern w:val="2"/>
          <w:sz w:val="20"/>
          <w:szCs w:val="20"/>
          <w:lang w:val="es-ES_tradnl" w:eastAsia="ja-JP"/>
          <w14:ligatures w14:val="standardContextual"/>
        </w:rPr>
      </w:pPr>
      <w:r w:rsidRPr="00F0379B">
        <w:rPr>
          <w:rFonts w:ascii="Cambria" w:eastAsia="Times New Roman" w:hAnsi="Cambria" w:cs="Arial"/>
          <w:kern w:val="2"/>
          <w:sz w:val="20"/>
          <w:szCs w:val="20"/>
          <w:lang w:val="es-ES_tradnl" w:eastAsia="ja-JP"/>
          <w14:ligatures w14:val="standardContextual"/>
        </w:rPr>
        <w:t>Dado que la mayor parte de la cuota la captura la flota de cerco en alta mar y se transfiere a jaulas de granjas situadas en zonas que son competencia de otras CPC, solo un porcentaje mínimo puede ser inspeccionado a la llegada/desembarque en puertos libios, lo que no permitirá un sistema de evaluación de riesgo fiable que incluya la cuota, el tamaño de la flota y el esfuerzo pesquero. Sin embargo, Libia tratará de colaborar con las CPC de la granja que reciben los peces capturados por los buques de captura de Libia para obtener más estadísticas al respecto. Esto se aplicará en casos de captura fortuita y peces muertos.</w:t>
      </w:r>
    </w:p>
    <w:p w14:paraId="0EE0BB41" w14:textId="77777777" w:rsidR="009123AC" w:rsidRPr="00F0379B" w:rsidRDefault="009123AC" w:rsidP="009123AC">
      <w:pPr>
        <w:autoSpaceDE w:val="0"/>
        <w:autoSpaceDN w:val="0"/>
        <w:adjustRightInd w:val="0"/>
        <w:spacing w:after="0" w:line="240" w:lineRule="auto"/>
        <w:jc w:val="both"/>
        <w:rPr>
          <w:rFonts w:ascii="Cambria" w:eastAsia="Times New Roman" w:hAnsi="Cambria" w:cs="Cambria"/>
          <w:kern w:val="2"/>
          <w:sz w:val="20"/>
          <w:szCs w:val="20"/>
          <w:lang w:val="es-ES_tradnl" w:eastAsia="ja-JP"/>
          <w14:ligatures w14:val="standardContextual"/>
        </w:rPr>
      </w:pPr>
    </w:p>
    <w:p w14:paraId="5E7C72BF" w14:textId="77777777" w:rsidR="009123AC" w:rsidRPr="00F0379B" w:rsidRDefault="009123AC" w:rsidP="009123AC">
      <w:pPr>
        <w:autoSpaceDE w:val="0"/>
        <w:autoSpaceDN w:val="0"/>
        <w:adjustRightInd w:val="0"/>
        <w:spacing w:after="0" w:line="240" w:lineRule="auto"/>
        <w:jc w:val="both"/>
        <w:rPr>
          <w:rFonts w:ascii="Cambria" w:eastAsia="Times New Roman" w:hAnsi="Cambria" w:cs="Cambria"/>
          <w:kern w:val="2"/>
          <w:sz w:val="20"/>
          <w:szCs w:val="20"/>
          <w:lang w:val="es-ES_tradnl" w:eastAsia="ja-JP"/>
          <w14:ligatures w14:val="standardContextual"/>
        </w:rPr>
      </w:pPr>
      <w:r w:rsidRPr="00F0379B">
        <w:rPr>
          <w:rFonts w:ascii="Cambria" w:eastAsia="Times New Roman" w:hAnsi="Cambria" w:cs="Arial"/>
          <w:kern w:val="2"/>
          <w:sz w:val="20"/>
          <w:szCs w:val="20"/>
          <w:lang w:val="es-ES_tradnl" w:eastAsia="ja-JP"/>
          <w14:ligatures w14:val="standardContextual"/>
        </w:rPr>
        <w:t>En caso de desembarque en puertos de otras CPC, los patrones de los buques de captura libios presentarán en un plazo de 48 horas una declaración de desembarque a las autoridades competentes de la CPC donde se realiza el desembarque y a Libia. El patrón del buque de captura autorizado será responsable de y certificará que la declaración sea completa, y precisa, y en ella se indicarán, como requisito mínimo, las cantidades de atún rojo desembarcado y la zona en que fue capturado. Todas las capturas desembarcadas serán pesadas y no sólo estimadas.</w:t>
      </w:r>
    </w:p>
    <w:p w14:paraId="674AE3D3" w14:textId="77777777" w:rsidR="009123AC" w:rsidRPr="00F0379B" w:rsidRDefault="009123AC" w:rsidP="009123AC">
      <w:pPr>
        <w:autoSpaceDE w:val="0"/>
        <w:autoSpaceDN w:val="0"/>
        <w:adjustRightInd w:val="0"/>
        <w:spacing w:after="0" w:line="240" w:lineRule="auto"/>
        <w:jc w:val="both"/>
        <w:rPr>
          <w:rFonts w:ascii="Cambria" w:eastAsia="Times New Roman" w:hAnsi="Cambria" w:cs="Cambria"/>
          <w:kern w:val="2"/>
          <w:sz w:val="20"/>
          <w:szCs w:val="20"/>
          <w:lang w:val="es-ES_tradnl" w:eastAsia="ja-JP"/>
          <w14:ligatures w14:val="standardContextual"/>
        </w:rPr>
      </w:pPr>
    </w:p>
    <w:p w14:paraId="3F12F8B5" w14:textId="77777777" w:rsidR="009123AC" w:rsidRPr="00F0379B" w:rsidRDefault="009123AC" w:rsidP="009123AC">
      <w:pPr>
        <w:autoSpaceDE w:val="0"/>
        <w:autoSpaceDN w:val="0"/>
        <w:adjustRightInd w:val="0"/>
        <w:spacing w:after="0" w:line="240" w:lineRule="auto"/>
        <w:jc w:val="both"/>
        <w:rPr>
          <w:rFonts w:ascii="Cambria" w:eastAsia="Times New Roman" w:hAnsi="Cambria" w:cs="Cambria"/>
          <w:kern w:val="2"/>
          <w:sz w:val="20"/>
          <w:szCs w:val="20"/>
          <w:lang w:val="es-ES_tradnl" w:eastAsia="ja-JP"/>
          <w14:ligatures w14:val="standardContextual"/>
        </w:rPr>
      </w:pPr>
      <w:r w:rsidRPr="00F0379B">
        <w:rPr>
          <w:rFonts w:ascii="Cambria" w:eastAsia="Times New Roman" w:hAnsi="Cambria" w:cs="Arial"/>
          <w:kern w:val="2"/>
          <w:sz w:val="20"/>
          <w:szCs w:val="20"/>
          <w:lang w:val="es-ES_tradnl" w:eastAsia="ja-JP"/>
          <w14:ligatures w14:val="standardContextual"/>
        </w:rPr>
        <w:t>En caso de desembarques en Libia de buques de captura de otras CPC. Libia enviará un registro del desembarque a la autoridad de la CPC del pabellón del buque pesquero en un plazo de 48 horas tras la finalización del desembarque.</w:t>
      </w:r>
    </w:p>
    <w:p w14:paraId="55DC168A" w14:textId="77777777" w:rsidR="009123AC" w:rsidRPr="00F0379B" w:rsidRDefault="009123AC" w:rsidP="009123AC">
      <w:pPr>
        <w:autoSpaceDE w:val="0"/>
        <w:autoSpaceDN w:val="0"/>
        <w:adjustRightInd w:val="0"/>
        <w:spacing w:after="0" w:line="240" w:lineRule="auto"/>
        <w:jc w:val="both"/>
        <w:rPr>
          <w:rFonts w:ascii="Cambria" w:eastAsia="Times New Roman" w:hAnsi="Cambria" w:cs="Cambria"/>
          <w:kern w:val="2"/>
          <w:sz w:val="20"/>
          <w:szCs w:val="20"/>
          <w:lang w:val="es-ES_tradnl" w:eastAsia="ja-JP"/>
          <w14:ligatures w14:val="standardContextual"/>
        </w:rPr>
      </w:pPr>
    </w:p>
    <w:p w14:paraId="77597D5A" w14:textId="77777777" w:rsidR="009123AC" w:rsidRPr="00F0379B" w:rsidRDefault="009123AC" w:rsidP="009123AC">
      <w:pPr>
        <w:tabs>
          <w:tab w:val="left" w:pos="426"/>
        </w:tabs>
        <w:spacing w:after="0" w:line="240" w:lineRule="auto"/>
        <w:jc w:val="both"/>
        <w:rPr>
          <w:rFonts w:ascii="Cambria" w:eastAsia="Calibri" w:hAnsi="Cambria" w:cs="Arial"/>
          <w:i/>
          <w:iCs/>
          <w:kern w:val="2"/>
          <w:sz w:val="20"/>
          <w:szCs w:val="20"/>
          <w:lang w:val="es-ES_tradnl" w:eastAsia="ja-JP"/>
          <w14:ligatures w14:val="standardContextual"/>
        </w:rPr>
      </w:pPr>
      <w:r w:rsidRPr="00F0379B">
        <w:rPr>
          <w:rFonts w:ascii="Cambria" w:eastAsia="Times New Roman" w:hAnsi="Cambria" w:cs="Arial"/>
          <w:i/>
          <w:iCs/>
          <w:kern w:val="2"/>
          <w:sz w:val="20"/>
          <w:szCs w:val="20"/>
          <w:lang w:val="es-ES_tradnl" w:eastAsia="ja-JP"/>
          <w14:ligatures w14:val="standardContextual"/>
        </w:rPr>
        <w:t>a.1) Medidas para cumplir las cuotas</w:t>
      </w:r>
    </w:p>
    <w:p w14:paraId="3F2AE200" w14:textId="77777777" w:rsidR="009123AC" w:rsidRPr="00F0379B" w:rsidRDefault="009123AC" w:rsidP="009123AC">
      <w:pPr>
        <w:autoSpaceDE w:val="0"/>
        <w:autoSpaceDN w:val="0"/>
        <w:adjustRightInd w:val="0"/>
        <w:spacing w:after="0" w:line="240" w:lineRule="auto"/>
        <w:jc w:val="both"/>
        <w:rPr>
          <w:rFonts w:ascii="Cambria" w:eastAsia="Times New Roman" w:hAnsi="Cambria" w:cs="Cambria"/>
          <w:kern w:val="2"/>
          <w:sz w:val="20"/>
          <w:szCs w:val="20"/>
          <w:lang w:val="es-ES_tradnl" w:eastAsia="ja-JP"/>
          <w14:ligatures w14:val="standardContextual"/>
        </w:rPr>
      </w:pPr>
    </w:p>
    <w:p w14:paraId="6B2D0106" w14:textId="77777777" w:rsidR="009123AC" w:rsidRPr="00F0379B" w:rsidRDefault="009123AC" w:rsidP="009123AC">
      <w:pPr>
        <w:spacing w:after="0" w:line="240" w:lineRule="auto"/>
        <w:jc w:val="both"/>
        <w:rPr>
          <w:rFonts w:ascii="Cambria" w:eastAsia="Times New Roman" w:hAnsi="Cambria" w:cs="Arial"/>
          <w:kern w:val="2"/>
          <w:sz w:val="20"/>
          <w:szCs w:val="20"/>
          <w:lang w:val="es-ES_tradnl" w:eastAsia="ja-JP"/>
          <w14:ligatures w14:val="standardContextual"/>
        </w:rPr>
      </w:pPr>
      <w:r w:rsidRPr="00F0379B">
        <w:rPr>
          <w:rFonts w:ascii="Cambria" w:eastAsia="Times New Roman" w:hAnsi="Cambria" w:cs="Arial"/>
          <w:kern w:val="2"/>
          <w:sz w:val="20"/>
          <w:szCs w:val="20"/>
          <w:lang w:val="es-ES_tradnl" w:eastAsia="ja-JP"/>
          <w14:ligatures w14:val="standardContextual"/>
        </w:rPr>
        <w:t>La autoridad pesquera establecerá una unidad de control 24 horas los 7 días durante la temporada de pesca.</w:t>
      </w:r>
    </w:p>
    <w:p w14:paraId="388D3A04" w14:textId="77777777" w:rsidR="009123AC" w:rsidRPr="00F0379B" w:rsidRDefault="009123AC" w:rsidP="009123AC">
      <w:pPr>
        <w:spacing w:after="0" w:line="240" w:lineRule="auto"/>
        <w:jc w:val="both"/>
        <w:rPr>
          <w:rFonts w:ascii="Cambria" w:eastAsia="Times New Roman" w:hAnsi="Cambria" w:cs="Arial"/>
          <w:kern w:val="2"/>
          <w:sz w:val="20"/>
          <w:szCs w:val="20"/>
          <w:lang w:val="es-ES_tradnl" w:eastAsia="ja-JP" w:bidi="ar-LY"/>
          <w14:ligatures w14:val="standardContextual"/>
        </w:rPr>
      </w:pPr>
    </w:p>
    <w:p w14:paraId="1CF78897" w14:textId="77777777" w:rsidR="009123AC" w:rsidRPr="00F0379B" w:rsidRDefault="009123AC" w:rsidP="009123AC">
      <w:pPr>
        <w:spacing w:after="0" w:line="240" w:lineRule="auto"/>
        <w:jc w:val="both"/>
        <w:rPr>
          <w:rFonts w:ascii="Cambria" w:eastAsia="Times New Roman" w:hAnsi="Cambria" w:cs="Arial"/>
          <w:kern w:val="2"/>
          <w:sz w:val="20"/>
          <w:szCs w:val="20"/>
          <w:lang w:val="es-ES_tradnl" w:eastAsia="ja-JP"/>
          <w14:ligatures w14:val="standardContextual"/>
        </w:rPr>
      </w:pPr>
      <w:r w:rsidRPr="00F0379B">
        <w:rPr>
          <w:rFonts w:ascii="Cambria" w:eastAsia="Times New Roman" w:hAnsi="Cambria" w:cs="Arial"/>
          <w:kern w:val="2"/>
          <w:sz w:val="20"/>
          <w:szCs w:val="20"/>
          <w:lang w:val="es-ES_tradnl" w:eastAsia="ja-JP"/>
          <w14:ligatures w14:val="standardContextual"/>
        </w:rPr>
        <w:t>Los operadores y patrones de los buques pesqueros autorizados cumplirán las disposiciones de la Rec. 25-04 de ICCAT.</w:t>
      </w:r>
    </w:p>
    <w:p w14:paraId="5F3FDA3A" w14:textId="77777777" w:rsidR="009123AC" w:rsidRPr="00F0379B" w:rsidRDefault="009123AC" w:rsidP="009123AC">
      <w:pPr>
        <w:spacing w:after="0" w:line="240" w:lineRule="auto"/>
        <w:jc w:val="both"/>
        <w:rPr>
          <w:rFonts w:ascii="Cambria" w:eastAsia="Times New Roman" w:hAnsi="Cambria" w:cs="Arial"/>
          <w:kern w:val="2"/>
          <w:sz w:val="20"/>
          <w:szCs w:val="20"/>
          <w:lang w:val="es-ES_tradnl" w:eastAsia="ja-JP" w:bidi="ar-LY"/>
          <w14:ligatures w14:val="standardContextual"/>
        </w:rPr>
      </w:pPr>
    </w:p>
    <w:p w14:paraId="2FA3C6F3" w14:textId="77777777" w:rsidR="009123AC" w:rsidRPr="00F0379B" w:rsidRDefault="009123AC" w:rsidP="009123AC">
      <w:pPr>
        <w:spacing w:after="0" w:line="240" w:lineRule="auto"/>
        <w:jc w:val="both"/>
        <w:rPr>
          <w:rFonts w:ascii="Cambria" w:eastAsia="Times New Roman" w:hAnsi="Cambria" w:cs="Arial"/>
          <w:kern w:val="2"/>
          <w:sz w:val="20"/>
          <w:szCs w:val="20"/>
          <w:lang w:val="es-ES_tradnl" w:eastAsia="ja-JP"/>
          <w14:ligatures w14:val="standardContextual"/>
        </w:rPr>
      </w:pPr>
      <w:r w:rsidRPr="00F0379B">
        <w:rPr>
          <w:rFonts w:ascii="Cambria" w:eastAsia="Times New Roman" w:hAnsi="Cambria" w:cs="Arial"/>
          <w:kern w:val="2"/>
          <w:sz w:val="20"/>
          <w:szCs w:val="20"/>
          <w:lang w:val="es-ES_tradnl" w:eastAsia="ja-JP"/>
          <w14:ligatures w14:val="standardContextual"/>
        </w:rPr>
        <w:t xml:space="preserve">Las operaciones de pesca conjuntas (JFO) y sus respectivas claves de asignación se notificarán a la Secretaría de ICCAT en el plazo estipulado. </w:t>
      </w:r>
    </w:p>
    <w:p w14:paraId="391436FD" w14:textId="77777777" w:rsidR="009123AC" w:rsidRPr="00F0379B" w:rsidRDefault="009123AC" w:rsidP="009123AC">
      <w:pPr>
        <w:spacing w:after="0" w:line="240" w:lineRule="auto"/>
        <w:ind w:left="720"/>
        <w:jc w:val="both"/>
        <w:rPr>
          <w:rFonts w:ascii="Cambria" w:eastAsia="Times New Roman" w:hAnsi="Cambria" w:cs="Arial"/>
          <w:kern w:val="2"/>
          <w:sz w:val="20"/>
          <w:szCs w:val="20"/>
          <w:lang w:val="es-ES_tradnl" w:eastAsia="ja-JP" w:bidi="ar-LY"/>
          <w14:ligatures w14:val="standardContextual"/>
        </w:rPr>
      </w:pPr>
    </w:p>
    <w:p w14:paraId="578E522A" w14:textId="77777777" w:rsidR="009123AC" w:rsidRPr="00F0379B" w:rsidRDefault="009123AC" w:rsidP="009123AC">
      <w:pPr>
        <w:spacing w:after="0" w:line="240" w:lineRule="auto"/>
        <w:jc w:val="both"/>
        <w:rPr>
          <w:rFonts w:ascii="Cambria" w:eastAsia="Times New Roman" w:hAnsi="Cambria" w:cs="Arial"/>
          <w:kern w:val="2"/>
          <w:sz w:val="20"/>
          <w:szCs w:val="20"/>
          <w:lang w:val="es-ES_tradnl" w:eastAsia="ja-JP"/>
          <w14:ligatures w14:val="standardContextual"/>
        </w:rPr>
      </w:pPr>
      <w:r w:rsidRPr="00F0379B">
        <w:rPr>
          <w:rFonts w:ascii="Cambria" w:eastAsia="Times New Roman" w:hAnsi="Cambria" w:cs="Arial"/>
          <w:kern w:val="2"/>
          <w:sz w:val="20"/>
          <w:szCs w:val="20"/>
          <w:lang w:val="es-ES_tradnl" w:eastAsia="ja-JP"/>
          <w14:ligatures w14:val="standardContextual"/>
        </w:rPr>
        <w:t>El seguimiento del respeto del límite de cuota individual lo llevarán a cabo las autoridades pesqueras y se hará una verificación cruzada con los observadores del ROP a bordo de los buques pesqueros.</w:t>
      </w:r>
    </w:p>
    <w:p w14:paraId="09F2EF53" w14:textId="77777777" w:rsidR="009123AC" w:rsidRPr="00F0379B" w:rsidRDefault="009123AC" w:rsidP="009123AC">
      <w:pPr>
        <w:spacing w:after="0" w:line="240" w:lineRule="auto"/>
        <w:ind w:left="720"/>
        <w:jc w:val="both"/>
        <w:rPr>
          <w:rFonts w:ascii="Cambria" w:eastAsia="Times New Roman" w:hAnsi="Cambria" w:cs="Arial"/>
          <w:kern w:val="2"/>
          <w:sz w:val="20"/>
          <w:szCs w:val="20"/>
          <w:lang w:val="es-ES_tradnl" w:eastAsia="ja-JP"/>
          <w14:ligatures w14:val="standardContextual"/>
        </w:rPr>
      </w:pPr>
      <w:r w:rsidRPr="00F0379B">
        <w:rPr>
          <w:rFonts w:ascii="Cambria" w:eastAsia="Times New Roman" w:hAnsi="Cambria" w:cs="Arial"/>
          <w:kern w:val="2"/>
          <w:sz w:val="20"/>
          <w:szCs w:val="20"/>
          <w:lang w:val="es-ES_tradnl" w:eastAsia="ja-JP"/>
          <w14:ligatures w14:val="standardContextual"/>
        </w:rPr>
        <w:tab/>
      </w:r>
    </w:p>
    <w:p w14:paraId="47D4035E" w14:textId="77777777" w:rsidR="009123AC" w:rsidRPr="00F0379B" w:rsidRDefault="009123AC" w:rsidP="009123AC">
      <w:pPr>
        <w:spacing w:after="0" w:line="240" w:lineRule="auto"/>
        <w:jc w:val="both"/>
        <w:rPr>
          <w:rFonts w:ascii="Cambria" w:eastAsia="Times New Roman" w:hAnsi="Cambria" w:cs="Arial"/>
          <w:kern w:val="2"/>
          <w:sz w:val="20"/>
          <w:szCs w:val="20"/>
          <w:lang w:val="es-ES_tradnl" w:eastAsia="ja-JP"/>
          <w14:ligatures w14:val="standardContextual"/>
        </w:rPr>
      </w:pPr>
      <w:r w:rsidRPr="00F0379B">
        <w:rPr>
          <w:rFonts w:ascii="Cambria" w:eastAsia="Times New Roman" w:hAnsi="Cambria" w:cs="Arial"/>
          <w:kern w:val="2"/>
          <w:sz w:val="20"/>
          <w:szCs w:val="20"/>
          <w:lang w:val="es-ES_tradnl" w:eastAsia="ja-JP"/>
          <w14:ligatures w14:val="standardContextual"/>
        </w:rPr>
        <w:t xml:space="preserve">Todos los buques o JFO cuya cuota se haya agotado recibirán la orden de volver a puerto de manera inmediata. </w:t>
      </w:r>
    </w:p>
    <w:p w14:paraId="2B91FA2D" w14:textId="77777777" w:rsidR="009123AC" w:rsidRPr="00F0379B" w:rsidRDefault="009123AC" w:rsidP="009123AC">
      <w:pPr>
        <w:spacing w:after="0" w:line="240" w:lineRule="auto"/>
        <w:ind w:left="720"/>
        <w:jc w:val="both"/>
        <w:rPr>
          <w:rFonts w:ascii="Cambria" w:eastAsia="Times New Roman" w:hAnsi="Cambria" w:cs="Arial"/>
          <w:kern w:val="2"/>
          <w:sz w:val="20"/>
          <w:szCs w:val="20"/>
          <w:lang w:val="es-ES_tradnl" w:eastAsia="ja-JP" w:bidi="ar-LY"/>
          <w14:ligatures w14:val="standardContextual"/>
        </w:rPr>
      </w:pPr>
    </w:p>
    <w:p w14:paraId="1A375FB3" w14:textId="77777777" w:rsidR="009123AC" w:rsidRPr="00F0379B" w:rsidRDefault="009123AC" w:rsidP="009123AC">
      <w:pPr>
        <w:spacing w:after="0" w:line="240" w:lineRule="auto"/>
        <w:jc w:val="both"/>
        <w:rPr>
          <w:rFonts w:ascii="Cambria" w:eastAsia="Times New Roman" w:hAnsi="Cambria" w:cs="Arial"/>
          <w:kern w:val="2"/>
          <w:sz w:val="20"/>
          <w:szCs w:val="20"/>
          <w:lang w:val="es-ES_tradnl" w:eastAsia="ja-JP"/>
          <w14:ligatures w14:val="standardContextual"/>
        </w:rPr>
      </w:pPr>
      <w:r w:rsidRPr="00F0379B">
        <w:rPr>
          <w:rFonts w:ascii="Cambria" w:eastAsia="Times New Roman" w:hAnsi="Cambria" w:cs="Arial"/>
          <w:kern w:val="2"/>
          <w:sz w:val="20"/>
          <w:szCs w:val="20"/>
          <w:lang w:val="es-ES_tradnl" w:eastAsia="ja-JP"/>
          <w14:ligatures w14:val="standardContextual"/>
        </w:rPr>
        <w:t>Todos los buques pesqueros que capturan atún rojo seguirán el sistema de eBCD.</w:t>
      </w:r>
    </w:p>
    <w:p w14:paraId="595F1737" w14:textId="77777777" w:rsidR="009123AC" w:rsidRPr="00F0379B" w:rsidRDefault="009123AC" w:rsidP="009123AC">
      <w:pPr>
        <w:spacing w:after="0" w:line="240" w:lineRule="auto"/>
        <w:ind w:left="720"/>
        <w:jc w:val="both"/>
        <w:rPr>
          <w:rFonts w:ascii="Cambria" w:eastAsia="Times New Roman" w:hAnsi="Cambria" w:cs="Arial"/>
          <w:kern w:val="2"/>
          <w:sz w:val="20"/>
          <w:szCs w:val="20"/>
          <w:lang w:val="es-ES_tradnl" w:eastAsia="ja-JP" w:bidi="ar-LY"/>
          <w14:ligatures w14:val="standardContextual"/>
        </w:rPr>
      </w:pPr>
    </w:p>
    <w:p w14:paraId="300A73DF" w14:textId="77777777" w:rsidR="009123AC" w:rsidRPr="00F0379B" w:rsidRDefault="009123AC" w:rsidP="009123AC">
      <w:pPr>
        <w:spacing w:after="0" w:line="240" w:lineRule="auto"/>
        <w:jc w:val="both"/>
        <w:rPr>
          <w:rFonts w:ascii="Cambria" w:eastAsia="Times New Roman" w:hAnsi="Cambria" w:cs="Arial"/>
          <w:kern w:val="2"/>
          <w:sz w:val="20"/>
          <w:szCs w:val="20"/>
          <w14:ligatures w14:val="standardContextual"/>
        </w:rPr>
      </w:pPr>
      <w:r w:rsidRPr="00F0379B">
        <w:rPr>
          <w:rFonts w:ascii="Cambria" w:eastAsia="Times New Roman" w:hAnsi="Cambria" w:cs="Arial"/>
          <w:kern w:val="2"/>
          <w:sz w:val="20"/>
          <w:szCs w:val="20"/>
          <w14:ligatures w14:val="standardContextual"/>
        </w:rPr>
        <w:t xml:space="preserve">Los buques de captura estarán autorizados a transferir sus capturas únicamente a granjas en CPC que puedan garantizar la utilización de sistemas estereoscópicos que permitan realizar una evaluación de los peces vivos cuando las jaulas de remolque lleguen a sus granjas. </w:t>
      </w:r>
    </w:p>
    <w:p w14:paraId="1C0BF227" w14:textId="77777777" w:rsidR="009123AC" w:rsidRPr="00F0379B" w:rsidRDefault="009123AC" w:rsidP="009123AC">
      <w:pPr>
        <w:spacing w:after="0" w:line="240" w:lineRule="auto"/>
        <w:jc w:val="both"/>
        <w:rPr>
          <w:rFonts w:ascii="Cambria" w:eastAsia="Times New Roman" w:hAnsi="Cambria" w:cs="Arial"/>
          <w:kern w:val="2"/>
          <w:sz w:val="20"/>
          <w:szCs w:val="20"/>
          <w:lang w:bidi="ar-LY"/>
          <w14:ligatures w14:val="standardContextual"/>
        </w:rPr>
      </w:pPr>
    </w:p>
    <w:p w14:paraId="1155883B" w14:textId="77777777" w:rsidR="009123AC" w:rsidRPr="00F0379B" w:rsidRDefault="009123AC" w:rsidP="009123AC">
      <w:pPr>
        <w:tabs>
          <w:tab w:val="left" w:pos="426"/>
        </w:tabs>
        <w:spacing w:after="0" w:line="240" w:lineRule="auto"/>
        <w:jc w:val="both"/>
        <w:rPr>
          <w:rFonts w:ascii="Cambria" w:eastAsia="Calibri" w:hAnsi="Cambria" w:cs="Arial"/>
          <w:i/>
          <w:kern w:val="2"/>
          <w:sz w:val="20"/>
          <w:szCs w:val="20"/>
          <w:lang w:val="es-ES_tradnl" w:eastAsia="ja-JP"/>
          <w14:ligatures w14:val="standardContextual"/>
        </w:rPr>
      </w:pPr>
      <w:r w:rsidRPr="00F0379B">
        <w:rPr>
          <w:rFonts w:ascii="Cambria" w:eastAsia="Times New Roman" w:hAnsi="Cambria" w:cs="Arial"/>
          <w:i/>
          <w:kern w:val="2"/>
          <w:sz w:val="20"/>
          <w:szCs w:val="20"/>
          <w:lang w:val="es-ES_tradnl" w:eastAsia="ja-JP"/>
          <w14:ligatures w14:val="standardContextual"/>
        </w:rPr>
        <w:t>a.2) Ejecución del plan de pesca</w:t>
      </w:r>
    </w:p>
    <w:p w14:paraId="1957EC8B" w14:textId="77777777" w:rsidR="009123AC" w:rsidRPr="00F0379B" w:rsidRDefault="009123AC" w:rsidP="009123AC">
      <w:pPr>
        <w:spacing w:after="0" w:line="240" w:lineRule="auto"/>
        <w:jc w:val="both"/>
        <w:rPr>
          <w:rFonts w:ascii="Cambria" w:eastAsia="Times New Roman" w:hAnsi="Cambria" w:cs="Arial"/>
          <w:kern w:val="2"/>
          <w:sz w:val="20"/>
          <w:szCs w:val="20"/>
          <w:lang w:bidi="ar-LY"/>
          <w14:ligatures w14:val="standardContextual"/>
        </w:rPr>
      </w:pPr>
    </w:p>
    <w:p w14:paraId="5D1A514F" w14:textId="77777777" w:rsidR="009123AC" w:rsidRPr="00F0379B" w:rsidRDefault="009123AC" w:rsidP="009123AC">
      <w:pPr>
        <w:spacing w:after="0" w:line="240" w:lineRule="auto"/>
        <w:jc w:val="both"/>
        <w:rPr>
          <w:rFonts w:ascii="Cambria" w:eastAsia="Times New Roman" w:hAnsi="Cambria" w:cs="Tahoma"/>
          <w:kern w:val="2"/>
          <w:sz w:val="20"/>
          <w:szCs w:val="20"/>
          <w:lang w:val="es-ES_tradnl" w:eastAsia="ja-JP"/>
          <w14:ligatures w14:val="standardContextual"/>
        </w:rPr>
      </w:pPr>
      <w:r w:rsidRPr="00F0379B">
        <w:rPr>
          <w:rFonts w:ascii="Cambria" w:eastAsia="Times New Roman" w:hAnsi="Cambria" w:cs="Arial"/>
          <w:kern w:val="2"/>
          <w:sz w:val="20"/>
          <w:szCs w:val="20"/>
          <w:lang w:val="es-ES_tradnl" w:eastAsia="ja-JP"/>
          <w14:ligatures w14:val="standardContextual"/>
        </w:rPr>
        <w:t>Reglamentos</w:t>
      </w:r>
    </w:p>
    <w:p w14:paraId="55AE221C" w14:textId="77777777" w:rsidR="009123AC" w:rsidRPr="00F0379B" w:rsidRDefault="009123AC" w:rsidP="009123AC">
      <w:pPr>
        <w:spacing w:after="0" w:line="240" w:lineRule="auto"/>
        <w:jc w:val="both"/>
        <w:rPr>
          <w:rFonts w:ascii="Cambria" w:eastAsia="Times New Roman" w:hAnsi="Cambria" w:cs="Tahoma"/>
          <w:kern w:val="2"/>
          <w:sz w:val="20"/>
          <w:szCs w:val="20"/>
          <w:lang w:val="es-ES_tradnl" w:eastAsia="ja-JP"/>
          <w14:ligatures w14:val="standardContextual"/>
        </w:rPr>
      </w:pPr>
      <w:r w:rsidRPr="00F0379B">
        <w:rPr>
          <w:rFonts w:ascii="Cambria" w:eastAsia="Times New Roman" w:hAnsi="Cambria" w:cs="Arial"/>
          <w:kern w:val="2"/>
          <w:sz w:val="20"/>
          <w:szCs w:val="20"/>
          <w:lang w:val="es-ES_tradnl" w:eastAsia="ja-JP"/>
          <w14:ligatures w14:val="standardContextual"/>
        </w:rPr>
        <w:t> </w:t>
      </w:r>
    </w:p>
    <w:p w14:paraId="145F60EB" w14:textId="77777777" w:rsidR="009123AC" w:rsidRPr="00F0379B" w:rsidRDefault="009123AC" w:rsidP="009123AC">
      <w:pPr>
        <w:spacing w:after="0" w:line="240" w:lineRule="auto"/>
        <w:jc w:val="both"/>
        <w:rPr>
          <w:rFonts w:ascii="Cambria" w:eastAsia="Times New Roman" w:hAnsi="Cambria" w:cs="Tahoma"/>
          <w:kern w:val="2"/>
          <w:sz w:val="20"/>
          <w:szCs w:val="20"/>
          <w:lang w:val="es-ES_tradnl" w:eastAsia="ja-JP"/>
          <w14:ligatures w14:val="standardContextual"/>
        </w:rPr>
      </w:pPr>
      <w:r w:rsidRPr="00F0379B">
        <w:rPr>
          <w:rFonts w:ascii="Cambria" w:eastAsia="Times New Roman" w:hAnsi="Cambria" w:cs="Arial"/>
          <w:kern w:val="2"/>
          <w:sz w:val="20"/>
          <w:szCs w:val="20"/>
          <w:lang w:val="es-ES_tradnl" w:eastAsia="ja-JP"/>
          <w14:ligatures w14:val="standardContextual"/>
        </w:rPr>
        <w:t>Decreto Ministerial (expedido por el Ministerio de Agricultura, Ganadería y Riqueza Marina) n.º 33/2019, enmendado por el Decreto n.º 35/2023 del Ministerio de Riqueza marina, que adopta la Rec. 25-04 y enmienda el Decreto 205/2013, que establece un plan de recuperación plurianual para el atún rojo del Atlántico este y Mediterráneo.  </w:t>
      </w:r>
    </w:p>
    <w:p w14:paraId="2A15DB8F" w14:textId="77777777" w:rsidR="009123AC" w:rsidRPr="00F0379B" w:rsidRDefault="009123AC" w:rsidP="009123AC">
      <w:pPr>
        <w:spacing w:after="0" w:line="240" w:lineRule="auto"/>
        <w:jc w:val="both"/>
        <w:rPr>
          <w:rFonts w:ascii="Cambria" w:eastAsia="Times New Roman" w:hAnsi="Cambria" w:cs="Tahoma"/>
          <w:kern w:val="2"/>
          <w:sz w:val="20"/>
          <w:szCs w:val="20"/>
          <w:lang w:val="es-ES_tradnl" w:eastAsia="en-GB"/>
          <w14:ligatures w14:val="standardContextual"/>
        </w:rPr>
      </w:pPr>
    </w:p>
    <w:p w14:paraId="2394BBAB" w14:textId="77777777" w:rsidR="009123AC" w:rsidRPr="00F0379B" w:rsidRDefault="009123AC" w:rsidP="009123AC">
      <w:pPr>
        <w:spacing w:after="0" w:line="240" w:lineRule="auto"/>
        <w:jc w:val="both"/>
        <w:rPr>
          <w:rFonts w:ascii="Cambria" w:eastAsia="Calibri" w:hAnsi="Cambria" w:cs="Arial"/>
          <w:bCs/>
          <w:i/>
          <w:kern w:val="2"/>
          <w:sz w:val="20"/>
          <w:szCs w:val="20"/>
          <w:lang w:val="es-ES_tradnl" w:eastAsia="ja-JP" w:bidi="ar-LY"/>
          <w14:ligatures w14:val="standardContextual"/>
        </w:rPr>
      </w:pPr>
      <w:r w:rsidRPr="00F0379B">
        <w:rPr>
          <w:rFonts w:ascii="Cambria" w:eastAsia="Times New Roman" w:hAnsi="Cambria" w:cs="Arial"/>
          <w:kern w:val="2"/>
          <w:sz w:val="20"/>
          <w:szCs w:val="20"/>
          <w:lang w:val="es-ES_tradnl" w:eastAsia="ja-JP"/>
          <w14:ligatures w14:val="standardContextual"/>
        </w:rPr>
        <w:t>Ley n.º 14/1989 que organiza la pesca y la acuicultura en Libia.</w:t>
      </w:r>
    </w:p>
    <w:p w14:paraId="1BF043E0" w14:textId="77777777" w:rsidR="009123AC" w:rsidRPr="00F0379B" w:rsidRDefault="009123AC" w:rsidP="009123AC">
      <w:pPr>
        <w:spacing w:after="0" w:line="240" w:lineRule="auto"/>
        <w:rPr>
          <w:rFonts w:ascii="Cambria" w:eastAsia="Calibri" w:hAnsi="Cambria" w:cs="Arial"/>
          <w:b/>
          <w:bCs/>
          <w:kern w:val="2"/>
          <w:sz w:val="20"/>
          <w:szCs w:val="20"/>
          <w:lang w:bidi="ar-LY"/>
          <w14:ligatures w14:val="standardContextual"/>
        </w:rPr>
      </w:pPr>
    </w:p>
    <w:p w14:paraId="6B68970E" w14:textId="77777777" w:rsidR="009123AC" w:rsidRPr="00F0379B" w:rsidRDefault="009123AC" w:rsidP="009123AC">
      <w:pPr>
        <w:spacing w:after="0" w:line="240" w:lineRule="auto"/>
        <w:ind w:left="284" w:hanging="284"/>
        <w:rPr>
          <w:rFonts w:ascii="Cambria" w:eastAsia="Times New Roman" w:hAnsi="Cambria" w:cs="Arial"/>
          <w:bCs/>
          <w:iCs/>
          <w:kern w:val="2"/>
          <w:sz w:val="20"/>
          <w:szCs w:val="20"/>
          <w14:ligatures w14:val="standardContextual"/>
        </w:rPr>
      </w:pPr>
      <w:r w:rsidRPr="00F0379B">
        <w:rPr>
          <w:rFonts w:ascii="Cambria" w:eastAsia="Times New Roman" w:hAnsi="Cambria" w:cs="Arial"/>
          <w:bCs/>
          <w:iCs/>
          <w:kern w:val="2"/>
          <w:sz w:val="20"/>
          <w:szCs w:val="20"/>
          <w14:ligatures w14:val="standardContextual"/>
        </w:rPr>
        <w:br w:type="page"/>
      </w:r>
    </w:p>
    <w:p w14:paraId="2677D425" w14:textId="77777777" w:rsidR="009123AC" w:rsidRPr="00F0379B" w:rsidRDefault="009123AC" w:rsidP="009123AC">
      <w:pPr>
        <w:spacing w:after="0" w:line="240" w:lineRule="auto"/>
        <w:jc w:val="both"/>
        <w:rPr>
          <w:rFonts w:ascii="Cambria" w:eastAsia="Calibri" w:hAnsi="Cambria" w:cs="Arial"/>
          <w:bCs/>
          <w:iCs/>
          <w:kern w:val="2"/>
          <w:sz w:val="20"/>
          <w:szCs w:val="20"/>
          <w14:ligatures w14:val="standardContextual"/>
        </w:rPr>
      </w:pPr>
      <w:r w:rsidRPr="00F0379B">
        <w:rPr>
          <w:rFonts w:ascii="Cambria" w:eastAsia="Times New Roman" w:hAnsi="Cambria" w:cs="Arial"/>
          <w:bCs/>
          <w:iCs/>
          <w:kern w:val="2"/>
          <w:sz w:val="20"/>
          <w:szCs w:val="20"/>
          <w14:ligatures w14:val="standardContextual"/>
        </w:rPr>
        <w:t>Imposición de sanciones</w:t>
      </w:r>
    </w:p>
    <w:p w14:paraId="5E12642F" w14:textId="77777777" w:rsidR="009123AC" w:rsidRPr="00F0379B" w:rsidRDefault="009123AC" w:rsidP="009123AC">
      <w:pPr>
        <w:spacing w:after="0" w:line="240" w:lineRule="auto"/>
        <w:jc w:val="both"/>
        <w:rPr>
          <w:rFonts w:ascii="Cambria" w:eastAsia="Calibri" w:hAnsi="Cambria" w:cs="Arial"/>
          <w:b/>
          <w:bCs/>
          <w:kern w:val="2"/>
          <w:sz w:val="20"/>
          <w:szCs w:val="20"/>
          <w:lang w:bidi="ar-LY"/>
          <w14:ligatures w14:val="standardContextual"/>
        </w:rPr>
      </w:pPr>
    </w:p>
    <w:p w14:paraId="029A49A0" w14:textId="77777777" w:rsidR="009123AC" w:rsidRPr="00F0379B" w:rsidRDefault="009123AC" w:rsidP="009123AC">
      <w:pPr>
        <w:spacing w:after="0" w:line="240" w:lineRule="auto"/>
        <w:jc w:val="both"/>
        <w:rPr>
          <w:rFonts w:ascii="Cambria" w:eastAsia="Times New Roman" w:hAnsi="Cambria" w:cs="Arial"/>
          <w:kern w:val="2"/>
          <w:sz w:val="20"/>
          <w:szCs w:val="20"/>
          <w14:ligatures w14:val="standardContextual"/>
        </w:rPr>
      </w:pPr>
      <w:r w:rsidRPr="00F0379B">
        <w:rPr>
          <w:rFonts w:ascii="Cambria" w:eastAsia="Times New Roman" w:hAnsi="Cambria" w:cs="Arial"/>
          <w:kern w:val="2"/>
          <w:sz w:val="20"/>
          <w:szCs w:val="20"/>
          <w14:ligatures w14:val="standardContextual"/>
        </w:rPr>
        <w:t xml:space="preserve">Cualquier incumplimiento de las reglamentaciones relacionadas con las operaciones de pesca de atún rojo conducirá a penalizaciones establecidas en el Decreto </w:t>
      </w:r>
      <w:r w:rsidRPr="00F0379B">
        <w:rPr>
          <w:rFonts w:ascii="Cambria" w:eastAsia="Times New Roman" w:hAnsi="Cambria" w:cs="Arial"/>
          <w:kern w:val="2"/>
          <w:sz w:val="20"/>
          <w:szCs w:val="20"/>
          <w:lang w:val="es-ES_tradnl"/>
          <w14:ligatures w14:val="standardContextual"/>
        </w:rPr>
        <w:t>n.º </w:t>
      </w:r>
      <w:r w:rsidRPr="00F0379B">
        <w:rPr>
          <w:rFonts w:ascii="Cambria" w:eastAsia="Times New Roman" w:hAnsi="Cambria" w:cs="Arial"/>
          <w:kern w:val="2"/>
          <w:sz w:val="20"/>
          <w:szCs w:val="20"/>
          <w14:ligatures w14:val="standardContextual"/>
        </w:rPr>
        <w:t>32/2022, Art. 20 (confiscación del arte pesquero, liberación de las capturas, suspensión o retirada de la licencia, disminución o retirada de la cuota individual). Este decreto ha entrado en vigor este año, lo que dará como resultado medidas más efectivas.</w:t>
      </w:r>
    </w:p>
    <w:p w14:paraId="74073DD6" w14:textId="77777777" w:rsidR="009123AC" w:rsidRPr="00F0379B" w:rsidRDefault="009123AC" w:rsidP="009123AC">
      <w:pPr>
        <w:autoSpaceDE w:val="0"/>
        <w:autoSpaceDN w:val="0"/>
        <w:adjustRightInd w:val="0"/>
        <w:spacing w:after="0" w:line="240" w:lineRule="auto"/>
        <w:jc w:val="both"/>
        <w:rPr>
          <w:rFonts w:ascii="Cambria" w:eastAsia="Times New Roman" w:hAnsi="Cambria" w:cs="Arial"/>
          <w:kern w:val="2"/>
          <w:sz w:val="20"/>
          <w:szCs w:val="20"/>
          <w:lang w:val="es-ES_tradnl" w:eastAsia="ja-JP"/>
          <w14:ligatures w14:val="standardContextual"/>
        </w:rPr>
      </w:pPr>
    </w:p>
    <w:p w14:paraId="54DC3C38" w14:textId="77777777" w:rsidR="009123AC" w:rsidRPr="00F0379B" w:rsidRDefault="009123AC" w:rsidP="009123AC">
      <w:pPr>
        <w:tabs>
          <w:tab w:val="left" w:pos="426"/>
        </w:tabs>
        <w:spacing w:after="0" w:line="240" w:lineRule="auto"/>
        <w:jc w:val="both"/>
        <w:rPr>
          <w:rFonts w:ascii="Cambria" w:eastAsiaTheme="minorEastAsia" w:hAnsi="Cambria"/>
          <w:b/>
          <w:i/>
          <w:iCs/>
          <w:kern w:val="2"/>
          <w:sz w:val="20"/>
          <w:szCs w:val="20"/>
          <w:lang w:eastAsia="ja-JP"/>
          <w14:ligatures w14:val="standardContextual"/>
        </w:rPr>
      </w:pPr>
      <w:r w:rsidRPr="00F0379B">
        <w:rPr>
          <w:rFonts w:ascii="Cambria" w:eastAsiaTheme="minorEastAsia" w:hAnsi="Cambria"/>
          <w:b/>
          <w:i/>
          <w:iCs/>
          <w:kern w:val="2"/>
          <w:sz w:val="20"/>
          <w:szCs w:val="20"/>
          <w:lang w:eastAsia="ja-JP"/>
          <w14:ligatures w14:val="standardContextual"/>
        </w:rPr>
        <w:t>5 b)</w:t>
      </w:r>
      <w:r w:rsidRPr="00F0379B">
        <w:rPr>
          <w:rFonts w:ascii="Cambria" w:eastAsiaTheme="minorEastAsia" w:hAnsi="Cambria"/>
          <w:b/>
          <w:i/>
          <w:iCs/>
          <w:kern w:val="2"/>
          <w:sz w:val="20"/>
          <w:szCs w:val="20"/>
          <w:lang w:eastAsia="ja-JP"/>
          <w14:ligatures w14:val="standardContextual"/>
        </w:rPr>
        <w:tab/>
        <w:t>Programa conjunto de Inspección internacional (párrs. párrs. 232-235)</w:t>
      </w:r>
    </w:p>
    <w:p w14:paraId="1FFF1C78" w14:textId="77777777" w:rsidR="009123AC" w:rsidRPr="00F0379B" w:rsidRDefault="009123AC" w:rsidP="009123AC">
      <w:pPr>
        <w:spacing w:after="0" w:line="240" w:lineRule="auto"/>
        <w:jc w:val="both"/>
        <w:rPr>
          <w:rFonts w:ascii="Cambria" w:eastAsia="Times New Roman" w:hAnsi="Cambria" w:cs="Arial"/>
          <w:b/>
          <w:kern w:val="2"/>
          <w:sz w:val="20"/>
          <w:szCs w:val="20"/>
          <w:lang w:val="es-ES_tradnl" w:eastAsia="ja-JP"/>
          <w14:ligatures w14:val="standardContextual"/>
        </w:rPr>
      </w:pPr>
    </w:p>
    <w:p w14:paraId="18F3DF31" w14:textId="77777777" w:rsidR="009123AC" w:rsidRPr="00F0379B" w:rsidRDefault="009123AC" w:rsidP="009123AC">
      <w:pPr>
        <w:spacing w:after="0" w:line="240" w:lineRule="auto"/>
        <w:jc w:val="both"/>
        <w:rPr>
          <w:rFonts w:ascii="Cambria" w:eastAsia="Times New Roman" w:hAnsi="Cambria" w:cs="Arial"/>
          <w:b/>
          <w:kern w:val="2"/>
          <w:sz w:val="20"/>
          <w:szCs w:val="20"/>
          <w:rtl/>
          <w:lang w:val="en-US" w:eastAsia="ja-JP"/>
          <w14:ligatures w14:val="standardContextual"/>
        </w:rPr>
      </w:pPr>
      <w:r w:rsidRPr="00F0379B">
        <w:rPr>
          <w:rFonts w:ascii="Cambria" w:eastAsia="Times New Roman" w:hAnsi="Cambria" w:cs="Arial"/>
          <w:kern w:val="2"/>
          <w:sz w:val="20"/>
          <w:szCs w:val="20"/>
          <w14:ligatures w14:val="standardContextual"/>
        </w:rPr>
        <w:t>La participación en el programa conjunto de inspección internacional no es viable en la actualidad debido a limitaciones de recursos.</w:t>
      </w:r>
      <w:r w:rsidRPr="00F0379B">
        <w:rPr>
          <w:rFonts w:ascii="Cambria" w:eastAsia="Times New Roman" w:hAnsi="Cambria" w:cs="Arial"/>
          <w:b/>
          <w:kern w:val="2"/>
          <w:sz w:val="20"/>
          <w:szCs w:val="20"/>
          <w:rtl/>
          <w:lang w:val="en-US" w:eastAsia="ja-JP"/>
          <w14:ligatures w14:val="standardContextual"/>
        </w:rPr>
        <w:t xml:space="preserve">  </w:t>
      </w:r>
    </w:p>
    <w:p w14:paraId="5EC62C19" w14:textId="77777777" w:rsidR="009123AC" w:rsidRPr="00F0379B" w:rsidRDefault="009123AC" w:rsidP="009123AC">
      <w:pPr>
        <w:spacing w:after="0" w:line="240" w:lineRule="auto"/>
        <w:jc w:val="both"/>
        <w:rPr>
          <w:rFonts w:ascii="Cambria" w:eastAsia="Times New Roman" w:hAnsi="Cambria" w:cs="Arial"/>
          <w:b/>
          <w:kern w:val="2"/>
          <w:sz w:val="20"/>
          <w:szCs w:val="20"/>
          <w:lang w:val="es-ES_tradnl" w:eastAsia="ja-JP"/>
          <w14:ligatures w14:val="standardContextual"/>
        </w:rPr>
      </w:pPr>
    </w:p>
    <w:p w14:paraId="739697FE" w14:textId="77777777" w:rsidR="009123AC" w:rsidRPr="00F0379B" w:rsidRDefault="009123AC" w:rsidP="00CE0EC8">
      <w:pPr>
        <w:widowControl w:val="0"/>
        <w:numPr>
          <w:ilvl w:val="0"/>
          <w:numId w:val="83"/>
        </w:numPr>
        <w:spacing w:after="0" w:line="240" w:lineRule="auto"/>
        <w:ind w:left="426" w:hanging="426"/>
        <w:contextualSpacing/>
        <w:jc w:val="both"/>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Otros</w:t>
      </w:r>
    </w:p>
    <w:p w14:paraId="7351CE1A" w14:textId="77777777" w:rsidR="009123AC" w:rsidRPr="00F0379B" w:rsidRDefault="009123AC" w:rsidP="009123AC">
      <w:pPr>
        <w:spacing w:after="0" w:line="240" w:lineRule="auto"/>
        <w:rPr>
          <w:rFonts w:ascii="Cambria" w:eastAsia="Times New Roman" w:hAnsi="Cambria" w:cs="Arial"/>
          <w:b/>
          <w:kern w:val="2"/>
          <w:sz w:val="20"/>
          <w:szCs w:val="20"/>
          <w:lang w:val="es-ES_tradnl" w:eastAsia="ja-JP"/>
          <w14:ligatures w14:val="standardContextual"/>
        </w:rPr>
      </w:pPr>
    </w:p>
    <w:p w14:paraId="245CABC4" w14:textId="77777777" w:rsidR="009123AC" w:rsidRPr="00F0379B" w:rsidRDefault="009123AC" w:rsidP="009123AC">
      <w:pPr>
        <w:spacing w:after="0" w:line="240" w:lineRule="auto"/>
        <w:rPr>
          <w:rFonts w:ascii="Cambria" w:eastAsia="Times New Roman" w:hAnsi="Cambria" w:cs="Arial"/>
          <w:bCs/>
          <w:kern w:val="2"/>
          <w:sz w:val="20"/>
          <w:szCs w:val="20"/>
          <w:lang w:val="es-ES_tradnl" w:eastAsia="ja-JP"/>
          <w14:ligatures w14:val="standardContextual"/>
        </w:rPr>
      </w:pPr>
      <w:r w:rsidRPr="00F0379B">
        <w:rPr>
          <w:rFonts w:ascii="Cambria" w:eastAsia="Times New Roman" w:hAnsi="Cambria" w:cs="Arial"/>
          <w:bCs/>
          <w:kern w:val="2"/>
          <w:sz w:val="20"/>
          <w:szCs w:val="20"/>
          <w:lang w:val="es-ES_tradnl" w:eastAsia="ja-JP"/>
          <w14:ligatures w14:val="standardContextual"/>
        </w:rPr>
        <w:t>No aplicable.</w:t>
      </w:r>
    </w:p>
    <w:p w14:paraId="12363C79" w14:textId="77777777" w:rsidR="009123AC" w:rsidRPr="00F0379B" w:rsidRDefault="009123AC" w:rsidP="009123AC">
      <w:pPr>
        <w:spacing w:after="0" w:line="240" w:lineRule="auto"/>
        <w:rPr>
          <w:rFonts w:ascii="Cambria" w:eastAsia="Times New Roman" w:hAnsi="Cambria" w:cs="Arial"/>
          <w:b/>
          <w:kern w:val="2"/>
          <w:sz w:val="20"/>
          <w:szCs w:val="20"/>
          <w:lang w:val="es-ES_tradnl" w:eastAsia="ja-JP"/>
          <w14:ligatures w14:val="standardContextual"/>
        </w:rPr>
      </w:pPr>
    </w:p>
    <w:p w14:paraId="45BA9F43" w14:textId="77777777" w:rsidR="009123AC" w:rsidRPr="00F0379B" w:rsidRDefault="009123AC" w:rsidP="009123AC">
      <w:pPr>
        <w:spacing w:after="0" w:line="240" w:lineRule="auto"/>
        <w:rPr>
          <w:rFonts w:ascii="Cambria" w:eastAsiaTheme="minorEastAsia" w:hAnsi="Cambria"/>
          <w:i/>
          <w:kern w:val="2"/>
          <w:sz w:val="20"/>
          <w:szCs w:val="20"/>
          <w:lang w:eastAsia="ja-JP"/>
          <w14:ligatures w14:val="standardContextual"/>
        </w:rPr>
        <w:sectPr w:rsidR="009123AC" w:rsidRPr="00F0379B" w:rsidSect="009123AC">
          <w:footnotePr>
            <w:numFmt w:val="chicago"/>
          </w:footnotePr>
          <w:pgSz w:w="11906" w:h="16838" w:code="9"/>
          <w:pgMar w:top="1418" w:right="1418" w:bottom="1418" w:left="1418" w:header="851" w:footer="1134" w:gutter="0"/>
          <w:cols w:space="425"/>
          <w:docGrid w:linePitch="360"/>
        </w:sectPr>
      </w:pPr>
    </w:p>
    <w:p w14:paraId="237C94C0" w14:textId="77777777" w:rsidR="009123AC" w:rsidRPr="00F0379B" w:rsidRDefault="009123AC" w:rsidP="009123AC">
      <w:pPr>
        <w:spacing w:after="0"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Tabla de capacidad</w:t>
      </w:r>
    </w:p>
    <w:tbl>
      <w:tblPr>
        <w:tblW w:w="45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924"/>
        <w:gridCol w:w="439"/>
        <w:gridCol w:w="439"/>
        <w:gridCol w:w="439"/>
        <w:gridCol w:w="439"/>
        <w:gridCol w:w="439"/>
        <w:gridCol w:w="439"/>
        <w:gridCol w:w="439"/>
        <w:gridCol w:w="256"/>
        <w:gridCol w:w="604"/>
        <w:gridCol w:w="604"/>
        <w:gridCol w:w="639"/>
        <w:gridCol w:w="639"/>
        <w:gridCol w:w="639"/>
        <w:gridCol w:w="639"/>
        <w:gridCol w:w="814"/>
      </w:tblGrid>
      <w:tr w:rsidR="009123AC" w:rsidRPr="00F0379B" w14:paraId="7C9E28FE" w14:textId="77777777" w:rsidTr="00CA749B">
        <w:trPr>
          <w:trHeight w:val="20"/>
          <w:jc w:val="center"/>
        </w:trPr>
        <w:tc>
          <w:tcPr>
            <w:tcW w:w="732" w:type="pct"/>
            <w:noWrap/>
            <w:vAlign w:val="center"/>
            <w:hideMark/>
          </w:tcPr>
          <w:p w14:paraId="7D634132" w14:textId="77777777" w:rsidR="009123AC" w:rsidRPr="00F0379B" w:rsidRDefault="009123AC" w:rsidP="009123AC">
            <w:pPr>
              <w:widowControl w:val="0"/>
              <w:spacing w:after="0" w:line="240" w:lineRule="auto"/>
              <w:jc w:val="center"/>
              <w:rPr>
                <w:rFonts w:ascii="Cambria" w:eastAsia="MS Gothic" w:hAnsi="Cambria" w:cs="Times New Roman"/>
                <w:i/>
                <w:color w:val="000000"/>
                <w:sz w:val="18"/>
                <w:szCs w:val="24"/>
                <w:lang w:eastAsia="fr-FR" w:bidi="fr-FR"/>
              </w:rPr>
            </w:pPr>
            <w:r w:rsidRPr="00F0379B">
              <w:rPr>
                <w:rFonts w:ascii="Cambria" w:eastAsia="MS Gothic" w:hAnsi="Cambria" w:cs="Times New Roman"/>
                <w:i/>
                <w:color w:val="000000"/>
                <w:sz w:val="18"/>
                <w:szCs w:val="24"/>
                <w:lang w:eastAsia="fr-FR" w:bidi="fr-FR"/>
              </w:rPr>
              <w:t>Tipo de buque atunero</w:t>
            </w:r>
          </w:p>
        </w:tc>
        <w:tc>
          <w:tcPr>
            <w:tcW w:w="359" w:type="pct"/>
            <w:noWrap/>
            <w:vAlign w:val="center"/>
            <w:hideMark/>
          </w:tcPr>
          <w:p w14:paraId="63C904E3" w14:textId="77777777" w:rsidR="009123AC" w:rsidRPr="00F0379B" w:rsidRDefault="009123AC" w:rsidP="009123AC">
            <w:pPr>
              <w:widowControl w:val="0"/>
              <w:spacing w:after="0" w:line="240" w:lineRule="auto"/>
              <w:jc w:val="center"/>
              <w:rPr>
                <w:rFonts w:ascii="Calibri" w:eastAsia="MS Gothic" w:hAnsi="Calibri" w:cs="Times New Roman"/>
                <w:color w:val="000000"/>
                <w:sz w:val="18"/>
                <w:szCs w:val="24"/>
                <w:lang w:eastAsia="fr-FR" w:bidi="fr-FR"/>
              </w:rPr>
            </w:pPr>
          </w:p>
        </w:tc>
        <w:tc>
          <w:tcPr>
            <w:tcW w:w="717" w:type="pct"/>
            <w:gridSpan w:val="3"/>
          </w:tcPr>
          <w:p w14:paraId="31CD5DB2" w14:textId="77777777" w:rsidR="009123AC" w:rsidRPr="00F0379B" w:rsidRDefault="009123AC" w:rsidP="009123AC">
            <w:pPr>
              <w:widowControl w:val="0"/>
              <w:spacing w:after="0" w:line="240" w:lineRule="auto"/>
              <w:jc w:val="center"/>
              <w:rPr>
                <w:rFonts w:ascii="Cambria" w:eastAsia="MS Gothic" w:hAnsi="Cambria" w:cs="Times New Roman"/>
                <w:i/>
                <w:color w:val="000000"/>
                <w:sz w:val="18"/>
                <w:szCs w:val="24"/>
                <w:lang w:eastAsia="fr-FR" w:bidi="fr-FR"/>
              </w:rPr>
            </w:pPr>
            <w:r w:rsidRPr="00F0379B">
              <w:rPr>
                <w:rFonts w:ascii="Cambria" w:eastAsia="MS Gothic" w:hAnsi="Cambria" w:cs="Times New Roman"/>
                <w:i/>
                <w:color w:val="000000"/>
                <w:sz w:val="18"/>
                <w:szCs w:val="24"/>
                <w:lang w:eastAsia="fr-FR" w:bidi="fr-FR"/>
              </w:rPr>
              <w:t>Años de referencia</w:t>
            </w:r>
          </w:p>
        </w:tc>
        <w:tc>
          <w:tcPr>
            <w:tcW w:w="956" w:type="pct"/>
            <w:gridSpan w:val="4"/>
            <w:vAlign w:val="center"/>
          </w:tcPr>
          <w:p w14:paraId="2E90385A" w14:textId="77777777" w:rsidR="009123AC" w:rsidRPr="00F0379B" w:rsidRDefault="009123AC" w:rsidP="009123AC">
            <w:pPr>
              <w:widowControl w:val="0"/>
              <w:spacing w:after="0" w:line="240" w:lineRule="auto"/>
              <w:jc w:val="center"/>
              <w:rPr>
                <w:rFonts w:ascii="Times New Roman" w:eastAsia="MS Gothic" w:hAnsi="Times New Roman" w:cs="Times New Roman"/>
                <w:color w:val="000000"/>
                <w:sz w:val="18"/>
                <w:szCs w:val="24"/>
                <w:lang w:eastAsia="fr-FR" w:bidi="fr-FR"/>
              </w:rPr>
            </w:pPr>
            <w:r w:rsidRPr="00F0379B">
              <w:rPr>
                <w:rFonts w:ascii="Cambria" w:eastAsia="MS Gothic" w:hAnsi="Cambria" w:cs="Times New Roman"/>
                <w:i/>
                <w:color w:val="000000"/>
                <w:sz w:val="18"/>
                <w:szCs w:val="24"/>
                <w:lang w:eastAsia="fr-FR" w:bidi="fr-FR"/>
              </w:rPr>
              <w:t>N.º de buques</w:t>
            </w:r>
          </w:p>
        </w:tc>
        <w:tc>
          <w:tcPr>
            <w:tcW w:w="99" w:type="pct"/>
            <w:shd w:val="clear" w:color="auto" w:fill="D9D9D9"/>
            <w:vAlign w:val="center"/>
            <w:hideMark/>
          </w:tcPr>
          <w:p w14:paraId="6DCEA17F" w14:textId="77777777" w:rsidR="009123AC" w:rsidRPr="00F0379B" w:rsidRDefault="009123AC" w:rsidP="009123AC">
            <w:pPr>
              <w:widowControl w:val="0"/>
              <w:spacing w:after="0" w:line="240" w:lineRule="auto"/>
              <w:jc w:val="center"/>
              <w:rPr>
                <w:rFonts w:ascii="Times New Roman" w:eastAsia="MS Gothic" w:hAnsi="Times New Roman" w:cs="Times New Roman"/>
                <w:color w:val="000000"/>
                <w:sz w:val="18"/>
                <w:szCs w:val="24"/>
                <w:lang w:eastAsia="fr-FR" w:bidi="fr-FR"/>
              </w:rPr>
            </w:pPr>
          </w:p>
        </w:tc>
        <w:tc>
          <w:tcPr>
            <w:tcW w:w="732" w:type="pct"/>
            <w:gridSpan w:val="3"/>
          </w:tcPr>
          <w:p w14:paraId="2B1665F2" w14:textId="77777777" w:rsidR="009123AC" w:rsidRPr="00F0379B" w:rsidRDefault="009123AC" w:rsidP="009123AC">
            <w:pPr>
              <w:widowControl w:val="0"/>
              <w:spacing w:after="0" w:line="240" w:lineRule="auto"/>
              <w:jc w:val="center"/>
              <w:rPr>
                <w:rFonts w:ascii="Cambria" w:eastAsia="MS Gothic" w:hAnsi="Cambria" w:cs="Times New Roman"/>
                <w:i/>
                <w:color w:val="000000"/>
                <w:sz w:val="18"/>
                <w:szCs w:val="24"/>
                <w:lang w:eastAsia="fr-FR" w:bidi="fr-FR"/>
              </w:rPr>
            </w:pPr>
            <w:r w:rsidRPr="00F0379B">
              <w:rPr>
                <w:rFonts w:ascii="Cambria" w:eastAsia="MS Gothic" w:hAnsi="Cambria" w:cs="Times New Roman"/>
                <w:i/>
                <w:color w:val="000000"/>
                <w:sz w:val="18"/>
                <w:szCs w:val="24"/>
                <w:lang w:eastAsia="fr-FR" w:bidi="fr-FR"/>
              </w:rPr>
              <w:t>Años de referencia</w:t>
            </w:r>
          </w:p>
        </w:tc>
        <w:tc>
          <w:tcPr>
            <w:tcW w:w="1405" w:type="pct"/>
            <w:gridSpan w:val="4"/>
          </w:tcPr>
          <w:p w14:paraId="1551C278" w14:textId="77777777" w:rsidR="009123AC" w:rsidRPr="00F0379B" w:rsidRDefault="009123AC" w:rsidP="009123AC">
            <w:pPr>
              <w:widowControl w:val="0"/>
              <w:spacing w:after="0" w:line="240" w:lineRule="auto"/>
              <w:jc w:val="center"/>
              <w:rPr>
                <w:rFonts w:ascii="Cambria" w:eastAsia="MS Gothic" w:hAnsi="Cambria" w:cs="Times New Roman"/>
                <w:i/>
                <w:color w:val="000000"/>
                <w:sz w:val="18"/>
                <w:szCs w:val="24"/>
                <w:lang w:eastAsia="fr-FR" w:bidi="fr-FR"/>
              </w:rPr>
            </w:pPr>
            <w:r w:rsidRPr="00F0379B">
              <w:rPr>
                <w:rFonts w:ascii="Cambria" w:eastAsia="MS Gothic" w:hAnsi="Cambria" w:cs="Times New Roman"/>
                <w:i/>
                <w:color w:val="000000"/>
                <w:sz w:val="18"/>
                <w:szCs w:val="24"/>
                <w:lang w:eastAsia="fr-FR" w:bidi="fr-FR"/>
              </w:rPr>
              <w:t>Capacidad de pesca</w:t>
            </w:r>
          </w:p>
        </w:tc>
      </w:tr>
      <w:tr w:rsidR="009123AC" w:rsidRPr="00F0379B" w14:paraId="5CF1CBF4" w14:textId="77777777" w:rsidTr="00CA749B">
        <w:trPr>
          <w:cantSplit/>
          <w:trHeight w:val="1134"/>
          <w:jc w:val="center"/>
        </w:trPr>
        <w:tc>
          <w:tcPr>
            <w:tcW w:w="732" w:type="pct"/>
            <w:noWrap/>
            <w:vAlign w:val="center"/>
            <w:hideMark/>
          </w:tcPr>
          <w:p w14:paraId="5A978957"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24"/>
                <w:lang w:eastAsia="fr-FR" w:bidi="fr-FR"/>
              </w:rPr>
            </w:pPr>
            <w:r w:rsidRPr="00F0379B">
              <w:rPr>
                <w:rFonts w:ascii="Cambria" w:eastAsia="MS Gothic" w:hAnsi="Cambria" w:cs="Times New Roman"/>
                <w:b/>
                <w:color w:val="000000"/>
                <w:sz w:val="18"/>
                <w:szCs w:val="24"/>
                <w:lang w:eastAsia="fr-FR" w:bidi="fr-FR"/>
              </w:rPr>
              <w:t>Tipo</w:t>
            </w:r>
          </w:p>
        </w:tc>
        <w:tc>
          <w:tcPr>
            <w:tcW w:w="359" w:type="pct"/>
            <w:vAlign w:val="center"/>
            <w:hideMark/>
          </w:tcPr>
          <w:p w14:paraId="027CAC32"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Mejores tasas de captura definidas por el SCRS en 2009 (t)</w:t>
            </w:r>
          </w:p>
        </w:tc>
        <w:tc>
          <w:tcPr>
            <w:tcW w:w="239" w:type="pct"/>
            <w:textDirection w:val="btLr"/>
            <w:vAlign w:val="center"/>
          </w:tcPr>
          <w:p w14:paraId="03E6A8A0" w14:textId="77777777" w:rsidR="009123AC" w:rsidRPr="00F0379B" w:rsidRDefault="009123AC" w:rsidP="009123AC">
            <w:pPr>
              <w:widowControl w:val="0"/>
              <w:spacing w:after="0" w:line="240" w:lineRule="auto"/>
              <w:ind w:left="113" w:right="113"/>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2006</w:t>
            </w:r>
          </w:p>
        </w:tc>
        <w:tc>
          <w:tcPr>
            <w:tcW w:w="239" w:type="pct"/>
            <w:noWrap/>
            <w:textDirection w:val="btLr"/>
            <w:vAlign w:val="center"/>
            <w:hideMark/>
          </w:tcPr>
          <w:p w14:paraId="42DFA6EB" w14:textId="77777777" w:rsidR="009123AC" w:rsidRPr="00F0379B" w:rsidRDefault="009123AC" w:rsidP="009123AC">
            <w:pPr>
              <w:widowControl w:val="0"/>
              <w:spacing w:after="0" w:line="240" w:lineRule="auto"/>
              <w:ind w:left="113" w:right="113"/>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2008</w:t>
            </w:r>
          </w:p>
        </w:tc>
        <w:tc>
          <w:tcPr>
            <w:tcW w:w="239" w:type="pct"/>
            <w:textDirection w:val="btLr"/>
            <w:vAlign w:val="center"/>
            <w:hideMark/>
          </w:tcPr>
          <w:p w14:paraId="191356F6" w14:textId="77777777" w:rsidR="009123AC" w:rsidRPr="00F0379B" w:rsidRDefault="009123AC" w:rsidP="009123AC">
            <w:pPr>
              <w:widowControl w:val="0"/>
              <w:spacing w:after="0" w:line="240" w:lineRule="auto"/>
              <w:ind w:left="113" w:right="113"/>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2018</w:t>
            </w:r>
          </w:p>
        </w:tc>
        <w:tc>
          <w:tcPr>
            <w:tcW w:w="239" w:type="pct"/>
            <w:textDirection w:val="btLr"/>
            <w:vAlign w:val="center"/>
            <w:hideMark/>
          </w:tcPr>
          <w:p w14:paraId="15FBDE81" w14:textId="77777777" w:rsidR="009123AC" w:rsidRPr="00F0379B" w:rsidRDefault="009123AC" w:rsidP="009123AC">
            <w:pPr>
              <w:widowControl w:val="0"/>
              <w:spacing w:after="0" w:line="240" w:lineRule="auto"/>
              <w:ind w:left="113" w:right="113"/>
              <w:jc w:val="center"/>
              <w:rPr>
                <w:rFonts w:ascii="Cambria" w:eastAsia="MS Gothic" w:hAnsi="Cambria" w:cs="Times New Roman"/>
                <w:color w:val="000000"/>
                <w:sz w:val="18"/>
                <w:szCs w:val="24"/>
                <w:lang w:eastAsia="fr-FR" w:bidi="fr-FR"/>
              </w:rPr>
            </w:pPr>
            <w:r w:rsidRPr="00F0379B">
              <w:rPr>
                <w:rFonts w:ascii="Cambria" w:eastAsia="Times New Roman" w:hAnsi="Cambria" w:cs="Calibri"/>
                <w:color w:val="000000"/>
                <w:sz w:val="18"/>
                <w:szCs w:val="18"/>
                <w:lang w:eastAsia="ja-JP" w:bidi="fr-FR"/>
              </w:rPr>
              <w:t>2023</w:t>
            </w:r>
          </w:p>
        </w:tc>
        <w:tc>
          <w:tcPr>
            <w:tcW w:w="239" w:type="pct"/>
            <w:textDirection w:val="btLr"/>
            <w:vAlign w:val="center"/>
            <w:hideMark/>
          </w:tcPr>
          <w:p w14:paraId="7A93CB1C" w14:textId="77777777" w:rsidR="009123AC" w:rsidRPr="00F0379B" w:rsidRDefault="009123AC" w:rsidP="009123AC">
            <w:pPr>
              <w:widowControl w:val="0"/>
              <w:spacing w:after="0" w:line="240" w:lineRule="auto"/>
              <w:ind w:left="113" w:right="113"/>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2024</w:t>
            </w:r>
          </w:p>
        </w:tc>
        <w:tc>
          <w:tcPr>
            <w:tcW w:w="239" w:type="pct"/>
            <w:textDirection w:val="btLr"/>
            <w:vAlign w:val="center"/>
          </w:tcPr>
          <w:p w14:paraId="12E3DF9F" w14:textId="77777777" w:rsidR="009123AC" w:rsidRPr="00F0379B" w:rsidRDefault="009123AC" w:rsidP="009123AC">
            <w:pPr>
              <w:widowControl w:val="0"/>
              <w:spacing w:after="0" w:line="240" w:lineRule="auto"/>
              <w:ind w:left="113" w:right="113"/>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2025</w:t>
            </w:r>
          </w:p>
        </w:tc>
        <w:tc>
          <w:tcPr>
            <w:tcW w:w="239" w:type="pct"/>
            <w:textDirection w:val="btLr"/>
            <w:vAlign w:val="center"/>
          </w:tcPr>
          <w:p w14:paraId="4B068059" w14:textId="77777777" w:rsidR="009123AC" w:rsidRPr="00F0379B" w:rsidRDefault="009123AC" w:rsidP="009123AC">
            <w:pPr>
              <w:widowControl w:val="0"/>
              <w:spacing w:after="0" w:line="240" w:lineRule="auto"/>
              <w:ind w:left="113" w:right="113"/>
              <w:jc w:val="center"/>
              <w:rPr>
                <w:rFonts w:ascii="Cambria" w:eastAsia="MS Gothic" w:hAnsi="Cambria" w:cs="Times New Roman"/>
                <w:color w:val="000000"/>
                <w:sz w:val="18"/>
                <w:szCs w:val="24"/>
                <w:lang w:eastAsia="fr-FR" w:bidi="fr-FR"/>
              </w:rPr>
            </w:pPr>
            <w:r w:rsidRPr="00F0379B">
              <w:rPr>
                <w:rFonts w:ascii="Cambria" w:eastAsia="Times New Roman" w:hAnsi="Cambria" w:cs="Calibri"/>
                <w:color w:val="000000"/>
                <w:sz w:val="18"/>
                <w:szCs w:val="18"/>
                <w:lang w:eastAsia="ja-JP" w:bidi="fr-FR"/>
              </w:rPr>
              <w:t>2026</w:t>
            </w:r>
          </w:p>
        </w:tc>
        <w:tc>
          <w:tcPr>
            <w:tcW w:w="99" w:type="pct"/>
            <w:shd w:val="clear" w:color="000000" w:fill="D9D9D9"/>
            <w:textDirection w:val="btLr"/>
            <w:vAlign w:val="center"/>
            <w:hideMark/>
          </w:tcPr>
          <w:p w14:paraId="5376A8E7" w14:textId="77777777" w:rsidR="009123AC" w:rsidRPr="00F0379B" w:rsidRDefault="009123AC" w:rsidP="009123AC">
            <w:pPr>
              <w:widowControl w:val="0"/>
              <w:spacing w:after="0" w:line="240" w:lineRule="auto"/>
              <w:ind w:left="113" w:right="113"/>
              <w:jc w:val="center"/>
              <w:rPr>
                <w:rFonts w:ascii="Cambria" w:eastAsia="MS Gothic" w:hAnsi="Cambria" w:cs="Times New Roman"/>
                <w:color w:val="000000"/>
                <w:sz w:val="18"/>
                <w:szCs w:val="24"/>
                <w:lang w:eastAsia="fr-FR" w:bidi="fr-FR"/>
              </w:rPr>
            </w:pPr>
          </w:p>
        </w:tc>
        <w:tc>
          <w:tcPr>
            <w:tcW w:w="239" w:type="pct"/>
            <w:textDirection w:val="btLr"/>
            <w:vAlign w:val="center"/>
          </w:tcPr>
          <w:p w14:paraId="0A3A8634" w14:textId="77777777" w:rsidR="009123AC" w:rsidRPr="00F0379B" w:rsidRDefault="009123AC" w:rsidP="009123AC">
            <w:pPr>
              <w:widowControl w:val="0"/>
              <w:spacing w:after="0" w:line="240" w:lineRule="auto"/>
              <w:ind w:left="113" w:right="113"/>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2006</w:t>
            </w:r>
          </w:p>
        </w:tc>
        <w:tc>
          <w:tcPr>
            <w:tcW w:w="239" w:type="pct"/>
            <w:textDirection w:val="btLr"/>
            <w:vAlign w:val="center"/>
            <w:hideMark/>
          </w:tcPr>
          <w:p w14:paraId="023B3C08" w14:textId="77777777" w:rsidR="009123AC" w:rsidRPr="00F0379B" w:rsidRDefault="009123AC" w:rsidP="009123AC">
            <w:pPr>
              <w:widowControl w:val="0"/>
              <w:spacing w:after="0" w:line="240" w:lineRule="auto"/>
              <w:ind w:left="113" w:right="113"/>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2008</w:t>
            </w:r>
          </w:p>
        </w:tc>
        <w:tc>
          <w:tcPr>
            <w:tcW w:w="254" w:type="pct"/>
            <w:textDirection w:val="btLr"/>
            <w:vAlign w:val="center"/>
            <w:hideMark/>
          </w:tcPr>
          <w:p w14:paraId="357AA8CB" w14:textId="77777777" w:rsidR="009123AC" w:rsidRPr="00F0379B" w:rsidRDefault="009123AC" w:rsidP="009123AC">
            <w:pPr>
              <w:widowControl w:val="0"/>
              <w:spacing w:after="0" w:line="240" w:lineRule="auto"/>
              <w:ind w:left="113" w:right="113"/>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2018</w:t>
            </w:r>
          </w:p>
        </w:tc>
        <w:tc>
          <w:tcPr>
            <w:tcW w:w="358" w:type="pct"/>
            <w:textDirection w:val="btLr"/>
            <w:vAlign w:val="center"/>
            <w:hideMark/>
          </w:tcPr>
          <w:p w14:paraId="3DAA3BD4" w14:textId="77777777" w:rsidR="009123AC" w:rsidRPr="00F0379B" w:rsidRDefault="009123AC" w:rsidP="009123AC">
            <w:pPr>
              <w:widowControl w:val="0"/>
              <w:spacing w:after="0" w:line="240" w:lineRule="auto"/>
              <w:ind w:left="113" w:right="113"/>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2023</w:t>
            </w:r>
          </w:p>
        </w:tc>
        <w:tc>
          <w:tcPr>
            <w:tcW w:w="358" w:type="pct"/>
            <w:textDirection w:val="btLr"/>
            <w:vAlign w:val="center"/>
            <w:hideMark/>
          </w:tcPr>
          <w:p w14:paraId="46C61AD1" w14:textId="77777777" w:rsidR="009123AC" w:rsidRPr="00F0379B" w:rsidRDefault="009123AC" w:rsidP="009123AC">
            <w:pPr>
              <w:widowControl w:val="0"/>
              <w:spacing w:after="0" w:line="240" w:lineRule="auto"/>
              <w:ind w:left="113" w:right="113"/>
              <w:jc w:val="center"/>
              <w:rPr>
                <w:rFonts w:ascii="Cambria" w:eastAsia="MS Gothic" w:hAnsi="Cambria" w:cs="Times New Roman"/>
                <w:color w:val="000000"/>
                <w:sz w:val="18"/>
                <w:szCs w:val="24"/>
                <w:lang w:eastAsia="fr-FR" w:bidi="fr-FR"/>
              </w:rPr>
            </w:pPr>
            <w:r w:rsidRPr="00F0379B">
              <w:rPr>
                <w:rFonts w:ascii="Cambria" w:eastAsia="Times New Roman" w:hAnsi="Cambria" w:cs="Calibri"/>
                <w:color w:val="000000"/>
                <w:sz w:val="18"/>
                <w:szCs w:val="18"/>
                <w:lang w:eastAsia="ja-JP" w:bidi="fr-FR"/>
              </w:rPr>
              <w:t>2024</w:t>
            </w:r>
          </w:p>
        </w:tc>
        <w:tc>
          <w:tcPr>
            <w:tcW w:w="358" w:type="pct"/>
            <w:textDirection w:val="btLr"/>
            <w:vAlign w:val="center"/>
            <w:hideMark/>
          </w:tcPr>
          <w:p w14:paraId="38FFA5DC" w14:textId="77777777" w:rsidR="009123AC" w:rsidRPr="00F0379B" w:rsidRDefault="009123AC" w:rsidP="009123AC">
            <w:pPr>
              <w:widowControl w:val="0"/>
              <w:spacing w:after="0" w:line="240" w:lineRule="auto"/>
              <w:ind w:left="113" w:right="113"/>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2025</w:t>
            </w:r>
          </w:p>
        </w:tc>
        <w:tc>
          <w:tcPr>
            <w:tcW w:w="331" w:type="pct"/>
            <w:textDirection w:val="btLr"/>
            <w:vAlign w:val="center"/>
          </w:tcPr>
          <w:p w14:paraId="428AABE8" w14:textId="77777777" w:rsidR="009123AC" w:rsidRPr="00F0379B" w:rsidRDefault="009123AC" w:rsidP="009123AC">
            <w:pPr>
              <w:widowControl w:val="0"/>
              <w:spacing w:after="0" w:line="240" w:lineRule="auto"/>
              <w:ind w:left="113" w:right="113"/>
              <w:jc w:val="center"/>
              <w:rPr>
                <w:rFonts w:ascii="Cambria" w:eastAsia="MS Gothic" w:hAnsi="Cambria" w:cs="Times New Roman"/>
                <w:color w:val="000000"/>
                <w:sz w:val="18"/>
                <w:szCs w:val="24"/>
                <w:lang w:eastAsia="fr-FR" w:bidi="fr-FR"/>
              </w:rPr>
            </w:pPr>
            <w:r w:rsidRPr="00F0379B">
              <w:rPr>
                <w:rFonts w:ascii="Cambria" w:eastAsia="Times New Roman" w:hAnsi="Cambria" w:cs="Calibri"/>
                <w:color w:val="000000"/>
                <w:sz w:val="18"/>
                <w:szCs w:val="18"/>
                <w:lang w:eastAsia="ja-JP" w:bidi="fr-FR"/>
              </w:rPr>
              <w:t>2026</w:t>
            </w:r>
          </w:p>
        </w:tc>
      </w:tr>
      <w:tr w:rsidR="009123AC" w:rsidRPr="00F0379B" w14:paraId="6192CE26" w14:textId="77777777" w:rsidTr="00CA749B">
        <w:trPr>
          <w:trHeight w:val="20"/>
          <w:jc w:val="center"/>
        </w:trPr>
        <w:tc>
          <w:tcPr>
            <w:tcW w:w="732" w:type="pct"/>
            <w:noWrap/>
            <w:vAlign w:val="center"/>
            <w:hideMark/>
          </w:tcPr>
          <w:p w14:paraId="432A4654"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Cerqueros de más de 40 m</w:t>
            </w:r>
          </w:p>
        </w:tc>
        <w:tc>
          <w:tcPr>
            <w:tcW w:w="359" w:type="pct"/>
            <w:noWrap/>
            <w:vAlign w:val="center"/>
            <w:hideMark/>
          </w:tcPr>
          <w:p w14:paraId="47D8D391"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70,</w:t>
            </w:r>
            <w:r w:rsidRPr="00F0379B">
              <w:rPr>
                <w:rFonts w:ascii="Cambria" w:eastAsia="Times New Roman" w:hAnsi="Cambria" w:cs="Calibri"/>
                <w:color w:val="000000"/>
                <w:sz w:val="18"/>
                <w:szCs w:val="18"/>
                <w:lang w:eastAsia="ja-JP" w:bidi="fr-FR"/>
              </w:rPr>
              <w:t>66</w:t>
            </w:r>
          </w:p>
        </w:tc>
        <w:tc>
          <w:tcPr>
            <w:tcW w:w="239" w:type="pct"/>
          </w:tcPr>
          <w:p w14:paraId="64392D5A"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Times New Roman" w:hAnsi="Cambria" w:cs="Calibri"/>
                <w:sz w:val="18"/>
                <w:szCs w:val="18"/>
                <w:lang w:eastAsia="ja-JP"/>
              </w:rPr>
              <w:t>1</w:t>
            </w:r>
          </w:p>
        </w:tc>
        <w:tc>
          <w:tcPr>
            <w:tcW w:w="239" w:type="pct"/>
            <w:noWrap/>
            <w:vAlign w:val="center"/>
            <w:hideMark/>
          </w:tcPr>
          <w:p w14:paraId="008DC112"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1</w:t>
            </w:r>
          </w:p>
        </w:tc>
        <w:tc>
          <w:tcPr>
            <w:tcW w:w="239" w:type="pct"/>
            <w:vAlign w:val="center"/>
            <w:hideMark/>
          </w:tcPr>
          <w:p w14:paraId="59348E2E"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vAlign w:val="center"/>
            <w:hideMark/>
          </w:tcPr>
          <w:p w14:paraId="503F4EDB"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239" w:type="pct"/>
            <w:vAlign w:val="center"/>
            <w:hideMark/>
          </w:tcPr>
          <w:p w14:paraId="27C10C30"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239" w:type="pct"/>
          </w:tcPr>
          <w:p w14:paraId="33FD651B"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239" w:type="pct"/>
            <w:vAlign w:val="center"/>
          </w:tcPr>
          <w:p w14:paraId="1B1C8438"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99" w:type="pct"/>
            <w:shd w:val="clear" w:color="000000" w:fill="D9D9D9"/>
            <w:vAlign w:val="center"/>
            <w:hideMark/>
          </w:tcPr>
          <w:p w14:paraId="30090FCB"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color w:val="000000"/>
                <w:sz w:val="16"/>
                <w:szCs w:val="16"/>
                <w:lang w:eastAsia="ja-JP" w:bidi="fr-FR"/>
              </w:rPr>
              <w:t> </w:t>
            </w:r>
          </w:p>
        </w:tc>
        <w:tc>
          <w:tcPr>
            <w:tcW w:w="239" w:type="pct"/>
          </w:tcPr>
          <w:p w14:paraId="66AFA21B"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71</w:t>
            </w:r>
          </w:p>
        </w:tc>
        <w:tc>
          <w:tcPr>
            <w:tcW w:w="239" w:type="pct"/>
            <w:vAlign w:val="center"/>
            <w:hideMark/>
          </w:tcPr>
          <w:p w14:paraId="7AEACAF5"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71</w:t>
            </w:r>
          </w:p>
        </w:tc>
        <w:tc>
          <w:tcPr>
            <w:tcW w:w="254" w:type="pct"/>
            <w:vAlign w:val="center"/>
            <w:hideMark/>
          </w:tcPr>
          <w:p w14:paraId="1C792173"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hideMark/>
          </w:tcPr>
          <w:p w14:paraId="6E0509C6"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vAlign w:val="center"/>
            <w:hideMark/>
          </w:tcPr>
          <w:p w14:paraId="5254D854"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vAlign w:val="center"/>
            <w:hideMark/>
          </w:tcPr>
          <w:p w14:paraId="1BFC01D5"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31" w:type="pct"/>
            <w:vAlign w:val="center"/>
          </w:tcPr>
          <w:p w14:paraId="2DDF10C3"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r>
      <w:tr w:rsidR="009123AC" w:rsidRPr="00F0379B" w14:paraId="62F893EE" w14:textId="77777777" w:rsidTr="00CA749B">
        <w:trPr>
          <w:trHeight w:val="20"/>
          <w:jc w:val="center"/>
        </w:trPr>
        <w:tc>
          <w:tcPr>
            <w:tcW w:w="732" w:type="pct"/>
            <w:noWrap/>
            <w:vAlign w:val="center"/>
            <w:hideMark/>
          </w:tcPr>
          <w:p w14:paraId="57FB6251"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Cerqueros entre 24 y 40 m</w:t>
            </w:r>
          </w:p>
        </w:tc>
        <w:tc>
          <w:tcPr>
            <w:tcW w:w="359" w:type="pct"/>
            <w:noWrap/>
            <w:vAlign w:val="center"/>
            <w:hideMark/>
          </w:tcPr>
          <w:p w14:paraId="61F7A773"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49.78</w:t>
            </w:r>
          </w:p>
        </w:tc>
        <w:tc>
          <w:tcPr>
            <w:tcW w:w="239" w:type="pct"/>
          </w:tcPr>
          <w:p w14:paraId="74DFC170"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Times New Roman" w:hAnsi="Cambria" w:cs="Calibri"/>
                <w:sz w:val="18"/>
                <w:szCs w:val="18"/>
                <w:lang w:eastAsia="ja-JP"/>
              </w:rPr>
              <w:t>31</w:t>
            </w:r>
          </w:p>
        </w:tc>
        <w:tc>
          <w:tcPr>
            <w:tcW w:w="239" w:type="pct"/>
            <w:noWrap/>
            <w:hideMark/>
          </w:tcPr>
          <w:p w14:paraId="470CDDA6"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31</w:t>
            </w:r>
          </w:p>
        </w:tc>
        <w:tc>
          <w:tcPr>
            <w:tcW w:w="239" w:type="pct"/>
            <w:hideMark/>
          </w:tcPr>
          <w:p w14:paraId="539FFBCD"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15</w:t>
            </w:r>
          </w:p>
        </w:tc>
        <w:tc>
          <w:tcPr>
            <w:tcW w:w="239" w:type="pct"/>
            <w:hideMark/>
          </w:tcPr>
          <w:p w14:paraId="3B8BC0CA"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15</w:t>
            </w:r>
          </w:p>
        </w:tc>
        <w:tc>
          <w:tcPr>
            <w:tcW w:w="239" w:type="pct"/>
            <w:hideMark/>
          </w:tcPr>
          <w:p w14:paraId="7B6FCCA3"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15</w:t>
            </w:r>
          </w:p>
        </w:tc>
        <w:tc>
          <w:tcPr>
            <w:tcW w:w="239" w:type="pct"/>
          </w:tcPr>
          <w:p w14:paraId="0B0A7F75"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15</w:t>
            </w:r>
          </w:p>
        </w:tc>
        <w:tc>
          <w:tcPr>
            <w:tcW w:w="239" w:type="pct"/>
          </w:tcPr>
          <w:p w14:paraId="2CC850E5"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15</w:t>
            </w:r>
          </w:p>
        </w:tc>
        <w:tc>
          <w:tcPr>
            <w:tcW w:w="99" w:type="pct"/>
            <w:shd w:val="clear" w:color="000000" w:fill="D9D9D9"/>
            <w:vAlign w:val="center"/>
            <w:hideMark/>
          </w:tcPr>
          <w:p w14:paraId="1BD42D2C"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 </w:t>
            </w:r>
          </w:p>
        </w:tc>
        <w:tc>
          <w:tcPr>
            <w:tcW w:w="239" w:type="pct"/>
          </w:tcPr>
          <w:p w14:paraId="35D5AB81"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1.543</w:t>
            </w:r>
          </w:p>
        </w:tc>
        <w:tc>
          <w:tcPr>
            <w:tcW w:w="239" w:type="pct"/>
            <w:vAlign w:val="center"/>
            <w:hideMark/>
          </w:tcPr>
          <w:p w14:paraId="61214861"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1.543</w:t>
            </w:r>
          </w:p>
        </w:tc>
        <w:tc>
          <w:tcPr>
            <w:tcW w:w="254" w:type="pct"/>
            <w:vAlign w:val="center"/>
            <w:hideMark/>
          </w:tcPr>
          <w:p w14:paraId="54E2AD3E"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747</w:t>
            </w:r>
          </w:p>
        </w:tc>
        <w:tc>
          <w:tcPr>
            <w:tcW w:w="358" w:type="pct"/>
            <w:hideMark/>
          </w:tcPr>
          <w:p w14:paraId="171D14F8"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747</w:t>
            </w:r>
          </w:p>
        </w:tc>
        <w:tc>
          <w:tcPr>
            <w:tcW w:w="358" w:type="pct"/>
            <w:vAlign w:val="center"/>
            <w:hideMark/>
          </w:tcPr>
          <w:p w14:paraId="51BA21B8"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747</w:t>
            </w:r>
          </w:p>
        </w:tc>
        <w:tc>
          <w:tcPr>
            <w:tcW w:w="358" w:type="pct"/>
            <w:vAlign w:val="center"/>
            <w:hideMark/>
          </w:tcPr>
          <w:p w14:paraId="6CAC6F73"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747</w:t>
            </w:r>
          </w:p>
        </w:tc>
        <w:tc>
          <w:tcPr>
            <w:tcW w:w="331" w:type="pct"/>
            <w:vAlign w:val="center"/>
          </w:tcPr>
          <w:p w14:paraId="2E3C864A"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747</w:t>
            </w:r>
          </w:p>
        </w:tc>
      </w:tr>
      <w:tr w:rsidR="009123AC" w:rsidRPr="00F0379B" w14:paraId="4744D382" w14:textId="77777777" w:rsidTr="00CA749B">
        <w:trPr>
          <w:trHeight w:val="20"/>
          <w:jc w:val="center"/>
        </w:trPr>
        <w:tc>
          <w:tcPr>
            <w:tcW w:w="732" w:type="pct"/>
            <w:noWrap/>
            <w:vAlign w:val="center"/>
            <w:hideMark/>
          </w:tcPr>
          <w:p w14:paraId="75500380"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Cerqueros de menos de 24 m</w:t>
            </w:r>
          </w:p>
        </w:tc>
        <w:tc>
          <w:tcPr>
            <w:tcW w:w="359" w:type="pct"/>
            <w:noWrap/>
            <w:vAlign w:val="center"/>
            <w:hideMark/>
          </w:tcPr>
          <w:p w14:paraId="19A330E0"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33.68</w:t>
            </w:r>
          </w:p>
        </w:tc>
        <w:tc>
          <w:tcPr>
            <w:tcW w:w="239" w:type="pct"/>
          </w:tcPr>
          <w:p w14:paraId="2496C018"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Times New Roman" w:hAnsi="Cambria" w:cs="Calibri"/>
                <w:sz w:val="18"/>
                <w:szCs w:val="18"/>
                <w:lang w:eastAsia="ja-JP"/>
              </w:rPr>
              <w:t>1</w:t>
            </w:r>
          </w:p>
        </w:tc>
        <w:tc>
          <w:tcPr>
            <w:tcW w:w="239" w:type="pct"/>
            <w:noWrap/>
            <w:hideMark/>
          </w:tcPr>
          <w:p w14:paraId="46540D78"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1</w:t>
            </w:r>
          </w:p>
        </w:tc>
        <w:tc>
          <w:tcPr>
            <w:tcW w:w="239" w:type="pct"/>
            <w:hideMark/>
          </w:tcPr>
          <w:p w14:paraId="219589A4"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hideMark/>
          </w:tcPr>
          <w:p w14:paraId="00CE1247"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hideMark/>
          </w:tcPr>
          <w:p w14:paraId="7C9FDC05"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tcPr>
          <w:p w14:paraId="1BC8AECB"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tcPr>
          <w:p w14:paraId="7CE6743D"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99" w:type="pct"/>
            <w:shd w:val="clear" w:color="000000" w:fill="D9D9D9"/>
            <w:vAlign w:val="center"/>
            <w:hideMark/>
          </w:tcPr>
          <w:p w14:paraId="300647D7"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color w:val="000000"/>
                <w:sz w:val="16"/>
                <w:szCs w:val="16"/>
                <w:lang w:eastAsia="ja-JP" w:bidi="fr-FR"/>
              </w:rPr>
              <w:t> </w:t>
            </w:r>
          </w:p>
        </w:tc>
        <w:tc>
          <w:tcPr>
            <w:tcW w:w="239" w:type="pct"/>
          </w:tcPr>
          <w:p w14:paraId="7BFECA5C"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34</w:t>
            </w:r>
          </w:p>
        </w:tc>
        <w:tc>
          <w:tcPr>
            <w:tcW w:w="239" w:type="pct"/>
            <w:vAlign w:val="center"/>
            <w:hideMark/>
          </w:tcPr>
          <w:p w14:paraId="78A621A8"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34</w:t>
            </w:r>
          </w:p>
        </w:tc>
        <w:tc>
          <w:tcPr>
            <w:tcW w:w="254" w:type="pct"/>
            <w:vAlign w:val="center"/>
            <w:hideMark/>
          </w:tcPr>
          <w:p w14:paraId="18661C26"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hideMark/>
          </w:tcPr>
          <w:p w14:paraId="2052A9DC"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vAlign w:val="center"/>
            <w:hideMark/>
          </w:tcPr>
          <w:p w14:paraId="1E4B1E69"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vAlign w:val="center"/>
            <w:hideMark/>
          </w:tcPr>
          <w:p w14:paraId="42DA728B"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31" w:type="pct"/>
            <w:vAlign w:val="center"/>
          </w:tcPr>
          <w:p w14:paraId="51691483"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r>
      <w:tr w:rsidR="009123AC" w:rsidRPr="00F0379B" w14:paraId="1D51B2A1" w14:textId="77777777" w:rsidTr="00CA749B">
        <w:trPr>
          <w:trHeight w:val="20"/>
          <w:jc w:val="center"/>
        </w:trPr>
        <w:tc>
          <w:tcPr>
            <w:tcW w:w="732" w:type="pct"/>
            <w:noWrap/>
            <w:vAlign w:val="center"/>
            <w:hideMark/>
          </w:tcPr>
          <w:p w14:paraId="36730DF9"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24"/>
                <w:lang w:eastAsia="fr-FR" w:bidi="fr-FR"/>
              </w:rPr>
            </w:pPr>
            <w:r w:rsidRPr="00F0379B">
              <w:rPr>
                <w:rFonts w:ascii="Cambria" w:eastAsia="MS Gothic" w:hAnsi="Cambria" w:cs="Times New Roman"/>
                <w:b/>
                <w:color w:val="000000"/>
                <w:sz w:val="18"/>
                <w:szCs w:val="24"/>
                <w:lang w:eastAsia="fr-FR" w:bidi="fr-FR"/>
              </w:rPr>
              <w:t>Total flota de cerco 2</w:t>
            </w:r>
          </w:p>
        </w:tc>
        <w:tc>
          <w:tcPr>
            <w:tcW w:w="359" w:type="pct"/>
            <w:noWrap/>
            <w:vAlign w:val="center"/>
            <w:hideMark/>
          </w:tcPr>
          <w:p w14:paraId="76EBEAF0" w14:textId="77777777" w:rsidR="009123AC" w:rsidRPr="00F0379B" w:rsidRDefault="009123AC" w:rsidP="009123AC">
            <w:pPr>
              <w:widowControl w:val="0"/>
              <w:spacing w:after="0" w:line="240" w:lineRule="auto"/>
              <w:jc w:val="center"/>
              <w:rPr>
                <w:rFonts w:ascii="Times New Roman" w:eastAsia="MS Gothic" w:hAnsi="Times New Roman" w:cs="Times New Roman"/>
                <w:color w:val="000000"/>
                <w:sz w:val="18"/>
                <w:szCs w:val="24"/>
                <w:lang w:eastAsia="fr-FR" w:bidi="fr-FR"/>
              </w:rPr>
            </w:pPr>
          </w:p>
        </w:tc>
        <w:tc>
          <w:tcPr>
            <w:tcW w:w="239" w:type="pct"/>
          </w:tcPr>
          <w:p w14:paraId="53A0DF17" w14:textId="77777777" w:rsidR="009123AC" w:rsidRPr="00F0379B" w:rsidRDefault="009123AC" w:rsidP="009123AC">
            <w:pPr>
              <w:widowControl w:val="0"/>
              <w:spacing w:after="0" w:line="240" w:lineRule="auto"/>
              <w:jc w:val="right"/>
              <w:rPr>
                <w:rFonts w:ascii="Cambria" w:eastAsia="MS Gothic" w:hAnsi="Cambria" w:cs="Times New Roman"/>
                <w:b/>
                <w:color w:val="000000"/>
                <w:sz w:val="18"/>
                <w:szCs w:val="24"/>
                <w:lang w:eastAsia="fr-FR" w:bidi="fr-FR"/>
              </w:rPr>
            </w:pPr>
            <w:r w:rsidRPr="00F0379B">
              <w:rPr>
                <w:rFonts w:ascii="Cambria" w:eastAsia="MS Gothic" w:hAnsi="Cambria" w:cs="Times New Roman"/>
                <w:sz w:val="18"/>
                <w:szCs w:val="24"/>
                <w:lang w:eastAsia="fr-FR" w:bidi="fr-FR"/>
              </w:rPr>
              <w:t>33</w:t>
            </w:r>
          </w:p>
        </w:tc>
        <w:tc>
          <w:tcPr>
            <w:tcW w:w="239" w:type="pct"/>
            <w:noWrap/>
            <w:vAlign w:val="center"/>
            <w:hideMark/>
          </w:tcPr>
          <w:p w14:paraId="5D9B5064"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sz w:val="16"/>
                <w:szCs w:val="16"/>
                <w:lang w:eastAsia="fr-FR" w:bidi="fr-FR"/>
              </w:rPr>
              <w:t>33</w:t>
            </w:r>
          </w:p>
        </w:tc>
        <w:tc>
          <w:tcPr>
            <w:tcW w:w="239" w:type="pct"/>
            <w:vAlign w:val="center"/>
            <w:hideMark/>
          </w:tcPr>
          <w:p w14:paraId="2A6800C5"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sz w:val="16"/>
                <w:szCs w:val="16"/>
                <w:lang w:eastAsia="fr-FR" w:bidi="fr-FR"/>
              </w:rPr>
              <w:t>15</w:t>
            </w:r>
          </w:p>
        </w:tc>
        <w:tc>
          <w:tcPr>
            <w:tcW w:w="239" w:type="pct"/>
            <w:vAlign w:val="center"/>
            <w:hideMark/>
          </w:tcPr>
          <w:p w14:paraId="72F24361"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sz w:val="16"/>
                <w:szCs w:val="16"/>
                <w:lang w:val="en-US" w:eastAsia="fr-FR" w:bidi="fr-FR"/>
              </w:rPr>
              <w:t>15</w:t>
            </w:r>
          </w:p>
        </w:tc>
        <w:tc>
          <w:tcPr>
            <w:tcW w:w="239" w:type="pct"/>
            <w:vAlign w:val="center"/>
            <w:hideMark/>
          </w:tcPr>
          <w:p w14:paraId="530FDAD2"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sz w:val="16"/>
                <w:szCs w:val="16"/>
                <w:lang w:val="en-US" w:eastAsia="fr-FR" w:bidi="fr-FR"/>
              </w:rPr>
              <w:t>15</w:t>
            </w:r>
          </w:p>
        </w:tc>
        <w:tc>
          <w:tcPr>
            <w:tcW w:w="239" w:type="pct"/>
          </w:tcPr>
          <w:p w14:paraId="224A8A6D"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sz w:val="16"/>
                <w:szCs w:val="16"/>
                <w:lang w:val="en-US" w:eastAsia="fr-FR" w:bidi="fr-FR"/>
              </w:rPr>
              <w:t>15</w:t>
            </w:r>
          </w:p>
        </w:tc>
        <w:tc>
          <w:tcPr>
            <w:tcW w:w="239" w:type="pct"/>
            <w:vAlign w:val="center"/>
          </w:tcPr>
          <w:p w14:paraId="20AD2CCD"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sz w:val="16"/>
                <w:szCs w:val="16"/>
                <w:lang w:val="en-US" w:eastAsia="fr-FR" w:bidi="fr-FR"/>
              </w:rPr>
              <w:t>15</w:t>
            </w:r>
          </w:p>
        </w:tc>
        <w:tc>
          <w:tcPr>
            <w:tcW w:w="99" w:type="pct"/>
            <w:shd w:val="clear" w:color="000000" w:fill="D9D9D9"/>
            <w:vAlign w:val="center"/>
            <w:hideMark/>
          </w:tcPr>
          <w:p w14:paraId="2E9C669A"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b/>
                <w:color w:val="000000"/>
                <w:sz w:val="16"/>
                <w:szCs w:val="16"/>
                <w:lang w:eastAsia="fr-FR" w:bidi="fr-FR"/>
              </w:rPr>
              <w:t> </w:t>
            </w:r>
          </w:p>
        </w:tc>
        <w:tc>
          <w:tcPr>
            <w:tcW w:w="239" w:type="pct"/>
          </w:tcPr>
          <w:p w14:paraId="4118E947"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sz w:val="16"/>
                <w:szCs w:val="16"/>
                <w:lang w:eastAsia="fr-FR" w:bidi="fr-FR"/>
              </w:rPr>
              <w:t>1.648</w:t>
            </w:r>
          </w:p>
        </w:tc>
        <w:tc>
          <w:tcPr>
            <w:tcW w:w="239" w:type="pct"/>
            <w:vAlign w:val="center"/>
            <w:hideMark/>
          </w:tcPr>
          <w:p w14:paraId="73BA1FA2"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sz w:val="16"/>
                <w:szCs w:val="16"/>
                <w:lang w:eastAsia="fr-FR" w:bidi="fr-FR"/>
              </w:rPr>
              <w:t>1.648</w:t>
            </w:r>
          </w:p>
        </w:tc>
        <w:tc>
          <w:tcPr>
            <w:tcW w:w="254" w:type="pct"/>
            <w:vAlign w:val="center"/>
            <w:hideMark/>
          </w:tcPr>
          <w:p w14:paraId="465C77B2"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sz w:val="16"/>
                <w:szCs w:val="16"/>
                <w:lang w:val="en-US" w:eastAsia="fr-FR" w:bidi="fr-FR"/>
              </w:rPr>
              <w:t>747</w:t>
            </w:r>
          </w:p>
        </w:tc>
        <w:tc>
          <w:tcPr>
            <w:tcW w:w="358" w:type="pct"/>
            <w:hideMark/>
          </w:tcPr>
          <w:p w14:paraId="6468CC97"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sz w:val="16"/>
                <w:szCs w:val="16"/>
                <w:lang w:val="en-US" w:eastAsia="fr-FR" w:bidi="fr-FR"/>
              </w:rPr>
              <w:t>747</w:t>
            </w:r>
          </w:p>
        </w:tc>
        <w:tc>
          <w:tcPr>
            <w:tcW w:w="358" w:type="pct"/>
            <w:vAlign w:val="center"/>
            <w:hideMark/>
          </w:tcPr>
          <w:p w14:paraId="237DB066"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sz w:val="16"/>
                <w:szCs w:val="16"/>
                <w:lang w:val="en-US" w:eastAsia="fr-FR" w:bidi="fr-FR"/>
              </w:rPr>
              <w:t>747</w:t>
            </w:r>
          </w:p>
        </w:tc>
        <w:tc>
          <w:tcPr>
            <w:tcW w:w="358" w:type="pct"/>
            <w:vAlign w:val="center"/>
            <w:hideMark/>
          </w:tcPr>
          <w:p w14:paraId="27E4EFFB"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sz w:val="16"/>
                <w:szCs w:val="16"/>
                <w:lang w:val="en-US" w:eastAsia="fr-FR" w:bidi="fr-FR"/>
              </w:rPr>
              <w:t>747</w:t>
            </w:r>
          </w:p>
        </w:tc>
        <w:tc>
          <w:tcPr>
            <w:tcW w:w="331" w:type="pct"/>
            <w:vAlign w:val="center"/>
          </w:tcPr>
          <w:p w14:paraId="14D72922"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sz w:val="16"/>
                <w:szCs w:val="16"/>
                <w:lang w:val="en-US" w:eastAsia="fr-FR" w:bidi="fr-FR"/>
              </w:rPr>
              <w:t>747</w:t>
            </w:r>
          </w:p>
        </w:tc>
      </w:tr>
      <w:tr w:rsidR="009123AC" w:rsidRPr="00F0379B" w14:paraId="0F5AD84E" w14:textId="77777777" w:rsidTr="00CA749B">
        <w:trPr>
          <w:trHeight w:val="20"/>
          <w:jc w:val="center"/>
        </w:trPr>
        <w:tc>
          <w:tcPr>
            <w:tcW w:w="732" w:type="pct"/>
            <w:noWrap/>
            <w:vAlign w:val="center"/>
            <w:hideMark/>
          </w:tcPr>
          <w:p w14:paraId="623E8395"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Palangreros de más de 40 m</w:t>
            </w:r>
          </w:p>
        </w:tc>
        <w:tc>
          <w:tcPr>
            <w:tcW w:w="359" w:type="pct"/>
            <w:noWrap/>
            <w:vAlign w:val="center"/>
            <w:hideMark/>
          </w:tcPr>
          <w:p w14:paraId="134AD4B5"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25</w:t>
            </w:r>
          </w:p>
        </w:tc>
        <w:tc>
          <w:tcPr>
            <w:tcW w:w="239" w:type="pct"/>
          </w:tcPr>
          <w:p w14:paraId="38CED49C"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Times New Roman" w:hAnsi="Cambria" w:cs="Calibri"/>
                <w:sz w:val="18"/>
                <w:szCs w:val="18"/>
                <w:lang w:eastAsia="ja-JP"/>
              </w:rPr>
              <w:t>5</w:t>
            </w:r>
          </w:p>
        </w:tc>
        <w:tc>
          <w:tcPr>
            <w:tcW w:w="239" w:type="pct"/>
            <w:noWrap/>
            <w:vAlign w:val="center"/>
            <w:hideMark/>
          </w:tcPr>
          <w:p w14:paraId="71BF28A1"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5</w:t>
            </w:r>
          </w:p>
        </w:tc>
        <w:tc>
          <w:tcPr>
            <w:tcW w:w="239" w:type="pct"/>
            <w:vAlign w:val="center"/>
            <w:hideMark/>
          </w:tcPr>
          <w:p w14:paraId="4D869F06"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vAlign w:val="center"/>
            <w:hideMark/>
          </w:tcPr>
          <w:p w14:paraId="408F90CE"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vAlign w:val="center"/>
            <w:hideMark/>
          </w:tcPr>
          <w:p w14:paraId="5EB310B1"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169438AF"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4F4F5802"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99" w:type="pct"/>
            <w:shd w:val="clear" w:color="000000" w:fill="D9D9D9"/>
            <w:vAlign w:val="center"/>
            <w:hideMark/>
          </w:tcPr>
          <w:p w14:paraId="31F014AD"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 </w:t>
            </w:r>
          </w:p>
        </w:tc>
        <w:tc>
          <w:tcPr>
            <w:tcW w:w="239" w:type="pct"/>
          </w:tcPr>
          <w:p w14:paraId="6256036B"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125</w:t>
            </w:r>
          </w:p>
        </w:tc>
        <w:tc>
          <w:tcPr>
            <w:tcW w:w="239" w:type="pct"/>
            <w:vAlign w:val="center"/>
            <w:hideMark/>
          </w:tcPr>
          <w:p w14:paraId="18CE0028"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125</w:t>
            </w:r>
          </w:p>
        </w:tc>
        <w:tc>
          <w:tcPr>
            <w:tcW w:w="254" w:type="pct"/>
            <w:vAlign w:val="center"/>
            <w:hideMark/>
          </w:tcPr>
          <w:p w14:paraId="31E8C1AB"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hideMark/>
          </w:tcPr>
          <w:p w14:paraId="495A8D5E"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vAlign w:val="center"/>
            <w:hideMark/>
          </w:tcPr>
          <w:p w14:paraId="31EE3D98"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vAlign w:val="center"/>
            <w:hideMark/>
          </w:tcPr>
          <w:p w14:paraId="1BBDC005"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31" w:type="pct"/>
            <w:vAlign w:val="center"/>
          </w:tcPr>
          <w:p w14:paraId="597C4473"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r>
      <w:tr w:rsidR="009123AC" w:rsidRPr="00F0379B" w14:paraId="76EBAF06" w14:textId="77777777" w:rsidTr="00CA749B">
        <w:trPr>
          <w:trHeight w:val="20"/>
          <w:jc w:val="center"/>
        </w:trPr>
        <w:tc>
          <w:tcPr>
            <w:tcW w:w="732" w:type="pct"/>
            <w:noWrap/>
            <w:vAlign w:val="center"/>
            <w:hideMark/>
          </w:tcPr>
          <w:p w14:paraId="2B28EAB9"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Palangreros entre 24 y 40 m</w:t>
            </w:r>
          </w:p>
        </w:tc>
        <w:tc>
          <w:tcPr>
            <w:tcW w:w="359" w:type="pct"/>
            <w:noWrap/>
            <w:vAlign w:val="center"/>
            <w:hideMark/>
          </w:tcPr>
          <w:p w14:paraId="5BC1927F"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5,68</w:t>
            </w:r>
          </w:p>
        </w:tc>
        <w:tc>
          <w:tcPr>
            <w:tcW w:w="239" w:type="pct"/>
          </w:tcPr>
          <w:p w14:paraId="2C1E036E"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Times New Roman" w:hAnsi="Cambria" w:cs="Calibri"/>
                <w:sz w:val="18"/>
                <w:szCs w:val="18"/>
                <w:lang w:eastAsia="ja-JP"/>
              </w:rPr>
              <w:t>0</w:t>
            </w:r>
          </w:p>
        </w:tc>
        <w:tc>
          <w:tcPr>
            <w:tcW w:w="239" w:type="pct"/>
            <w:noWrap/>
            <w:hideMark/>
          </w:tcPr>
          <w:p w14:paraId="16765F04"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hideMark/>
          </w:tcPr>
          <w:p w14:paraId="5627DDF0"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vAlign w:val="center"/>
            <w:hideMark/>
          </w:tcPr>
          <w:p w14:paraId="527A36F3"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vAlign w:val="center"/>
            <w:hideMark/>
          </w:tcPr>
          <w:p w14:paraId="359ADE4C"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114ED12B"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17BB2402"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99" w:type="pct"/>
            <w:shd w:val="clear" w:color="000000" w:fill="D9D9D9"/>
            <w:vAlign w:val="center"/>
            <w:hideMark/>
          </w:tcPr>
          <w:p w14:paraId="01611BD9"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color w:val="000000"/>
                <w:sz w:val="16"/>
                <w:szCs w:val="16"/>
                <w:lang w:eastAsia="ja-JP" w:bidi="fr-FR"/>
              </w:rPr>
              <w:t> </w:t>
            </w:r>
          </w:p>
        </w:tc>
        <w:tc>
          <w:tcPr>
            <w:tcW w:w="239" w:type="pct"/>
          </w:tcPr>
          <w:p w14:paraId="05761360"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hideMark/>
          </w:tcPr>
          <w:p w14:paraId="1DD1FE8E"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54" w:type="pct"/>
            <w:hideMark/>
          </w:tcPr>
          <w:p w14:paraId="1C1F40CC"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358" w:type="pct"/>
            <w:hideMark/>
          </w:tcPr>
          <w:p w14:paraId="760596EE"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358" w:type="pct"/>
            <w:hideMark/>
          </w:tcPr>
          <w:p w14:paraId="4F7C0F39"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358" w:type="pct"/>
            <w:hideMark/>
          </w:tcPr>
          <w:p w14:paraId="6560EF5F"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331" w:type="pct"/>
          </w:tcPr>
          <w:p w14:paraId="52CBFE68"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r>
      <w:tr w:rsidR="009123AC" w:rsidRPr="00F0379B" w14:paraId="6542CEB3" w14:textId="77777777" w:rsidTr="00CA749B">
        <w:trPr>
          <w:trHeight w:val="20"/>
          <w:jc w:val="center"/>
        </w:trPr>
        <w:tc>
          <w:tcPr>
            <w:tcW w:w="732" w:type="pct"/>
            <w:noWrap/>
            <w:vAlign w:val="center"/>
            <w:hideMark/>
          </w:tcPr>
          <w:p w14:paraId="4AA671D0"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Palangreros de menos de 24 m</w:t>
            </w:r>
          </w:p>
        </w:tc>
        <w:tc>
          <w:tcPr>
            <w:tcW w:w="359" w:type="pct"/>
            <w:noWrap/>
            <w:vAlign w:val="center"/>
            <w:hideMark/>
          </w:tcPr>
          <w:p w14:paraId="6E69237C"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5</w:t>
            </w:r>
          </w:p>
        </w:tc>
        <w:tc>
          <w:tcPr>
            <w:tcW w:w="239" w:type="pct"/>
          </w:tcPr>
          <w:p w14:paraId="52832D9A"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Times New Roman" w:hAnsi="Cambria" w:cs="Calibri"/>
                <w:sz w:val="18"/>
                <w:szCs w:val="18"/>
                <w:lang w:eastAsia="ja-JP"/>
              </w:rPr>
              <w:t>0</w:t>
            </w:r>
          </w:p>
        </w:tc>
        <w:tc>
          <w:tcPr>
            <w:tcW w:w="239" w:type="pct"/>
            <w:noWrap/>
            <w:hideMark/>
          </w:tcPr>
          <w:p w14:paraId="0D7959F8"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hideMark/>
          </w:tcPr>
          <w:p w14:paraId="037D3D97"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vAlign w:val="center"/>
            <w:hideMark/>
          </w:tcPr>
          <w:p w14:paraId="76B069B2"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vAlign w:val="center"/>
            <w:hideMark/>
          </w:tcPr>
          <w:p w14:paraId="68D3D96F"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22495643"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727F0122"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99" w:type="pct"/>
            <w:shd w:val="clear" w:color="000000" w:fill="D9D9D9"/>
            <w:vAlign w:val="center"/>
            <w:hideMark/>
          </w:tcPr>
          <w:p w14:paraId="0D5B696B"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color w:val="000000"/>
                <w:sz w:val="16"/>
                <w:szCs w:val="16"/>
                <w:lang w:eastAsia="ja-JP" w:bidi="fr-FR"/>
              </w:rPr>
              <w:t> </w:t>
            </w:r>
          </w:p>
        </w:tc>
        <w:tc>
          <w:tcPr>
            <w:tcW w:w="239" w:type="pct"/>
          </w:tcPr>
          <w:p w14:paraId="06E7EF4A"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hideMark/>
          </w:tcPr>
          <w:p w14:paraId="0AD38CF4"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54" w:type="pct"/>
            <w:hideMark/>
          </w:tcPr>
          <w:p w14:paraId="70D3206A"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358" w:type="pct"/>
            <w:hideMark/>
          </w:tcPr>
          <w:p w14:paraId="6E8F700D"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358" w:type="pct"/>
            <w:hideMark/>
          </w:tcPr>
          <w:p w14:paraId="0FCA9225"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358" w:type="pct"/>
            <w:hideMark/>
          </w:tcPr>
          <w:p w14:paraId="69554CD0"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331" w:type="pct"/>
          </w:tcPr>
          <w:p w14:paraId="0870AA52"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r>
      <w:tr w:rsidR="009123AC" w:rsidRPr="00F0379B" w14:paraId="3D143333" w14:textId="77777777" w:rsidTr="00CA749B">
        <w:trPr>
          <w:trHeight w:val="20"/>
          <w:jc w:val="center"/>
        </w:trPr>
        <w:tc>
          <w:tcPr>
            <w:tcW w:w="732" w:type="pct"/>
            <w:noWrap/>
            <w:vAlign w:val="center"/>
            <w:hideMark/>
          </w:tcPr>
          <w:p w14:paraId="4F008ABC"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24"/>
                <w:lang w:eastAsia="fr-FR" w:bidi="fr-FR"/>
              </w:rPr>
            </w:pPr>
            <w:r w:rsidRPr="00F0379B">
              <w:rPr>
                <w:rFonts w:ascii="Cambria" w:eastAsia="MS Gothic" w:hAnsi="Cambria" w:cs="Times New Roman"/>
                <w:b/>
                <w:color w:val="000000"/>
                <w:sz w:val="18"/>
                <w:szCs w:val="24"/>
                <w:lang w:eastAsia="fr-FR" w:bidi="fr-FR"/>
              </w:rPr>
              <w:t>Total flota de palangre</w:t>
            </w:r>
          </w:p>
        </w:tc>
        <w:tc>
          <w:tcPr>
            <w:tcW w:w="359" w:type="pct"/>
            <w:noWrap/>
            <w:vAlign w:val="center"/>
            <w:hideMark/>
          </w:tcPr>
          <w:p w14:paraId="62D722BD" w14:textId="77777777" w:rsidR="009123AC" w:rsidRPr="00F0379B" w:rsidRDefault="009123AC" w:rsidP="009123AC">
            <w:pPr>
              <w:widowControl w:val="0"/>
              <w:spacing w:after="0" w:line="240" w:lineRule="auto"/>
              <w:jc w:val="center"/>
              <w:rPr>
                <w:rFonts w:ascii="Times New Roman" w:eastAsia="MS Gothic" w:hAnsi="Times New Roman" w:cs="Times New Roman"/>
                <w:color w:val="000000"/>
                <w:sz w:val="18"/>
                <w:szCs w:val="24"/>
                <w:lang w:eastAsia="fr-FR" w:bidi="fr-FR"/>
              </w:rPr>
            </w:pPr>
          </w:p>
        </w:tc>
        <w:tc>
          <w:tcPr>
            <w:tcW w:w="239" w:type="pct"/>
          </w:tcPr>
          <w:p w14:paraId="725CA1B2" w14:textId="77777777" w:rsidR="009123AC" w:rsidRPr="00F0379B" w:rsidRDefault="009123AC" w:rsidP="009123AC">
            <w:pPr>
              <w:widowControl w:val="0"/>
              <w:spacing w:after="0" w:line="240" w:lineRule="auto"/>
              <w:jc w:val="right"/>
              <w:rPr>
                <w:rFonts w:ascii="Cambria" w:eastAsia="MS Gothic" w:hAnsi="Cambria" w:cs="Times New Roman"/>
                <w:b/>
                <w:color w:val="000000"/>
                <w:sz w:val="18"/>
                <w:szCs w:val="24"/>
                <w:lang w:eastAsia="fr-FR" w:bidi="fr-FR"/>
              </w:rPr>
            </w:pPr>
            <w:r w:rsidRPr="00F0379B">
              <w:rPr>
                <w:rFonts w:ascii="Cambria" w:eastAsia="MS Gothic" w:hAnsi="Cambria" w:cs="Times New Roman"/>
                <w:sz w:val="18"/>
                <w:szCs w:val="24"/>
                <w:lang w:eastAsia="fr-FR" w:bidi="fr-FR"/>
              </w:rPr>
              <w:t>5</w:t>
            </w:r>
          </w:p>
        </w:tc>
        <w:tc>
          <w:tcPr>
            <w:tcW w:w="239" w:type="pct"/>
            <w:noWrap/>
            <w:vAlign w:val="center"/>
            <w:hideMark/>
          </w:tcPr>
          <w:p w14:paraId="66B41F39"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sz w:val="16"/>
                <w:szCs w:val="16"/>
                <w:lang w:eastAsia="fr-FR" w:bidi="fr-FR"/>
              </w:rPr>
              <w:t>5</w:t>
            </w:r>
          </w:p>
        </w:tc>
        <w:tc>
          <w:tcPr>
            <w:tcW w:w="239" w:type="pct"/>
            <w:vAlign w:val="center"/>
            <w:hideMark/>
          </w:tcPr>
          <w:p w14:paraId="271ECDC3"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sz w:val="16"/>
                <w:szCs w:val="16"/>
                <w:lang w:eastAsia="fr-FR" w:bidi="fr-FR"/>
              </w:rPr>
              <w:t>0</w:t>
            </w:r>
          </w:p>
        </w:tc>
        <w:tc>
          <w:tcPr>
            <w:tcW w:w="239" w:type="pct"/>
            <w:vAlign w:val="center"/>
            <w:hideMark/>
          </w:tcPr>
          <w:p w14:paraId="63C87593"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vAlign w:val="center"/>
            <w:hideMark/>
          </w:tcPr>
          <w:p w14:paraId="1C536A09"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4717A8BF"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71B17A2E"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99" w:type="pct"/>
            <w:shd w:val="clear" w:color="000000" w:fill="D9D9D9"/>
            <w:vAlign w:val="center"/>
            <w:hideMark/>
          </w:tcPr>
          <w:p w14:paraId="40A92BE6"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39" w:type="pct"/>
          </w:tcPr>
          <w:p w14:paraId="3505F3B1"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sz w:val="16"/>
                <w:szCs w:val="16"/>
                <w:lang w:eastAsia="fr-FR" w:bidi="fr-FR"/>
              </w:rPr>
              <w:t>125</w:t>
            </w:r>
          </w:p>
        </w:tc>
        <w:tc>
          <w:tcPr>
            <w:tcW w:w="239" w:type="pct"/>
            <w:vAlign w:val="center"/>
            <w:hideMark/>
          </w:tcPr>
          <w:p w14:paraId="40629EAC"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sz w:val="16"/>
                <w:szCs w:val="16"/>
                <w:lang w:eastAsia="fr-FR" w:bidi="fr-FR"/>
              </w:rPr>
              <w:t>125</w:t>
            </w:r>
          </w:p>
        </w:tc>
        <w:tc>
          <w:tcPr>
            <w:tcW w:w="254" w:type="pct"/>
            <w:vAlign w:val="center"/>
            <w:hideMark/>
          </w:tcPr>
          <w:p w14:paraId="226E105E"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sz w:val="16"/>
                <w:szCs w:val="16"/>
                <w:lang w:val="en-US" w:eastAsia="fr-FR" w:bidi="fr-FR"/>
              </w:rPr>
              <w:t>0</w:t>
            </w:r>
          </w:p>
        </w:tc>
        <w:tc>
          <w:tcPr>
            <w:tcW w:w="358" w:type="pct"/>
            <w:hideMark/>
          </w:tcPr>
          <w:p w14:paraId="73769E7E"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sz w:val="16"/>
                <w:szCs w:val="16"/>
                <w:lang w:val="en-US" w:eastAsia="fr-FR" w:bidi="fr-FR"/>
              </w:rPr>
              <w:t>0</w:t>
            </w:r>
          </w:p>
        </w:tc>
        <w:tc>
          <w:tcPr>
            <w:tcW w:w="358" w:type="pct"/>
            <w:vAlign w:val="center"/>
            <w:hideMark/>
          </w:tcPr>
          <w:p w14:paraId="28AB3864"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sz w:val="16"/>
                <w:szCs w:val="16"/>
                <w:lang w:val="en-US" w:eastAsia="fr-FR" w:bidi="fr-FR"/>
              </w:rPr>
              <w:t>0</w:t>
            </w:r>
          </w:p>
        </w:tc>
        <w:tc>
          <w:tcPr>
            <w:tcW w:w="358" w:type="pct"/>
            <w:vAlign w:val="center"/>
            <w:hideMark/>
          </w:tcPr>
          <w:p w14:paraId="4B9F2E77"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sz w:val="16"/>
                <w:szCs w:val="16"/>
                <w:lang w:val="en-US" w:eastAsia="fr-FR" w:bidi="fr-FR"/>
              </w:rPr>
              <w:t>0</w:t>
            </w:r>
          </w:p>
        </w:tc>
        <w:tc>
          <w:tcPr>
            <w:tcW w:w="331" w:type="pct"/>
            <w:vAlign w:val="center"/>
          </w:tcPr>
          <w:p w14:paraId="34C678C7"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sz w:val="16"/>
                <w:szCs w:val="16"/>
                <w:lang w:val="en-US" w:eastAsia="fr-FR" w:bidi="fr-FR"/>
              </w:rPr>
              <w:t>0</w:t>
            </w:r>
          </w:p>
        </w:tc>
      </w:tr>
      <w:tr w:rsidR="009123AC" w:rsidRPr="00F0379B" w14:paraId="21E6B8BA" w14:textId="77777777" w:rsidTr="00CA749B">
        <w:trPr>
          <w:trHeight w:val="20"/>
          <w:jc w:val="center"/>
        </w:trPr>
        <w:tc>
          <w:tcPr>
            <w:tcW w:w="732" w:type="pct"/>
            <w:noWrap/>
            <w:vAlign w:val="center"/>
            <w:hideMark/>
          </w:tcPr>
          <w:p w14:paraId="4AFCFB40"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Cebo vivo</w:t>
            </w:r>
            <w:r w:rsidRPr="00F0379B">
              <w:rPr>
                <w:rFonts w:ascii="Cambria" w:eastAsia="MS Gothic" w:hAnsi="Cambria" w:cs="Times New Roman"/>
                <w:color w:val="000000"/>
                <w:sz w:val="18"/>
                <w:szCs w:val="24"/>
                <w:vertAlign w:val="superscript"/>
                <w:lang w:eastAsia="fr-FR" w:bidi="fr-FR"/>
              </w:rPr>
              <w:t>3</w:t>
            </w:r>
          </w:p>
        </w:tc>
        <w:tc>
          <w:tcPr>
            <w:tcW w:w="359" w:type="pct"/>
            <w:noWrap/>
            <w:vAlign w:val="center"/>
            <w:hideMark/>
          </w:tcPr>
          <w:p w14:paraId="663FAA47"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19,</w:t>
            </w:r>
            <w:r w:rsidRPr="00F0379B">
              <w:rPr>
                <w:rFonts w:ascii="Cambria" w:eastAsia="Times New Roman" w:hAnsi="Cambria" w:cs="Calibri"/>
                <w:color w:val="000000"/>
                <w:sz w:val="18"/>
                <w:szCs w:val="18"/>
                <w:lang w:eastAsia="ja-JP" w:bidi="fr-FR"/>
              </w:rPr>
              <w:t>75</w:t>
            </w:r>
          </w:p>
        </w:tc>
        <w:tc>
          <w:tcPr>
            <w:tcW w:w="239" w:type="pct"/>
          </w:tcPr>
          <w:p w14:paraId="33745271" w14:textId="77777777" w:rsidR="009123AC" w:rsidRPr="00F0379B" w:rsidRDefault="009123AC" w:rsidP="009123AC">
            <w:pPr>
              <w:widowControl w:val="0"/>
              <w:spacing w:after="0" w:line="240" w:lineRule="auto"/>
              <w:jc w:val="right"/>
              <w:rPr>
                <w:rFonts w:ascii="Cambria" w:eastAsia="MS Gothic" w:hAnsi="Cambria" w:cs="Times New Roman"/>
                <w:b/>
                <w:color w:val="000000"/>
                <w:sz w:val="18"/>
                <w:szCs w:val="24"/>
                <w:lang w:eastAsia="fr-FR" w:bidi="fr-FR"/>
              </w:rPr>
            </w:pPr>
            <w:r w:rsidRPr="00F0379B">
              <w:rPr>
                <w:rFonts w:ascii="Cambria" w:eastAsia="Times New Roman" w:hAnsi="Cambria" w:cs="Calibri"/>
                <w:sz w:val="18"/>
                <w:szCs w:val="18"/>
                <w:lang w:eastAsia="ja-JP"/>
              </w:rPr>
              <w:t>0</w:t>
            </w:r>
          </w:p>
        </w:tc>
        <w:tc>
          <w:tcPr>
            <w:tcW w:w="239" w:type="pct"/>
            <w:noWrap/>
            <w:vAlign w:val="center"/>
            <w:hideMark/>
          </w:tcPr>
          <w:p w14:paraId="108B7B11"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Times New Roman" w:hAnsi="Cambria" w:cs="Calibri"/>
                <w:sz w:val="16"/>
                <w:szCs w:val="16"/>
                <w:lang w:eastAsia="ja-JP"/>
              </w:rPr>
              <w:t>0</w:t>
            </w:r>
          </w:p>
        </w:tc>
        <w:tc>
          <w:tcPr>
            <w:tcW w:w="239" w:type="pct"/>
            <w:vAlign w:val="center"/>
            <w:hideMark/>
          </w:tcPr>
          <w:p w14:paraId="51FCEFA0"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Times New Roman" w:hAnsi="Cambria" w:cs="Calibri"/>
                <w:sz w:val="16"/>
                <w:szCs w:val="16"/>
                <w:lang w:eastAsia="ja-JP"/>
              </w:rPr>
              <w:t>0</w:t>
            </w:r>
          </w:p>
        </w:tc>
        <w:tc>
          <w:tcPr>
            <w:tcW w:w="239" w:type="pct"/>
            <w:vAlign w:val="center"/>
            <w:hideMark/>
          </w:tcPr>
          <w:p w14:paraId="6F81ACA8"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vAlign w:val="center"/>
            <w:hideMark/>
          </w:tcPr>
          <w:p w14:paraId="5CC99992"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3D156FA6"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7A690593"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99" w:type="pct"/>
            <w:shd w:val="clear" w:color="000000" w:fill="D9D9D9"/>
            <w:vAlign w:val="center"/>
            <w:hideMark/>
          </w:tcPr>
          <w:p w14:paraId="2A07C32D"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b/>
                <w:color w:val="000000"/>
                <w:sz w:val="16"/>
                <w:szCs w:val="16"/>
                <w:lang w:eastAsia="fr-FR" w:bidi="fr-FR"/>
              </w:rPr>
              <w:t> </w:t>
            </w:r>
          </w:p>
        </w:tc>
        <w:tc>
          <w:tcPr>
            <w:tcW w:w="239" w:type="pct"/>
          </w:tcPr>
          <w:p w14:paraId="06D7690C"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vAlign w:val="center"/>
            <w:hideMark/>
          </w:tcPr>
          <w:p w14:paraId="10E5A0B8"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54" w:type="pct"/>
            <w:vAlign w:val="center"/>
            <w:hideMark/>
          </w:tcPr>
          <w:p w14:paraId="54535E87"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hideMark/>
          </w:tcPr>
          <w:p w14:paraId="1D5E36EA"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vAlign w:val="center"/>
            <w:hideMark/>
          </w:tcPr>
          <w:p w14:paraId="426D68A1"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vAlign w:val="center"/>
            <w:hideMark/>
          </w:tcPr>
          <w:p w14:paraId="7A53B61C"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31" w:type="pct"/>
            <w:vAlign w:val="center"/>
          </w:tcPr>
          <w:p w14:paraId="787E5744"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r>
      <w:tr w:rsidR="009123AC" w:rsidRPr="00F0379B" w14:paraId="51156C24" w14:textId="77777777" w:rsidTr="00CA749B">
        <w:trPr>
          <w:trHeight w:val="20"/>
          <w:jc w:val="center"/>
        </w:trPr>
        <w:tc>
          <w:tcPr>
            <w:tcW w:w="732" w:type="pct"/>
            <w:noWrap/>
            <w:vAlign w:val="center"/>
            <w:hideMark/>
          </w:tcPr>
          <w:p w14:paraId="2B497623"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Liña de mano</w:t>
            </w:r>
          </w:p>
        </w:tc>
        <w:tc>
          <w:tcPr>
            <w:tcW w:w="359" w:type="pct"/>
            <w:noWrap/>
            <w:vAlign w:val="center"/>
            <w:hideMark/>
          </w:tcPr>
          <w:p w14:paraId="3C45E9E4"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5</w:t>
            </w:r>
          </w:p>
        </w:tc>
        <w:tc>
          <w:tcPr>
            <w:tcW w:w="239" w:type="pct"/>
          </w:tcPr>
          <w:p w14:paraId="612AAD1D"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Times New Roman" w:hAnsi="Cambria" w:cs="Calibri"/>
                <w:sz w:val="18"/>
                <w:szCs w:val="18"/>
                <w:lang w:eastAsia="ja-JP"/>
              </w:rPr>
              <w:t>0</w:t>
            </w:r>
          </w:p>
        </w:tc>
        <w:tc>
          <w:tcPr>
            <w:tcW w:w="239" w:type="pct"/>
            <w:noWrap/>
            <w:vAlign w:val="center"/>
            <w:hideMark/>
          </w:tcPr>
          <w:p w14:paraId="3D4010D8"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vAlign w:val="center"/>
            <w:hideMark/>
          </w:tcPr>
          <w:p w14:paraId="5DD30A1B"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vAlign w:val="center"/>
            <w:hideMark/>
          </w:tcPr>
          <w:p w14:paraId="04378D45"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vAlign w:val="center"/>
            <w:hideMark/>
          </w:tcPr>
          <w:p w14:paraId="62335346"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660EA202"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5A6A110C"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99" w:type="pct"/>
            <w:shd w:val="clear" w:color="000000" w:fill="D9D9D9"/>
            <w:vAlign w:val="center"/>
            <w:hideMark/>
          </w:tcPr>
          <w:p w14:paraId="321CEFE6"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 </w:t>
            </w:r>
          </w:p>
        </w:tc>
        <w:tc>
          <w:tcPr>
            <w:tcW w:w="239" w:type="pct"/>
          </w:tcPr>
          <w:p w14:paraId="1B2C0BAC"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vAlign w:val="center"/>
            <w:hideMark/>
          </w:tcPr>
          <w:p w14:paraId="03C8730B"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54" w:type="pct"/>
            <w:vAlign w:val="center"/>
            <w:hideMark/>
          </w:tcPr>
          <w:p w14:paraId="3BF23142"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hideMark/>
          </w:tcPr>
          <w:p w14:paraId="555876A9"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vAlign w:val="center"/>
            <w:hideMark/>
          </w:tcPr>
          <w:p w14:paraId="3DCD0863"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vAlign w:val="center"/>
            <w:hideMark/>
          </w:tcPr>
          <w:p w14:paraId="7DC79361"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31" w:type="pct"/>
            <w:vAlign w:val="center"/>
          </w:tcPr>
          <w:p w14:paraId="6C6DF323"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r>
      <w:tr w:rsidR="009123AC" w:rsidRPr="00F0379B" w14:paraId="73511844" w14:textId="77777777" w:rsidTr="00CA749B">
        <w:trPr>
          <w:trHeight w:val="20"/>
          <w:jc w:val="center"/>
        </w:trPr>
        <w:tc>
          <w:tcPr>
            <w:tcW w:w="732" w:type="pct"/>
            <w:noWrap/>
            <w:vAlign w:val="center"/>
            <w:hideMark/>
          </w:tcPr>
          <w:p w14:paraId="3DE2869B"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Arrastrero</w:t>
            </w:r>
          </w:p>
        </w:tc>
        <w:tc>
          <w:tcPr>
            <w:tcW w:w="359" w:type="pct"/>
            <w:noWrap/>
            <w:vAlign w:val="center"/>
            <w:hideMark/>
          </w:tcPr>
          <w:p w14:paraId="3652C6DE"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10</w:t>
            </w:r>
          </w:p>
        </w:tc>
        <w:tc>
          <w:tcPr>
            <w:tcW w:w="239" w:type="pct"/>
          </w:tcPr>
          <w:p w14:paraId="20A41555"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Times New Roman" w:hAnsi="Cambria" w:cs="Calibri"/>
                <w:sz w:val="18"/>
                <w:szCs w:val="18"/>
                <w:lang w:eastAsia="ja-JP"/>
              </w:rPr>
              <w:t>0</w:t>
            </w:r>
          </w:p>
        </w:tc>
        <w:tc>
          <w:tcPr>
            <w:tcW w:w="239" w:type="pct"/>
            <w:noWrap/>
            <w:vAlign w:val="center"/>
            <w:hideMark/>
          </w:tcPr>
          <w:p w14:paraId="51D319D2"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vAlign w:val="center"/>
            <w:hideMark/>
          </w:tcPr>
          <w:p w14:paraId="2A92731E"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vAlign w:val="center"/>
            <w:hideMark/>
          </w:tcPr>
          <w:p w14:paraId="4F5719F8"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vAlign w:val="center"/>
            <w:hideMark/>
          </w:tcPr>
          <w:p w14:paraId="5B8C114A"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278027B0"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7A7F62AD"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99" w:type="pct"/>
            <w:shd w:val="clear" w:color="000000" w:fill="D9D9D9"/>
            <w:vAlign w:val="center"/>
            <w:hideMark/>
          </w:tcPr>
          <w:p w14:paraId="03F97B97"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 </w:t>
            </w:r>
          </w:p>
        </w:tc>
        <w:tc>
          <w:tcPr>
            <w:tcW w:w="239" w:type="pct"/>
          </w:tcPr>
          <w:p w14:paraId="15070356"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vAlign w:val="center"/>
            <w:hideMark/>
          </w:tcPr>
          <w:p w14:paraId="4917A58D"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54" w:type="pct"/>
            <w:vAlign w:val="center"/>
            <w:hideMark/>
          </w:tcPr>
          <w:p w14:paraId="2B36EB9D"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hideMark/>
          </w:tcPr>
          <w:p w14:paraId="74F9B442"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vAlign w:val="center"/>
            <w:hideMark/>
          </w:tcPr>
          <w:p w14:paraId="2A853A18"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vAlign w:val="center"/>
            <w:hideMark/>
          </w:tcPr>
          <w:p w14:paraId="541276C5"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31" w:type="pct"/>
            <w:vAlign w:val="center"/>
          </w:tcPr>
          <w:p w14:paraId="63634B6A"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r>
      <w:tr w:rsidR="009123AC" w:rsidRPr="00F0379B" w14:paraId="6C0C7252" w14:textId="77777777" w:rsidTr="00CA749B">
        <w:trPr>
          <w:trHeight w:val="20"/>
          <w:jc w:val="center"/>
        </w:trPr>
        <w:tc>
          <w:tcPr>
            <w:tcW w:w="732" w:type="pct"/>
            <w:noWrap/>
            <w:vAlign w:val="center"/>
            <w:hideMark/>
          </w:tcPr>
          <w:p w14:paraId="091CE516"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Almadraba</w:t>
            </w:r>
          </w:p>
        </w:tc>
        <w:tc>
          <w:tcPr>
            <w:tcW w:w="359" w:type="pct"/>
            <w:noWrap/>
            <w:vAlign w:val="center"/>
            <w:hideMark/>
          </w:tcPr>
          <w:p w14:paraId="348D448D"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130</w:t>
            </w:r>
          </w:p>
        </w:tc>
        <w:tc>
          <w:tcPr>
            <w:tcW w:w="239" w:type="pct"/>
          </w:tcPr>
          <w:p w14:paraId="2A8B9A9C" w14:textId="77777777" w:rsidR="009123AC" w:rsidRPr="00F0379B" w:rsidRDefault="009123AC" w:rsidP="009123AC">
            <w:pPr>
              <w:widowControl w:val="0"/>
              <w:spacing w:after="0" w:line="240" w:lineRule="auto"/>
              <w:jc w:val="right"/>
              <w:rPr>
                <w:rFonts w:ascii="Cambria" w:eastAsia="MS Gothic" w:hAnsi="Cambria" w:cs="Times New Roman"/>
                <w:b/>
                <w:color w:val="000000"/>
                <w:sz w:val="18"/>
                <w:szCs w:val="24"/>
                <w:lang w:eastAsia="fr-FR" w:bidi="fr-FR"/>
              </w:rPr>
            </w:pPr>
            <w:r w:rsidRPr="00F0379B">
              <w:rPr>
                <w:rFonts w:ascii="Cambria" w:eastAsia="Times New Roman" w:hAnsi="Cambria" w:cs="Calibri"/>
                <w:sz w:val="18"/>
                <w:szCs w:val="18"/>
                <w:lang w:eastAsia="ja-JP"/>
              </w:rPr>
              <w:t>0</w:t>
            </w:r>
          </w:p>
        </w:tc>
        <w:tc>
          <w:tcPr>
            <w:tcW w:w="239" w:type="pct"/>
            <w:noWrap/>
            <w:vAlign w:val="center"/>
            <w:hideMark/>
          </w:tcPr>
          <w:p w14:paraId="48B70DCA"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Times New Roman" w:hAnsi="Cambria" w:cs="Calibri"/>
                <w:sz w:val="16"/>
                <w:szCs w:val="16"/>
                <w:lang w:eastAsia="ja-JP"/>
              </w:rPr>
              <w:t>0</w:t>
            </w:r>
          </w:p>
        </w:tc>
        <w:tc>
          <w:tcPr>
            <w:tcW w:w="239" w:type="pct"/>
            <w:vAlign w:val="center"/>
            <w:hideMark/>
          </w:tcPr>
          <w:p w14:paraId="3198E449"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Times New Roman" w:hAnsi="Cambria" w:cs="Calibri"/>
                <w:sz w:val="16"/>
                <w:szCs w:val="16"/>
                <w:lang w:eastAsia="ja-JP"/>
              </w:rPr>
              <w:t>0</w:t>
            </w:r>
          </w:p>
        </w:tc>
        <w:tc>
          <w:tcPr>
            <w:tcW w:w="239" w:type="pct"/>
            <w:vAlign w:val="center"/>
            <w:hideMark/>
          </w:tcPr>
          <w:p w14:paraId="517A9F8F"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vAlign w:val="center"/>
            <w:hideMark/>
          </w:tcPr>
          <w:p w14:paraId="6847FF06"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2D0F6D5C"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43E336A4"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99" w:type="pct"/>
            <w:shd w:val="clear" w:color="000000" w:fill="D9D9D9"/>
            <w:vAlign w:val="center"/>
            <w:hideMark/>
          </w:tcPr>
          <w:p w14:paraId="7EB411B5"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MS Gothic" w:hAnsi="Cambria" w:cs="Times New Roman"/>
                <w:b/>
                <w:color w:val="000000"/>
                <w:sz w:val="16"/>
                <w:szCs w:val="16"/>
                <w:lang w:eastAsia="fr-FR" w:bidi="fr-FR"/>
              </w:rPr>
              <w:t> </w:t>
            </w:r>
          </w:p>
        </w:tc>
        <w:tc>
          <w:tcPr>
            <w:tcW w:w="239" w:type="pct"/>
          </w:tcPr>
          <w:p w14:paraId="5D184EAE"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39" w:type="pct"/>
            <w:vAlign w:val="center"/>
            <w:hideMark/>
          </w:tcPr>
          <w:p w14:paraId="088F41DB"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eastAsia="ja-JP"/>
              </w:rPr>
              <w:t>0</w:t>
            </w:r>
          </w:p>
        </w:tc>
        <w:tc>
          <w:tcPr>
            <w:tcW w:w="254" w:type="pct"/>
            <w:vAlign w:val="center"/>
            <w:hideMark/>
          </w:tcPr>
          <w:p w14:paraId="7ADE1D76"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hideMark/>
          </w:tcPr>
          <w:p w14:paraId="361D2CD5"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vAlign w:val="center"/>
            <w:hideMark/>
          </w:tcPr>
          <w:p w14:paraId="184DAFB0"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58" w:type="pct"/>
            <w:vAlign w:val="center"/>
            <w:hideMark/>
          </w:tcPr>
          <w:p w14:paraId="7759B146"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c>
          <w:tcPr>
            <w:tcW w:w="331" w:type="pct"/>
            <w:vAlign w:val="center"/>
          </w:tcPr>
          <w:p w14:paraId="46F2CF6D"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sz w:val="16"/>
                <w:szCs w:val="16"/>
                <w:lang w:val="en-US" w:eastAsia="ja-JP"/>
              </w:rPr>
              <w:t>0</w:t>
            </w:r>
          </w:p>
        </w:tc>
      </w:tr>
      <w:tr w:rsidR="009123AC" w:rsidRPr="00F0379B" w14:paraId="1FFE1A45" w14:textId="77777777" w:rsidTr="00CA749B">
        <w:trPr>
          <w:trHeight w:val="20"/>
          <w:jc w:val="center"/>
        </w:trPr>
        <w:tc>
          <w:tcPr>
            <w:tcW w:w="732" w:type="pct"/>
            <w:noWrap/>
            <w:vAlign w:val="center"/>
          </w:tcPr>
          <w:p w14:paraId="348A98F1"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24"/>
                <w:lang w:eastAsia="fr-FR" w:bidi="fr-FR"/>
              </w:rPr>
            </w:pPr>
            <w:r w:rsidRPr="00F0379B">
              <w:rPr>
                <w:rFonts w:ascii="Cambria" w:eastAsia="Times New Roman" w:hAnsi="Cambria" w:cs="Calibri"/>
                <w:color w:val="000000"/>
                <w:sz w:val="18"/>
                <w:szCs w:val="18"/>
                <w:lang w:eastAsia="ja-JP" w:bidi="fr-FR"/>
              </w:rPr>
              <w:t>Pequeños Barcos costeros</w:t>
            </w:r>
          </w:p>
        </w:tc>
        <w:tc>
          <w:tcPr>
            <w:tcW w:w="359" w:type="pct"/>
            <w:noWrap/>
            <w:vAlign w:val="center"/>
          </w:tcPr>
          <w:p w14:paraId="441A37C8"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24"/>
                <w:lang w:eastAsia="fr-FR" w:bidi="fr-FR"/>
              </w:rPr>
            </w:pPr>
            <w:r w:rsidRPr="00F0379B">
              <w:rPr>
                <w:rFonts w:ascii="Cambria" w:eastAsia="Times New Roman" w:hAnsi="Cambria" w:cs="Calibri"/>
                <w:color w:val="000000"/>
                <w:sz w:val="18"/>
                <w:szCs w:val="18"/>
                <w:lang w:eastAsia="ja-JP" w:bidi="fr-FR"/>
              </w:rPr>
              <w:t>N/A</w:t>
            </w:r>
          </w:p>
        </w:tc>
        <w:tc>
          <w:tcPr>
            <w:tcW w:w="239" w:type="pct"/>
          </w:tcPr>
          <w:p w14:paraId="3CDAD284" w14:textId="77777777" w:rsidR="009123AC" w:rsidRPr="00F0379B" w:rsidRDefault="009123AC" w:rsidP="009123AC">
            <w:pPr>
              <w:widowControl w:val="0"/>
              <w:spacing w:after="0" w:line="240" w:lineRule="auto"/>
              <w:jc w:val="right"/>
              <w:rPr>
                <w:rFonts w:ascii="Cambria" w:eastAsia="Times New Roman" w:hAnsi="Cambria" w:cs="Calibri"/>
                <w:sz w:val="18"/>
                <w:szCs w:val="18"/>
                <w:lang w:eastAsia="ja-JP"/>
              </w:rPr>
            </w:pPr>
            <w:r w:rsidRPr="00F0379B">
              <w:rPr>
                <w:rFonts w:ascii="Cambria" w:eastAsia="Times New Roman" w:hAnsi="Cambria" w:cs="Calibri"/>
                <w:sz w:val="18"/>
                <w:szCs w:val="18"/>
                <w:lang w:eastAsia="ja-JP"/>
              </w:rPr>
              <w:t>0</w:t>
            </w:r>
          </w:p>
        </w:tc>
        <w:tc>
          <w:tcPr>
            <w:tcW w:w="239" w:type="pct"/>
            <w:noWrap/>
            <w:vAlign w:val="center"/>
          </w:tcPr>
          <w:p w14:paraId="31CAEA25" w14:textId="77777777" w:rsidR="009123AC" w:rsidRPr="00F0379B" w:rsidRDefault="009123AC" w:rsidP="009123AC">
            <w:pPr>
              <w:widowControl w:val="0"/>
              <w:spacing w:after="0" w:line="240" w:lineRule="auto"/>
              <w:jc w:val="right"/>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0</w:t>
            </w:r>
          </w:p>
        </w:tc>
        <w:tc>
          <w:tcPr>
            <w:tcW w:w="239" w:type="pct"/>
            <w:vAlign w:val="center"/>
          </w:tcPr>
          <w:p w14:paraId="50855F43" w14:textId="77777777" w:rsidR="009123AC" w:rsidRPr="00F0379B" w:rsidRDefault="009123AC" w:rsidP="009123AC">
            <w:pPr>
              <w:widowControl w:val="0"/>
              <w:spacing w:after="0" w:line="240" w:lineRule="auto"/>
              <w:jc w:val="right"/>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0</w:t>
            </w:r>
          </w:p>
        </w:tc>
        <w:tc>
          <w:tcPr>
            <w:tcW w:w="239" w:type="pct"/>
            <w:vAlign w:val="center"/>
          </w:tcPr>
          <w:p w14:paraId="27A474AB"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vAlign w:val="center"/>
          </w:tcPr>
          <w:p w14:paraId="6B1C8A1A"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40EAFA50"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239" w:type="pct"/>
          </w:tcPr>
          <w:p w14:paraId="11919413"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MS Gothic" w:hAnsi="Cambria" w:cs="Times New Roman"/>
                <w:color w:val="000000"/>
                <w:sz w:val="16"/>
                <w:szCs w:val="16"/>
                <w:lang w:eastAsia="fr-FR" w:bidi="fr-FR"/>
              </w:rPr>
              <w:t>0</w:t>
            </w:r>
          </w:p>
        </w:tc>
        <w:tc>
          <w:tcPr>
            <w:tcW w:w="99" w:type="pct"/>
            <w:shd w:val="clear" w:color="000000" w:fill="D9D9D9"/>
            <w:vAlign w:val="center"/>
          </w:tcPr>
          <w:p w14:paraId="18EA5B8C" w14:textId="77777777" w:rsidR="009123AC" w:rsidRPr="00F0379B" w:rsidRDefault="009123AC" w:rsidP="009123AC">
            <w:pPr>
              <w:widowControl w:val="0"/>
              <w:spacing w:after="0" w:line="240" w:lineRule="auto"/>
              <w:jc w:val="right"/>
              <w:rPr>
                <w:rFonts w:ascii="Cambria" w:eastAsia="MS Gothic" w:hAnsi="Cambria" w:cs="Times New Roman"/>
                <w:b/>
                <w:color w:val="000000"/>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39" w:type="pct"/>
          </w:tcPr>
          <w:p w14:paraId="71C6B7A3" w14:textId="77777777" w:rsidR="009123AC" w:rsidRPr="00F0379B" w:rsidRDefault="009123AC" w:rsidP="009123AC">
            <w:pPr>
              <w:widowControl w:val="0"/>
              <w:spacing w:after="0" w:line="240" w:lineRule="auto"/>
              <w:jc w:val="right"/>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0</w:t>
            </w:r>
          </w:p>
        </w:tc>
        <w:tc>
          <w:tcPr>
            <w:tcW w:w="239" w:type="pct"/>
            <w:vAlign w:val="center"/>
          </w:tcPr>
          <w:p w14:paraId="6F7FE7BE" w14:textId="77777777" w:rsidR="009123AC" w:rsidRPr="00F0379B" w:rsidRDefault="009123AC" w:rsidP="009123AC">
            <w:pPr>
              <w:widowControl w:val="0"/>
              <w:spacing w:after="0" w:line="240" w:lineRule="auto"/>
              <w:jc w:val="right"/>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0</w:t>
            </w:r>
          </w:p>
        </w:tc>
        <w:tc>
          <w:tcPr>
            <w:tcW w:w="254" w:type="pct"/>
            <w:vAlign w:val="center"/>
          </w:tcPr>
          <w:p w14:paraId="18EA43DC" w14:textId="77777777" w:rsidR="009123AC" w:rsidRPr="00F0379B" w:rsidRDefault="009123AC" w:rsidP="009123AC">
            <w:pPr>
              <w:widowControl w:val="0"/>
              <w:spacing w:after="0" w:line="240" w:lineRule="auto"/>
              <w:jc w:val="right"/>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0</w:t>
            </w:r>
          </w:p>
        </w:tc>
        <w:tc>
          <w:tcPr>
            <w:tcW w:w="358" w:type="pct"/>
          </w:tcPr>
          <w:p w14:paraId="6E3A0EAF" w14:textId="77777777" w:rsidR="009123AC" w:rsidRPr="00F0379B" w:rsidRDefault="009123AC" w:rsidP="009123AC">
            <w:pPr>
              <w:widowControl w:val="0"/>
              <w:spacing w:after="0" w:line="240" w:lineRule="auto"/>
              <w:jc w:val="right"/>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0</w:t>
            </w:r>
          </w:p>
        </w:tc>
        <w:tc>
          <w:tcPr>
            <w:tcW w:w="358" w:type="pct"/>
            <w:vAlign w:val="center"/>
          </w:tcPr>
          <w:p w14:paraId="44523F84" w14:textId="77777777" w:rsidR="009123AC" w:rsidRPr="00F0379B" w:rsidRDefault="009123AC" w:rsidP="009123AC">
            <w:pPr>
              <w:widowControl w:val="0"/>
              <w:spacing w:after="0" w:line="240" w:lineRule="auto"/>
              <w:jc w:val="right"/>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0</w:t>
            </w:r>
          </w:p>
        </w:tc>
        <w:tc>
          <w:tcPr>
            <w:tcW w:w="358" w:type="pct"/>
            <w:vAlign w:val="center"/>
          </w:tcPr>
          <w:p w14:paraId="225B932E" w14:textId="77777777" w:rsidR="009123AC" w:rsidRPr="00F0379B" w:rsidRDefault="009123AC" w:rsidP="009123AC">
            <w:pPr>
              <w:widowControl w:val="0"/>
              <w:spacing w:after="0" w:line="240" w:lineRule="auto"/>
              <w:jc w:val="right"/>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0</w:t>
            </w:r>
          </w:p>
        </w:tc>
        <w:tc>
          <w:tcPr>
            <w:tcW w:w="331" w:type="pct"/>
            <w:vAlign w:val="center"/>
          </w:tcPr>
          <w:p w14:paraId="2E2A1897" w14:textId="77777777" w:rsidR="009123AC" w:rsidRPr="00F0379B" w:rsidRDefault="009123AC" w:rsidP="009123AC">
            <w:pPr>
              <w:widowControl w:val="0"/>
              <w:spacing w:after="0" w:line="240" w:lineRule="auto"/>
              <w:jc w:val="right"/>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0</w:t>
            </w:r>
          </w:p>
        </w:tc>
      </w:tr>
      <w:tr w:rsidR="009123AC" w:rsidRPr="00F0379B" w14:paraId="7D84A019" w14:textId="77777777" w:rsidTr="00CA749B">
        <w:trPr>
          <w:trHeight w:val="20"/>
          <w:jc w:val="center"/>
        </w:trPr>
        <w:tc>
          <w:tcPr>
            <w:tcW w:w="732" w:type="pct"/>
            <w:noWrap/>
            <w:vAlign w:val="center"/>
          </w:tcPr>
          <w:p w14:paraId="7242927E"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r w:rsidRPr="00F0379B">
              <w:rPr>
                <w:rFonts w:ascii="Cambria" w:eastAsia="MS Gothic" w:hAnsi="Cambria" w:cs="Times New Roman"/>
                <w:color w:val="000000"/>
                <w:sz w:val="18"/>
                <w:szCs w:val="24"/>
                <w:lang w:eastAsia="fr-FR" w:bidi="fr-FR"/>
              </w:rPr>
              <w:t>Otros (especificar)</w:t>
            </w:r>
          </w:p>
        </w:tc>
        <w:tc>
          <w:tcPr>
            <w:tcW w:w="359" w:type="pct"/>
            <w:noWrap/>
            <w:vAlign w:val="center"/>
          </w:tcPr>
          <w:p w14:paraId="7EFAEC46"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r w:rsidRPr="00F0379B">
              <w:rPr>
                <w:rFonts w:ascii="Cambria" w:eastAsia="Times New Roman" w:hAnsi="Cambria" w:cs="Calibri"/>
                <w:color w:val="000000"/>
                <w:sz w:val="18"/>
                <w:szCs w:val="18"/>
                <w:lang w:eastAsia="ja-JP" w:bidi="fr-FR"/>
              </w:rPr>
              <w:t>5</w:t>
            </w:r>
          </w:p>
        </w:tc>
        <w:tc>
          <w:tcPr>
            <w:tcW w:w="239" w:type="pct"/>
          </w:tcPr>
          <w:p w14:paraId="7B47270C" w14:textId="77777777" w:rsidR="009123AC" w:rsidRPr="00F0379B" w:rsidRDefault="009123AC" w:rsidP="009123AC">
            <w:pPr>
              <w:widowControl w:val="0"/>
              <w:spacing w:after="0" w:line="240" w:lineRule="auto"/>
              <w:jc w:val="right"/>
              <w:rPr>
                <w:rFonts w:ascii="Cambria" w:eastAsia="Times New Roman" w:hAnsi="Cambria" w:cs="Calibri"/>
                <w:sz w:val="18"/>
                <w:szCs w:val="18"/>
                <w:lang w:eastAsia="ja-JP"/>
              </w:rPr>
            </w:pPr>
          </w:p>
        </w:tc>
        <w:tc>
          <w:tcPr>
            <w:tcW w:w="239" w:type="pct"/>
            <w:noWrap/>
            <w:vAlign w:val="center"/>
          </w:tcPr>
          <w:p w14:paraId="73B1EDAB" w14:textId="77777777" w:rsidR="009123AC" w:rsidRPr="00F0379B" w:rsidRDefault="009123AC" w:rsidP="009123AC">
            <w:pPr>
              <w:widowControl w:val="0"/>
              <w:spacing w:after="0" w:line="240" w:lineRule="auto"/>
              <w:jc w:val="right"/>
              <w:rPr>
                <w:rFonts w:ascii="Cambria" w:eastAsia="Times New Roman" w:hAnsi="Cambria" w:cs="Calibri"/>
                <w:sz w:val="18"/>
                <w:szCs w:val="18"/>
                <w:lang w:eastAsia="ja-JP"/>
              </w:rPr>
            </w:pPr>
          </w:p>
        </w:tc>
        <w:tc>
          <w:tcPr>
            <w:tcW w:w="239" w:type="pct"/>
            <w:vAlign w:val="center"/>
          </w:tcPr>
          <w:p w14:paraId="0BF7B222" w14:textId="77777777" w:rsidR="009123AC" w:rsidRPr="00F0379B" w:rsidRDefault="009123AC" w:rsidP="009123AC">
            <w:pPr>
              <w:widowControl w:val="0"/>
              <w:spacing w:after="0" w:line="240" w:lineRule="auto"/>
              <w:jc w:val="right"/>
              <w:rPr>
                <w:rFonts w:ascii="Cambria" w:eastAsia="Times New Roman" w:hAnsi="Cambria" w:cs="Calibri"/>
                <w:sz w:val="18"/>
                <w:szCs w:val="18"/>
                <w:lang w:eastAsia="ja-JP"/>
              </w:rPr>
            </w:pPr>
          </w:p>
        </w:tc>
        <w:tc>
          <w:tcPr>
            <w:tcW w:w="239" w:type="pct"/>
            <w:vAlign w:val="center"/>
          </w:tcPr>
          <w:p w14:paraId="38798351"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vAlign w:val="center"/>
          </w:tcPr>
          <w:p w14:paraId="28AF8069"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6FDE08A5"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33FE8D3D"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99" w:type="pct"/>
            <w:shd w:val="clear" w:color="000000" w:fill="D9D9D9"/>
            <w:vAlign w:val="center"/>
          </w:tcPr>
          <w:p w14:paraId="477D3B32" w14:textId="77777777" w:rsidR="009123AC" w:rsidRPr="00F0379B" w:rsidRDefault="009123AC" w:rsidP="009123AC">
            <w:pPr>
              <w:widowControl w:val="0"/>
              <w:spacing w:after="0" w:line="240" w:lineRule="auto"/>
              <w:jc w:val="right"/>
              <w:rPr>
                <w:rFonts w:ascii="Cambria" w:eastAsia="Times New Roman" w:hAnsi="Cambria" w:cs="Calibri"/>
                <w:b/>
                <w:bCs/>
                <w:color w:val="000000"/>
                <w:sz w:val="18"/>
                <w:szCs w:val="18"/>
                <w:lang w:eastAsia="ja-JP" w:bidi="fr-FR"/>
              </w:rPr>
            </w:pPr>
          </w:p>
        </w:tc>
        <w:tc>
          <w:tcPr>
            <w:tcW w:w="239" w:type="pct"/>
          </w:tcPr>
          <w:p w14:paraId="2A54C56E" w14:textId="77777777" w:rsidR="009123AC" w:rsidRPr="00F0379B" w:rsidRDefault="009123AC" w:rsidP="009123AC">
            <w:pPr>
              <w:widowControl w:val="0"/>
              <w:spacing w:after="0" w:line="240" w:lineRule="auto"/>
              <w:jc w:val="right"/>
              <w:rPr>
                <w:rFonts w:ascii="Cambria" w:eastAsia="Times New Roman" w:hAnsi="Cambria" w:cs="Calibri"/>
                <w:sz w:val="18"/>
                <w:szCs w:val="18"/>
                <w:lang w:eastAsia="ja-JP"/>
              </w:rPr>
            </w:pPr>
          </w:p>
        </w:tc>
        <w:tc>
          <w:tcPr>
            <w:tcW w:w="239" w:type="pct"/>
            <w:vAlign w:val="center"/>
          </w:tcPr>
          <w:p w14:paraId="1126E5C1" w14:textId="77777777" w:rsidR="009123AC" w:rsidRPr="00F0379B" w:rsidRDefault="009123AC" w:rsidP="009123AC">
            <w:pPr>
              <w:widowControl w:val="0"/>
              <w:spacing w:after="0" w:line="240" w:lineRule="auto"/>
              <w:jc w:val="right"/>
              <w:rPr>
                <w:rFonts w:ascii="Cambria" w:eastAsia="Times New Roman" w:hAnsi="Cambria" w:cs="Calibri"/>
                <w:sz w:val="18"/>
                <w:szCs w:val="18"/>
                <w:lang w:eastAsia="ja-JP"/>
              </w:rPr>
            </w:pPr>
          </w:p>
        </w:tc>
        <w:tc>
          <w:tcPr>
            <w:tcW w:w="254" w:type="pct"/>
            <w:vAlign w:val="center"/>
          </w:tcPr>
          <w:p w14:paraId="1C48D9F5" w14:textId="77777777" w:rsidR="009123AC" w:rsidRPr="00F0379B" w:rsidRDefault="009123AC" w:rsidP="009123AC">
            <w:pPr>
              <w:widowControl w:val="0"/>
              <w:spacing w:after="0" w:line="240" w:lineRule="auto"/>
              <w:jc w:val="right"/>
              <w:rPr>
                <w:rFonts w:ascii="Cambria" w:eastAsia="Times New Roman" w:hAnsi="Cambria" w:cs="Calibri"/>
                <w:sz w:val="18"/>
                <w:szCs w:val="18"/>
                <w:lang w:val="en-US" w:eastAsia="ja-JP"/>
              </w:rPr>
            </w:pPr>
          </w:p>
        </w:tc>
        <w:tc>
          <w:tcPr>
            <w:tcW w:w="358" w:type="pct"/>
          </w:tcPr>
          <w:p w14:paraId="31DE525D" w14:textId="77777777" w:rsidR="009123AC" w:rsidRPr="00F0379B" w:rsidRDefault="009123AC" w:rsidP="009123AC">
            <w:pPr>
              <w:widowControl w:val="0"/>
              <w:spacing w:after="0" w:line="240" w:lineRule="auto"/>
              <w:jc w:val="right"/>
              <w:rPr>
                <w:rFonts w:ascii="Cambria" w:eastAsia="Times New Roman" w:hAnsi="Cambria" w:cs="Calibri"/>
                <w:sz w:val="18"/>
                <w:szCs w:val="18"/>
                <w:lang w:val="en-US" w:eastAsia="ja-JP"/>
              </w:rPr>
            </w:pPr>
          </w:p>
        </w:tc>
        <w:tc>
          <w:tcPr>
            <w:tcW w:w="358" w:type="pct"/>
            <w:vAlign w:val="center"/>
          </w:tcPr>
          <w:p w14:paraId="390A82C4" w14:textId="77777777" w:rsidR="009123AC" w:rsidRPr="00F0379B" w:rsidRDefault="009123AC" w:rsidP="009123AC">
            <w:pPr>
              <w:widowControl w:val="0"/>
              <w:spacing w:after="0" w:line="240" w:lineRule="auto"/>
              <w:jc w:val="right"/>
              <w:rPr>
                <w:rFonts w:ascii="Cambria" w:eastAsia="Times New Roman" w:hAnsi="Cambria" w:cs="Calibri"/>
                <w:sz w:val="18"/>
                <w:szCs w:val="18"/>
                <w:lang w:val="en-US" w:eastAsia="ja-JP"/>
              </w:rPr>
            </w:pPr>
          </w:p>
        </w:tc>
        <w:tc>
          <w:tcPr>
            <w:tcW w:w="358" w:type="pct"/>
            <w:vAlign w:val="center"/>
          </w:tcPr>
          <w:p w14:paraId="63476FE5" w14:textId="77777777" w:rsidR="009123AC" w:rsidRPr="00F0379B" w:rsidRDefault="009123AC" w:rsidP="009123AC">
            <w:pPr>
              <w:widowControl w:val="0"/>
              <w:spacing w:after="0" w:line="240" w:lineRule="auto"/>
              <w:jc w:val="right"/>
              <w:rPr>
                <w:rFonts w:ascii="Cambria" w:eastAsia="Times New Roman" w:hAnsi="Cambria" w:cs="Calibri"/>
                <w:sz w:val="18"/>
                <w:szCs w:val="18"/>
                <w:lang w:val="en-US" w:eastAsia="ja-JP"/>
              </w:rPr>
            </w:pPr>
          </w:p>
        </w:tc>
        <w:tc>
          <w:tcPr>
            <w:tcW w:w="331" w:type="pct"/>
            <w:vAlign w:val="center"/>
          </w:tcPr>
          <w:p w14:paraId="469C8419" w14:textId="77777777" w:rsidR="009123AC" w:rsidRPr="00F0379B" w:rsidRDefault="009123AC" w:rsidP="009123AC">
            <w:pPr>
              <w:widowControl w:val="0"/>
              <w:spacing w:after="0" w:line="240" w:lineRule="auto"/>
              <w:jc w:val="right"/>
              <w:rPr>
                <w:rFonts w:ascii="Cambria" w:eastAsia="Times New Roman" w:hAnsi="Cambria" w:cs="Calibri"/>
                <w:sz w:val="18"/>
                <w:szCs w:val="18"/>
                <w:lang w:val="en-US" w:eastAsia="ja-JP"/>
              </w:rPr>
            </w:pPr>
          </w:p>
        </w:tc>
      </w:tr>
      <w:tr w:rsidR="009123AC" w:rsidRPr="00F0379B" w14:paraId="78DDF6E0" w14:textId="77777777" w:rsidTr="00CA749B">
        <w:trPr>
          <w:trHeight w:val="271"/>
          <w:jc w:val="center"/>
        </w:trPr>
        <w:tc>
          <w:tcPr>
            <w:tcW w:w="732" w:type="pct"/>
            <w:noWrap/>
            <w:vAlign w:val="center"/>
          </w:tcPr>
          <w:p w14:paraId="63FEEA4C"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r w:rsidRPr="00F0379B">
              <w:rPr>
                <w:rFonts w:ascii="Cambria" w:eastAsia="MS Gothic" w:hAnsi="Cambria" w:cs="Times New Roman"/>
                <w:b/>
                <w:color w:val="000000"/>
                <w:sz w:val="18"/>
                <w:szCs w:val="24"/>
                <w:lang w:eastAsia="fr-FR" w:bidi="fr-FR"/>
              </w:rPr>
              <w:t>Capacidad pesquera/flota total</w:t>
            </w:r>
          </w:p>
        </w:tc>
        <w:tc>
          <w:tcPr>
            <w:tcW w:w="359" w:type="pct"/>
            <w:noWrap/>
            <w:vAlign w:val="center"/>
          </w:tcPr>
          <w:p w14:paraId="456F5255" w14:textId="77777777" w:rsidR="009123AC" w:rsidRPr="00F0379B" w:rsidRDefault="009123AC" w:rsidP="009123AC">
            <w:pPr>
              <w:widowControl w:val="0"/>
              <w:spacing w:after="0" w:line="240" w:lineRule="auto"/>
              <w:jc w:val="right"/>
              <w:rPr>
                <w:rFonts w:ascii="Cambria" w:eastAsia="Times New Roman" w:hAnsi="Cambria" w:cs="Calibri"/>
                <w:color w:val="000000"/>
                <w:sz w:val="18"/>
                <w:szCs w:val="18"/>
                <w:lang w:eastAsia="ja-JP" w:bidi="fr-FR"/>
              </w:rPr>
            </w:pPr>
            <w:r w:rsidRPr="00F0379B">
              <w:rPr>
                <w:rFonts w:ascii="Cambria" w:eastAsia="MS Gothic" w:hAnsi="Cambria" w:cs="Times New Roman"/>
                <w:color w:val="000000"/>
                <w:sz w:val="18"/>
                <w:szCs w:val="24"/>
                <w:lang w:eastAsia="fr-FR" w:bidi="fr-FR"/>
              </w:rPr>
              <w:t> </w:t>
            </w:r>
          </w:p>
        </w:tc>
        <w:tc>
          <w:tcPr>
            <w:tcW w:w="239" w:type="pct"/>
          </w:tcPr>
          <w:p w14:paraId="5AB64FDC" w14:textId="77777777" w:rsidR="009123AC" w:rsidRPr="00F0379B" w:rsidRDefault="009123AC" w:rsidP="009123AC">
            <w:pPr>
              <w:widowControl w:val="0"/>
              <w:spacing w:after="0" w:line="240" w:lineRule="auto"/>
              <w:jc w:val="right"/>
              <w:rPr>
                <w:rFonts w:ascii="Cambria" w:eastAsia="Times New Roman" w:hAnsi="Cambria" w:cs="Calibri"/>
                <w:sz w:val="18"/>
                <w:szCs w:val="18"/>
                <w:lang w:eastAsia="ja-JP"/>
              </w:rPr>
            </w:pPr>
            <w:r w:rsidRPr="00F0379B">
              <w:rPr>
                <w:rFonts w:ascii="Cambria" w:eastAsia="MS Gothic" w:hAnsi="Cambria" w:cs="Times New Roman"/>
                <w:sz w:val="18"/>
                <w:szCs w:val="24"/>
                <w:lang w:eastAsia="fr-FR" w:bidi="fr-FR"/>
              </w:rPr>
              <w:t>38</w:t>
            </w:r>
          </w:p>
        </w:tc>
        <w:tc>
          <w:tcPr>
            <w:tcW w:w="239" w:type="pct"/>
            <w:noWrap/>
            <w:vAlign w:val="center"/>
          </w:tcPr>
          <w:p w14:paraId="1F22819E" w14:textId="77777777" w:rsidR="009123AC" w:rsidRPr="00F0379B" w:rsidRDefault="009123AC" w:rsidP="009123AC">
            <w:pPr>
              <w:widowControl w:val="0"/>
              <w:spacing w:after="0" w:line="240" w:lineRule="auto"/>
              <w:jc w:val="right"/>
              <w:rPr>
                <w:rFonts w:ascii="Cambria" w:eastAsia="Times New Roman" w:hAnsi="Cambria" w:cs="Calibri"/>
                <w:sz w:val="18"/>
                <w:szCs w:val="18"/>
                <w:lang w:eastAsia="ja-JP"/>
              </w:rPr>
            </w:pPr>
            <w:r w:rsidRPr="00F0379B">
              <w:rPr>
                <w:rFonts w:ascii="Cambria" w:eastAsia="MS Gothic" w:hAnsi="Cambria" w:cs="Times New Roman"/>
                <w:sz w:val="18"/>
                <w:szCs w:val="24"/>
                <w:lang w:eastAsia="fr-FR" w:bidi="fr-FR"/>
              </w:rPr>
              <w:t>38</w:t>
            </w:r>
          </w:p>
        </w:tc>
        <w:tc>
          <w:tcPr>
            <w:tcW w:w="239" w:type="pct"/>
            <w:vAlign w:val="center"/>
          </w:tcPr>
          <w:p w14:paraId="09D343F2" w14:textId="77777777" w:rsidR="009123AC" w:rsidRPr="00F0379B" w:rsidRDefault="009123AC" w:rsidP="009123AC">
            <w:pPr>
              <w:widowControl w:val="0"/>
              <w:spacing w:after="0" w:line="240" w:lineRule="auto"/>
              <w:jc w:val="right"/>
              <w:rPr>
                <w:rFonts w:ascii="Cambria" w:eastAsia="Times New Roman" w:hAnsi="Cambria" w:cs="Calibri"/>
                <w:sz w:val="18"/>
                <w:szCs w:val="18"/>
                <w:lang w:eastAsia="ja-JP"/>
              </w:rPr>
            </w:pPr>
            <w:r w:rsidRPr="00F0379B">
              <w:rPr>
                <w:rFonts w:ascii="Cambria" w:eastAsia="MS Gothic" w:hAnsi="Cambria" w:cs="Times New Roman"/>
                <w:sz w:val="18"/>
                <w:szCs w:val="24"/>
                <w:lang w:eastAsia="fr-FR" w:bidi="fr-FR"/>
              </w:rPr>
              <w:t>15</w:t>
            </w:r>
          </w:p>
        </w:tc>
        <w:tc>
          <w:tcPr>
            <w:tcW w:w="239" w:type="pct"/>
            <w:vAlign w:val="center"/>
          </w:tcPr>
          <w:p w14:paraId="08E26193"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15</w:t>
            </w:r>
          </w:p>
        </w:tc>
        <w:tc>
          <w:tcPr>
            <w:tcW w:w="239" w:type="pct"/>
            <w:vAlign w:val="center"/>
          </w:tcPr>
          <w:p w14:paraId="6FC602E4"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15</w:t>
            </w:r>
          </w:p>
        </w:tc>
        <w:tc>
          <w:tcPr>
            <w:tcW w:w="239" w:type="pct"/>
          </w:tcPr>
          <w:p w14:paraId="1A69D167"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15</w:t>
            </w:r>
          </w:p>
        </w:tc>
        <w:tc>
          <w:tcPr>
            <w:tcW w:w="239" w:type="pct"/>
          </w:tcPr>
          <w:p w14:paraId="68931789"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15</w:t>
            </w:r>
          </w:p>
        </w:tc>
        <w:tc>
          <w:tcPr>
            <w:tcW w:w="99" w:type="pct"/>
            <w:shd w:val="clear" w:color="000000" w:fill="D9D9D9"/>
            <w:vAlign w:val="center"/>
          </w:tcPr>
          <w:p w14:paraId="6DFAC8AB" w14:textId="77777777" w:rsidR="009123AC" w:rsidRPr="00F0379B" w:rsidRDefault="009123AC" w:rsidP="009123AC">
            <w:pPr>
              <w:widowControl w:val="0"/>
              <w:spacing w:after="0" w:line="240" w:lineRule="auto"/>
              <w:jc w:val="right"/>
              <w:rPr>
                <w:rFonts w:ascii="Cambria" w:eastAsia="Times New Roman" w:hAnsi="Cambria" w:cs="Calibri"/>
                <w:b/>
                <w:bCs/>
                <w:color w:val="000000"/>
                <w:sz w:val="18"/>
                <w:szCs w:val="18"/>
                <w:lang w:eastAsia="ja-JP" w:bidi="fr-FR"/>
              </w:rPr>
            </w:pPr>
            <w:r w:rsidRPr="00F0379B">
              <w:rPr>
                <w:rFonts w:ascii="Cambria" w:eastAsia="MS Gothic" w:hAnsi="Cambria" w:cs="Times New Roman"/>
                <w:b/>
                <w:color w:val="000000"/>
                <w:sz w:val="18"/>
                <w:szCs w:val="24"/>
                <w:lang w:eastAsia="fr-FR" w:bidi="fr-FR"/>
              </w:rPr>
              <w:t> </w:t>
            </w:r>
          </w:p>
        </w:tc>
        <w:tc>
          <w:tcPr>
            <w:tcW w:w="239" w:type="pct"/>
          </w:tcPr>
          <w:p w14:paraId="48F14986" w14:textId="77777777" w:rsidR="009123AC" w:rsidRPr="00F0379B" w:rsidRDefault="009123AC" w:rsidP="009123AC">
            <w:pPr>
              <w:widowControl w:val="0"/>
              <w:spacing w:after="0" w:line="240" w:lineRule="auto"/>
              <w:jc w:val="right"/>
              <w:rPr>
                <w:rFonts w:ascii="Cambria" w:eastAsia="Times New Roman" w:hAnsi="Cambria" w:cs="Calibri"/>
                <w:sz w:val="16"/>
                <w:szCs w:val="16"/>
                <w:lang w:eastAsia="ja-JP"/>
              </w:rPr>
            </w:pPr>
            <w:r w:rsidRPr="00F0379B">
              <w:rPr>
                <w:rFonts w:ascii="Cambria" w:eastAsia="MS Gothic" w:hAnsi="Cambria" w:cs="Times New Roman"/>
                <w:sz w:val="16"/>
                <w:szCs w:val="16"/>
                <w:lang w:eastAsia="fr-FR" w:bidi="fr-FR"/>
              </w:rPr>
              <w:t>1.773</w:t>
            </w:r>
          </w:p>
        </w:tc>
        <w:tc>
          <w:tcPr>
            <w:tcW w:w="239" w:type="pct"/>
            <w:vAlign w:val="center"/>
          </w:tcPr>
          <w:p w14:paraId="6B9E67D4" w14:textId="77777777" w:rsidR="009123AC" w:rsidRPr="00F0379B" w:rsidRDefault="009123AC" w:rsidP="009123AC">
            <w:pPr>
              <w:widowControl w:val="0"/>
              <w:spacing w:after="0" w:line="240" w:lineRule="auto"/>
              <w:jc w:val="right"/>
              <w:rPr>
                <w:rFonts w:ascii="Cambria" w:eastAsia="Times New Roman" w:hAnsi="Cambria" w:cs="Calibri"/>
                <w:sz w:val="16"/>
                <w:szCs w:val="16"/>
                <w:lang w:eastAsia="ja-JP"/>
              </w:rPr>
            </w:pPr>
            <w:r w:rsidRPr="00F0379B">
              <w:rPr>
                <w:rFonts w:ascii="Cambria" w:eastAsia="MS Gothic" w:hAnsi="Cambria" w:cs="Times New Roman"/>
                <w:sz w:val="16"/>
                <w:szCs w:val="16"/>
                <w:lang w:eastAsia="fr-FR" w:bidi="fr-FR"/>
              </w:rPr>
              <w:t>1.773</w:t>
            </w:r>
          </w:p>
        </w:tc>
        <w:tc>
          <w:tcPr>
            <w:tcW w:w="254" w:type="pct"/>
            <w:vAlign w:val="center"/>
          </w:tcPr>
          <w:p w14:paraId="37021B2A" w14:textId="77777777" w:rsidR="009123AC" w:rsidRPr="00F0379B" w:rsidRDefault="009123AC" w:rsidP="009123AC">
            <w:pPr>
              <w:widowControl w:val="0"/>
              <w:spacing w:after="0" w:line="240" w:lineRule="auto"/>
              <w:jc w:val="right"/>
              <w:rPr>
                <w:rFonts w:ascii="Cambria" w:eastAsia="Times New Roman" w:hAnsi="Cambria" w:cs="Calibri"/>
                <w:sz w:val="16"/>
                <w:szCs w:val="16"/>
                <w:lang w:val="en-US" w:eastAsia="ja-JP"/>
              </w:rPr>
            </w:pPr>
            <w:r w:rsidRPr="00F0379B">
              <w:rPr>
                <w:rFonts w:ascii="Cambria" w:eastAsia="MS Gothic" w:hAnsi="Cambria" w:cs="Times New Roman"/>
                <w:sz w:val="16"/>
                <w:szCs w:val="16"/>
                <w:lang w:val="en-US" w:eastAsia="fr-FR" w:bidi="fr-FR"/>
              </w:rPr>
              <w:t>747</w:t>
            </w:r>
          </w:p>
        </w:tc>
        <w:tc>
          <w:tcPr>
            <w:tcW w:w="358" w:type="pct"/>
          </w:tcPr>
          <w:p w14:paraId="66D8EA81" w14:textId="77777777" w:rsidR="009123AC" w:rsidRPr="00F0379B" w:rsidRDefault="009123AC" w:rsidP="009123AC">
            <w:pPr>
              <w:widowControl w:val="0"/>
              <w:spacing w:after="0" w:line="240" w:lineRule="auto"/>
              <w:jc w:val="right"/>
              <w:rPr>
                <w:rFonts w:ascii="Cambria" w:eastAsia="Times New Roman" w:hAnsi="Cambria" w:cs="Calibri"/>
                <w:sz w:val="16"/>
                <w:szCs w:val="16"/>
                <w:lang w:val="en-US" w:eastAsia="ja-JP"/>
              </w:rPr>
            </w:pPr>
            <w:r w:rsidRPr="00F0379B">
              <w:rPr>
                <w:rFonts w:ascii="Cambria" w:eastAsia="MS Gothic" w:hAnsi="Cambria" w:cs="Times New Roman"/>
                <w:sz w:val="16"/>
                <w:szCs w:val="16"/>
                <w:lang w:val="en-US" w:eastAsia="fr-FR" w:bidi="fr-FR"/>
              </w:rPr>
              <w:t>747</w:t>
            </w:r>
          </w:p>
        </w:tc>
        <w:tc>
          <w:tcPr>
            <w:tcW w:w="358" w:type="pct"/>
            <w:vAlign w:val="center"/>
          </w:tcPr>
          <w:p w14:paraId="2AA9454F" w14:textId="77777777" w:rsidR="009123AC" w:rsidRPr="00F0379B" w:rsidRDefault="009123AC" w:rsidP="009123AC">
            <w:pPr>
              <w:widowControl w:val="0"/>
              <w:spacing w:after="0" w:line="240" w:lineRule="auto"/>
              <w:jc w:val="right"/>
              <w:rPr>
                <w:rFonts w:ascii="Cambria" w:eastAsia="Times New Roman" w:hAnsi="Cambria" w:cs="Calibri"/>
                <w:sz w:val="16"/>
                <w:szCs w:val="16"/>
                <w:lang w:val="en-US" w:eastAsia="ja-JP"/>
              </w:rPr>
            </w:pPr>
            <w:r w:rsidRPr="00F0379B">
              <w:rPr>
                <w:rFonts w:ascii="Cambria" w:eastAsia="MS Gothic" w:hAnsi="Cambria" w:cs="Times New Roman"/>
                <w:sz w:val="16"/>
                <w:szCs w:val="16"/>
                <w:lang w:val="en-US" w:eastAsia="fr-FR" w:bidi="fr-FR"/>
              </w:rPr>
              <w:t>747</w:t>
            </w:r>
          </w:p>
        </w:tc>
        <w:tc>
          <w:tcPr>
            <w:tcW w:w="358" w:type="pct"/>
            <w:vAlign w:val="center"/>
          </w:tcPr>
          <w:p w14:paraId="3AD4B780" w14:textId="77777777" w:rsidR="009123AC" w:rsidRPr="00F0379B" w:rsidRDefault="009123AC" w:rsidP="009123AC">
            <w:pPr>
              <w:widowControl w:val="0"/>
              <w:spacing w:after="0" w:line="240" w:lineRule="auto"/>
              <w:jc w:val="right"/>
              <w:rPr>
                <w:rFonts w:ascii="Cambria" w:eastAsia="Times New Roman" w:hAnsi="Cambria" w:cs="Calibri"/>
                <w:sz w:val="16"/>
                <w:szCs w:val="16"/>
                <w:lang w:val="en-US" w:eastAsia="ja-JP"/>
              </w:rPr>
            </w:pPr>
            <w:r w:rsidRPr="00F0379B">
              <w:rPr>
                <w:rFonts w:ascii="Cambria" w:eastAsia="MS Gothic" w:hAnsi="Cambria" w:cs="Times New Roman"/>
                <w:sz w:val="16"/>
                <w:szCs w:val="16"/>
                <w:lang w:val="en-US" w:eastAsia="fr-FR" w:bidi="fr-FR"/>
              </w:rPr>
              <w:t>747</w:t>
            </w:r>
          </w:p>
        </w:tc>
        <w:tc>
          <w:tcPr>
            <w:tcW w:w="331" w:type="pct"/>
            <w:vAlign w:val="center"/>
          </w:tcPr>
          <w:p w14:paraId="0D906E23" w14:textId="77777777" w:rsidR="009123AC" w:rsidRPr="00F0379B" w:rsidRDefault="009123AC" w:rsidP="009123AC">
            <w:pPr>
              <w:widowControl w:val="0"/>
              <w:spacing w:after="0" w:line="240" w:lineRule="auto"/>
              <w:jc w:val="right"/>
              <w:rPr>
                <w:rFonts w:ascii="Cambria" w:eastAsia="Times New Roman" w:hAnsi="Cambria" w:cs="Calibri"/>
                <w:sz w:val="16"/>
                <w:szCs w:val="16"/>
                <w:lang w:val="en-US" w:eastAsia="ja-JP"/>
              </w:rPr>
            </w:pPr>
            <w:r w:rsidRPr="00F0379B">
              <w:rPr>
                <w:rFonts w:ascii="Cambria" w:eastAsia="MS Gothic" w:hAnsi="Cambria" w:cs="Times New Roman"/>
                <w:sz w:val="16"/>
                <w:szCs w:val="16"/>
                <w:lang w:val="en-US" w:eastAsia="fr-FR" w:bidi="fr-FR"/>
              </w:rPr>
              <w:t>747</w:t>
            </w:r>
          </w:p>
        </w:tc>
      </w:tr>
      <w:tr w:rsidR="009123AC" w:rsidRPr="00F0379B" w14:paraId="6AFE19C9" w14:textId="77777777" w:rsidTr="00CA749B">
        <w:trPr>
          <w:trHeight w:val="20"/>
          <w:jc w:val="center"/>
        </w:trPr>
        <w:tc>
          <w:tcPr>
            <w:tcW w:w="732" w:type="pct"/>
            <w:shd w:val="clear" w:color="auto" w:fill="D0CECE"/>
            <w:noWrap/>
            <w:vAlign w:val="center"/>
          </w:tcPr>
          <w:p w14:paraId="7654D81F"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24"/>
                <w:lang w:eastAsia="fr-FR" w:bidi="fr-FR"/>
              </w:rPr>
            </w:pPr>
            <w:r w:rsidRPr="00F0379B">
              <w:rPr>
                <w:rFonts w:ascii="Cambria" w:eastAsia="Times New Roman" w:hAnsi="Cambria" w:cs="Calibri"/>
                <w:b/>
                <w:bCs/>
                <w:color w:val="000000"/>
                <w:sz w:val="18"/>
                <w:szCs w:val="18"/>
                <w:lang w:eastAsia="ja-JP" w:bidi="fr-FR"/>
              </w:rPr>
              <w:t>Cuota inicial</w:t>
            </w:r>
          </w:p>
        </w:tc>
        <w:tc>
          <w:tcPr>
            <w:tcW w:w="359" w:type="pct"/>
            <w:shd w:val="clear" w:color="auto" w:fill="D0CECE"/>
            <w:noWrap/>
            <w:vAlign w:val="center"/>
          </w:tcPr>
          <w:p w14:paraId="2FF41B11"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 </w:t>
            </w:r>
          </w:p>
        </w:tc>
        <w:tc>
          <w:tcPr>
            <w:tcW w:w="239" w:type="pct"/>
            <w:shd w:val="clear" w:color="auto" w:fill="D0CECE"/>
          </w:tcPr>
          <w:p w14:paraId="42BF341E" w14:textId="77777777" w:rsidR="009123AC" w:rsidRPr="00F0379B" w:rsidRDefault="009123AC" w:rsidP="009123AC">
            <w:pPr>
              <w:widowControl w:val="0"/>
              <w:spacing w:after="0" w:line="240" w:lineRule="auto"/>
              <w:jc w:val="right"/>
              <w:rPr>
                <w:rFonts w:ascii="Cambria" w:eastAsia="MS Gothic" w:hAnsi="Cambria" w:cs="Times New Roman"/>
                <w:sz w:val="18"/>
                <w:szCs w:val="24"/>
                <w:lang w:eastAsia="fr-FR" w:bidi="fr-FR"/>
              </w:rPr>
            </w:pPr>
          </w:p>
        </w:tc>
        <w:tc>
          <w:tcPr>
            <w:tcW w:w="239" w:type="pct"/>
            <w:shd w:val="clear" w:color="auto" w:fill="D0CECE"/>
            <w:noWrap/>
            <w:vAlign w:val="center"/>
          </w:tcPr>
          <w:p w14:paraId="3C3F2DAD" w14:textId="77777777" w:rsidR="009123AC" w:rsidRPr="00F0379B" w:rsidRDefault="009123AC" w:rsidP="009123AC">
            <w:pPr>
              <w:widowControl w:val="0"/>
              <w:spacing w:after="0" w:line="240" w:lineRule="auto"/>
              <w:jc w:val="right"/>
              <w:rPr>
                <w:rFonts w:ascii="Cambria" w:eastAsia="MS Gothic" w:hAnsi="Cambria" w:cs="Times New Roman"/>
                <w:sz w:val="18"/>
                <w:szCs w:val="24"/>
                <w:lang w:eastAsia="fr-FR" w:bidi="fr-FR"/>
              </w:rPr>
            </w:pPr>
          </w:p>
        </w:tc>
        <w:tc>
          <w:tcPr>
            <w:tcW w:w="239" w:type="pct"/>
            <w:shd w:val="clear" w:color="auto" w:fill="D0CECE"/>
            <w:vAlign w:val="center"/>
          </w:tcPr>
          <w:p w14:paraId="5EC82A53" w14:textId="77777777" w:rsidR="009123AC" w:rsidRPr="00F0379B" w:rsidRDefault="009123AC" w:rsidP="009123AC">
            <w:pPr>
              <w:widowControl w:val="0"/>
              <w:spacing w:after="0" w:line="240" w:lineRule="auto"/>
              <w:jc w:val="right"/>
              <w:rPr>
                <w:rFonts w:ascii="Cambria" w:eastAsia="MS Gothic" w:hAnsi="Cambria" w:cs="Times New Roman"/>
                <w:sz w:val="18"/>
                <w:szCs w:val="24"/>
                <w:lang w:eastAsia="fr-FR" w:bidi="fr-FR"/>
              </w:rPr>
            </w:pPr>
          </w:p>
        </w:tc>
        <w:tc>
          <w:tcPr>
            <w:tcW w:w="239" w:type="pct"/>
            <w:shd w:val="clear" w:color="auto" w:fill="D0CECE"/>
            <w:vAlign w:val="center"/>
          </w:tcPr>
          <w:p w14:paraId="400CA23F"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 </w:t>
            </w:r>
          </w:p>
        </w:tc>
        <w:tc>
          <w:tcPr>
            <w:tcW w:w="239" w:type="pct"/>
            <w:shd w:val="clear" w:color="auto" w:fill="D0CECE"/>
            <w:vAlign w:val="center"/>
          </w:tcPr>
          <w:p w14:paraId="3FB91A89"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 </w:t>
            </w:r>
          </w:p>
        </w:tc>
        <w:tc>
          <w:tcPr>
            <w:tcW w:w="239" w:type="pct"/>
            <w:shd w:val="clear" w:color="auto" w:fill="D0CECE"/>
          </w:tcPr>
          <w:p w14:paraId="3B3BD6D5"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shd w:val="clear" w:color="auto" w:fill="D0CECE"/>
          </w:tcPr>
          <w:p w14:paraId="01AD73C9"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99" w:type="pct"/>
            <w:shd w:val="clear" w:color="auto" w:fill="D0CECE"/>
            <w:vAlign w:val="center"/>
          </w:tcPr>
          <w:p w14:paraId="763FA7A7" w14:textId="77777777" w:rsidR="009123AC" w:rsidRPr="00F0379B" w:rsidRDefault="009123AC" w:rsidP="009123AC">
            <w:pPr>
              <w:widowControl w:val="0"/>
              <w:spacing w:after="0" w:line="240" w:lineRule="auto"/>
              <w:jc w:val="right"/>
              <w:rPr>
                <w:rFonts w:ascii="Cambria" w:eastAsia="MS Gothic" w:hAnsi="Cambria" w:cs="Times New Roman"/>
                <w:b/>
                <w:color w:val="000000"/>
                <w:sz w:val="18"/>
                <w:szCs w:val="24"/>
                <w:lang w:eastAsia="fr-FR" w:bidi="fr-FR"/>
              </w:rPr>
            </w:pPr>
            <w:r w:rsidRPr="00F0379B">
              <w:rPr>
                <w:rFonts w:ascii="Cambria" w:eastAsia="MS Gothic" w:hAnsi="Cambria" w:cs="Times New Roman"/>
                <w:color w:val="000000"/>
                <w:sz w:val="18"/>
                <w:szCs w:val="24"/>
                <w:lang w:eastAsia="fr-FR" w:bidi="fr-FR"/>
              </w:rPr>
              <w:t> </w:t>
            </w:r>
          </w:p>
        </w:tc>
        <w:tc>
          <w:tcPr>
            <w:tcW w:w="239" w:type="pct"/>
            <w:shd w:val="clear" w:color="auto" w:fill="D0CECE"/>
          </w:tcPr>
          <w:p w14:paraId="030FB65F" w14:textId="77777777" w:rsidR="009123AC" w:rsidRPr="00F0379B" w:rsidRDefault="009123AC" w:rsidP="009123AC">
            <w:pPr>
              <w:widowControl w:val="0"/>
              <w:spacing w:after="0" w:line="240" w:lineRule="auto"/>
              <w:jc w:val="right"/>
              <w:rPr>
                <w:rFonts w:ascii="Cambria" w:eastAsia="MS Gothic" w:hAnsi="Cambria" w:cs="Times New Roman"/>
                <w:sz w:val="16"/>
                <w:szCs w:val="16"/>
                <w:lang w:eastAsia="fr-FR" w:bidi="fr-FR"/>
              </w:rPr>
            </w:pPr>
            <w:r w:rsidRPr="00F0379B">
              <w:rPr>
                <w:rFonts w:ascii="Cambria" w:eastAsia="MS Gothic" w:hAnsi="Cambria" w:cs="Times New Roman"/>
                <w:color w:val="000000"/>
                <w:sz w:val="16"/>
                <w:szCs w:val="16"/>
                <w:lang w:eastAsia="fr-FR" w:bidi="fr-FR"/>
              </w:rPr>
              <w:t>947</w:t>
            </w:r>
          </w:p>
        </w:tc>
        <w:tc>
          <w:tcPr>
            <w:tcW w:w="239" w:type="pct"/>
            <w:shd w:val="clear" w:color="auto" w:fill="D0CECE"/>
            <w:vAlign w:val="center"/>
          </w:tcPr>
          <w:p w14:paraId="0CD418EE" w14:textId="77777777" w:rsidR="009123AC" w:rsidRPr="00F0379B" w:rsidRDefault="009123AC" w:rsidP="009123AC">
            <w:pPr>
              <w:widowControl w:val="0"/>
              <w:spacing w:after="0" w:line="240" w:lineRule="auto"/>
              <w:jc w:val="right"/>
              <w:rPr>
                <w:rFonts w:ascii="Cambria" w:eastAsia="MS Gothic" w:hAnsi="Cambria" w:cs="Times New Roman"/>
                <w:sz w:val="16"/>
                <w:szCs w:val="16"/>
                <w:lang w:eastAsia="fr-FR" w:bidi="fr-FR"/>
              </w:rPr>
            </w:pPr>
            <w:r w:rsidRPr="00F0379B">
              <w:rPr>
                <w:rFonts w:ascii="Cambria" w:eastAsia="MS Gothic" w:hAnsi="Cambria" w:cs="Times New Roman"/>
                <w:color w:val="000000"/>
                <w:sz w:val="16"/>
                <w:szCs w:val="16"/>
                <w:lang w:eastAsia="fr-FR" w:bidi="fr-FR"/>
              </w:rPr>
              <w:t> 947</w:t>
            </w:r>
          </w:p>
        </w:tc>
        <w:tc>
          <w:tcPr>
            <w:tcW w:w="254" w:type="pct"/>
            <w:shd w:val="clear" w:color="auto" w:fill="D0CECE"/>
            <w:vAlign w:val="center"/>
          </w:tcPr>
          <w:p w14:paraId="3FCD21B4" w14:textId="77777777" w:rsidR="009123AC" w:rsidRPr="00F0379B" w:rsidRDefault="009123AC" w:rsidP="009123AC">
            <w:pPr>
              <w:widowControl w:val="0"/>
              <w:spacing w:after="0" w:line="240" w:lineRule="auto"/>
              <w:jc w:val="right"/>
              <w:rPr>
                <w:rFonts w:ascii="Cambria" w:eastAsia="MS Gothic" w:hAnsi="Cambria" w:cs="Times New Roman"/>
                <w:sz w:val="16"/>
                <w:szCs w:val="16"/>
                <w:lang w:val="en-US" w:eastAsia="fr-FR" w:bidi="fr-FR"/>
              </w:rPr>
            </w:pPr>
            <w:r w:rsidRPr="00F0379B">
              <w:rPr>
                <w:rFonts w:ascii="Cambria" w:eastAsia="MS Gothic" w:hAnsi="Cambria" w:cs="Times New Roman"/>
                <w:color w:val="000000"/>
                <w:sz w:val="16"/>
                <w:szCs w:val="16"/>
                <w:lang w:eastAsia="fr-FR" w:bidi="fr-FR"/>
              </w:rPr>
              <w:t> 1.846</w:t>
            </w:r>
          </w:p>
        </w:tc>
        <w:tc>
          <w:tcPr>
            <w:tcW w:w="358" w:type="pct"/>
            <w:shd w:val="clear" w:color="auto" w:fill="D0CECE"/>
            <w:vAlign w:val="center"/>
          </w:tcPr>
          <w:p w14:paraId="3B92CC8D" w14:textId="77777777" w:rsidR="009123AC" w:rsidRPr="00F0379B" w:rsidRDefault="009123AC" w:rsidP="009123AC">
            <w:pPr>
              <w:widowControl w:val="0"/>
              <w:spacing w:after="0" w:line="240" w:lineRule="auto"/>
              <w:jc w:val="right"/>
              <w:rPr>
                <w:rFonts w:ascii="Cambria" w:eastAsia="MS Gothic" w:hAnsi="Cambria" w:cs="Times New Roman"/>
                <w:sz w:val="16"/>
                <w:szCs w:val="16"/>
                <w:lang w:val="en-US" w:eastAsia="fr-FR" w:bidi="fr-FR"/>
              </w:rPr>
            </w:pPr>
            <w:r w:rsidRPr="00F0379B">
              <w:rPr>
                <w:rFonts w:ascii="Cambria" w:eastAsia="Times New Roman" w:hAnsi="Cambria" w:cs="Calibri"/>
                <w:color w:val="000000"/>
                <w:sz w:val="16"/>
                <w:szCs w:val="16"/>
                <w:lang w:eastAsia="ja-JP" w:bidi="fr-FR"/>
              </w:rPr>
              <w:t> 2.548</w:t>
            </w:r>
          </w:p>
        </w:tc>
        <w:tc>
          <w:tcPr>
            <w:tcW w:w="358" w:type="pct"/>
            <w:shd w:val="clear" w:color="auto" w:fill="D0CECE"/>
            <w:vAlign w:val="center"/>
          </w:tcPr>
          <w:p w14:paraId="09BE036F" w14:textId="77777777" w:rsidR="009123AC" w:rsidRPr="00F0379B" w:rsidRDefault="009123AC" w:rsidP="009123AC">
            <w:pPr>
              <w:widowControl w:val="0"/>
              <w:spacing w:after="0" w:line="240" w:lineRule="auto"/>
              <w:jc w:val="right"/>
              <w:rPr>
                <w:rFonts w:ascii="Cambria" w:eastAsia="MS Gothic" w:hAnsi="Cambria" w:cs="Times New Roman"/>
                <w:sz w:val="16"/>
                <w:szCs w:val="16"/>
                <w:lang w:val="en-US" w:eastAsia="fr-FR" w:bidi="fr-FR"/>
              </w:rPr>
            </w:pPr>
            <w:r w:rsidRPr="00F0379B">
              <w:rPr>
                <w:rFonts w:ascii="Cambria" w:eastAsia="MS Gothic" w:hAnsi="Cambria" w:cs="Times New Roman"/>
                <w:color w:val="000000"/>
                <w:sz w:val="16"/>
                <w:szCs w:val="16"/>
                <w:lang w:eastAsia="fr-FR" w:bidi="fr-FR"/>
              </w:rPr>
              <w:t> 2.548</w:t>
            </w:r>
          </w:p>
        </w:tc>
        <w:tc>
          <w:tcPr>
            <w:tcW w:w="358" w:type="pct"/>
            <w:shd w:val="clear" w:color="auto" w:fill="D0CECE"/>
            <w:vAlign w:val="center"/>
          </w:tcPr>
          <w:p w14:paraId="5996745E" w14:textId="77777777" w:rsidR="009123AC" w:rsidRPr="00F0379B" w:rsidRDefault="009123AC" w:rsidP="009123AC">
            <w:pPr>
              <w:widowControl w:val="0"/>
              <w:spacing w:after="0" w:line="240" w:lineRule="auto"/>
              <w:jc w:val="right"/>
              <w:rPr>
                <w:rFonts w:ascii="Cambria" w:eastAsia="MS Gothic" w:hAnsi="Cambria" w:cs="Times New Roman"/>
                <w:sz w:val="16"/>
                <w:szCs w:val="16"/>
                <w:lang w:val="en-US" w:eastAsia="fr-FR" w:bidi="fr-FR"/>
              </w:rPr>
            </w:pPr>
            <w:r w:rsidRPr="00F0379B">
              <w:rPr>
                <w:rFonts w:ascii="Cambria" w:eastAsia="MS Gothic" w:hAnsi="Cambria" w:cs="Times New Roman"/>
                <w:color w:val="000000"/>
                <w:sz w:val="16"/>
                <w:szCs w:val="16"/>
                <w:lang w:eastAsia="fr-FR" w:bidi="fr-FR"/>
              </w:rPr>
              <w:t> 2.548</w:t>
            </w:r>
          </w:p>
        </w:tc>
        <w:tc>
          <w:tcPr>
            <w:tcW w:w="331" w:type="pct"/>
            <w:shd w:val="clear" w:color="auto" w:fill="D0CECE"/>
          </w:tcPr>
          <w:p w14:paraId="7BFB1914" w14:textId="77777777" w:rsidR="009123AC" w:rsidRPr="00F0379B" w:rsidRDefault="009123AC" w:rsidP="009123AC">
            <w:pPr>
              <w:widowControl w:val="0"/>
              <w:spacing w:after="0" w:line="240" w:lineRule="auto"/>
              <w:jc w:val="right"/>
              <w:rPr>
                <w:rFonts w:ascii="Cambria" w:eastAsia="MS Gothic" w:hAnsi="Cambria" w:cs="Times New Roman"/>
                <w:sz w:val="16"/>
                <w:szCs w:val="16"/>
                <w:lang w:val="en-US" w:eastAsia="fr-FR" w:bidi="fr-FR"/>
              </w:rPr>
            </w:pPr>
            <w:r w:rsidRPr="00F0379B">
              <w:rPr>
                <w:rFonts w:ascii="Cambria" w:eastAsia="Times New Roman" w:hAnsi="Cambria" w:cs="Calibri"/>
                <w:color w:val="000000"/>
                <w:sz w:val="16"/>
                <w:szCs w:val="16"/>
                <w:lang w:eastAsia="ja-JP" w:bidi="fr-FR"/>
              </w:rPr>
              <w:t>2.950,03</w:t>
            </w:r>
          </w:p>
        </w:tc>
      </w:tr>
      <w:tr w:rsidR="009123AC" w:rsidRPr="00F0379B" w14:paraId="36D00B21" w14:textId="77777777" w:rsidTr="00CA749B">
        <w:trPr>
          <w:trHeight w:val="20"/>
          <w:jc w:val="center"/>
        </w:trPr>
        <w:tc>
          <w:tcPr>
            <w:tcW w:w="732" w:type="pct"/>
            <w:shd w:val="clear" w:color="auto" w:fill="D0CECE"/>
            <w:noWrap/>
            <w:vAlign w:val="center"/>
          </w:tcPr>
          <w:p w14:paraId="3130283C"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r w:rsidRPr="00F0379B">
              <w:rPr>
                <w:rFonts w:ascii="Cambria" w:eastAsia="Times New Roman" w:hAnsi="Cambria" w:cs="Calibri"/>
                <w:b/>
                <w:bCs/>
                <w:color w:val="000000"/>
                <w:sz w:val="18"/>
                <w:szCs w:val="18"/>
                <w:lang w:eastAsia="ja-JP" w:bidi="fr-FR"/>
              </w:rPr>
              <w:t>Cuota ajustada (si procede)</w:t>
            </w:r>
          </w:p>
        </w:tc>
        <w:tc>
          <w:tcPr>
            <w:tcW w:w="359" w:type="pct"/>
            <w:shd w:val="clear" w:color="auto" w:fill="D0CECE"/>
            <w:noWrap/>
            <w:vAlign w:val="center"/>
          </w:tcPr>
          <w:p w14:paraId="1F845526"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shd w:val="clear" w:color="auto" w:fill="D0CECE"/>
          </w:tcPr>
          <w:p w14:paraId="32C353FE" w14:textId="77777777" w:rsidR="009123AC" w:rsidRPr="00F0379B" w:rsidRDefault="009123AC" w:rsidP="009123AC">
            <w:pPr>
              <w:widowControl w:val="0"/>
              <w:spacing w:after="0" w:line="240" w:lineRule="auto"/>
              <w:jc w:val="right"/>
              <w:rPr>
                <w:rFonts w:ascii="Cambria" w:eastAsia="MS Gothic" w:hAnsi="Cambria" w:cs="Times New Roman"/>
                <w:sz w:val="18"/>
                <w:szCs w:val="24"/>
                <w:lang w:eastAsia="fr-FR" w:bidi="fr-FR"/>
              </w:rPr>
            </w:pPr>
          </w:p>
        </w:tc>
        <w:tc>
          <w:tcPr>
            <w:tcW w:w="239" w:type="pct"/>
            <w:shd w:val="clear" w:color="auto" w:fill="D0CECE"/>
            <w:noWrap/>
            <w:vAlign w:val="center"/>
          </w:tcPr>
          <w:p w14:paraId="0A7A122A" w14:textId="77777777" w:rsidR="009123AC" w:rsidRPr="00F0379B" w:rsidRDefault="009123AC" w:rsidP="009123AC">
            <w:pPr>
              <w:widowControl w:val="0"/>
              <w:spacing w:after="0" w:line="240" w:lineRule="auto"/>
              <w:jc w:val="right"/>
              <w:rPr>
                <w:rFonts w:ascii="Cambria" w:eastAsia="MS Gothic" w:hAnsi="Cambria" w:cs="Times New Roman"/>
                <w:sz w:val="18"/>
                <w:szCs w:val="24"/>
                <w:lang w:eastAsia="fr-FR" w:bidi="fr-FR"/>
              </w:rPr>
            </w:pPr>
          </w:p>
        </w:tc>
        <w:tc>
          <w:tcPr>
            <w:tcW w:w="239" w:type="pct"/>
            <w:shd w:val="clear" w:color="auto" w:fill="D0CECE"/>
            <w:vAlign w:val="center"/>
          </w:tcPr>
          <w:p w14:paraId="08179566" w14:textId="77777777" w:rsidR="009123AC" w:rsidRPr="00F0379B" w:rsidRDefault="009123AC" w:rsidP="009123AC">
            <w:pPr>
              <w:widowControl w:val="0"/>
              <w:spacing w:after="0" w:line="240" w:lineRule="auto"/>
              <w:jc w:val="right"/>
              <w:rPr>
                <w:rFonts w:ascii="Cambria" w:eastAsia="MS Gothic" w:hAnsi="Cambria" w:cs="Times New Roman"/>
                <w:sz w:val="18"/>
                <w:szCs w:val="24"/>
                <w:lang w:eastAsia="fr-FR" w:bidi="fr-FR"/>
              </w:rPr>
            </w:pPr>
          </w:p>
        </w:tc>
        <w:tc>
          <w:tcPr>
            <w:tcW w:w="239" w:type="pct"/>
            <w:shd w:val="clear" w:color="auto" w:fill="D0CECE"/>
            <w:vAlign w:val="center"/>
          </w:tcPr>
          <w:p w14:paraId="0BCB301E"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shd w:val="clear" w:color="auto" w:fill="D0CECE"/>
            <w:vAlign w:val="center"/>
          </w:tcPr>
          <w:p w14:paraId="0D019C02"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shd w:val="clear" w:color="auto" w:fill="D0CECE"/>
          </w:tcPr>
          <w:p w14:paraId="11CAB98B"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shd w:val="clear" w:color="auto" w:fill="D0CECE"/>
          </w:tcPr>
          <w:p w14:paraId="293CC18B"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99" w:type="pct"/>
            <w:shd w:val="clear" w:color="auto" w:fill="D0CECE"/>
            <w:vAlign w:val="center"/>
          </w:tcPr>
          <w:p w14:paraId="1AD9C63E"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shd w:val="clear" w:color="auto" w:fill="D0CECE"/>
          </w:tcPr>
          <w:p w14:paraId="2F96FCB6"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color w:val="000000"/>
                <w:sz w:val="16"/>
                <w:szCs w:val="16"/>
                <w:lang w:eastAsia="ja-JP" w:bidi="fr-FR"/>
              </w:rPr>
              <w:t>NA</w:t>
            </w:r>
          </w:p>
        </w:tc>
        <w:tc>
          <w:tcPr>
            <w:tcW w:w="239" w:type="pct"/>
            <w:shd w:val="clear" w:color="auto" w:fill="D0CECE"/>
            <w:vAlign w:val="center"/>
          </w:tcPr>
          <w:p w14:paraId="4E6990D5"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color w:val="000000"/>
                <w:sz w:val="16"/>
                <w:szCs w:val="16"/>
                <w:lang w:eastAsia="ja-JP" w:bidi="fr-FR"/>
              </w:rPr>
              <w:t>NA</w:t>
            </w:r>
          </w:p>
        </w:tc>
        <w:tc>
          <w:tcPr>
            <w:tcW w:w="254" w:type="pct"/>
            <w:shd w:val="clear" w:color="auto" w:fill="D0CECE"/>
            <w:vAlign w:val="center"/>
          </w:tcPr>
          <w:p w14:paraId="42E6167E"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color w:val="000000"/>
                <w:sz w:val="16"/>
                <w:szCs w:val="16"/>
                <w:lang w:eastAsia="ja-JP" w:bidi="fr-FR"/>
              </w:rPr>
              <w:t>NA</w:t>
            </w:r>
          </w:p>
        </w:tc>
        <w:tc>
          <w:tcPr>
            <w:tcW w:w="358" w:type="pct"/>
            <w:shd w:val="clear" w:color="auto" w:fill="D0CECE"/>
            <w:vAlign w:val="center"/>
          </w:tcPr>
          <w:p w14:paraId="0FF9B4D2"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r w:rsidRPr="00F0379B">
              <w:rPr>
                <w:rFonts w:ascii="Cambria" w:eastAsia="Times New Roman" w:hAnsi="Cambria" w:cs="Calibri"/>
                <w:color w:val="000000"/>
                <w:sz w:val="16"/>
                <w:szCs w:val="16"/>
                <w:lang w:eastAsia="ja-JP" w:bidi="fr-FR"/>
              </w:rPr>
              <w:t>NA</w:t>
            </w:r>
          </w:p>
        </w:tc>
        <w:tc>
          <w:tcPr>
            <w:tcW w:w="358" w:type="pct"/>
            <w:shd w:val="clear" w:color="auto" w:fill="D0CECE"/>
            <w:vAlign w:val="center"/>
          </w:tcPr>
          <w:p w14:paraId="799A95FB"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color w:val="000000"/>
                <w:sz w:val="16"/>
                <w:szCs w:val="16"/>
                <w:lang w:eastAsia="ja-JP" w:bidi="fr-FR"/>
              </w:rPr>
              <w:t>NA</w:t>
            </w:r>
          </w:p>
        </w:tc>
        <w:tc>
          <w:tcPr>
            <w:tcW w:w="358" w:type="pct"/>
            <w:shd w:val="clear" w:color="auto" w:fill="D0CECE"/>
            <w:vAlign w:val="center"/>
          </w:tcPr>
          <w:p w14:paraId="3A78B924"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color w:val="000000"/>
                <w:sz w:val="16"/>
                <w:szCs w:val="16"/>
                <w:lang w:eastAsia="ja-JP" w:bidi="fr-FR"/>
              </w:rPr>
              <w:t>2.622</w:t>
            </w:r>
          </w:p>
        </w:tc>
        <w:tc>
          <w:tcPr>
            <w:tcW w:w="331" w:type="pct"/>
            <w:shd w:val="clear" w:color="auto" w:fill="D0CECE"/>
          </w:tcPr>
          <w:p w14:paraId="446376C4"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r w:rsidRPr="00F0379B">
              <w:rPr>
                <w:rFonts w:ascii="Cambria" w:eastAsia="Times New Roman" w:hAnsi="Cambria" w:cs="Calibri"/>
                <w:color w:val="000000"/>
                <w:sz w:val="16"/>
                <w:szCs w:val="16"/>
                <w:lang w:eastAsia="ja-JP" w:bidi="fr-FR"/>
              </w:rPr>
              <w:t>2.968,0</w:t>
            </w:r>
          </w:p>
        </w:tc>
      </w:tr>
      <w:tr w:rsidR="009123AC" w:rsidRPr="00F0379B" w14:paraId="41918D12" w14:textId="77777777" w:rsidTr="00CA749B">
        <w:trPr>
          <w:trHeight w:val="20"/>
          <w:jc w:val="center"/>
        </w:trPr>
        <w:tc>
          <w:tcPr>
            <w:tcW w:w="732" w:type="pct"/>
            <w:noWrap/>
            <w:vAlign w:val="center"/>
          </w:tcPr>
          <w:p w14:paraId="6647C73B"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r w:rsidRPr="00F0379B">
              <w:rPr>
                <w:rFonts w:ascii="Cambria" w:eastAsia="MS Gothic" w:hAnsi="Cambria" w:cs="Times New Roman"/>
                <w:b/>
                <w:color w:val="000000"/>
                <w:sz w:val="18"/>
                <w:szCs w:val="24"/>
                <w:lang w:eastAsia="fr-FR" w:bidi="fr-FR"/>
              </w:rPr>
              <w:t>Porcentaje asignado a captura fortuita</w:t>
            </w:r>
          </w:p>
        </w:tc>
        <w:tc>
          <w:tcPr>
            <w:tcW w:w="359" w:type="pct"/>
            <w:noWrap/>
            <w:vAlign w:val="center"/>
          </w:tcPr>
          <w:p w14:paraId="6AB2FEE5"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 </w:t>
            </w:r>
          </w:p>
        </w:tc>
        <w:tc>
          <w:tcPr>
            <w:tcW w:w="239" w:type="pct"/>
          </w:tcPr>
          <w:p w14:paraId="6FE97693" w14:textId="77777777" w:rsidR="009123AC" w:rsidRPr="00F0379B" w:rsidRDefault="009123AC" w:rsidP="009123AC">
            <w:pPr>
              <w:widowControl w:val="0"/>
              <w:spacing w:after="0" w:line="240" w:lineRule="auto"/>
              <w:jc w:val="right"/>
              <w:rPr>
                <w:rFonts w:ascii="Cambria" w:eastAsia="MS Gothic" w:hAnsi="Cambria" w:cs="Times New Roman"/>
                <w:sz w:val="18"/>
                <w:szCs w:val="24"/>
                <w:lang w:eastAsia="fr-FR" w:bidi="fr-FR"/>
              </w:rPr>
            </w:pPr>
          </w:p>
        </w:tc>
        <w:tc>
          <w:tcPr>
            <w:tcW w:w="239" w:type="pct"/>
            <w:noWrap/>
            <w:vAlign w:val="center"/>
          </w:tcPr>
          <w:p w14:paraId="6A76C801" w14:textId="77777777" w:rsidR="009123AC" w:rsidRPr="00F0379B" w:rsidRDefault="009123AC" w:rsidP="009123AC">
            <w:pPr>
              <w:widowControl w:val="0"/>
              <w:spacing w:after="0" w:line="240" w:lineRule="auto"/>
              <w:jc w:val="right"/>
              <w:rPr>
                <w:rFonts w:ascii="Cambria" w:eastAsia="MS Gothic" w:hAnsi="Cambria" w:cs="Times New Roman"/>
                <w:sz w:val="18"/>
                <w:szCs w:val="24"/>
                <w:lang w:eastAsia="fr-FR" w:bidi="fr-FR"/>
              </w:rPr>
            </w:pPr>
            <w:r w:rsidRPr="00F0379B">
              <w:rPr>
                <w:rFonts w:ascii="Cambria" w:eastAsia="MS Gothic" w:hAnsi="Cambria" w:cs="Times New Roman"/>
                <w:color w:val="000000"/>
                <w:sz w:val="18"/>
                <w:szCs w:val="24"/>
                <w:lang w:eastAsia="fr-FR" w:bidi="fr-FR"/>
              </w:rPr>
              <w:t> </w:t>
            </w:r>
          </w:p>
        </w:tc>
        <w:tc>
          <w:tcPr>
            <w:tcW w:w="239" w:type="pct"/>
            <w:vAlign w:val="center"/>
          </w:tcPr>
          <w:p w14:paraId="69E3D010" w14:textId="77777777" w:rsidR="009123AC" w:rsidRPr="00F0379B" w:rsidRDefault="009123AC" w:rsidP="009123AC">
            <w:pPr>
              <w:widowControl w:val="0"/>
              <w:spacing w:after="0" w:line="240" w:lineRule="auto"/>
              <w:jc w:val="right"/>
              <w:rPr>
                <w:rFonts w:ascii="Cambria" w:eastAsia="MS Gothic" w:hAnsi="Cambria" w:cs="Times New Roman"/>
                <w:sz w:val="18"/>
                <w:szCs w:val="24"/>
                <w:lang w:eastAsia="fr-FR" w:bidi="fr-FR"/>
              </w:rPr>
            </w:pPr>
            <w:r w:rsidRPr="00F0379B">
              <w:rPr>
                <w:rFonts w:ascii="Cambria" w:eastAsia="MS Gothic" w:hAnsi="Cambria" w:cs="Times New Roman"/>
                <w:color w:val="000000"/>
                <w:sz w:val="18"/>
                <w:szCs w:val="24"/>
                <w:lang w:eastAsia="fr-FR" w:bidi="fr-FR"/>
              </w:rPr>
              <w:t> </w:t>
            </w:r>
          </w:p>
        </w:tc>
        <w:tc>
          <w:tcPr>
            <w:tcW w:w="239" w:type="pct"/>
            <w:vAlign w:val="center"/>
          </w:tcPr>
          <w:p w14:paraId="63B1DFC2"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 </w:t>
            </w:r>
          </w:p>
        </w:tc>
        <w:tc>
          <w:tcPr>
            <w:tcW w:w="239" w:type="pct"/>
            <w:vAlign w:val="center"/>
          </w:tcPr>
          <w:p w14:paraId="39E20F89"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 </w:t>
            </w:r>
          </w:p>
        </w:tc>
        <w:tc>
          <w:tcPr>
            <w:tcW w:w="239" w:type="pct"/>
          </w:tcPr>
          <w:p w14:paraId="307AD07D"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729D1D74"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99" w:type="pct"/>
            <w:shd w:val="clear" w:color="000000" w:fill="D9D9D9"/>
            <w:vAlign w:val="center"/>
          </w:tcPr>
          <w:p w14:paraId="107FE760"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 </w:t>
            </w:r>
          </w:p>
        </w:tc>
        <w:tc>
          <w:tcPr>
            <w:tcW w:w="239" w:type="pct"/>
            <w:vAlign w:val="center"/>
          </w:tcPr>
          <w:p w14:paraId="15DC07A6"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r w:rsidRPr="00F0379B">
              <w:rPr>
                <w:rFonts w:ascii="Cambria" w:eastAsia="MS Gothic" w:hAnsi="Cambria" w:cs="Times New Roman"/>
                <w:color w:val="000000"/>
                <w:sz w:val="16"/>
                <w:szCs w:val="16"/>
                <w:lang w:eastAsia="fr-FR" w:bidi="fr-FR"/>
              </w:rPr>
              <w:t>0</w:t>
            </w:r>
          </w:p>
        </w:tc>
        <w:tc>
          <w:tcPr>
            <w:tcW w:w="239" w:type="pct"/>
            <w:vAlign w:val="center"/>
          </w:tcPr>
          <w:p w14:paraId="351E2081"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r w:rsidRPr="00F0379B">
              <w:rPr>
                <w:rFonts w:ascii="Cambria" w:eastAsia="MS Gothic" w:hAnsi="Cambria" w:cs="Times New Roman"/>
                <w:color w:val="000000"/>
                <w:sz w:val="16"/>
                <w:szCs w:val="16"/>
                <w:lang w:eastAsia="fr-FR" w:bidi="fr-FR"/>
              </w:rPr>
              <w:t>0</w:t>
            </w:r>
          </w:p>
        </w:tc>
        <w:tc>
          <w:tcPr>
            <w:tcW w:w="254" w:type="pct"/>
            <w:vAlign w:val="center"/>
          </w:tcPr>
          <w:p w14:paraId="5FD1CD5A"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r w:rsidRPr="00F0379B">
              <w:rPr>
                <w:rFonts w:ascii="Cambria" w:eastAsia="MS Gothic" w:hAnsi="Cambria" w:cs="Times New Roman"/>
                <w:color w:val="000000"/>
                <w:sz w:val="16"/>
                <w:szCs w:val="16"/>
                <w:lang w:eastAsia="fr-FR" w:bidi="fr-FR"/>
              </w:rPr>
              <w:t>0</w:t>
            </w:r>
          </w:p>
        </w:tc>
        <w:tc>
          <w:tcPr>
            <w:tcW w:w="358" w:type="pct"/>
            <w:vAlign w:val="center"/>
          </w:tcPr>
          <w:p w14:paraId="0EBFE365"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r w:rsidRPr="00F0379B">
              <w:rPr>
                <w:rFonts w:ascii="Cambria" w:eastAsia="MS Gothic" w:hAnsi="Cambria" w:cs="Times New Roman"/>
                <w:color w:val="000000"/>
                <w:sz w:val="16"/>
                <w:szCs w:val="16"/>
                <w:lang w:eastAsia="fr-FR" w:bidi="fr-FR"/>
              </w:rPr>
              <w:t>0,</w:t>
            </w:r>
            <w:r w:rsidRPr="00F0379B">
              <w:rPr>
                <w:rFonts w:ascii="Cambria" w:eastAsia="Times New Roman" w:hAnsi="Cambria" w:cs="Calibri"/>
                <w:color w:val="000000"/>
                <w:sz w:val="16"/>
                <w:szCs w:val="16"/>
                <w:lang w:eastAsia="ja-JP" w:bidi="fr-FR"/>
              </w:rPr>
              <w:t>7</w:t>
            </w:r>
            <w:r w:rsidRPr="00F0379B">
              <w:rPr>
                <w:rFonts w:ascii="Cambria" w:eastAsia="MS Gothic" w:hAnsi="Cambria" w:cs="Times New Roman"/>
                <w:color w:val="000000"/>
                <w:sz w:val="16"/>
                <w:szCs w:val="16"/>
                <w:lang w:eastAsia="fr-FR" w:bidi="fr-FR"/>
              </w:rPr>
              <w:t>%</w:t>
            </w:r>
          </w:p>
        </w:tc>
        <w:tc>
          <w:tcPr>
            <w:tcW w:w="358" w:type="pct"/>
            <w:vAlign w:val="center"/>
          </w:tcPr>
          <w:p w14:paraId="72834A2B"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r w:rsidRPr="00F0379B">
              <w:rPr>
                <w:rFonts w:ascii="Cambria" w:eastAsia="MS Gothic" w:hAnsi="Cambria" w:cs="Times New Roman"/>
                <w:color w:val="000000"/>
                <w:sz w:val="16"/>
                <w:szCs w:val="16"/>
                <w:lang w:eastAsia="fr-FR" w:bidi="fr-FR"/>
              </w:rPr>
              <w:t>0,7%</w:t>
            </w:r>
          </w:p>
        </w:tc>
        <w:tc>
          <w:tcPr>
            <w:tcW w:w="358" w:type="pct"/>
            <w:vAlign w:val="center"/>
          </w:tcPr>
          <w:p w14:paraId="31C14178"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r w:rsidRPr="00F0379B">
              <w:rPr>
                <w:rFonts w:ascii="Cambria" w:eastAsia="MS Gothic" w:hAnsi="Cambria" w:cs="Times New Roman"/>
                <w:color w:val="000000"/>
                <w:sz w:val="16"/>
                <w:szCs w:val="16"/>
                <w:lang w:eastAsia="fr-FR" w:bidi="fr-FR"/>
              </w:rPr>
              <w:t>0,7%</w:t>
            </w:r>
          </w:p>
        </w:tc>
        <w:tc>
          <w:tcPr>
            <w:tcW w:w="331" w:type="pct"/>
            <w:vAlign w:val="center"/>
          </w:tcPr>
          <w:p w14:paraId="5DF95728"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r w:rsidRPr="00F0379B">
              <w:rPr>
                <w:rFonts w:ascii="Cambria" w:eastAsia="MS Gothic" w:hAnsi="Cambria" w:cs="Times New Roman"/>
                <w:color w:val="000000"/>
                <w:sz w:val="16"/>
                <w:szCs w:val="16"/>
                <w:lang w:eastAsia="fr-FR" w:bidi="fr-FR"/>
              </w:rPr>
              <w:t>0,</w:t>
            </w:r>
            <w:r w:rsidRPr="00F0379B">
              <w:rPr>
                <w:rFonts w:ascii="Cambria" w:eastAsia="Times New Roman" w:hAnsi="Cambria" w:cs="Calibri"/>
                <w:color w:val="000000"/>
                <w:sz w:val="16"/>
                <w:szCs w:val="16"/>
                <w:lang w:eastAsia="ja-JP" w:bidi="fr-FR"/>
              </w:rPr>
              <w:t>34</w:t>
            </w:r>
            <w:r w:rsidRPr="00F0379B">
              <w:rPr>
                <w:rFonts w:ascii="Cambria" w:eastAsia="MS Gothic" w:hAnsi="Cambria" w:cs="Times New Roman"/>
                <w:color w:val="000000"/>
                <w:sz w:val="16"/>
                <w:szCs w:val="16"/>
                <w:lang w:eastAsia="fr-FR" w:bidi="fr-FR"/>
              </w:rPr>
              <w:t>%</w:t>
            </w:r>
          </w:p>
        </w:tc>
      </w:tr>
      <w:tr w:rsidR="009123AC" w:rsidRPr="00F0379B" w14:paraId="68344FB9" w14:textId="77777777" w:rsidTr="00CA749B">
        <w:trPr>
          <w:trHeight w:val="20"/>
          <w:jc w:val="center"/>
        </w:trPr>
        <w:tc>
          <w:tcPr>
            <w:tcW w:w="732" w:type="pct"/>
            <w:noWrap/>
            <w:vAlign w:val="center"/>
          </w:tcPr>
          <w:p w14:paraId="07DDC8D4"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24"/>
                <w:lang w:eastAsia="fr-FR" w:bidi="fr-FR"/>
              </w:rPr>
            </w:pPr>
            <w:r w:rsidRPr="00F0379B">
              <w:rPr>
                <w:rFonts w:ascii="Cambria" w:eastAsia="Times New Roman" w:hAnsi="Cambria" w:cs="Calibri"/>
                <w:b/>
                <w:bCs/>
                <w:color w:val="000000"/>
                <w:sz w:val="18"/>
                <w:szCs w:val="18"/>
                <w:lang w:eastAsia="ja-JP" w:bidi="fr-FR"/>
              </w:rPr>
              <w:t>Asignación a captura fortuita</w:t>
            </w:r>
          </w:p>
        </w:tc>
        <w:tc>
          <w:tcPr>
            <w:tcW w:w="359" w:type="pct"/>
            <w:noWrap/>
            <w:vAlign w:val="center"/>
          </w:tcPr>
          <w:p w14:paraId="626E25F6"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36B32A01" w14:textId="77777777" w:rsidR="009123AC" w:rsidRPr="00F0379B" w:rsidRDefault="009123AC" w:rsidP="009123AC">
            <w:pPr>
              <w:widowControl w:val="0"/>
              <w:spacing w:after="0" w:line="240" w:lineRule="auto"/>
              <w:jc w:val="right"/>
              <w:rPr>
                <w:rFonts w:ascii="Cambria" w:eastAsia="MS Gothic" w:hAnsi="Cambria" w:cs="Times New Roman"/>
                <w:sz w:val="18"/>
                <w:szCs w:val="24"/>
                <w:lang w:eastAsia="fr-FR" w:bidi="fr-FR"/>
              </w:rPr>
            </w:pPr>
          </w:p>
        </w:tc>
        <w:tc>
          <w:tcPr>
            <w:tcW w:w="239" w:type="pct"/>
            <w:noWrap/>
            <w:vAlign w:val="center"/>
          </w:tcPr>
          <w:p w14:paraId="125F47D3"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vAlign w:val="center"/>
          </w:tcPr>
          <w:p w14:paraId="6C532CDC"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vAlign w:val="center"/>
          </w:tcPr>
          <w:p w14:paraId="4DECF180"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vAlign w:val="center"/>
          </w:tcPr>
          <w:p w14:paraId="15F9A5D3"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255B5FD4"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3D780921"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99" w:type="pct"/>
            <w:shd w:val="clear" w:color="000000" w:fill="D9D9D9"/>
            <w:vAlign w:val="center"/>
          </w:tcPr>
          <w:p w14:paraId="41030AE9"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2CC650E8" w14:textId="77777777" w:rsidR="009123AC" w:rsidRPr="00F0379B" w:rsidRDefault="009123AC" w:rsidP="009123AC">
            <w:pPr>
              <w:widowControl w:val="0"/>
              <w:spacing w:after="0" w:line="240" w:lineRule="auto"/>
              <w:jc w:val="right"/>
              <w:rPr>
                <w:rFonts w:ascii="Cambria" w:eastAsia="MS Gothic" w:hAnsi="Cambria" w:cs="Times New Roman"/>
                <w:color w:val="000000"/>
                <w:sz w:val="16"/>
                <w:szCs w:val="16"/>
                <w:lang w:eastAsia="fr-FR" w:bidi="fr-FR"/>
              </w:rPr>
            </w:pPr>
            <w:r w:rsidRPr="00F0379B">
              <w:rPr>
                <w:rFonts w:ascii="Cambria" w:eastAsia="Times New Roman" w:hAnsi="Cambria" w:cs="Calibri"/>
                <w:color w:val="000000"/>
                <w:sz w:val="16"/>
                <w:szCs w:val="16"/>
                <w:lang w:eastAsia="ja-JP" w:bidi="fr-FR"/>
              </w:rPr>
              <w:t>0</w:t>
            </w:r>
          </w:p>
        </w:tc>
        <w:tc>
          <w:tcPr>
            <w:tcW w:w="239" w:type="pct"/>
            <w:tcMar>
              <w:left w:w="0" w:type="dxa"/>
              <w:right w:w="0" w:type="dxa"/>
            </w:tcMar>
            <w:vAlign w:val="center"/>
          </w:tcPr>
          <w:p w14:paraId="4F1A99F7" w14:textId="77777777" w:rsidR="009123AC" w:rsidRPr="00F0379B" w:rsidRDefault="009123AC" w:rsidP="009123AC">
            <w:pPr>
              <w:widowControl w:val="0"/>
              <w:spacing w:after="0" w:line="240" w:lineRule="auto"/>
              <w:jc w:val="center"/>
              <w:rPr>
                <w:rFonts w:ascii="Cambria" w:eastAsia="MS Gothic" w:hAnsi="Cambria" w:cs="Times New Roman"/>
                <w:color w:val="000000"/>
                <w:sz w:val="16"/>
                <w:szCs w:val="16"/>
                <w:lang w:eastAsia="fr-FR" w:bidi="fr-FR"/>
              </w:rPr>
            </w:pPr>
            <w:r w:rsidRPr="00F0379B">
              <w:rPr>
                <w:rFonts w:ascii="Cambria" w:eastAsia="Times New Roman" w:hAnsi="Cambria" w:cs="Calibri"/>
                <w:color w:val="000000"/>
                <w:sz w:val="16"/>
                <w:szCs w:val="16"/>
                <w:lang w:eastAsia="ja-JP" w:bidi="fr-FR"/>
              </w:rPr>
              <w:t>0</w:t>
            </w:r>
          </w:p>
        </w:tc>
        <w:tc>
          <w:tcPr>
            <w:tcW w:w="254" w:type="pct"/>
            <w:tcMar>
              <w:left w:w="0" w:type="dxa"/>
              <w:right w:w="0" w:type="dxa"/>
            </w:tcMar>
            <w:vAlign w:val="center"/>
          </w:tcPr>
          <w:p w14:paraId="4A916FB9" w14:textId="77777777" w:rsidR="009123AC" w:rsidRPr="00F0379B" w:rsidRDefault="009123AC" w:rsidP="009123AC">
            <w:pPr>
              <w:widowControl w:val="0"/>
              <w:spacing w:after="0" w:line="240" w:lineRule="auto"/>
              <w:jc w:val="center"/>
              <w:rPr>
                <w:rFonts w:ascii="Cambria" w:eastAsia="MS Gothic" w:hAnsi="Cambria" w:cs="Times New Roman"/>
                <w:color w:val="000000"/>
                <w:sz w:val="16"/>
                <w:szCs w:val="16"/>
                <w:lang w:eastAsia="fr-FR" w:bidi="fr-FR"/>
              </w:rPr>
            </w:pPr>
            <w:r w:rsidRPr="00F0379B">
              <w:rPr>
                <w:rFonts w:ascii="Cambria" w:eastAsia="Times New Roman" w:hAnsi="Cambria" w:cs="Calibri"/>
                <w:color w:val="000000"/>
                <w:sz w:val="16"/>
                <w:szCs w:val="16"/>
                <w:lang w:eastAsia="ja-JP" w:bidi="fr-FR"/>
              </w:rPr>
              <w:t>0</w:t>
            </w:r>
          </w:p>
        </w:tc>
        <w:tc>
          <w:tcPr>
            <w:tcW w:w="358" w:type="pct"/>
            <w:tcMar>
              <w:left w:w="0" w:type="dxa"/>
              <w:right w:w="0" w:type="dxa"/>
            </w:tcMar>
            <w:vAlign w:val="center"/>
          </w:tcPr>
          <w:p w14:paraId="4877E1A0" w14:textId="77777777" w:rsidR="009123AC" w:rsidRPr="00F0379B" w:rsidRDefault="009123AC" w:rsidP="009123AC">
            <w:pPr>
              <w:widowControl w:val="0"/>
              <w:spacing w:after="0" w:line="240" w:lineRule="auto"/>
              <w:jc w:val="center"/>
              <w:rPr>
                <w:rFonts w:ascii="Cambria" w:eastAsia="MS Gothic" w:hAnsi="Cambria" w:cs="Times New Roman"/>
                <w:color w:val="000000"/>
                <w:sz w:val="16"/>
                <w:szCs w:val="16"/>
                <w:lang w:eastAsia="fr-FR" w:bidi="fr-FR"/>
              </w:rPr>
            </w:pPr>
            <w:r w:rsidRPr="00F0379B">
              <w:rPr>
                <w:rFonts w:ascii="Cambria" w:eastAsia="Times New Roman" w:hAnsi="Cambria" w:cs="Calibri"/>
                <w:color w:val="000000"/>
                <w:sz w:val="16"/>
                <w:szCs w:val="16"/>
                <w:lang w:eastAsia="ja-JP" w:bidi="fr-FR"/>
              </w:rPr>
              <w:t>(18 t)</w:t>
            </w:r>
          </w:p>
        </w:tc>
        <w:tc>
          <w:tcPr>
            <w:tcW w:w="358" w:type="pct"/>
            <w:tcMar>
              <w:left w:w="0" w:type="dxa"/>
              <w:right w:w="0" w:type="dxa"/>
            </w:tcMar>
            <w:vAlign w:val="center"/>
          </w:tcPr>
          <w:p w14:paraId="3A1793AA" w14:textId="77777777" w:rsidR="009123AC" w:rsidRPr="00F0379B" w:rsidRDefault="009123AC" w:rsidP="009123AC">
            <w:pPr>
              <w:widowControl w:val="0"/>
              <w:spacing w:after="0" w:line="240" w:lineRule="auto"/>
              <w:jc w:val="center"/>
              <w:rPr>
                <w:rFonts w:ascii="Cambria" w:eastAsia="MS Gothic" w:hAnsi="Cambria" w:cs="Times New Roman"/>
                <w:color w:val="000000"/>
                <w:sz w:val="16"/>
                <w:szCs w:val="16"/>
                <w:lang w:eastAsia="fr-FR" w:bidi="fr-FR"/>
              </w:rPr>
            </w:pPr>
            <w:r w:rsidRPr="00F0379B">
              <w:rPr>
                <w:rFonts w:ascii="Cambria" w:eastAsia="Times New Roman" w:hAnsi="Cambria" w:cs="Calibri"/>
                <w:color w:val="000000"/>
                <w:sz w:val="16"/>
                <w:szCs w:val="16"/>
                <w:lang w:eastAsia="ja-JP" w:bidi="fr-FR"/>
              </w:rPr>
              <w:t>(18 t)</w:t>
            </w:r>
          </w:p>
        </w:tc>
        <w:tc>
          <w:tcPr>
            <w:tcW w:w="358" w:type="pct"/>
            <w:tcMar>
              <w:left w:w="0" w:type="dxa"/>
              <w:right w:w="0" w:type="dxa"/>
            </w:tcMar>
            <w:vAlign w:val="center"/>
          </w:tcPr>
          <w:p w14:paraId="3588A0BF" w14:textId="77777777" w:rsidR="009123AC" w:rsidRPr="00F0379B" w:rsidRDefault="009123AC" w:rsidP="009123AC">
            <w:pPr>
              <w:widowControl w:val="0"/>
              <w:spacing w:after="0" w:line="240" w:lineRule="auto"/>
              <w:jc w:val="center"/>
              <w:rPr>
                <w:rFonts w:ascii="Cambria" w:eastAsia="MS Gothic" w:hAnsi="Cambria" w:cs="Times New Roman"/>
                <w:color w:val="000000"/>
                <w:sz w:val="16"/>
                <w:szCs w:val="16"/>
                <w:lang w:eastAsia="fr-FR" w:bidi="fr-FR"/>
              </w:rPr>
            </w:pPr>
            <w:r w:rsidRPr="00F0379B">
              <w:rPr>
                <w:rFonts w:ascii="Cambria" w:eastAsia="Times New Roman" w:hAnsi="Cambria" w:cs="Calibri"/>
                <w:color w:val="000000"/>
                <w:sz w:val="16"/>
                <w:szCs w:val="16"/>
                <w:lang w:eastAsia="ja-JP" w:bidi="fr-FR"/>
              </w:rPr>
              <w:t>(18 t)</w:t>
            </w:r>
          </w:p>
        </w:tc>
        <w:tc>
          <w:tcPr>
            <w:tcW w:w="331" w:type="pct"/>
            <w:tcMar>
              <w:left w:w="0" w:type="dxa"/>
              <w:right w:w="0" w:type="dxa"/>
            </w:tcMar>
          </w:tcPr>
          <w:p w14:paraId="558B9DDF" w14:textId="77777777" w:rsidR="009123AC" w:rsidRPr="00F0379B" w:rsidRDefault="009123AC" w:rsidP="009123AC">
            <w:pPr>
              <w:widowControl w:val="0"/>
              <w:spacing w:after="0" w:line="240" w:lineRule="auto"/>
              <w:jc w:val="center"/>
              <w:rPr>
                <w:rFonts w:ascii="Cambria" w:eastAsia="MS Gothic" w:hAnsi="Cambria" w:cs="Times New Roman"/>
                <w:color w:val="000000"/>
                <w:sz w:val="16"/>
                <w:szCs w:val="16"/>
                <w:lang w:eastAsia="fr-FR" w:bidi="fr-FR"/>
              </w:rPr>
            </w:pPr>
            <w:r w:rsidRPr="00F0379B">
              <w:rPr>
                <w:rFonts w:ascii="Cambria" w:eastAsia="Times New Roman" w:hAnsi="Cambria" w:cs="Calibri"/>
                <w:color w:val="000000"/>
                <w:sz w:val="16"/>
                <w:szCs w:val="16"/>
                <w:lang w:eastAsia="ja-JP" w:bidi="fr-FR"/>
              </w:rPr>
              <w:t>(10 t)</w:t>
            </w:r>
          </w:p>
        </w:tc>
      </w:tr>
      <w:tr w:rsidR="009123AC" w:rsidRPr="00F0379B" w14:paraId="307179EC" w14:textId="77777777" w:rsidTr="00CA749B">
        <w:trPr>
          <w:trHeight w:val="20"/>
          <w:jc w:val="center"/>
        </w:trPr>
        <w:tc>
          <w:tcPr>
            <w:tcW w:w="732" w:type="pct"/>
            <w:noWrap/>
            <w:vAlign w:val="center"/>
          </w:tcPr>
          <w:p w14:paraId="39E352A2"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Cuota para investigación científica</w:t>
            </w:r>
          </w:p>
          <w:p w14:paraId="60E5F64E"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r w:rsidRPr="00F0379B">
              <w:rPr>
                <w:rFonts w:ascii="Cambria" w:eastAsia="MS Gothic" w:hAnsi="Cambria" w:cs="Times New Roman"/>
                <w:b/>
                <w:color w:val="000000"/>
                <w:sz w:val="18"/>
                <w:szCs w:val="24"/>
                <w:lang w:eastAsia="fr-FR" w:bidi="fr-FR"/>
              </w:rPr>
              <w:t>(si procede)</w:t>
            </w:r>
          </w:p>
        </w:tc>
        <w:tc>
          <w:tcPr>
            <w:tcW w:w="359" w:type="pct"/>
            <w:noWrap/>
            <w:vAlign w:val="center"/>
          </w:tcPr>
          <w:p w14:paraId="7126E5ED"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7C4F9BE5" w14:textId="77777777" w:rsidR="009123AC" w:rsidRPr="00F0379B" w:rsidRDefault="009123AC" w:rsidP="009123AC">
            <w:pPr>
              <w:widowControl w:val="0"/>
              <w:spacing w:after="0" w:line="240" w:lineRule="auto"/>
              <w:jc w:val="right"/>
              <w:rPr>
                <w:rFonts w:ascii="Cambria" w:eastAsia="MS Gothic" w:hAnsi="Cambria" w:cs="Times New Roman"/>
                <w:sz w:val="18"/>
                <w:szCs w:val="24"/>
                <w:lang w:eastAsia="fr-FR" w:bidi="fr-FR"/>
              </w:rPr>
            </w:pPr>
          </w:p>
        </w:tc>
        <w:tc>
          <w:tcPr>
            <w:tcW w:w="239" w:type="pct"/>
            <w:noWrap/>
            <w:vAlign w:val="center"/>
          </w:tcPr>
          <w:p w14:paraId="151CA87D"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vAlign w:val="center"/>
          </w:tcPr>
          <w:p w14:paraId="0778867A"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vAlign w:val="center"/>
          </w:tcPr>
          <w:p w14:paraId="35CB993D"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vAlign w:val="center"/>
          </w:tcPr>
          <w:p w14:paraId="5EC2855C"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67831035"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2A11AFC6"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99" w:type="pct"/>
            <w:shd w:val="clear" w:color="000000" w:fill="D9D9D9"/>
            <w:vAlign w:val="center"/>
          </w:tcPr>
          <w:p w14:paraId="039115B3"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6FFA348A"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p>
        </w:tc>
        <w:tc>
          <w:tcPr>
            <w:tcW w:w="239" w:type="pct"/>
            <w:vAlign w:val="center"/>
          </w:tcPr>
          <w:p w14:paraId="6CBE7B08"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p>
        </w:tc>
        <w:tc>
          <w:tcPr>
            <w:tcW w:w="254" w:type="pct"/>
            <w:vAlign w:val="center"/>
          </w:tcPr>
          <w:p w14:paraId="6282C722"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p>
        </w:tc>
        <w:tc>
          <w:tcPr>
            <w:tcW w:w="358" w:type="pct"/>
            <w:vAlign w:val="center"/>
          </w:tcPr>
          <w:p w14:paraId="4E1E4C7A"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p>
        </w:tc>
        <w:tc>
          <w:tcPr>
            <w:tcW w:w="358" w:type="pct"/>
            <w:vAlign w:val="center"/>
          </w:tcPr>
          <w:p w14:paraId="7B68B816"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p>
        </w:tc>
        <w:tc>
          <w:tcPr>
            <w:tcW w:w="358" w:type="pct"/>
            <w:vAlign w:val="center"/>
          </w:tcPr>
          <w:p w14:paraId="7B6B270A"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p>
        </w:tc>
        <w:tc>
          <w:tcPr>
            <w:tcW w:w="331" w:type="pct"/>
          </w:tcPr>
          <w:p w14:paraId="58C59EFF"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p>
        </w:tc>
      </w:tr>
      <w:tr w:rsidR="009123AC" w:rsidRPr="00F0379B" w14:paraId="45224087" w14:textId="77777777" w:rsidTr="00CA749B">
        <w:trPr>
          <w:trHeight w:val="20"/>
          <w:jc w:val="center"/>
        </w:trPr>
        <w:tc>
          <w:tcPr>
            <w:tcW w:w="732" w:type="pct"/>
            <w:noWrap/>
            <w:vAlign w:val="center"/>
          </w:tcPr>
          <w:p w14:paraId="0C5F320C"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r w:rsidRPr="00F0379B">
              <w:rPr>
                <w:rFonts w:ascii="Cambria" w:eastAsia="MS Gothic" w:hAnsi="Cambria" w:cs="Times New Roman"/>
                <w:b/>
                <w:color w:val="000000"/>
                <w:sz w:val="18"/>
                <w:szCs w:val="24"/>
                <w:lang w:eastAsia="fr-FR" w:bidi="fr-FR"/>
              </w:rPr>
              <w:t>Tolerancia para pesca deportiva/de recreo (si procede)</w:t>
            </w:r>
          </w:p>
        </w:tc>
        <w:tc>
          <w:tcPr>
            <w:tcW w:w="359" w:type="pct"/>
            <w:noWrap/>
            <w:vAlign w:val="center"/>
          </w:tcPr>
          <w:p w14:paraId="3B0FABA2"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6338454F" w14:textId="77777777" w:rsidR="009123AC" w:rsidRPr="00F0379B" w:rsidRDefault="009123AC" w:rsidP="009123AC">
            <w:pPr>
              <w:widowControl w:val="0"/>
              <w:spacing w:after="0" w:line="240" w:lineRule="auto"/>
              <w:jc w:val="right"/>
              <w:rPr>
                <w:rFonts w:ascii="Cambria" w:eastAsia="MS Gothic" w:hAnsi="Cambria" w:cs="Times New Roman"/>
                <w:sz w:val="18"/>
                <w:szCs w:val="24"/>
                <w:lang w:eastAsia="fr-FR" w:bidi="fr-FR"/>
              </w:rPr>
            </w:pPr>
          </w:p>
        </w:tc>
        <w:tc>
          <w:tcPr>
            <w:tcW w:w="239" w:type="pct"/>
            <w:noWrap/>
            <w:vAlign w:val="center"/>
          </w:tcPr>
          <w:p w14:paraId="00C7D147"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vAlign w:val="center"/>
          </w:tcPr>
          <w:p w14:paraId="0CB441A6"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vAlign w:val="center"/>
          </w:tcPr>
          <w:p w14:paraId="7A474143"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vAlign w:val="center"/>
          </w:tcPr>
          <w:p w14:paraId="1A9FA961"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7A31BE09"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61544A44"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99" w:type="pct"/>
            <w:shd w:val="clear" w:color="000000" w:fill="D9D9D9"/>
            <w:vAlign w:val="center"/>
          </w:tcPr>
          <w:p w14:paraId="79B1FB3A"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3BFFC8D2"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p>
        </w:tc>
        <w:tc>
          <w:tcPr>
            <w:tcW w:w="239" w:type="pct"/>
            <w:vAlign w:val="center"/>
          </w:tcPr>
          <w:p w14:paraId="5EC7F7BB"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p>
        </w:tc>
        <w:tc>
          <w:tcPr>
            <w:tcW w:w="254" w:type="pct"/>
            <w:vAlign w:val="center"/>
          </w:tcPr>
          <w:p w14:paraId="387799CD"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p>
        </w:tc>
        <w:tc>
          <w:tcPr>
            <w:tcW w:w="358" w:type="pct"/>
            <w:vAlign w:val="center"/>
          </w:tcPr>
          <w:p w14:paraId="5F541148"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p>
        </w:tc>
        <w:tc>
          <w:tcPr>
            <w:tcW w:w="358" w:type="pct"/>
            <w:vAlign w:val="center"/>
          </w:tcPr>
          <w:p w14:paraId="3727DFC2"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p>
        </w:tc>
        <w:tc>
          <w:tcPr>
            <w:tcW w:w="358" w:type="pct"/>
            <w:vAlign w:val="center"/>
          </w:tcPr>
          <w:p w14:paraId="0FBFDED6"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p>
        </w:tc>
        <w:tc>
          <w:tcPr>
            <w:tcW w:w="331" w:type="pct"/>
          </w:tcPr>
          <w:p w14:paraId="4ED4648C"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p>
        </w:tc>
      </w:tr>
      <w:tr w:rsidR="009123AC" w:rsidRPr="00F0379B" w14:paraId="7AB766B1" w14:textId="77777777" w:rsidTr="00CA749B">
        <w:trPr>
          <w:trHeight w:val="20"/>
          <w:jc w:val="center"/>
        </w:trPr>
        <w:tc>
          <w:tcPr>
            <w:tcW w:w="732" w:type="pct"/>
            <w:noWrap/>
            <w:vAlign w:val="center"/>
          </w:tcPr>
          <w:p w14:paraId="4E124393"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24"/>
                <w:lang w:eastAsia="fr-FR" w:bidi="fr-FR"/>
              </w:rPr>
            </w:pPr>
            <w:r w:rsidRPr="00F0379B">
              <w:rPr>
                <w:rFonts w:ascii="Cambria" w:eastAsia="Times New Roman" w:hAnsi="Cambria" w:cs="Calibri"/>
                <w:b/>
                <w:bCs/>
                <w:color w:val="000000"/>
                <w:sz w:val="18"/>
                <w:szCs w:val="18"/>
                <w:lang w:eastAsia="ja-JP" w:bidi="fr-FR"/>
              </w:rPr>
              <w:t>Cuota disponible</w:t>
            </w:r>
          </w:p>
        </w:tc>
        <w:tc>
          <w:tcPr>
            <w:tcW w:w="359" w:type="pct"/>
            <w:noWrap/>
            <w:vAlign w:val="center"/>
          </w:tcPr>
          <w:p w14:paraId="2DB731A6"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67F87F93" w14:textId="77777777" w:rsidR="009123AC" w:rsidRPr="00F0379B" w:rsidRDefault="009123AC" w:rsidP="009123AC">
            <w:pPr>
              <w:widowControl w:val="0"/>
              <w:spacing w:after="0" w:line="240" w:lineRule="auto"/>
              <w:jc w:val="right"/>
              <w:rPr>
                <w:rFonts w:ascii="Cambria" w:eastAsia="MS Gothic" w:hAnsi="Cambria" w:cs="Times New Roman"/>
                <w:sz w:val="18"/>
                <w:szCs w:val="24"/>
                <w:lang w:eastAsia="fr-FR" w:bidi="fr-FR"/>
              </w:rPr>
            </w:pPr>
          </w:p>
        </w:tc>
        <w:tc>
          <w:tcPr>
            <w:tcW w:w="239" w:type="pct"/>
            <w:noWrap/>
            <w:vAlign w:val="center"/>
          </w:tcPr>
          <w:p w14:paraId="4343152D"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vAlign w:val="center"/>
          </w:tcPr>
          <w:p w14:paraId="7F9032F7"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vAlign w:val="center"/>
          </w:tcPr>
          <w:p w14:paraId="5A0022D8"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vAlign w:val="center"/>
          </w:tcPr>
          <w:p w14:paraId="52458EB6"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5180B894"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5235E526"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99" w:type="pct"/>
            <w:shd w:val="clear" w:color="000000" w:fill="D9D9D9"/>
            <w:vAlign w:val="center"/>
          </w:tcPr>
          <w:p w14:paraId="78A4C568"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tcPr>
          <w:p w14:paraId="6436287B"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r w:rsidRPr="00F0379B">
              <w:rPr>
                <w:rFonts w:ascii="Cambria" w:eastAsia="Times New Roman" w:hAnsi="Cambria" w:cs="Calibri"/>
                <w:b/>
                <w:bCs/>
                <w:color w:val="000000"/>
                <w:sz w:val="16"/>
                <w:szCs w:val="16"/>
                <w:lang w:eastAsia="ja-JP" w:bidi="fr-FR"/>
              </w:rPr>
              <w:t>947</w:t>
            </w:r>
          </w:p>
        </w:tc>
        <w:tc>
          <w:tcPr>
            <w:tcW w:w="239" w:type="pct"/>
            <w:vAlign w:val="center"/>
          </w:tcPr>
          <w:p w14:paraId="0CBBE0B6"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r w:rsidRPr="00F0379B">
              <w:rPr>
                <w:rFonts w:ascii="Cambria" w:eastAsia="Times New Roman" w:hAnsi="Cambria" w:cs="Calibri"/>
                <w:b/>
                <w:bCs/>
                <w:color w:val="000000"/>
                <w:sz w:val="16"/>
                <w:szCs w:val="16"/>
                <w:lang w:eastAsia="ja-JP" w:bidi="fr-FR"/>
              </w:rPr>
              <w:t>947</w:t>
            </w:r>
          </w:p>
        </w:tc>
        <w:tc>
          <w:tcPr>
            <w:tcW w:w="254" w:type="pct"/>
            <w:vAlign w:val="center"/>
          </w:tcPr>
          <w:p w14:paraId="1EA85A6B"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r w:rsidRPr="00F0379B">
              <w:rPr>
                <w:rFonts w:ascii="Cambria" w:eastAsia="Times New Roman" w:hAnsi="Cambria" w:cs="Calibri"/>
                <w:b/>
                <w:bCs/>
                <w:color w:val="000000"/>
                <w:sz w:val="16"/>
                <w:szCs w:val="16"/>
                <w:lang w:eastAsia="ja-JP" w:bidi="fr-FR"/>
              </w:rPr>
              <w:t>1.846</w:t>
            </w:r>
          </w:p>
        </w:tc>
        <w:tc>
          <w:tcPr>
            <w:tcW w:w="358" w:type="pct"/>
            <w:vAlign w:val="center"/>
          </w:tcPr>
          <w:p w14:paraId="3BA18C78"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r w:rsidRPr="00F0379B">
              <w:rPr>
                <w:rFonts w:ascii="Cambria" w:eastAsia="Times New Roman" w:hAnsi="Cambria" w:cs="Calibri"/>
                <w:b/>
                <w:bCs/>
                <w:color w:val="000000"/>
                <w:sz w:val="16"/>
                <w:szCs w:val="16"/>
                <w:lang w:eastAsia="ja-JP" w:bidi="fr-FR"/>
              </w:rPr>
              <w:t>2.530</w:t>
            </w:r>
          </w:p>
        </w:tc>
        <w:tc>
          <w:tcPr>
            <w:tcW w:w="358" w:type="pct"/>
            <w:vAlign w:val="center"/>
          </w:tcPr>
          <w:p w14:paraId="3F96AA04"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r w:rsidRPr="00F0379B">
              <w:rPr>
                <w:rFonts w:ascii="Cambria" w:eastAsia="Times New Roman" w:hAnsi="Cambria" w:cs="Calibri"/>
                <w:b/>
                <w:bCs/>
                <w:color w:val="000000"/>
                <w:sz w:val="16"/>
                <w:szCs w:val="16"/>
                <w:lang w:eastAsia="ja-JP" w:bidi="fr-FR"/>
              </w:rPr>
              <w:t>2.530</w:t>
            </w:r>
          </w:p>
        </w:tc>
        <w:tc>
          <w:tcPr>
            <w:tcW w:w="358" w:type="pct"/>
            <w:vAlign w:val="center"/>
          </w:tcPr>
          <w:p w14:paraId="12052DCD" w14:textId="77777777" w:rsidR="009123AC" w:rsidRPr="00F0379B" w:rsidRDefault="009123AC" w:rsidP="009123AC">
            <w:pPr>
              <w:widowControl w:val="0"/>
              <w:spacing w:after="0" w:line="240" w:lineRule="auto"/>
              <w:jc w:val="right"/>
              <w:rPr>
                <w:rFonts w:ascii="Cambria" w:eastAsia="Times New Roman" w:hAnsi="Cambria" w:cs="Calibri"/>
                <w:color w:val="000000"/>
                <w:sz w:val="16"/>
                <w:szCs w:val="16"/>
                <w:lang w:eastAsia="ja-JP" w:bidi="fr-FR"/>
              </w:rPr>
            </w:pPr>
            <w:r w:rsidRPr="00F0379B">
              <w:rPr>
                <w:rFonts w:ascii="Cambria" w:eastAsia="Times New Roman" w:hAnsi="Cambria" w:cs="Calibri"/>
                <w:b/>
                <w:bCs/>
                <w:color w:val="000000"/>
                <w:sz w:val="16"/>
                <w:szCs w:val="16"/>
                <w:lang w:eastAsia="ja-JP" w:bidi="fr-FR"/>
              </w:rPr>
              <w:t>2.604</w:t>
            </w:r>
          </w:p>
        </w:tc>
        <w:tc>
          <w:tcPr>
            <w:tcW w:w="331" w:type="pct"/>
            <w:vAlign w:val="center"/>
          </w:tcPr>
          <w:p w14:paraId="6BBADCD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r w:rsidRPr="00F0379B">
              <w:rPr>
                <w:rFonts w:ascii="Cambria" w:eastAsia="Times New Roman" w:hAnsi="Cambria" w:cs="Calibri"/>
                <w:b/>
                <w:bCs/>
                <w:color w:val="000000"/>
                <w:sz w:val="16"/>
                <w:szCs w:val="16"/>
                <w:lang w:eastAsia="ja-JP" w:bidi="fr-FR"/>
              </w:rPr>
              <w:t>2.958</w:t>
            </w:r>
          </w:p>
        </w:tc>
      </w:tr>
      <w:tr w:rsidR="009123AC" w:rsidRPr="00F0379B" w14:paraId="28F9D511" w14:textId="77777777" w:rsidTr="00CA749B">
        <w:trPr>
          <w:trHeight w:val="20"/>
          <w:jc w:val="center"/>
        </w:trPr>
        <w:tc>
          <w:tcPr>
            <w:tcW w:w="732" w:type="pct"/>
            <w:shd w:val="clear" w:color="auto" w:fill="D9D9D9"/>
            <w:noWrap/>
            <w:vAlign w:val="center"/>
          </w:tcPr>
          <w:p w14:paraId="68EB89DC"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roofErr w:type="spellStart"/>
            <w:r w:rsidRPr="00F0379B">
              <w:rPr>
                <w:rFonts w:ascii="Cambria" w:eastAsia="MS Gothic" w:hAnsi="Cambria" w:cs="Times New Roman"/>
                <w:b/>
                <w:color w:val="000000"/>
                <w:sz w:val="18"/>
                <w:szCs w:val="24"/>
                <w:lang w:eastAsia="fr-FR" w:bidi="fr-FR"/>
              </w:rPr>
              <w:t>Subcapacidad</w:t>
            </w:r>
            <w:proofErr w:type="spellEnd"/>
            <w:r w:rsidRPr="00F0379B">
              <w:rPr>
                <w:rFonts w:ascii="Cambria" w:eastAsia="MS Gothic" w:hAnsi="Cambria" w:cs="Times New Roman"/>
                <w:b/>
                <w:color w:val="000000"/>
                <w:sz w:val="18"/>
                <w:szCs w:val="24"/>
                <w:lang w:eastAsia="fr-FR" w:bidi="fr-FR"/>
              </w:rPr>
              <w:t>/exceso de capacidad</w:t>
            </w:r>
          </w:p>
        </w:tc>
        <w:tc>
          <w:tcPr>
            <w:tcW w:w="359" w:type="pct"/>
            <w:shd w:val="clear" w:color="auto" w:fill="D9D9D9"/>
            <w:noWrap/>
            <w:vAlign w:val="center"/>
          </w:tcPr>
          <w:p w14:paraId="2F14BCFA"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 </w:t>
            </w:r>
          </w:p>
        </w:tc>
        <w:tc>
          <w:tcPr>
            <w:tcW w:w="239" w:type="pct"/>
            <w:shd w:val="clear" w:color="auto" w:fill="D9D9D9"/>
          </w:tcPr>
          <w:p w14:paraId="49A2868E" w14:textId="77777777" w:rsidR="009123AC" w:rsidRPr="00F0379B" w:rsidRDefault="009123AC" w:rsidP="009123AC">
            <w:pPr>
              <w:widowControl w:val="0"/>
              <w:spacing w:after="0" w:line="240" w:lineRule="auto"/>
              <w:jc w:val="right"/>
              <w:rPr>
                <w:rFonts w:ascii="Cambria" w:eastAsia="MS Gothic" w:hAnsi="Cambria" w:cs="Times New Roman"/>
                <w:sz w:val="18"/>
                <w:szCs w:val="24"/>
                <w:lang w:eastAsia="fr-FR" w:bidi="fr-FR"/>
              </w:rPr>
            </w:pPr>
          </w:p>
        </w:tc>
        <w:tc>
          <w:tcPr>
            <w:tcW w:w="239" w:type="pct"/>
            <w:shd w:val="clear" w:color="auto" w:fill="D9D9D9"/>
            <w:noWrap/>
            <w:vAlign w:val="center"/>
          </w:tcPr>
          <w:p w14:paraId="7B10D737"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 </w:t>
            </w:r>
          </w:p>
        </w:tc>
        <w:tc>
          <w:tcPr>
            <w:tcW w:w="239" w:type="pct"/>
            <w:shd w:val="clear" w:color="auto" w:fill="D9D9D9"/>
            <w:vAlign w:val="center"/>
          </w:tcPr>
          <w:p w14:paraId="501D4CD2"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 </w:t>
            </w:r>
          </w:p>
        </w:tc>
        <w:tc>
          <w:tcPr>
            <w:tcW w:w="239" w:type="pct"/>
            <w:shd w:val="clear" w:color="auto" w:fill="D9D9D9"/>
            <w:vAlign w:val="center"/>
          </w:tcPr>
          <w:p w14:paraId="0F18E73D"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 </w:t>
            </w:r>
          </w:p>
        </w:tc>
        <w:tc>
          <w:tcPr>
            <w:tcW w:w="239" w:type="pct"/>
            <w:shd w:val="clear" w:color="auto" w:fill="D9D9D9"/>
            <w:vAlign w:val="center"/>
          </w:tcPr>
          <w:p w14:paraId="496BC58F"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 </w:t>
            </w:r>
          </w:p>
        </w:tc>
        <w:tc>
          <w:tcPr>
            <w:tcW w:w="239" w:type="pct"/>
            <w:shd w:val="clear" w:color="auto" w:fill="D9D9D9"/>
          </w:tcPr>
          <w:p w14:paraId="4686D3D8"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239" w:type="pct"/>
            <w:shd w:val="clear" w:color="auto" w:fill="D9D9D9"/>
          </w:tcPr>
          <w:p w14:paraId="3D79D797"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p>
        </w:tc>
        <w:tc>
          <w:tcPr>
            <w:tcW w:w="99" w:type="pct"/>
            <w:shd w:val="clear" w:color="auto" w:fill="D9D9D9"/>
            <w:vAlign w:val="center"/>
          </w:tcPr>
          <w:p w14:paraId="065098B2"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24"/>
                <w:lang w:eastAsia="fr-FR" w:bidi="fr-FR"/>
              </w:rPr>
            </w:pPr>
            <w:r w:rsidRPr="00F0379B">
              <w:rPr>
                <w:rFonts w:ascii="Cambria" w:eastAsia="MS Gothic" w:hAnsi="Cambria" w:cs="Times New Roman"/>
                <w:color w:val="000000"/>
                <w:sz w:val="18"/>
                <w:szCs w:val="24"/>
                <w:lang w:eastAsia="fr-FR" w:bidi="fr-FR"/>
              </w:rPr>
              <w:t> </w:t>
            </w:r>
          </w:p>
        </w:tc>
        <w:tc>
          <w:tcPr>
            <w:tcW w:w="239" w:type="pct"/>
            <w:shd w:val="clear" w:color="auto" w:fill="D9D9D9"/>
            <w:vAlign w:val="center"/>
          </w:tcPr>
          <w:p w14:paraId="5CFE9A29" w14:textId="77777777" w:rsidR="009123AC" w:rsidRPr="00F0379B" w:rsidRDefault="009123AC" w:rsidP="009123AC">
            <w:pPr>
              <w:widowControl w:val="0"/>
              <w:spacing w:after="0" w:line="240" w:lineRule="auto"/>
              <w:jc w:val="right"/>
              <w:rPr>
                <w:rFonts w:ascii="Cambria" w:eastAsia="Times New Roman" w:hAnsi="Cambria" w:cs="Calibri"/>
                <w:b/>
                <w:bCs/>
                <w:color w:val="000000"/>
                <w:sz w:val="14"/>
                <w:szCs w:val="14"/>
                <w:lang w:eastAsia="ja-JP" w:bidi="fr-FR"/>
              </w:rPr>
            </w:pPr>
            <w:r w:rsidRPr="00F0379B">
              <w:rPr>
                <w:rFonts w:ascii="Cambria" w:eastAsia="Times New Roman" w:hAnsi="Cambria" w:cs="Calibri"/>
                <w:color w:val="000000"/>
                <w:sz w:val="14"/>
                <w:szCs w:val="14"/>
                <w:lang w:eastAsia="ja-JP" w:bidi="fr-FR"/>
              </w:rPr>
              <w:t>826</w:t>
            </w:r>
          </w:p>
        </w:tc>
        <w:tc>
          <w:tcPr>
            <w:tcW w:w="239" w:type="pct"/>
            <w:shd w:val="clear" w:color="auto" w:fill="D9D9D9"/>
            <w:vAlign w:val="center"/>
          </w:tcPr>
          <w:p w14:paraId="2E6D0B42" w14:textId="77777777" w:rsidR="009123AC" w:rsidRPr="00F0379B" w:rsidRDefault="009123AC" w:rsidP="009123AC">
            <w:pPr>
              <w:widowControl w:val="0"/>
              <w:spacing w:after="0" w:line="240" w:lineRule="auto"/>
              <w:jc w:val="right"/>
              <w:rPr>
                <w:rFonts w:ascii="Cambria" w:eastAsia="Times New Roman" w:hAnsi="Cambria" w:cs="Calibri"/>
                <w:b/>
                <w:bCs/>
                <w:color w:val="000000"/>
                <w:sz w:val="14"/>
                <w:szCs w:val="14"/>
                <w:lang w:eastAsia="ja-JP" w:bidi="fr-FR"/>
              </w:rPr>
            </w:pPr>
            <w:r w:rsidRPr="00F0379B">
              <w:rPr>
                <w:rFonts w:ascii="Cambria" w:eastAsia="Times New Roman" w:hAnsi="Cambria" w:cs="Calibri"/>
                <w:color w:val="000000"/>
                <w:sz w:val="14"/>
                <w:szCs w:val="14"/>
                <w:lang w:eastAsia="ja-JP" w:bidi="fr-FR"/>
              </w:rPr>
              <w:t>826</w:t>
            </w:r>
          </w:p>
        </w:tc>
        <w:tc>
          <w:tcPr>
            <w:tcW w:w="254" w:type="pct"/>
            <w:shd w:val="clear" w:color="auto" w:fill="D9D9D9"/>
            <w:vAlign w:val="center"/>
          </w:tcPr>
          <w:p w14:paraId="2855C030" w14:textId="77777777" w:rsidR="009123AC" w:rsidRPr="00F0379B" w:rsidRDefault="009123AC" w:rsidP="009123AC">
            <w:pPr>
              <w:widowControl w:val="0"/>
              <w:spacing w:after="0" w:line="240" w:lineRule="auto"/>
              <w:jc w:val="right"/>
              <w:rPr>
                <w:rFonts w:ascii="Cambria" w:eastAsia="Times New Roman" w:hAnsi="Cambria" w:cs="Calibri"/>
                <w:b/>
                <w:bCs/>
                <w:color w:val="000000"/>
                <w:sz w:val="14"/>
                <w:szCs w:val="14"/>
                <w:lang w:eastAsia="ja-JP" w:bidi="fr-FR"/>
              </w:rPr>
            </w:pPr>
            <w:r w:rsidRPr="00F0379B">
              <w:rPr>
                <w:rFonts w:ascii="Cambria" w:eastAsia="MS Gothic" w:hAnsi="Cambria" w:cs="Times New Roman"/>
                <w:color w:val="000000"/>
                <w:sz w:val="14"/>
                <w:szCs w:val="14"/>
                <w:lang w:eastAsia="fr-FR" w:bidi="fr-FR"/>
              </w:rPr>
              <w:t> -</w:t>
            </w:r>
            <w:r w:rsidRPr="00F0379B">
              <w:rPr>
                <w:rFonts w:ascii="Cambria" w:eastAsia="Times New Roman" w:hAnsi="Cambria" w:cs="Calibri"/>
                <w:color w:val="000000"/>
                <w:sz w:val="14"/>
                <w:szCs w:val="14"/>
                <w:lang w:eastAsia="ja-JP" w:bidi="fr-FR"/>
              </w:rPr>
              <w:t>1.099</w:t>
            </w:r>
          </w:p>
        </w:tc>
        <w:tc>
          <w:tcPr>
            <w:tcW w:w="358" w:type="pct"/>
            <w:shd w:val="clear" w:color="auto" w:fill="D9D9D9"/>
            <w:vAlign w:val="center"/>
          </w:tcPr>
          <w:p w14:paraId="7CBAC9C6" w14:textId="77777777" w:rsidR="009123AC" w:rsidRPr="00F0379B" w:rsidRDefault="009123AC" w:rsidP="009123AC">
            <w:pPr>
              <w:widowControl w:val="0"/>
              <w:spacing w:after="0" w:line="240" w:lineRule="auto"/>
              <w:jc w:val="right"/>
              <w:rPr>
                <w:rFonts w:ascii="Cambria" w:eastAsia="Times New Roman" w:hAnsi="Cambria" w:cs="Calibri"/>
                <w:b/>
                <w:bCs/>
                <w:color w:val="000000"/>
                <w:sz w:val="14"/>
                <w:szCs w:val="14"/>
                <w:lang w:eastAsia="ja-JP" w:bidi="fr-FR"/>
              </w:rPr>
            </w:pPr>
            <w:r w:rsidRPr="00F0379B">
              <w:rPr>
                <w:rFonts w:ascii="Cambria" w:eastAsia="Times New Roman" w:hAnsi="Cambria" w:cs="Calibri"/>
                <w:color w:val="000000"/>
                <w:sz w:val="14"/>
                <w:szCs w:val="14"/>
                <w:lang w:eastAsia="ja-JP" w:bidi="fr-FR"/>
              </w:rPr>
              <w:t> -1.783</w:t>
            </w:r>
          </w:p>
        </w:tc>
        <w:tc>
          <w:tcPr>
            <w:tcW w:w="358" w:type="pct"/>
            <w:shd w:val="clear" w:color="auto" w:fill="D9D9D9"/>
            <w:vAlign w:val="center"/>
          </w:tcPr>
          <w:p w14:paraId="24DBB70E" w14:textId="77777777" w:rsidR="009123AC" w:rsidRPr="00F0379B" w:rsidRDefault="009123AC" w:rsidP="009123AC">
            <w:pPr>
              <w:widowControl w:val="0"/>
              <w:spacing w:after="0" w:line="240" w:lineRule="auto"/>
              <w:jc w:val="right"/>
              <w:rPr>
                <w:rFonts w:ascii="Cambria" w:eastAsia="Times New Roman" w:hAnsi="Cambria" w:cs="Calibri"/>
                <w:b/>
                <w:bCs/>
                <w:color w:val="000000"/>
                <w:sz w:val="14"/>
                <w:szCs w:val="14"/>
                <w:lang w:eastAsia="ja-JP" w:bidi="fr-FR"/>
              </w:rPr>
            </w:pPr>
            <w:r w:rsidRPr="00F0379B">
              <w:rPr>
                <w:rFonts w:ascii="Cambria" w:eastAsia="MS Gothic" w:hAnsi="Cambria" w:cs="Times New Roman"/>
                <w:color w:val="000000"/>
                <w:sz w:val="14"/>
                <w:szCs w:val="14"/>
                <w:lang w:eastAsia="fr-FR" w:bidi="fr-FR"/>
              </w:rPr>
              <w:t> -1.783</w:t>
            </w:r>
          </w:p>
        </w:tc>
        <w:tc>
          <w:tcPr>
            <w:tcW w:w="358" w:type="pct"/>
            <w:shd w:val="clear" w:color="auto" w:fill="D9D9D9"/>
            <w:vAlign w:val="center"/>
          </w:tcPr>
          <w:p w14:paraId="1C0A4CF6" w14:textId="77777777" w:rsidR="009123AC" w:rsidRPr="00F0379B" w:rsidRDefault="009123AC" w:rsidP="009123AC">
            <w:pPr>
              <w:widowControl w:val="0"/>
              <w:spacing w:after="0" w:line="240" w:lineRule="auto"/>
              <w:jc w:val="right"/>
              <w:rPr>
                <w:rFonts w:ascii="Cambria" w:eastAsia="Times New Roman" w:hAnsi="Cambria" w:cs="Calibri"/>
                <w:b/>
                <w:bCs/>
                <w:color w:val="000000"/>
                <w:sz w:val="14"/>
                <w:szCs w:val="14"/>
                <w:lang w:eastAsia="ja-JP" w:bidi="fr-FR"/>
              </w:rPr>
            </w:pPr>
            <w:r w:rsidRPr="00F0379B">
              <w:rPr>
                <w:rFonts w:ascii="Cambria" w:eastAsia="MS Gothic" w:hAnsi="Cambria" w:cs="Times New Roman"/>
                <w:color w:val="000000"/>
                <w:sz w:val="14"/>
                <w:szCs w:val="14"/>
                <w:lang w:eastAsia="fr-FR" w:bidi="fr-FR"/>
              </w:rPr>
              <w:t> -</w:t>
            </w:r>
            <w:r w:rsidRPr="00F0379B">
              <w:rPr>
                <w:rFonts w:ascii="Cambria" w:eastAsia="Times New Roman" w:hAnsi="Cambria" w:cs="Calibri"/>
                <w:color w:val="000000"/>
                <w:sz w:val="14"/>
                <w:szCs w:val="14"/>
                <w:lang w:eastAsia="ja-JP" w:bidi="fr-FR"/>
              </w:rPr>
              <w:t>1.857</w:t>
            </w:r>
          </w:p>
        </w:tc>
        <w:tc>
          <w:tcPr>
            <w:tcW w:w="331" w:type="pct"/>
            <w:shd w:val="clear" w:color="auto" w:fill="D9D9D9"/>
            <w:vAlign w:val="center"/>
          </w:tcPr>
          <w:p w14:paraId="523727AC" w14:textId="77777777" w:rsidR="009123AC" w:rsidRPr="00F0379B" w:rsidRDefault="009123AC" w:rsidP="009123AC">
            <w:pPr>
              <w:widowControl w:val="0"/>
              <w:spacing w:after="0" w:line="240" w:lineRule="auto"/>
              <w:jc w:val="center"/>
              <w:rPr>
                <w:rFonts w:ascii="Cambria" w:eastAsia="Times New Roman" w:hAnsi="Cambria" w:cs="Calibri"/>
                <w:color w:val="000000"/>
                <w:sz w:val="14"/>
                <w:szCs w:val="14"/>
                <w:lang w:eastAsia="ja-JP" w:bidi="fr-FR"/>
              </w:rPr>
            </w:pPr>
            <w:r w:rsidRPr="00F0379B">
              <w:rPr>
                <w:rFonts w:ascii="Cambria" w:eastAsia="Times New Roman" w:hAnsi="Cambria" w:cs="Calibri"/>
                <w:color w:val="000000"/>
                <w:sz w:val="14"/>
                <w:szCs w:val="14"/>
                <w:lang w:eastAsia="ja-JP" w:bidi="fr-FR"/>
              </w:rPr>
              <w:t>-2.211</w:t>
            </w:r>
          </w:p>
        </w:tc>
      </w:tr>
    </w:tbl>
    <w:p w14:paraId="136FB004"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sectPr w:rsidR="009123AC" w:rsidRPr="00F0379B" w:rsidSect="009123AC">
          <w:footnotePr>
            <w:numFmt w:val="chicago"/>
          </w:footnotePr>
          <w:pgSz w:w="16838" w:h="11906" w:orient="landscape" w:code="9"/>
          <w:pgMar w:top="1418" w:right="1418" w:bottom="1418" w:left="1418" w:header="851" w:footer="1134" w:gutter="0"/>
          <w:cols w:space="425"/>
          <w:docGrid w:linePitch="360"/>
        </w:sectPr>
      </w:pPr>
      <w:r w:rsidRPr="00F0379B">
        <w:rPr>
          <w:rFonts w:ascii="Cambria" w:eastAsiaTheme="minorEastAsia" w:hAnsi="Cambria"/>
          <w:kern w:val="2"/>
          <w:sz w:val="20"/>
          <w:szCs w:val="20"/>
          <w:lang w:eastAsia="ja-JP"/>
          <w14:ligatures w14:val="standardContextual"/>
        </w:rPr>
        <w:t xml:space="preserve"> </w:t>
      </w:r>
    </w:p>
    <w:p w14:paraId="20BF30A1" w14:textId="43C14921" w:rsidR="009123AC" w:rsidRPr="00F0379B" w:rsidRDefault="009123AC" w:rsidP="009123AC">
      <w:pPr>
        <w:widowControl w:val="0"/>
        <w:spacing w:after="0" w:line="240" w:lineRule="auto"/>
        <w:jc w:val="both"/>
        <w:rPr>
          <w:rFonts w:ascii="Cambria" w:eastAsia="MS Gothic" w:hAnsi="Cambria" w:cs="Times New Roman"/>
          <w:b/>
          <w:sz w:val="20"/>
          <w:szCs w:val="20"/>
          <w:lang w:val="it-IT" w:eastAsia="fr-FR" w:bidi="fr-FR"/>
        </w:rPr>
      </w:pPr>
      <w:r w:rsidRPr="00F0379B">
        <w:rPr>
          <w:rFonts w:ascii="Cambria" w:eastAsia="MS Gothic" w:hAnsi="Cambria" w:cs="Times New Roman"/>
          <w:b/>
          <w:sz w:val="20"/>
          <w:szCs w:val="24"/>
          <w:lang w:val="it-IT" w:eastAsia="fr-FR" w:bidi="fr-FR"/>
        </w:rPr>
        <w:t>Mauritania</w:t>
      </w:r>
    </w:p>
    <w:p w14:paraId="61B96227" w14:textId="77777777" w:rsidR="009123AC" w:rsidRPr="00F0379B" w:rsidRDefault="009123AC" w:rsidP="009123AC">
      <w:pPr>
        <w:widowControl w:val="0"/>
        <w:spacing w:after="0" w:line="240" w:lineRule="auto"/>
        <w:jc w:val="both"/>
        <w:rPr>
          <w:rFonts w:ascii="Cambria" w:eastAsia="MS Gothic" w:hAnsi="Cambria" w:cs="Times New Roman"/>
          <w:sz w:val="20"/>
          <w:szCs w:val="20"/>
          <w:lang w:val="it-IT" w:eastAsia="fr-FR" w:bidi="fr-FR"/>
        </w:rPr>
      </w:pPr>
    </w:p>
    <w:p w14:paraId="1FF76A48"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Año del plan de pesca: 2026</w:t>
      </w:r>
    </w:p>
    <w:p w14:paraId="71B50626"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48B9D046" w14:textId="77777777" w:rsidR="009123AC" w:rsidRPr="00F0379B" w:rsidRDefault="009123AC" w:rsidP="009123AC">
      <w:pPr>
        <w:widowControl w:val="0"/>
        <w:spacing w:after="0" w:line="240" w:lineRule="auto"/>
        <w:ind w:left="426" w:hanging="426"/>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 xml:space="preserve">1. </w:t>
      </w:r>
      <w:r w:rsidRPr="00F0379B">
        <w:rPr>
          <w:rFonts w:ascii="Cambria" w:eastAsia="MS Gothic" w:hAnsi="Cambria" w:cs="Times New Roman"/>
          <w:b/>
          <w:sz w:val="20"/>
          <w:szCs w:val="24"/>
          <w:lang w:eastAsia="fr-FR" w:bidi="fr-FR"/>
        </w:rPr>
        <w:tab/>
        <w:t>Detalles del plan anual de pesca para los buques de captura y las almadrabas</w:t>
      </w:r>
    </w:p>
    <w:p w14:paraId="1B77D9A2"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5FE4EB46" w14:textId="77777777" w:rsidR="009123AC" w:rsidRPr="00F0379B" w:rsidRDefault="009123AC" w:rsidP="009123AC">
      <w:pPr>
        <w:widowControl w:val="0"/>
        <w:spacing w:after="0" w:line="240" w:lineRule="auto"/>
        <w:jc w:val="both"/>
        <w:rPr>
          <w:rFonts w:ascii="Cambria" w:eastAsia="MS Gothic" w:hAnsi="Cambria" w:cs="Times New Roman"/>
          <w:b/>
          <w:bCs/>
          <w:i/>
          <w:iCs/>
          <w:color w:val="000000"/>
          <w:sz w:val="20"/>
          <w:szCs w:val="20"/>
          <w:lang w:eastAsia="fr-FR" w:bidi="fr-FR"/>
        </w:rPr>
      </w:pPr>
      <w:r w:rsidRPr="00F0379B">
        <w:rPr>
          <w:rFonts w:ascii="Cambria" w:eastAsia="MS Gothic" w:hAnsi="Cambria" w:cs="Times New Roman"/>
          <w:b/>
          <w:i/>
          <w:color w:val="000000"/>
          <w:sz w:val="20"/>
          <w:szCs w:val="24"/>
          <w:lang w:eastAsia="fr-FR" w:bidi="fr-FR"/>
        </w:rPr>
        <w:t>1 a) Presentación (párr. 12)</w:t>
      </w:r>
    </w:p>
    <w:p w14:paraId="6C22CAF2" w14:textId="77777777"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bCs/>
          <w:color w:val="000000"/>
          <w:sz w:val="20"/>
          <w:szCs w:val="20"/>
          <w:lang w:eastAsia="fr-FR" w:bidi="fr-FR"/>
        </w:rPr>
      </w:pPr>
    </w:p>
    <w:p w14:paraId="0DD0A30C" w14:textId="24DA2519"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De conformidad con las recomendaciones y resoluciones adoptadas en la 29.ª reunión ordinaria de la Comisión, celebrada en Sevilla (España) del 17 al 24 de noviembre de 2025, y según el sistema de asignación de cuotas de ICCAT para 2026, Mauritania ha obtenido una cuota anual de 55 t de atún rojo para pescar en el Atlántico oriental y el mar Mediterráneo (</w:t>
      </w:r>
      <w:hyperlink r:id="rId162" w:history="1">
        <w:r w:rsidRPr="00F0379B">
          <w:rPr>
            <w:rFonts w:ascii="Cambria" w:eastAsia="MS Gothic" w:hAnsi="Cambria" w:cs="Times New Roman"/>
            <w:color w:val="0563C1"/>
            <w:sz w:val="20"/>
            <w:szCs w:val="24"/>
            <w:lang w:eastAsia="fr-FR" w:bidi="fr-FR"/>
          </w:rPr>
          <w:t>Rec. 25-04</w:t>
        </w:r>
      </w:hyperlink>
      <w:r w:rsidRPr="00F0379B">
        <w:rPr>
          <w:rFonts w:ascii="Cambria" w:eastAsia="MS Gothic" w:hAnsi="Cambria" w:cs="Times New Roman"/>
          <w:color w:val="000000"/>
          <w:sz w:val="20"/>
          <w:szCs w:val="24"/>
          <w:lang w:eastAsia="fr-FR" w:bidi="fr-FR"/>
        </w:rPr>
        <w:t>).</w:t>
      </w:r>
    </w:p>
    <w:p w14:paraId="180BC406" w14:textId="77777777" w:rsidR="009123AC" w:rsidRPr="00F0379B" w:rsidRDefault="009123AC" w:rsidP="009123AC">
      <w:pPr>
        <w:autoSpaceDE w:val="0"/>
        <w:autoSpaceDN w:val="0"/>
        <w:adjustRightInd w:val="0"/>
        <w:spacing w:after="0" w:line="240" w:lineRule="auto"/>
        <w:ind w:right="-604"/>
        <w:jc w:val="both"/>
        <w:rPr>
          <w:rFonts w:ascii="Cambria" w:eastAsia="MS Gothic" w:hAnsi="Cambria" w:cs="Times New Roman"/>
          <w:color w:val="000000"/>
          <w:sz w:val="20"/>
          <w:szCs w:val="20"/>
          <w:lang w:eastAsia="fr-FR" w:bidi="fr-FR"/>
        </w:rPr>
      </w:pPr>
    </w:p>
    <w:p w14:paraId="74182177" w14:textId="0D576F3D"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 xml:space="preserve">Mauritania tiene la intención de transferir la cantidad total de 55 t a Türkiye, de conformidad con el párrafo 8 de la </w:t>
      </w:r>
      <w:hyperlink r:id="rId163" w:history="1">
        <w:r w:rsidRPr="00F0379B">
          <w:rPr>
            <w:rFonts w:ascii="Cambria" w:eastAsia="MS Gothic" w:hAnsi="Cambria" w:cs="Times New Roman"/>
            <w:color w:val="0563C1"/>
            <w:sz w:val="20"/>
            <w:szCs w:val="24"/>
            <w:lang w:eastAsia="fr-FR" w:bidi="fr-FR"/>
          </w:rPr>
          <w:t>Rec. 25-04</w:t>
        </w:r>
      </w:hyperlink>
      <w:r w:rsidRPr="00F0379B">
        <w:rPr>
          <w:rFonts w:ascii="Cambria" w:eastAsia="MS Gothic" w:hAnsi="Cambria" w:cs="Times New Roman"/>
          <w:sz w:val="20"/>
          <w:szCs w:val="24"/>
          <w:lang w:eastAsia="fr-FR" w:bidi="fr-FR"/>
        </w:rPr>
        <w:t>, a lo que Türkiye también da su consentimiento.</w:t>
      </w:r>
    </w:p>
    <w:p w14:paraId="5CC8BE5A" w14:textId="77777777"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sz w:val="20"/>
          <w:szCs w:val="20"/>
          <w:lang w:eastAsia="ja-JP" w:bidi="fr-FR"/>
        </w:rPr>
      </w:pPr>
    </w:p>
    <w:p w14:paraId="1C3B60BC" w14:textId="77777777"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La cuota pesquera total (55 t) de Mauritania se transferirá al buque pesquero con pabellón turco cuyos datos se indican a continuación.</w:t>
      </w:r>
    </w:p>
    <w:p w14:paraId="2CFABE33" w14:textId="77777777"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sz w:val="20"/>
          <w:szCs w:val="20"/>
          <w:lang w:eastAsia="ja-JP" w:bidi="fr-FR"/>
        </w:rPr>
      </w:pPr>
    </w:p>
    <w:p w14:paraId="2A5F8352" w14:textId="77777777"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bCs/>
          <w:sz w:val="20"/>
          <w:szCs w:val="20"/>
          <w:lang w:val="en-US" w:eastAsia="fr-FR" w:bidi="fr-FR"/>
        </w:rPr>
      </w:pPr>
      <w:r w:rsidRPr="00F0379B">
        <w:rPr>
          <w:rFonts w:ascii="Cambria" w:eastAsia="MS Gothic" w:hAnsi="Cambria" w:cs="Times New Roman"/>
          <w:bCs/>
          <w:sz w:val="20"/>
          <w:szCs w:val="24"/>
          <w:lang w:val="en-US" w:eastAsia="fr-FR" w:bidi="fr-FR"/>
        </w:rPr>
        <w:t>AT000TUR00040 – TUNCAY SAGUN-6</w:t>
      </w:r>
    </w:p>
    <w:p w14:paraId="2D3D9DA2"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val="en-US" w:eastAsia="fr-FR" w:bidi="fr-FR"/>
        </w:rPr>
      </w:pPr>
    </w:p>
    <w:p w14:paraId="2FD51636" w14:textId="77777777" w:rsidR="009123AC" w:rsidRPr="00F0379B" w:rsidRDefault="009123AC" w:rsidP="009123AC">
      <w:pPr>
        <w:widowControl w:val="0"/>
        <w:spacing w:after="0" w:line="240" w:lineRule="auto"/>
        <w:jc w:val="both"/>
        <w:rPr>
          <w:rFonts w:ascii="Cambria" w:eastAsia="MS Gothic" w:hAnsi="Cambria" w:cs="Times New Roman"/>
          <w:b/>
          <w:bCs/>
          <w:i/>
          <w:iCs/>
          <w:sz w:val="20"/>
          <w:szCs w:val="20"/>
          <w:lang w:eastAsia="fr-FR" w:bidi="fr-FR"/>
        </w:rPr>
      </w:pPr>
      <w:r w:rsidRPr="00F0379B">
        <w:rPr>
          <w:rFonts w:ascii="Cambria" w:eastAsia="MS Gothic" w:hAnsi="Cambria" w:cs="Times New Roman"/>
          <w:b/>
          <w:i/>
          <w:color w:val="000000"/>
          <w:sz w:val="20"/>
          <w:szCs w:val="24"/>
          <w:lang w:val="en-US" w:eastAsia="fr-FR" w:bidi="fr-FR"/>
        </w:rPr>
        <w:t xml:space="preserve">1b) </w:t>
      </w:r>
      <w:proofErr w:type="spellStart"/>
      <w:r w:rsidRPr="00F0379B">
        <w:rPr>
          <w:rFonts w:ascii="Cambria" w:eastAsia="MS Gothic" w:hAnsi="Cambria" w:cs="Times New Roman"/>
          <w:b/>
          <w:i/>
          <w:sz w:val="20"/>
          <w:szCs w:val="24"/>
          <w:lang w:val="en-US" w:eastAsia="fr-FR" w:bidi="fr-FR"/>
        </w:rPr>
        <w:t>Traspaso</w:t>
      </w:r>
      <w:proofErr w:type="spellEnd"/>
      <w:r w:rsidRPr="00F0379B">
        <w:rPr>
          <w:rFonts w:ascii="Cambria" w:eastAsia="MS Gothic" w:hAnsi="Cambria" w:cs="Times New Roman"/>
          <w:b/>
          <w:i/>
          <w:sz w:val="20"/>
          <w:szCs w:val="24"/>
          <w:lang w:val="en-US" w:eastAsia="fr-FR" w:bidi="fr-FR"/>
        </w:rPr>
        <w:t xml:space="preserve"> (</w:t>
      </w:r>
      <w:proofErr w:type="spellStart"/>
      <w:r w:rsidRPr="00F0379B">
        <w:rPr>
          <w:rFonts w:ascii="Cambria" w:eastAsia="MS Gothic" w:hAnsi="Cambria" w:cs="Times New Roman"/>
          <w:b/>
          <w:i/>
          <w:sz w:val="20"/>
          <w:szCs w:val="24"/>
          <w:lang w:val="en-US" w:eastAsia="fr-FR" w:bidi="fr-FR"/>
        </w:rPr>
        <w:t>párr</w:t>
      </w:r>
      <w:proofErr w:type="spellEnd"/>
      <w:r w:rsidRPr="00F0379B">
        <w:rPr>
          <w:rFonts w:ascii="Cambria" w:eastAsia="MS Gothic" w:hAnsi="Cambria" w:cs="Times New Roman"/>
          <w:b/>
          <w:i/>
          <w:sz w:val="20"/>
          <w:szCs w:val="24"/>
          <w:lang w:val="en-US" w:eastAsia="fr-FR" w:bidi="fr-FR"/>
        </w:rPr>
        <w:t>. </w:t>
      </w:r>
      <w:r w:rsidRPr="00F0379B">
        <w:rPr>
          <w:rFonts w:ascii="Cambria" w:eastAsia="MS Gothic" w:hAnsi="Cambria" w:cs="Times New Roman"/>
          <w:b/>
          <w:i/>
          <w:sz w:val="20"/>
          <w:szCs w:val="24"/>
          <w:lang w:eastAsia="fr-FR" w:bidi="fr-FR"/>
        </w:rPr>
        <w:t>6)</w:t>
      </w:r>
    </w:p>
    <w:p w14:paraId="1CC1DE9A"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54856A46"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r w:rsidRPr="00F0379B">
        <w:rPr>
          <w:rFonts w:ascii="Cambria" w:eastAsia="MS Gothic" w:hAnsi="Cambria" w:cs="Times New Roman"/>
          <w:sz w:val="20"/>
          <w:szCs w:val="24"/>
          <w:lang w:eastAsia="fr-FR" w:bidi="fr-FR"/>
        </w:rPr>
        <w:t xml:space="preserve">No se ha solicitado ningún traspaso de stocks de atún </w:t>
      </w:r>
      <w:proofErr w:type="spellStart"/>
      <w:r w:rsidRPr="00F0379B">
        <w:rPr>
          <w:rFonts w:ascii="Cambria" w:eastAsia="MS Gothic" w:hAnsi="Cambria" w:cs="Times New Roman"/>
          <w:sz w:val="20"/>
          <w:szCs w:val="24"/>
          <w:lang w:eastAsia="fr-FR" w:bidi="fr-FR"/>
        </w:rPr>
        <w:t>infraexplotados</w:t>
      </w:r>
      <w:proofErr w:type="spellEnd"/>
      <w:r w:rsidRPr="00F0379B">
        <w:rPr>
          <w:rFonts w:ascii="Cambria" w:eastAsia="MS Gothic" w:hAnsi="Cambria" w:cs="Times New Roman"/>
          <w:sz w:val="20"/>
          <w:szCs w:val="24"/>
          <w:lang w:eastAsia="fr-FR" w:bidi="fr-FR"/>
        </w:rPr>
        <w:t xml:space="preserve"> de 2025.</w:t>
      </w:r>
    </w:p>
    <w:p w14:paraId="1D4ADF57"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5C66D343" w14:textId="77777777" w:rsidR="009123AC" w:rsidRPr="00F0379B" w:rsidRDefault="009123AC" w:rsidP="009123AC">
      <w:pPr>
        <w:widowControl w:val="0"/>
        <w:spacing w:after="0" w:line="240" w:lineRule="auto"/>
        <w:jc w:val="both"/>
        <w:rPr>
          <w:rFonts w:ascii="Cambria" w:eastAsia="MS Gothic" w:hAnsi="Cambria" w:cs="Times New Roman"/>
          <w:b/>
          <w:bCs/>
          <w:i/>
          <w:sz w:val="20"/>
          <w:szCs w:val="20"/>
          <w:lang w:eastAsia="fr-FR" w:bidi="fr-FR"/>
        </w:rPr>
      </w:pPr>
      <w:r w:rsidRPr="00F0379B">
        <w:rPr>
          <w:rFonts w:ascii="Cambria" w:eastAsia="MS Gothic" w:hAnsi="Cambria" w:cs="Times New Roman"/>
          <w:b/>
          <w:i/>
          <w:sz w:val="20"/>
          <w:szCs w:val="24"/>
          <w:lang w:eastAsia="fr-FR" w:bidi="fr-FR"/>
        </w:rPr>
        <w:t>1c) Destino de la captura</w:t>
      </w:r>
    </w:p>
    <w:p w14:paraId="6FC39631" w14:textId="77777777" w:rsidR="009123AC" w:rsidRPr="00F0379B" w:rsidRDefault="009123AC" w:rsidP="009123AC">
      <w:pPr>
        <w:spacing w:after="0" w:line="240" w:lineRule="auto"/>
        <w:rPr>
          <w:rFonts w:ascii="Cambria" w:eastAsia="MS Gothic" w:hAnsi="Cambria" w:cs="Times New Roman"/>
          <w:iCs/>
          <w:sz w:val="20"/>
          <w:szCs w:val="20"/>
          <w:lang w:eastAsia="fr-FR" w:bidi="fr-FR"/>
        </w:rPr>
      </w:pPr>
    </w:p>
    <w:p w14:paraId="3D65C25F" w14:textId="77777777" w:rsidR="009123AC" w:rsidRPr="00F0379B" w:rsidRDefault="009123AC" w:rsidP="009123AC">
      <w:pPr>
        <w:spacing w:after="0" w:line="240" w:lineRule="auto"/>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Se transfieren 55 t a Türkiye.</w:t>
      </w:r>
    </w:p>
    <w:p w14:paraId="03DE97FF"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0D79D12E"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r w:rsidRPr="00F0379B">
        <w:rPr>
          <w:rFonts w:ascii="Cambria" w:eastAsia="MS Gothic" w:hAnsi="Cambria" w:cs="Times New Roman"/>
          <w:b/>
          <w:i/>
          <w:sz w:val="20"/>
          <w:szCs w:val="24"/>
          <w:lang w:eastAsia="fr-FR" w:bidi="fr-FR"/>
        </w:rPr>
        <w:t xml:space="preserve">1d) </w:t>
      </w:r>
    </w:p>
    <w:tbl>
      <w:tblPr>
        <w:tblStyle w:val="TableGrid"/>
        <w:tblW w:w="0" w:type="auto"/>
        <w:tblLook w:val="04A0" w:firstRow="1" w:lastRow="0" w:firstColumn="1" w:lastColumn="0" w:noHBand="0" w:noVBand="1"/>
      </w:tblPr>
      <w:tblGrid>
        <w:gridCol w:w="453"/>
        <w:gridCol w:w="1952"/>
        <w:gridCol w:w="2552"/>
        <w:gridCol w:w="2409"/>
        <w:gridCol w:w="1694"/>
      </w:tblGrid>
      <w:tr w:rsidR="009123AC" w:rsidRPr="00F0379B" w14:paraId="711D0C67" w14:textId="77777777" w:rsidTr="008917F8">
        <w:trPr>
          <w:tblHeader/>
        </w:trPr>
        <w:tc>
          <w:tcPr>
            <w:tcW w:w="453" w:type="dxa"/>
          </w:tcPr>
          <w:p w14:paraId="155A8663"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952" w:type="dxa"/>
            <w:vAlign w:val="center"/>
          </w:tcPr>
          <w:p w14:paraId="4CE2520A"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Requisito ICCAT</w:t>
            </w:r>
          </w:p>
          <w:p w14:paraId="21722DD0"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 xml:space="preserve">(según </w:t>
            </w:r>
            <w:hyperlink r:id="rId164" w:history="1">
              <w:r w:rsidRPr="00F0379B">
                <w:rPr>
                  <w:rFonts w:ascii="Cambria" w:eastAsiaTheme="minorEastAsia" w:hAnsi="Cambria"/>
                  <w:i/>
                  <w:color w:val="0563C1"/>
                  <w:kern w:val="2"/>
                  <w:sz w:val="20"/>
                  <w:lang w:eastAsia="ja-JP"/>
                  <w14:ligatures w14:val="standardContextual"/>
                </w:rPr>
                <w:t>Rec. 25-04</w:t>
              </w:r>
            </w:hyperlink>
            <w:r w:rsidRPr="00F0379B">
              <w:rPr>
                <w:rFonts w:ascii="Cambria" w:eastAsiaTheme="minorEastAsia" w:hAnsi="Cambria"/>
                <w:i/>
                <w:kern w:val="2"/>
                <w:sz w:val="20"/>
                <w:lang w:eastAsia="ja-JP"/>
                <w14:ligatures w14:val="standardContextual"/>
              </w:rPr>
              <w:t>)</w:t>
            </w:r>
          </w:p>
        </w:tc>
        <w:tc>
          <w:tcPr>
            <w:tcW w:w="2552" w:type="dxa"/>
            <w:vAlign w:val="center"/>
          </w:tcPr>
          <w:p w14:paraId="345458C8"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Explicación de las acciones emprendidas por la CPC con fines de implementación</w:t>
            </w:r>
          </w:p>
        </w:tc>
        <w:tc>
          <w:tcPr>
            <w:tcW w:w="2409" w:type="dxa"/>
            <w:vAlign w:val="center"/>
          </w:tcPr>
          <w:p w14:paraId="22DED0CB"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Leyes o reglamentos internos pertinentes (si procede)</w:t>
            </w:r>
          </w:p>
        </w:tc>
        <w:tc>
          <w:tcPr>
            <w:tcW w:w="1694" w:type="dxa"/>
            <w:vAlign w:val="center"/>
          </w:tcPr>
          <w:p w14:paraId="58FCB0F2"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Nota</w:t>
            </w:r>
          </w:p>
        </w:tc>
      </w:tr>
      <w:tr w:rsidR="009123AC" w:rsidRPr="00F0379B" w14:paraId="57B17FA2" w14:textId="77777777" w:rsidTr="00CA749B">
        <w:tc>
          <w:tcPr>
            <w:tcW w:w="453" w:type="dxa"/>
          </w:tcPr>
          <w:p w14:paraId="0271B91E"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1</w:t>
            </w:r>
          </w:p>
        </w:tc>
        <w:tc>
          <w:tcPr>
            <w:tcW w:w="1952" w:type="dxa"/>
          </w:tcPr>
          <w:p w14:paraId="5FD76460"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Consignación y comunicación de la captura (párrs. 74-88)</w:t>
            </w:r>
          </w:p>
        </w:tc>
        <w:tc>
          <w:tcPr>
            <w:tcW w:w="2552" w:type="dxa"/>
          </w:tcPr>
          <w:p w14:paraId="6532A4B8" w14:textId="77777777" w:rsidR="009123AC" w:rsidRPr="00F0379B" w:rsidRDefault="009123AC" w:rsidP="009123AC">
            <w:pPr>
              <w:autoSpaceDE w:val="0"/>
              <w:autoSpaceDN w:val="0"/>
              <w:adjustRightInd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Los patrones del buque pesquero deben llevar un cuaderno de pesca en el que registren diariamente la información relativa a las actividades pesqueras.</w:t>
            </w:r>
          </w:p>
          <w:p w14:paraId="62E622A0" w14:textId="77777777" w:rsidR="009123AC" w:rsidRPr="00F0379B" w:rsidRDefault="009123AC" w:rsidP="009123AC">
            <w:pPr>
              <w:autoSpaceDE w:val="0"/>
              <w:autoSpaceDN w:val="0"/>
              <w:adjustRightInd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El cuaderno de pesca a bordo se transmite, al final de cada marea, a la administración competente por vía electrónica o por otros medios, en el que se registran las capturas de atún rojo (incluidas las declaraciones de capturas nulas).</w:t>
            </w:r>
          </w:p>
          <w:p w14:paraId="31CB30AA" w14:textId="19DBA470" w:rsidR="00515BB6" w:rsidRPr="00F0379B" w:rsidRDefault="009123AC" w:rsidP="009123AC">
            <w:pPr>
              <w:autoSpaceDE w:val="0"/>
              <w:autoSpaceDN w:val="0"/>
              <w:adjustRightInd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Mauritania presenta a ICCAT un informe bisemanal de capturas. Los peces muertos (conservados o descartados) se contabilizarán en la cuota.</w:t>
            </w:r>
          </w:p>
        </w:tc>
        <w:tc>
          <w:tcPr>
            <w:tcW w:w="2409" w:type="dxa"/>
          </w:tcPr>
          <w:p w14:paraId="5B16A9B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Código de Pesca Marítima y su decreto de aplicación.</w:t>
            </w:r>
          </w:p>
          <w:p w14:paraId="0F7AE2E0"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Decreto por el que se establece el cuaderno de pesca. Ley 017/2025 y decreto 159/2015</w:t>
            </w:r>
          </w:p>
        </w:tc>
        <w:tc>
          <w:tcPr>
            <w:tcW w:w="1694" w:type="dxa"/>
          </w:tcPr>
          <w:p w14:paraId="785E60B9"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r>
      <w:tr w:rsidR="009123AC" w:rsidRPr="00F0379B" w14:paraId="4CE16146" w14:textId="77777777" w:rsidTr="00CA749B">
        <w:tc>
          <w:tcPr>
            <w:tcW w:w="453" w:type="dxa"/>
          </w:tcPr>
          <w:p w14:paraId="4F7A4F61"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2</w:t>
            </w:r>
          </w:p>
        </w:tc>
        <w:tc>
          <w:tcPr>
            <w:tcW w:w="1952" w:type="dxa"/>
          </w:tcPr>
          <w:p w14:paraId="22441ACD"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Temporadas de pesca abiertas (párrs. 28-32)</w:t>
            </w:r>
          </w:p>
        </w:tc>
        <w:tc>
          <w:tcPr>
            <w:tcW w:w="2552" w:type="dxa"/>
          </w:tcPr>
          <w:p w14:paraId="29C4E6CB"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409" w:type="dxa"/>
          </w:tcPr>
          <w:p w14:paraId="01D6B5B1"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694" w:type="dxa"/>
          </w:tcPr>
          <w:p w14:paraId="250506C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r>
      <w:tr w:rsidR="009123AC" w:rsidRPr="00F0379B" w14:paraId="247BFCD1" w14:textId="77777777" w:rsidTr="00CA749B">
        <w:tc>
          <w:tcPr>
            <w:tcW w:w="453" w:type="dxa"/>
          </w:tcPr>
          <w:p w14:paraId="7D5DA3A0"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3</w:t>
            </w:r>
          </w:p>
        </w:tc>
        <w:tc>
          <w:tcPr>
            <w:tcW w:w="1952" w:type="dxa"/>
          </w:tcPr>
          <w:p w14:paraId="0C5B323B"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Talla mínima (párrs. 33-35)</w:t>
            </w:r>
          </w:p>
        </w:tc>
        <w:tc>
          <w:tcPr>
            <w:tcW w:w="2552" w:type="dxa"/>
          </w:tcPr>
          <w:p w14:paraId="21A2B3B6"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Está prohibida la captura, la conservación, el desembarque, el transbordo, la transferencia, la venta y la exposición de venta de atún rojo con un peso inferior a 30 kg o con una longitud a la horquilla de menos de 115 cm.</w:t>
            </w:r>
          </w:p>
          <w:p w14:paraId="79D5226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0094FE9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Los peces de talla inferior a la talla mínima que se descarten muertos se descontarán de la cuota de Mauritania.</w:t>
            </w:r>
          </w:p>
          <w:p w14:paraId="6EF6C8FB"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409" w:type="dxa"/>
          </w:tcPr>
          <w:p w14:paraId="0C8929E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Condiciones y modalidades establecidas por la Comisión General de Recursos Pesqueros para la pesca del atún rojo. (N.º 1827, del 19/03/2023</w:t>
            </w:r>
          </w:p>
        </w:tc>
        <w:tc>
          <w:tcPr>
            <w:tcW w:w="1694" w:type="dxa"/>
          </w:tcPr>
          <w:p w14:paraId="0518D3A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7996861D" w14:textId="77777777" w:rsidTr="00CA749B">
        <w:tc>
          <w:tcPr>
            <w:tcW w:w="453" w:type="dxa"/>
          </w:tcPr>
          <w:p w14:paraId="439EA748"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4</w:t>
            </w:r>
          </w:p>
        </w:tc>
        <w:tc>
          <w:tcPr>
            <w:tcW w:w="1952" w:type="dxa"/>
          </w:tcPr>
          <w:p w14:paraId="38844854"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Captura fortuita (párr.  37) </w:t>
            </w:r>
          </w:p>
        </w:tc>
        <w:tc>
          <w:tcPr>
            <w:tcW w:w="2552" w:type="dxa"/>
          </w:tcPr>
          <w:p w14:paraId="45D789D2"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Sin cantidad para las capturas fortuitas.</w:t>
            </w:r>
          </w:p>
        </w:tc>
        <w:tc>
          <w:tcPr>
            <w:tcW w:w="2409" w:type="dxa"/>
          </w:tcPr>
          <w:p w14:paraId="78CF05D1"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694" w:type="dxa"/>
          </w:tcPr>
          <w:p w14:paraId="391F1C89" w14:textId="77777777" w:rsidR="009123AC" w:rsidRPr="00F0379B" w:rsidRDefault="009123AC" w:rsidP="009123AC">
            <w:pPr>
              <w:spacing w:line="240" w:lineRule="auto"/>
              <w:rPr>
                <w:rFonts w:ascii="Cambria" w:eastAsiaTheme="minorEastAsia" w:hAnsi="Cambria"/>
                <w:kern w:val="2"/>
                <w:sz w:val="20"/>
                <w:szCs w:val="20"/>
                <w:lang w:eastAsia="ja-JP"/>
                <w14:ligatures w14:val="standardContextual"/>
              </w:rPr>
            </w:pPr>
          </w:p>
        </w:tc>
      </w:tr>
      <w:tr w:rsidR="009123AC" w:rsidRPr="00F0379B" w14:paraId="39C83BC6" w14:textId="77777777" w:rsidTr="00CA749B">
        <w:tc>
          <w:tcPr>
            <w:tcW w:w="453" w:type="dxa"/>
          </w:tcPr>
          <w:p w14:paraId="1EA3F847"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5</w:t>
            </w:r>
          </w:p>
        </w:tc>
        <w:tc>
          <w:tcPr>
            <w:tcW w:w="1952" w:type="dxa"/>
          </w:tcPr>
          <w:p w14:paraId="13788B72"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Pesquerías deportivas y de recreo (párrs. 38-46)</w:t>
            </w:r>
          </w:p>
        </w:tc>
        <w:tc>
          <w:tcPr>
            <w:tcW w:w="2552" w:type="dxa"/>
          </w:tcPr>
          <w:p w14:paraId="128A4B1D"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No se permite ninguna actividad de pesca de recreo o deportiva en la actualidad en Mauritania.</w:t>
            </w:r>
          </w:p>
        </w:tc>
        <w:tc>
          <w:tcPr>
            <w:tcW w:w="2409" w:type="dxa"/>
          </w:tcPr>
          <w:p w14:paraId="5E7061F0"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No aplicable</w:t>
            </w:r>
          </w:p>
        </w:tc>
        <w:tc>
          <w:tcPr>
            <w:tcW w:w="1694" w:type="dxa"/>
          </w:tcPr>
          <w:p w14:paraId="186A1C31"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220A2773" w14:textId="77777777" w:rsidTr="00CA749B">
        <w:tc>
          <w:tcPr>
            <w:tcW w:w="453" w:type="dxa"/>
          </w:tcPr>
          <w:p w14:paraId="51A9E8B4"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6</w:t>
            </w:r>
          </w:p>
        </w:tc>
        <w:tc>
          <w:tcPr>
            <w:tcW w:w="1952" w:type="dxa"/>
          </w:tcPr>
          <w:p w14:paraId="7E51300E"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Transbordo (párrs. 89-94) </w:t>
            </w:r>
          </w:p>
        </w:tc>
        <w:tc>
          <w:tcPr>
            <w:tcW w:w="2552" w:type="dxa"/>
          </w:tcPr>
          <w:p w14:paraId="0BAD9428"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Los buques pesqueros solo tienen autorizado transbordar las capturas de atún rojo en los puertos designados de las CPC. No se ha informado de ninguna operación de transbordo en Mauritania.</w:t>
            </w:r>
          </w:p>
        </w:tc>
        <w:tc>
          <w:tcPr>
            <w:tcW w:w="2409" w:type="dxa"/>
          </w:tcPr>
          <w:p w14:paraId="1D197ACE"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Condiciones y modalidades establecidas por la Comisión General de Recursos Pesqueros para la pesca del atún rojo. (N.º 1827, del 19/03/2023</w:t>
            </w:r>
          </w:p>
        </w:tc>
        <w:tc>
          <w:tcPr>
            <w:tcW w:w="1694" w:type="dxa"/>
          </w:tcPr>
          <w:p w14:paraId="7588F41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r>
      <w:tr w:rsidR="009123AC" w:rsidRPr="00F0379B" w14:paraId="0E2E84FA" w14:textId="77777777" w:rsidTr="00CA749B">
        <w:tc>
          <w:tcPr>
            <w:tcW w:w="453" w:type="dxa"/>
          </w:tcPr>
          <w:p w14:paraId="7A9826B0"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7</w:t>
            </w:r>
          </w:p>
        </w:tc>
        <w:tc>
          <w:tcPr>
            <w:tcW w:w="1952" w:type="dxa"/>
          </w:tcPr>
          <w:p w14:paraId="3A112BD1"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VMS (párrs. 222-228)</w:t>
            </w:r>
          </w:p>
        </w:tc>
        <w:tc>
          <w:tcPr>
            <w:tcW w:w="2552" w:type="dxa"/>
          </w:tcPr>
          <w:p w14:paraId="3FCAD0C2" w14:textId="77777777" w:rsidR="009123AC" w:rsidRPr="00F0379B" w:rsidRDefault="009123AC" w:rsidP="009123AC">
            <w:pPr>
              <w:tabs>
                <w:tab w:val="right" w:pos="540"/>
              </w:tabs>
              <w:autoSpaceDE w:val="0"/>
              <w:autoSpaceDN w:val="0"/>
              <w:adjustRightInd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Todos los buques autorizados en la ZEE mauritana están equipados con un sistema VMS.</w:t>
            </w:r>
          </w:p>
          <w:p w14:paraId="62B78887"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Todo buque en actividad debe transmitir al menos 24 posiciones al día, a razón de una posición por hora, al Centro de Vigilancia de la Guardia Costera Mauritana (GCM).</w:t>
            </w:r>
          </w:p>
          <w:p w14:paraId="35FD8C05"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409" w:type="dxa"/>
          </w:tcPr>
          <w:p w14:paraId="5AF161A6"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Decreto n.º 664/MPEM relativo al seguimiento por satélite de los buques pesqueros en aguas bajo jurisdicción nacional, de 24 de agosto de 2020.</w:t>
            </w:r>
          </w:p>
        </w:tc>
        <w:tc>
          <w:tcPr>
            <w:tcW w:w="1694" w:type="dxa"/>
          </w:tcPr>
          <w:p w14:paraId="793C023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w:t>
            </w:r>
          </w:p>
        </w:tc>
      </w:tr>
      <w:tr w:rsidR="009123AC" w:rsidRPr="00F0379B" w14:paraId="427C5CE0" w14:textId="77777777" w:rsidTr="00CA749B">
        <w:tc>
          <w:tcPr>
            <w:tcW w:w="453" w:type="dxa"/>
          </w:tcPr>
          <w:p w14:paraId="29B021E5"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8</w:t>
            </w:r>
          </w:p>
        </w:tc>
        <w:tc>
          <w:tcPr>
            <w:tcW w:w="1952" w:type="dxa"/>
          </w:tcPr>
          <w:p w14:paraId="65111512"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Programa de observadores de las CPC (párrs. 95-100)</w:t>
            </w:r>
          </w:p>
        </w:tc>
        <w:tc>
          <w:tcPr>
            <w:tcW w:w="2552" w:type="dxa"/>
          </w:tcPr>
          <w:p w14:paraId="5B624D4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No aplicable</w:t>
            </w:r>
          </w:p>
        </w:tc>
        <w:tc>
          <w:tcPr>
            <w:tcW w:w="2409" w:type="dxa"/>
          </w:tcPr>
          <w:p w14:paraId="653C3CD1"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694" w:type="dxa"/>
          </w:tcPr>
          <w:p w14:paraId="52F60075"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58AD5790" w14:textId="77777777" w:rsidTr="00CA749B">
        <w:tc>
          <w:tcPr>
            <w:tcW w:w="453" w:type="dxa"/>
          </w:tcPr>
          <w:p w14:paraId="3803C515"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9</w:t>
            </w:r>
          </w:p>
        </w:tc>
        <w:tc>
          <w:tcPr>
            <w:tcW w:w="1952" w:type="dxa"/>
          </w:tcPr>
          <w:p w14:paraId="03AC89F4"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val="pt-BR" w:eastAsia="ja-JP"/>
                <w14:ligatures w14:val="standardContextual"/>
              </w:rPr>
              <w:t>Programa regional de observadores (párrs. </w:t>
            </w:r>
            <w:r w:rsidRPr="00F0379B">
              <w:rPr>
                <w:rFonts w:ascii="Cambria" w:eastAsiaTheme="minorEastAsia" w:hAnsi="Cambria"/>
                <w:b/>
                <w:kern w:val="2"/>
                <w:sz w:val="20"/>
                <w:lang w:eastAsia="ja-JP"/>
                <w14:ligatures w14:val="standardContextual"/>
              </w:rPr>
              <w:t>101-107)</w:t>
            </w:r>
          </w:p>
        </w:tc>
        <w:tc>
          <w:tcPr>
            <w:tcW w:w="2552" w:type="dxa"/>
          </w:tcPr>
          <w:p w14:paraId="0D350885"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No aplicable</w:t>
            </w:r>
          </w:p>
        </w:tc>
        <w:tc>
          <w:tcPr>
            <w:tcW w:w="2409" w:type="dxa"/>
          </w:tcPr>
          <w:p w14:paraId="4694969B"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694" w:type="dxa"/>
          </w:tcPr>
          <w:p w14:paraId="4D628C4D"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29B62FF2" w14:textId="77777777" w:rsidTr="00CA749B">
        <w:tc>
          <w:tcPr>
            <w:tcW w:w="453" w:type="dxa"/>
          </w:tcPr>
          <w:p w14:paraId="0D05173E" w14:textId="77777777" w:rsidR="009123AC" w:rsidRPr="00F0379B" w:rsidRDefault="009123AC" w:rsidP="009123AC">
            <w:pPr>
              <w:widowControl w:val="0"/>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10</w:t>
            </w:r>
          </w:p>
        </w:tc>
        <w:tc>
          <w:tcPr>
            <w:tcW w:w="1952" w:type="dxa"/>
          </w:tcPr>
          <w:p w14:paraId="17595688" w14:textId="77777777" w:rsidR="009123AC" w:rsidRPr="00F0379B" w:rsidRDefault="009123AC" w:rsidP="009123AC">
            <w:pPr>
              <w:widowControl w:val="0"/>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Legislación nacional</w:t>
            </w:r>
          </w:p>
        </w:tc>
        <w:tc>
          <w:tcPr>
            <w:tcW w:w="2552" w:type="dxa"/>
          </w:tcPr>
          <w:p w14:paraId="59594AF0"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La legislación nacional mauritana relativa al atún rojo se ajusta a las recomendaciones de ICCAT.</w:t>
            </w:r>
          </w:p>
          <w:p w14:paraId="519CC77B"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lang w:eastAsia="ja-JP"/>
                <w14:ligatures w14:val="standardContextual"/>
              </w:rPr>
            </w:pPr>
          </w:p>
          <w:p w14:paraId="069DA1EA"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Cada año, la legislación nacional se modifica de acuerdo con las recomendaciones de ICCAT.</w:t>
            </w:r>
          </w:p>
          <w:p w14:paraId="68593485" w14:textId="77777777" w:rsidR="009123AC" w:rsidRPr="00F0379B" w:rsidRDefault="009123AC" w:rsidP="009123AC">
            <w:pPr>
              <w:autoSpaceDE w:val="0"/>
              <w:autoSpaceDN w:val="0"/>
              <w:adjustRightInd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Incluye toda la información relativa a la pesca del atún rojo (temporada de pesca, sistema de seguimiento de capturas, registro y declaración de capturas, talla mínima, capturas fortuitas, etc.).</w:t>
            </w:r>
          </w:p>
        </w:tc>
        <w:tc>
          <w:tcPr>
            <w:tcW w:w="2409" w:type="dxa"/>
          </w:tcPr>
          <w:p w14:paraId="4140BA18"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Condiciones generales de la Institución General de Pesca para la pesca del atún rojo (N.º 1827, de fecha 19/03/2023).</w:t>
            </w:r>
          </w:p>
        </w:tc>
        <w:tc>
          <w:tcPr>
            <w:tcW w:w="1694" w:type="dxa"/>
          </w:tcPr>
          <w:p w14:paraId="6B2FF42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r>
      <w:tr w:rsidR="009123AC" w:rsidRPr="00F0379B" w14:paraId="656974C9" w14:textId="77777777" w:rsidTr="00CA749B">
        <w:tc>
          <w:tcPr>
            <w:tcW w:w="453" w:type="dxa"/>
          </w:tcPr>
          <w:p w14:paraId="4D5A1E2C"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p>
        </w:tc>
        <w:tc>
          <w:tcPr>
            <w:tcW w:w="1952" w:type="dxa"/>
          </w:tcPr>
          <w:p w14:paraId="15444DDC" w14:textId="77777777" w:rsidR="009123AC" w:rsidRPr="00F0379B" w:rsidRDefault="009123AC" w:rsidP="009123AC">
            <w:pPr>
              <w:widowControl w:val="0"/>
              <w:spacing w:line="240" w:lineRule="auto"/>
              <w:jc w:val="both"/>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Otros requisitos, como:</w:t>
            </w:r>
          </w:p>
          <w:p w14:paraId="786BBC85"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programa de marcado (párr. 44). etc.</w:t>
            </w:r>
          </w:p>
        </w:tc>
        <w:tc>
          <w:tcPr>
            <w:tcW w:w="2552" w:type="dxa"/>
          </w:tcPr>
          <w:p w14:paraId="582C4515"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409" w:type="dxa"/>
          </w:tcPr>
          <w:p w14:paraId="35631FC1"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694" w:type="dxa"/>
          </w:tcPr>
          <w:p w14:paraId="36C602E2"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bl>
    <w:p w14:paraId="19B23750" w14:textId="77777777" w:rsidR="009123AC" w:rsidRPr="00F0379B" w:rsidRDefault="009123AC" w:rsidP="009123AC">
      <w:pPr>
        <w:widowControl w:val="0"/>
        <w:spacing w:after="0" w:line="240" w:lineRule="auto"/>
        <w:rPr>
          <w:rFonts w:ascii="Cambria" w:eastAsia="MS Gothic" w:hAnsi="Cambria" w:cs="Times New Roman"/>
          <w:bCs/>
          <w:sz w:val="20"/>
          <w:szCs w:val="20"/>
          <w:lang w:eastAsia="fr-FR" w:bidi="fr-FR"/>
        </w:rPr>
      </w:pPr>
    </w:p>
    <w:p w14:paraId="6500A7F1" w14:textId="77777777"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r w:rsidRPr="00F0379B">
        <w:rPr>
          <w:rFonts w:ascii="Cambria" w:eastAsia="MS Gothic" w:hAnsi="Cambria" w:cs="Times New Roman"/>
          <w:b/>
          <w:i/>
          <w:sz w:val="20"/>
          <w:szCs w:val="24"/>
          <w:lang w:eastAsia="fr-FR" w:bidi="fr-FR"/>
        </w:rPr>
        <w:t>1 e) Puertos designados (párr. 80)</w:t>
      </w:r>
    </w:p>
    <w:p w14:paraId="6537A503" w14:textId="77777777" w:rsidR="009123AC" w:rsidRPr="00F0379B" w:rsidRDefault="009123AC" w:rsidP="009123AC">
      <w:pPr>
        <w:widowControl w:val="0"/>
        <w:spacing w:after="0" w:line="240" w:lineRule="auto"/>
        <w:rPr>
          <w:rFonts w:ascii="Cambria" w:eastAsia="MS Gothic" w:hAnsi="Cambria" w:cs="Times New Roman"/>
          <w:b/>
          <w:sz w:val="20"/>
          <w:szCs w:val="20"/>
          <w:lang w:eastAsia="ja-JP" w:bidi="fr-FR"/>
        </w:rPr>
      </w:pPr>
    </w:p>
    <w:p w14:paraId="22C2437A" w14:textId="77777777" w:rsidR="009123AC" w:rsidRPr="00F0379B" w:rsidRDefault="009123AC" w:rsidP="009123AC">
      <w:pPr>
        <w:widowControl w:val="0"/>
        <w:spacing w:after="0" w:line="240" w:lineRule="auto"/>
        <w:ind w:firstLine="840"/>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Los puertos designados para el desembarque del atún rojo son:</w:t>
      </w:r>
    </w:p>
    <w:p w14:paraId="11A35B91" w14:textId="77777777" w:rsidR="009123AC" w:rsidRPr="00F0379B" w:rsidRDefault="009123AC" w:rsidP="009123AC">
      <w:pPr>
        <w:widowControl w:val="0"/>
        <w:spacing w:after="0" w:line="240" w:lineRule="auto"/>
        <w:ind w:firstLine="840"/>
        <w:jc w:val="both"/>
        <w:rPr>
          <w:rFonts w:ascii="Cambria" w:eastAsia="MS Gothic" w:hAnsi="Cambria" w:cs="Times New Roman"/>
          <w:sz w:val="20"/>
          <w:szCs w:val="20"/>
          <w:lang w:eastAsia="fr-FR" w:bidi="fr-FR"/>
        </w:rPr>
      </w:pPr>
    </w:p>
    <w:p w14:paraId="42FC7EA6" w14:textId="77777777" w:rsidR="009123AC" w:rsidRPr="00F0379B" w:rsidRDefault="009123AC" w:rsidP="00CE0EC8">
      <w:pPr>
        <w:widowControl w:val="0"/>
        <w:numPr>
          <w:ilvl w:val="0"/>
          <w:numId w:val="85"/>
        </w:numPr>
        <w:spacing w:after="0" w:line="240" w:lineRule="auto"/>
        <w:contextualSpacing/>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 xml:space="preserve"> El puerto autónomo de </w:t>
      </w:r>
      <w:proofErr w:type="spellStart"/>
      <w:r w:rsidRPr="00F0379B">
        <w:rPr>
          <w:rFonts w:ascii="Cambria" w:eastAsia="MS Gothic" w:hAnsi="Cambria" w:cs="Times New Roman"/>
          <w:sz w:val="20"/>
          <w:szCs w:val="24"/>
          <w:lang w:eastAsia="fr-FR" w:bidi="fr-FR"/>
        </w:rPr>
        <w:t>Nouadhibou</w:t>
      </w:r>
      <w:proofErr w:type="spellEnd"/>
      <w:r w:rsidRPr="00F0379B">
        <w:rPr>
          <w:rFonts w:ascii="Cambria" w:eastAsia="MS Gothic" w:hAnsi="Cambria" w:cs="Times New Roman"/>
          <w:sz w:val="20"/>
          <w:szCs w:val="24"/>
          <w:lang w:eastAsia="fr-FR" w:bidi="fr-FR"/>
        </w:rPr>
        <w:t xml:space="preserve"> (PAN)</w:t>
      </w:r>
    </w:p>
    <w:p w14:paraId="6B939040" w14:textId="77777777" w:rsidR="009123AC" w:rsidRPr="00F0379B" w:rsidRDefault="009123AC" w:rsidP="00CE0EC8">
      <w:pPr>
        <w:widowControl w:val="0"/>
        <w:numPr>
          <w:ilvl w:val="0"/>
          <w:numId w:val="85"/>
        </w:numPr>
        <w:spacing w:after="0" w:line="240" w:lineRule="auto"/>
        <w:contextualSpacing/>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 xml:space="preserve"> El puerto autónomo de </w:t>
      </w:r>
      <w:proofErr w:type="spellStart"/>
      <w:r w:rsidRPr="00F0379B">
        <w:rPr>
          <w:rFonts w:ascii="Cambria" w:eastAsia="MS Gothic" w:hAnsi="Cambria" w:cs="Times New Roman"/>
          <w:sz w:val="20"/>
          <w:szCs w:val="24"/>
          <w:lang w:eastAsia="fr-FR" w:bidi="fr-FR"/>
        </w:rPr>
        <w:t>Nouakchott</w:t>
      </w:r>
      <w:proofErr w:type="spellEnd"/>
      <w:r w:rsidRPr="00F0379B">
        <w:rPr>
          <w:rFonts w:ascii="Cambria" w:eastAsia="MS Gothic" w:hAnsi="Cambria" w:cs="Times New Roman"/>
          <w:sz w:val="20"/>
          <w:szCs w:val="24"/>
          <w:lang w:eastAsia="fr-FR" w:bidi="fr-FR"/>
        </w:rPr>
        <w:t xml:space="preserve"> </w:t>
      </w:r>
    </w:p>
    <w:p w14:paraId="1711E150" w14:textId="77777777" w:rsidR="009123AC" w:rsidRPr="00F0379B" w:rsidRDefault="009123AC" w:rsidP="009123AC">
      <w:pPr>
        <w:widowControl w:val="0"/>
        <w:spacing w:after="0" w:line="240" w:lineRule="auto"/>
        <w:rPr>
          <w:rFonts w:ascii="Cambria" w:eastAsia="MS Gothic" w:hAnsi="Cambria" w:cs="Times New Roman"/>
          <w:b/>
          <w:sz w:val="20"/>
          <w:szCs w:val="20"/>
          <w:lang w:eastAsia="ja-JP" w:bidi="fr-FR"/>
        </w:rPr>
      </w:pPr>
    </w:p>
    <w:p w14:paraId="23FD697F" w14:textId="77777777" w:rsidR="009123AC" w:rsidRPr="00F0379B" w:rsidRDefault="009123AC" w:rsidP="009123AC">
      <w:pPr>
        <w:widowControl w:val="0"/>
        <w:spacing w:after="0" w:line="240" w:lineRule="auto"/>
        <w:rPr>
          <w:rFonts w:ascii="Cambria" w:eastAsia="MS Gothic" w:hAnsi="Cambria" w:cs="Times New Roman"/>
          <w:b/>
          <w:sz w:val="20"/>
          <w:szCs w:val="20"/>
          <w:lang w:eastAsia="ja-JP" w:bidi="fr-FR"/>
        </w:rPr>
      </w:pPr>
    </w:p>
    <w:p w14:paraId="4BC4DFCA" w14:textId="77777777" w:rsidR="009123AC" w:rsidRPr="00F0379B" w:rsidRDefault="009123AC" w:rsidP="009123AC">
      <w:pPr>
        <w:widowControl w:val="0"/>
        <w:spacing w:after="0" w:line="240" w:lineRule="auto"/>
        <w:ind w:left="426" w:hanging="426"/>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2.</w:t>
      </w:r>
      <w:r w:rsidRPr="00F0379B">
        <w:rPr>
          <w:rFonts w:ascii="Cambria" w:eastAsia="MS Gothic" w:hAnsi="Cambria" w:cs="Times New Roman"/>
          <w:b/>
          <w:sz w:val="20"/>
          <w:szCs w:val="24"/>
          <w:lang w:eastAsia="fr-FR" w:bidi="fr-FR"/>
        </w:rPr>
        <w:tab/>
        <w:t>Plan anual de ordenación de la capacidad pesquera (párrs. 14-21)</w:t>
      </w:r>
    </w:p>
    <w:p w14:paraId="5ACA1A21"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p>
    <w:p w14:paraId="16594459" w14:textId="77777777"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La cantidad total de atún que se puede pescar durante la temporada de pesca de 2026 es de 55 t, que se transferirán a Türkiye.</w:t>
      </w:r>
    </w:p>
    <w:p w14:paraId="799FD46F" w14:textId="77777777"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color w:val="000000"/>
          <w:sz w:val="20"/>
          <w:szCs w:val="20"/>
          <w:lang w:eastAsia="fr-FR" w:bidi="fr-FR"/>
        </w:rPr>
      </w:pPr>
    </w:p>
    <w:p w14:paraId="03A598D2" w14:textId="77777777"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La cuota pesquera total (55 t) de Mauritania se transferirá al buque pesquero con pabellón turco cuyos datos se indican a continuación.</w:t>
      </w:r>
    </w:p>
    <w:p w14:paraId="02E45263" w14:textId="77777777"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sz w:val="20"/>
          <w:szCs w:val="20"/>
          <w:lang w:eastAsia="ja-JP" w:bidi="fr-FR"/>
        </w:rPr>
      </w:pPr>
    </w:p>
    <w:p w14:paraId="0C3945E2" w14:textId="77777777"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bCs/>
          <w:sz w:val="20"/>
          <w:szCs w:val="20"/>
          <w:lang w:eastAsia="fr-FR" w:bidi="fr-FR"/>
        </w:rPr>
      </w:pPr>
      <w:r w:rsidRPr="00F0379B">
        <w:rPr>
          <w:rFonts w:ascii="Cambria" w:eastAsia="MS Gothic" w:hAnsi="Cambria" w:cs="Times New Roman"/>
          <w:bCs/>
          <w:sz w:val="20"/>
          <w:szCs w:val="24"/>
          <w:lang w:eastAsia="fr-FR" w:bidi="fr-FR"/>
        </w:rPr>
        <w:t>AT000TUR00040 – TUNCAY SAGUN-6</w:t>
      </w:r>
    </w:p>
    <w:p w14:paraId="0C3A9F23" w14:textId="77777777" w:rsidR="009123AC" w:rsidRPr="00F0379B" w:rsidRDefault="009123AC" w:rsidP="009123AC">
      <w:pPr>
        <w:spacing w:after="0" w:line="240" w:lineRule="auto"/>
        <w:rPr>
          <w:rFonts w:ascii="Cambria" w:eastAsia="MS Gothic" w:hAnsi="Cambria" w:cs="Times New Roman"/>
          <w:b/>
          <w:sz w:val="20"/>
          <w:szCs w:val="20"/>
          <w:lang w:eastAsia="fr-FR" w:bidi="fr-FR"/>
        </w:rPr>
      </w:pPr>
    </w:p>
    <w:p w14:paraId="3FF7B661" w14:textId="77777777" w:rsidR="009123AC" w:rsidRPr="00F0379B" w:rsidRDefault="009123AC" w:rsidP="009123AC">
      <w:pPr>
        <w:spacing w:after="0" w:line="240" w:lineRule="auto"/>
        <w:rPr>
          <w:rFonts w:ascii="Cambria" w:eastAsia="MS Gothic" w:hAnsi="Cambria" w:cs="Times New Roman"/>
          <w:b/>
          <w:sz w:val="20"/>
          <w:szCs w:val="20"/>
          <w:lang w:eastAsia="fr-FR" w:bidi="fr-FR"/>
        </w:rPr>
      </w:pPr>
    </w:p>
    <w:p w14:paraId="1D1C8C6C" w14:textId="77777777" w:rsidR="009123AC" w:rsidRPr="00F0379B" w:rsidRDefault="009123AC" w:rsidP="009123AC">
      <w:pPr>
        <w:widowControl w:val="0"/>
        <w:spacing w:after="0" w:line="240" w:lineRule="auto"/>
        <w:ind w:left="426" w:hanging="426"/>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3.</w:t>
      </w:r>
      <w:r w:rsidRPr="00F0379B">
        <w:rPr>
          <w:rFonts w:ascii="Cambria" w:eastAsia="MS Gothic" w:hAnsi="Cambria" w:cs="Times New Roman"/>
          <w:b/>
          <w:sz w:val="20"/>
          <w:szCs w:val="24"/>
          <w:lang w:eastAsia="fr-FR" w:bidi="fr-FR"/>
        </w:rPr>
        <w:tab/>
        <w:t>Plan anual de ordenación de la cría (párrs. 22 y 23) si es aplicable</w:t>
      </w:r>
    </w:p>
    <w:p w14:paraId="6B43CE5E"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2350E2C3" w14:textId="77777777" w:rsidR="009123AC" w:rsidRPr="00F0379B" w:rsidRDefault="009123AC" w:rsidP="009123AC">
      <w:pPr>
        <w:autoSpaceDE w:val="0"/>
        <w:autoSpaceDN w:val="0"/>
        <w:adjustRightInd w:val="0"/>
        <w:spacing w:after="0" w:line="240" w:lineRule="auto"/>
        <w:ind w:right="-2"/>
        <w:contextualSpacing/>
        <w:jc w:val="both"/>
        <w:rPr>
          <w:rFonts w:ascii="Cambria" w:eastAsia="MS Gothic" w:hAnsi="Cambria" w:cs="Times New Roman"/>
          <w:bCs/>
          <w:sz w:val="20"/>
          <w:szCs w:val="20"/>
          <w:lang w:eastAsia="fr-FR" w:bidi="fr-FR"/>
        </w:rPr>
      </w:pPr>
      <w:r w:rsidRPr="00F0379B">
        <w:rPr>
          <w:rFonts w:ascii="Cambria" w:eastAsia="MS Gothic" w:hAnsi="Cambria" w:cs="Times New Roman"/>
          <w:sz w:val="20"/>
          <w:szCs w:val="24"/>
          <w:lang w:eastAsia="fr-FR" w:bidi="fr-FR"/>
        </w:rPr>
        <w:t>Actualmente no existe ninguna instalación de cría de atún rojo en aguas mauritanas. Los peces serán transferidos a Türkiye con fines de cría en los países miembros de la CPC.</w:t>
      </w:r>
    </w:p>
    <w:p w14:paraId="71181AFE"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44D07F67"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0DB47973" w14:textId="77777777" w:rsidR="009123AC" w:rsidRPr="00F0379B" w:rsidRDefault="009123AC" w:rsidP="009123AC">
      <w:pPr>
        <w:widowControl w:val="0"/>
        <w:spacing w:after="0" w:line="240" w:lineRule="auto"/>
        <w:ind w:left="426" w:hanging="426"/>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4.</w:t>
      </w:r>
      <w:r w:rsidRPr="00F0379B">
        <w:rPr>
          <w:rFonts w:ascii="Cambria" w:eastAsia="MS Gothic" w:hAnsi="Cambria" w:cs="Times New Roman"/>
          <w:b/>
          <w:sz w:val="20"/>
          <w:szCs w:val="24"/>
          <w:lang w:eastAsia="fr-FR" w:bidi="fr-FR"/>
        </w:rPr>
        <w:tab/>
      </w:r>
      <w:r w:rsidRPr="00F0379B">
        <w:rPr>
          <w:rFonts w:ascii="Cambria" w:eastAsia="MS Gothic" w:hAnsi="Cambria" w:cs="Times New Roman"/>
          <w:b/>
          <w:bCs/>
          <w:color w:val="000000"/>
          <w:sz w:val="20"/>
          <w:szCs w:val="20"/>
          <w:lang w:eastAsia="fr-FR" w:bidi="fr-FR"/>
        </w:rPr>
        <w:t xml:space="preserve">Plan de acuicultura anual (párr. 10 e de la </w:t>
      </w:r>
      <w:hyperlink r:id="rId165" w:history="1">
        <w:r w:rsidRPr="00F0379B">
          <w:rPr>
            <w:rFonts w:ascii="Cambria" w:eastAsia="MS Gothic" w:hAnsi="Cambria" w:cs="Times New Roman"/>
            <w:b/>
            <w:bCs/>
            <w:color w:val="0563C1"/>
            <w:sz w:val="20"/>
            <w:szCs w:val="20"/>
            <w:lang w:eastAsia="fr-FR" w:bidi="fr-FR"/>
          </w:rPr>
          <w:t xml:space="preserve">Rec. 25-04 </w:t>
        </w:r>
      </w:hyperlink>
      <w:r w:rsidRPr="00F0379B">
        <w:rPr>
          <w:rFonts w:ascii="Cambria" w:eastAsia="MS Gothic" w:hAnsi="Cambria" w:cs="Times New Roman"/>
          <w:b/>
          <w:bCs/>
          <w:sz w:val="20"/>
          <w:szCs w:val="20"/>
          <w:lang w:eastAsia="fr-FR" w:bidi="fr-FR"/>
        </w:rPr>
        <w:t xml:space="preserve">de conformidad con la </w:t>
      </w:r>
      <w:hyperlink r:id="rId166" w:history="1">
        <w:r w:rsidRPr="00F0379B">
          <w:rPr>
            <w:rFonts w:ascii="Cambria" w:eastAsia="MS Gothic" w:hAnsi="Cambria" w:cs="Times New Roman"/>
            <w:b/>
            <w:bCs/>
            <w:color w:val="0563C1"/>
            <w:sz w:val="20"/>
            <w:szCs w:val="20"/>
            <w:lang w:eastAsia="fr-FR" w:bidi="fr-FR"/>
          </w:rPr>
          <w:t>Rec. 24-07</w:t>
        </w:r>
      </w:hyperlink>
      <w:r w:rsidRPr="00F0379B">
        <w:rPr>
          <w:rFonts w:ascii="Cambria" w:eastAsia="MS Gothic" w:hAnsi="Cambria" w:cs="Times New Roman"/>
          <w:b/>
          <w:bCs/>
          <w:sz w:val="20"/>
          <w:szCs w:val="20"/>
          <w:lang w:eastAsia="fr-FR" w:bidi="fr-FR"/>
        </w:rPr>
        <w:t>)</w:t>
      </w:r>
      <w:r w:rsidRPr="00F0379B">
        <w:rPr>
          <w:rFonts w:ascii="Cambria" w:eastAsia="MS Gothic" w:hAnsi="Cambria" w:cs="Times New Roman"/>
          <w:b/>
          <w:bCs/>
          <w:color w:val="000000"/>
          <w:sz w:val="20"/>
          <w:szCs w:val="20"/>
          <w:lang w:eastAsia="fr-FR" w:bidi="fr-FR"/>
        </w:rPr>
        <w:t>, si es aplicable</w:t>
      </w:r>
    </w:p>
    <w:p w14:paraId="5FA3DAE3" w14:textId="77777777" w:rsidR="009123AC" w:rsidRPr="00F0379B" w:rsidRDefault="009123AC" w:rsidP="009123AC">
      <w:pPr>
        <w:widowControl w:val="0"/>
        <w:spacing w:after="0" w:line="240" w:lineRule="auto"/>
        <w:jc w:val="both"/>
        <w:rPr>
          <w:rFonts w:ascii="Cambria" w:eastAsia="MS Gothic" w:hAnsi="Cambria" w:cs="Times New Roman"/>
          <w:bCs/>
          <w:sz w:val="20"/>
          <w:szCs w:val="20"/>
          <w:lang w:eastAsia="fr-FR" w:bidi="fr-FR"/>
        </w:rPr>
      </w:pPr>
    </w:p>
    <w:p w14:paraId="2C111374" w14:textId="77777777" w:rsidR="009123AC" w:rsidRPr="00F0379B" w:rsidRDefault="009123AC" w:rsidP="009123AC">
      <w:pPr>
        <w:widowControl w:val="0"/>
        <w:spacing w:after="0" w:line="240" w:lineRule="auto"/>
        <w:jc w:val="both"/>
        <w:rPr>
          <w:rFonts w:ascii="Cambria" w:eastAsia="MS Gothic" w:hAnsi="Cambria" w:cs="Times New Roman"/>
          <w:bCs/>
          <w:sz w:val="20"/>
          <w:szCs w:val="20"/>
          <w:lang w:eastAsia="fr-FR" w:bidi="fr-FR"/>
        </w:rPr>
      </w:pPr>
      <w:r w:rsidRPr="00F0379B">
        <w:rPr>
          <w:rFonts w:ascii="Cambria" w:eastAsia="MS Gothic" w:hAnsi="Cambria" w:cs="Times New Roman"/>
          <w:sz w:val="20"/>
          <w:szCs w:val="24"/>
          <w:lang w:eastAsia="fr-FR" w:bidi="fr-FR"/>
        </w:rPr>
        <w:t>No aplicable</w:t>
      </w:r>
    </w:p>
    <w:p w14:paraId="26240C94" w14:textId="77777777" w:rsidR="009123AC" w:rsidRPr="00F0379B" w:rsidRDefault="009123AC" w:rsidP="009123AC">
      <w:pPr>
        <w:widowControl w:val="0"/>
        <w:spacing w:after="0" w:line="240" w:lineRule="auto"/>
        <w:ind w:left="426" w:hanging="426"/>
        <w:rPr>
          <w:rFonts w:ascii="Cambria" w:eastAsia="MS Gothic" w:hAnsi="Cambria" w:cs="Times New Roman"/>
          <w:b/>
          <w:sz w:val="20"/>
          <w:szCs w:val="20"/>
          <w:lang w:eastAsia="fr-FR" w:bidi="fr-FR"/>
        </w:rPr>
      </w:pPr>
    </w:p>
    <w:p w14:paraId="50034F86" w14:textId="77777777" w:rsidR="009123AC" w:rsidRPr="00F0379B" w:rsidRDefault="009123AC" w:rsidP="009123AC">
      <w:pPr>
        <w:widowControl w:val="0"/>
        <w:spacing w:after="0" w:line="240" w:lineRule="auto"/>
        <w:ind w:left="426" w:hanging="426"/>
        <w:rPr>
          <w:rFonts w:ascii="Cambria" w:eastAsia="MS Gothic" w:hAnsi="Cambria" w:cs="Times New Roman"/>
          <w:b/>
          <w:sz w:val="20"/>
          <w:szCs w:val="20"/>
          <w:lang w:eastAsia="fr-FR" w:bidi="fr-FR"/>
        </w:rPr>
      </w:pPr>
    </w:p>
    <w:p w14:paraId="2A0EA5A4" w14:textId="77777777" w:rsidR="009123AC" w:rsidRPr="00F0379B" w:rsidRDefault="009123AC" w:rsidP="009123AC">
      <w:pPr>
        <w:spacing w:after="0" w:line="240" w:lineRule="auto"/>
        <w:rPr>
          <w:rFonts w:ascii="Cambria" w:eastAsia="MS Gothic" w:hAnsi="Cambria" w:cs="Times New Roman"/>
          <w:b/>
          <w:sz w:val="20"/>
          <w:szCs w:val="24"/>
          <w:lang w:eastAsia="fr-FR" w:bidi="fr-FR"/>
        </w:rPr>
      </w:pPr>
      <w:r w:rsidRPr="00F0379B">
        <w:rPr>
          <w:rFonts w:ascii="Cambria" w:eastAsia="MS Gothic" w:hAnsi="Cambria" w:cs="Times New Roman"/>
          <w:b/>
          <w:sz w:val="20"/>
          <w:szCs w:val="24"/>
          <w:lang w:eastAsia="fr-FR" w:bidi="fr-FR"/>
        </w:rPr>
        <w:br w:type="page"/>
      </w:r>
    </w:p>
    <w:p w14:paraId="0EF555E1" w14:textId="77777777" w:rsidR="009123AC" w:rsidRPr="00F0379B" w:rsidRDefault="009123AC" w:rsidP="009123AC">
      <w:pPr>
        <w:widowControl w:val="0"/>
        <w:spacing w:after="0" w:line="240" w:lineRule="auto"/>
        <w:ind w:left="426" w:hanging="426"/>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 xml:space="preserve">5. </w:t>
      </w:r>
      <w:r w:rsidRPr="00F0379B">
        <w:rPr>
          <w:rFonts w:ascii="Cambria" w:eastAsia="MS Gothic" w:hAnsi="Cambria" w:cs="Times New Roman"/>
          <w:b/>
          <w:sz w:val="20"/>
          <w:szCs w:val="24"/>
          <w:lang w:eastAsia="fr-FR" w:bidi="fr-FR"/>
        </w:rPr>
        <w:tab/>
        <w:t>Plan de inspección, control y seguimiento</w:t>
      </w:r>
    </w:p>
    <w:p w14:paraId="74EC4F48"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p>
    <w:p w14:paraId="28AA865A" w14:textId="77777777"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r w:rsidRPr="00F0379B">
        <w:rPr>
          <w:rFonts w:ascii="Cambria" w:eastAsia="MS Gothic" w:hAnsi="Cambria" w:cs="Times New Roman"/>
          <w:b/>
          <w:i/>
          <w:sz w:val="20"/>
          <w:szCs w:val="24"/>
          <w:lang w:eastAsia="fr-FR" w:bidi="fr-FR"/>
        </w:rPr>
        <w:t>a) Inspección, control y seguimiento de la CPC (párr. 10c)</w:t>
      </w:r>
    </w:p>
    <w:p w14:paraId="30F0F4A7" w14:textId="77777777" w:rsidR="009123AC" w:rsidRPr="00F0379B" w:rsidRDefault="009123AC" w:rsidP="009123AC">
      <w:pPr>
        <w:widowControl w:val="0"/>
        <w:spacing w:after="0" w:line="240" w:lineRule="auto"/>
        <w:rPr>
          <w:rFonts w:ascii="Cambria" w:eastAsia="MS Gothic" w:hAnsi="Cambria" w:cs="Times New Roman"/>
          <w:color w:val="000000"/>
          <w:sz w:val="20"/>
          <w:szCs w:val="20"/>
          <w:lang w:eastAsia="fr-FR" w:bidi="fr-FR"/>
        </w:rPr>
      </w:pPr>
    </w:p>
    <w:p w14:paraId="26E668DC" w14:textId="77777777"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La mayor parte de la flota mauritana está compuesta por pequeñas embarcaciones costeras que pescan pequeños pelágicos, y la posibilidad de capturar atún rojo es casi nula, ya que no hay ningún barco de arrastre pelágico, palangrero, barco de cebo vivo o almadraba que opere bajo pabellón mauritano.</w:t>
      </w:r>
    </w:p>
    <w:p w14:paraId="7051909E" w14:textId="77777777"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sz w:val="20"/>
          <w:szCs w:val="20"/>
          <w:lang w:eastAsia="fr-FR" w:bidi="fr-FR"/>
        </w:rPr>
      </w:pPr>
    </w:p>
    <w:p w14:paraId="0425EF4B" w14:textId="77777777"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 xml:space="preserve">La autoridad competente en materia de control y seguimiento de la actividad pesquera es la Guardia Costera Mauritana (GCM) del Ministerio de Pesca, Infraestructuras Marítimas y Portuarias </w:t>
      </w:r>
      <w:r w:rsidRPr="00F0379B">
        <w:rPr>
          <w:rFonts w:ascii="Cambria" w:eastAsia="MS Gothic" w:hAnsi="Cambria" w:cs="Times New Roman"/>
          <w:sz w:val="20"/>
          <w:szCs w:val="20"/>
          <w:lang w:eastAsia="fr-FR" w:bidi="fr-FR"/>
        </w:rPr>
        <w:t>(MPIMP).</w:t>
      </w:r>
      <w:r w:rsidRPr="00F0379B">
        <w:rPr>
          <w:rFonts w:ascii="Cambria" w:eastAsia="MS Gothic" w:hAnsi="Cambria" w:cs="Times New Roman"/>
          <w:sz w:val="20"/>
          <w:szCs w:val="24"/>
          <w:lang w:eastAsia="fr-FR" w:bidi="fr-FR"/>
        </w:rPr>
        <w:t xml:space="preserve"> Opera en estrecha colaboración con la Dirección de Ordenación de los Recursos Pesqueros y las autoridades portuarias. Los puntos de contacto designados para la implementación del presente plan de seguimiento, control e inspección son los siguientes:</w:t>
      </w:r>
    </w:p>
    <w:p w14:paraId="3E59C752" w14:textId="77777777"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sz w:val="20"/>
          <w:szCs w:val="20"/>
          <w:lang w:eastAsia="fr-FR" w:bidi="fr-FR"/>
        </w:rPr>
      </w:pPr>
    </w:p>
    <w:p w14:paraId="15405BAD" w14:textId="77777777"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sz w:val="20"/>
          <w:szCs w:val="20"/>
          <w:lang w:eastAsia="fr-FR" w:bidi="fr-FR"/>
        </w:rPr>
      </w:pPr>
    </w:p>
    <w:tbl>
      <w:tblPr>
        <w:tblStyle w:val="TableGrid"/>
        <w:tblW w:w="0" w:type="auto"/>
        <w:tblLook w:val="04A0" w:firstRow="1" w:lastRow="0" w:firstColumn="1" w:lastColumn="0" w:noHBand="0" w:noVBand="1"/>
      </w:tblPr>
      <w:tblGrid>
        <w:gridCol w:w="4530"/>
        <w:gridCol w:w="4530"/>
      </w:tblGrid>
      <w:tr w:rsidR="009123AC" w:rsidRPr="00F0379B" w14:paraId="4AA09FF2" w14:textId="77777777" w:rsidTr="00CA749B">
        <w:tc>
          <w:tcPr>
            <w:tcW w:w="9060" w:type="dxa"/>
            <w:gridSpan w:val="2"/>
          </w:tcPr>
          <w:p w14:paraId="6109A8E1" w14:textId="77777777" w:rsidR="009123AC" w:rsidRPr="00F0379B" w:rsidRDefault="009123AC" w:rsidP="009123AC">
            <w:pPr>
              <w:autoSpaceDE w:val="0"/>
              <w:autoSpaceDN w:val="0"/>
              <w:adjustRightInd w:val="0"/>
              <w:spacing w:line="240" w:lineRule="auto"/>
              <w:ind w:right="-2"/>
              <w:jc w:val="center"/>
              <w:rPr>
                <w:rFonts w:ascii="Cambria" w:eastAsiaTheme="minorEastAsia" w:hAnsi="Cambria"/>
                <w:i/>
                <w:iCs/>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Lista de puntos de contacto</w:t>
            </w:r>
          </w:p>
        </w:tc>
      </w:tr>
      <w:tr w:rsidR="009123AC" w:rsidRPr="00F0379B" w14:paraId="609E7CB9" w14:textId="77777777" w:rsidTr="00CA749B">
        <w:tc>
          <w:tcPr>
            <w:tcW w:w="4530" w:type="dxa"/>
          </w:tcPr>
          <w:p w14:paraId="0F24E973" w14:textId="77777777" w:rsidR="009123AC" w:rsidRPr="00F0379B" w:rsidRDefault="009123AC" w:rsidP="009123AC">
            <w:pPr>
              <w:autoSpaceDE w:val="0"/>
              <w:autoSpaceDN w:val="0"/>
              <w:adjustRightInd w:val="0"/>
              <w:spacing w:line="240" w:lineRule="auto"/>
              <w:ind w:right="-2"/>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Lamine CAMARA</w:t>
            </w:r>
          </w:p>
        </w:tc>
        <w:tc>
          <w:tcPr>
            <w:tcW w:w="4530" w:type="dxa"/>
          </w:tcPr>
          <w:p w14:paraId="161C8EC9" w14:textId="77777777" w:rsidR="009123AC" w:rsidRPr="00F0379B" w:rsidRDefault="009123AC" w:rsidP="009123AC">
            <w:pPr>
              <w:autoSpaceDE w:val="0"/>
              <w:autoSpaceDN w:val="0"/>
              <w:adjustRightInd w:val="0"/>
              <w:spacing w:line="240" w:lineRule="auto"/>
              <w:ind w:right="-2"/>
              <w:jc w:val="both"/>
              <w:rPr>
                <w:rFonts w:ascii="Cambria" w:eastAsiaTheme="minorEastAsia" w:hAnsi="Cambria"/>
                <w:kern w:val="2"/>
                <w:sz w:val="20"/>
                <w:szCs w:val="20"/>
                <w:lang w:eastAsia="ja-JP"/>
                <w14:ligatures w14:val="standardContextual"/>
              </w:rPr>
            </w:pPr>
            <w:hyperlink r:id="rId167" w:history="1">
              <w:r w:rsidRPr="00F0379B">
                <w:rPr>
                  <w:rFonts w:ascii="Cambria" w:eastAsiaTheme="minorEastAsia" w:hAnsi="Cambria"/>
                  <w:kern w:val="2"/>
                  <w:sz w:val="20"/>
                  <w:lang w:eastAsia="ja-JP"/>
                  <w14:ligatures w14:val="standardContextual"/>
                </w:rPr>
                <w:t>Laminecam2000@yahoo.fr</w:t>
              </w:r>
            </w:hyperlink>
          </w:p>
        </w:tc>
      </w:tr>
      <w:tr w:rsidR="009123AC" w:rsidRPr="00F0379B" w14:paraId="0A1214D5" w14:textId="77777777" w:rsidTr="00CA749B">
        <w:tc>
          <w:tcPr>
            <w:tcW w:w="4530" w:type="dxa"/>
          </w:tcPr>
          <w:p w14:paraId="3B23BEE4" w14:textId="77777777" w:rsidR="009123AC" w:rsidRPr="00F0379B" w:rsidRDefault="009123AC" w:rsidP="009123AC">
            <w:pPr>
              <w:autoSpaceDE w:val="0"/>
              <w:autoSpaceDN w:val="0"/>
              <w:adjustRightInd w:val="0"/>
              <w:spacing w:line="240" w:lineRule="auto"/>
              <w:ind w:right="-2"/>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CV Cheikh HMOUD</w:t>
            </w:r>
          </w:p>
        </w:tc>
        <w:tc>
          <w:tcPr>
            <w:tcW w:w="4530" w:type="dxa"/>
          </w:tcPr>
          <w:p w14:paraId="655F0A11" w14:textId="77777777" w:rsidR="009123AC" w:rsidRPr="00F0379B" w:rsidRDefault="009123AC" w:rsidP="009123AC">
            <w:pPr>
              <w:autoSpaceDE w:val="0"/>
              <w:autoSpaceDN w:val="0"/>
              <w:adjustRightInd w:val="0"/>
              <w:spacing w:line="240" w:lineRule="auto"/>
              <w:ind w:right="-2"/>
              <w:jc w:val="both"/>
              <w:rPr>
                <w:rFonts w:ascii="Cambria" w:eastAsiaTheme="minorEastAsia" w:hAnsi="Cambria"/>
                <w:kern w:val="2"/>
                <w:sz w:val="20"/>
                <w:szCs w:val="20"/>
                <w:lang w:eastAsia="ja-JP"/>
                <w14:ligatures w14:val="standardContextual"/>
              </w:rPr>
            </w:pPr>
            <w:hyperlink r:id="rId168" w:history="1">
              <w:r w:rsidRPr="00F0379B">
                <w:rPr>
                  <w:rFonts w:ascii="Cambria" w:eastAsiaTheme="minorEastAsia" w:hAnsi="Cambria"/>
                  <w:color w:val="0563C1"/>
                  <w:kern w:val="2"/>
                  <w:sz w:val="20"/>
                  <w:szCs w:val="20"/>
                  <w:lang w:eastAsia="ja-JP"/>
                  <w14:ligatures w14:val="standardContextual"/>
                </w:rPr>
                <w:t>cheikhlehmoudhmety@gmail.com</w:t>
              </w:r>
            </w:hyperlink>
          </w:p>
        </w:tc>
      </w:tr>
      <w:tr w:rsidR="009123AC" w:rsidRPr="00F0379B" w14:paraId="1E10165B" w14:textId="77777777" w:rsidTr="00CA749B">
        <w:tc>
          <w:tcPr>
            <w:tcW w:w="4530" w:type="dxa"/>
          </w:tcPr>
          <w:p w14:paraId="72B5DD02" w14:textId="77777777" w:rsidR="009123AC" w:rsidRPr="00F0379B" w:rsidRDefault="009123AC" w:rsidP="009123AC">
            <w:pPr>
              <w:autoSpaceDE w:val="0"/>
              <w:autoSpaceDN w:val="0"/>
              <w:adjustRightInd w:val="0"/>
              <w:spacing w:line="240" w:lineRule="auto"/>
              <w:ind w:right="-2"/>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Ahmed DIEH</w:t>
            </w:r>
          </w:p>
        </w:tc>
        <w:tc>
          <w:tcPr>
            <w:tcW w:w="4530" w:type="dxa"/>
          </w:tcPr>
          <w:p w14:paraId="45EC8751" w14:textId="77777777" w:rsidR="009123AC" w:rsidRPr="00F0379B" w:rsidRDefault="009123AC" w:rsidP="009123AC">
            <w:pPr>
              <w:autoSpaceDE w:val="0"/>
              <w:autoSpaceDN w:val="0"/>
              <w:adjustRightInd w:val="0"/>
              <w:spacing w:line="240" w:lineRule="auto"/>
              <w:ind w:right="-2"/>
              <w:jc w:val="both"/>
              <w:rPr>
                <w:rFonts w:ascii="Cambria" w:eastAsiaTheme="minorEastAsia" w:hAnsi="Cambria"/>
                <w:kern w:val="2"/>
                <w:sz w:val="20"/>
                <w:szCs w:val="20"/>
                <w:lang w:eastAsia="ja-JP"/>
                <w14:ligatures w14:val="standardContextual"/>
              </w:rPr>
            </w:pPr>
          </w:p>
        </w:tc>
      </w:tr>
    </w:tbl>
    <w:p w14:paraId="6A36520F" w14:textId="77777777" w:rsidR="009123AC" w:rsidRPr="00F0379B" w:rsidRDefault="009123AC" w:rsidP="009123AC">
      <w:pPr>
        <w:autoSpaceDE w:val="0"/>
        <w:autoSpaceDN w:val="0"/>
        <w:adjustRightInd w:val="0"/>
        <w:spacing w:after="0" w:line="240" w:lineRule="auto"/>
        <w:ind w:right="-2"/>
        <w:jc w:val="both"/>
        <w:rPr>
          <w:rFonts w:ascii="Cambria" w:eastAsia="MS Gothic" w:hAnsi="Cambria" w:cs="Times New Roman"/>
          <w:sz w:val="20"/>
          <w:szCs w:val="20"/>
          <w:lang w:eastAsia="fr-FR" w:bidi="fr-FR"/>
        </w:rPr>
      </w:pPr>
    </w:p>
    <w:p w14:paraId="40F701B6" w14:textId="77777777" w:rsidR="009123AC" w:rsidRPr="00F0379B" w:rsidRDefault="009123AC" w:rsidP="009123AC">
      <w:pPr>
        <w:widowControl w:val="0"/>
        <w:spacing w:after="0" w:line="240" w:lineRule="auto"/>
        <w:ind w:left="426" w:hanging="426"/>
        <w:jc w:val="both"/>
        <w:rPr>
          <w:rFonts w:ascii="Cambria" w:eastAsia="MS Gothic" w:hAnsi="Cambria" w:cs="Times New Roman"/>
          <w:b/>
          <w:i/>
          <w:iCs/>
          <w:sz w:val="20"/>
          <w:szCs w:val="20"/>
          <w:lang w:eastAsia="fr-FR" w:bidi="fr-FR"/>
        </w:rPr>
      </w:pPr>
      <w:r w:rsidRPr="00F0379B">
        <w:rPr>
          <w:rFonts w:ascii="Cambria" w:eastAsia="MS Gothic" w:hAnsi="Cambria" w:cs="Times New Roman"/>
          <w:b/>
          <w:i/>
          <w:sz w:val="20"/>
          <w:szCs w:val="24"/>
          <w:lang w:eastAsia="fr-FR" w:bidi="fr-FR"/>
        </w:rPr>
        <w:t>5b) Programa conjunto de Inspección internacional (JIS) (párrs. 232-235)</w:t>
      </w:r>
    </w:p>
    <w:p w14:paraId="5F096B0C" w14:textId="77777777"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p>
    <w:p w14:paraId="075C9397" w14:textId="77777777" w:rsidR="009123AC" w:rsidRPr="00F0379B" w:rsidRDefault="009123AC" w:rsidP="009123AC">
      <w:pPr>
        <w:autoSpaceDE w:val="0"/>
        <w:autoSpaceDN w:val="0"/>
        <w:adjustRightInd w:val="0"/>
        <w:spacing w:after="0" w:line="240" w:lineRule="auto"/>
        <w:ind w:right="-569"/>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No se aplica ningún programa conjunto de inspección internacional.</w:t>
      </w:r>
    </w:p>
    <w:p w14:paraId="0596AE5F"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00AC33EE"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6950D486" w14:textId="77777777" w:rsidR="009123AC" w:rsidRPr="00F0379B" w:rsidRDefault="009123AC" w:rsidP="009123AC">
      <w:pPr>
        <w:widowControl w:val="0"/>
        <w:spacing w:after="0" w:line="240" w:lineRule="auto"/>
        <w:ind w:left="426" w:hanging="426"/>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6.</w:t>
      </w:r>
      <w:r w:rsidRPr="00F0379B">
        <w:rPr>
          <w:rFonts w:ascii="Cambria" w:eastAsia="MS Gothic" w:hAnsi="Cambria" w:cs="Times New Roman"/>
          <w:b/>
          <w:sz w:val="20"/>
          <w:szCs w:val="24"/>
          <w:lang w:eastAsia="fr-FR" w:bidi="fr-FR"/>
        </w:rPr>
        <w:tab/>
        <w:t>Otros</w:t>
      </w:r>
    </w:p>
    <w:p w14:paraId="5CF6192E"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6830F2B8" w14:textId="77777777" w:rsidR="009123AC" w:rsidRPr="00F0379B" w:rsidRDefault="009123AC" w:rsidP="009123AC">
      <w:pPr>
        <w:autoSpaceDE w:val="0"/>
        <w:autoSpaceDN w:val="0"/>
        <w:adjustRightInd w:val="0"/>
        <w:spacing w:after="0" w:line="240" w:lineRule="auto"/>
        <w:ind w:right="-569"/>
        <w:jc w:val="both"/>
        <w:rPr>
          <w:rFonts w:ascii="Cambria" w:eastAsia="MS Gothic" w:hAnsi="Cambria" w:cs="Simplified Arabic"/>
          <w:iCs/>
          <w:color w:val="000000"/>
          <w:sz w:val="20"/>
          <w:szCs w:val="20"/>
          <w:lang w:eastAsia="fr-FR" w:bidi="fr-FR"/>
        </w:rPr>
      </w:pPr>
      <w:r w:rsidRPr="00F0379B">
        <w:rPr>
          <w:rFonts w:ascii="Cambria" w:eastAsia="MS Gothic" w:hAnsi="Cambria" w:cs="Times New Roman"/>
          <w:color w:val="000000"/>
          <w:sz w:val="20"/>
          <w:szCs w:val="24"/>
          <w:lang w:eastAsia="fr-FR" w:bidi="fr-FR"/>
        </w:rPr>
        <w:t>Mauritania no tiene nada más que declarar.</w:t>
      </w:r>
    </w:p>
    <w:p w14:paraId="38DC6418"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r w:rsidRPr="00F0379B">
        <w:rPr>
          <w:rFonts w:ascii="Times New Roman" w:eastAsia="MS Gothic" w:hAnsi="Times New Roman" w:cs="Times New Roman"/>
          <w:color w:val="000000"/>
          <w:sz w:val="24"/>
          <w:szCs w:val="24"/>
          <w:lang w:eastAsia="fr-FR" w:bidi="fr-FR"/>
        </w:rPr>
        <w:br w:type="page"/>
      </w:r>
    </w:p>
    <w:p w14:paraId="79F8D218"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sectPr w:rsidR="009123AC" w:rsidRPr="00F0379B" w:rsidSect="009123AC">
          <w:headerReference w:type="default" r:id="rId169"/>
          <w:footerReference w:type="default" r:id="rId170"/>
          <w:headerReference w:type="first" r:id="rId171"/>
          <w:footerReference w:type="first" r:id="rId172"/>
          <w:pgSz w:w="11906" w:h="16838" w:code="9"/>
          <w:pgMar w:top="1418" w:right="1418" w:bottom="1418" w:left="1418" w:header="851" w:footer="1134" w:gutter="0"/>
          <w:cols w:space="425"/>
          <w:docGrid w:linePitch="360"/>
        </w:sectPr>
      </w:pPr>
    </w:p>
    <w:p w14:paraId="59A0D9B4" w14:textId="77777777" w:rsidR="009123AC" w:rsidRPr="00F0379B" w:rsidRDefault="009123AC" w:rsidP="009123AC">
      <w:pPr>
        <w:spacing w:after="0" w:line="240" w:lineRule="auto"/>
        <w:rPr>
          <w:rFonts w:ascii="Cambria" w:eastAsia="MS Gothic" w:hAnsi="Cambria" w:cs="Times New Roman"/>
          <w:b/>
          <w:bCs/>
          <w:sz w:val="20"/>
          <w:szCs w:val="20"/>
          <w:lang w:eastAsia="fr-FR" w:bidi="fr-FR"/>
        </w:rPr>
      </w:pPr>
      <w:r w:rsidRPr="00F0379B">
        <w:rPr>
          <w:rFonts w:ascii="Cambria" w:eastAsia="MS Gothic" w:hAnsi="Cambria" w:cs="Times New Roman"/>
          <w:b/>
          <w:sz w:val="20"/>
          <w:szCs w:val="24"/>
          <w:lang w:eastAsia="fr-FR" w:bidi="fr-FR"/>
        </w:rPr>
        <w:t>Tabla de capacidad</w:t>
      </w:r>
    </w:p>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1"/>
        <w:gridCol w:w="1874"/>
        <w:gridCol w:w="676"/>
        <w:gridCol w:w="581"/>
        <w:gridCol w:w="581"/>
        <w:gridCol w:w="571"/>
        <w:gridCol w:w="571"/>
        <w:gridCol w:w="571"/>
        <w:gridCol w:w="571"/>
        <w:gridCol w:w="252"/>
        <w:gridCol w:w="571"/>
        <w:gridCol w:w="571"/>
        <w:gridCol w:w="571"/>
        <w:gridCol w:w="571"/>
        <w:gridCol w:w="571"/>
        <w:gridCol w:w="571"/>
        <w:gridCol w:w="571"/>
      </w:tblGrid>
      <w:tr w:rsidR="009123AC" w:rsidRPr="00F0379B" w14:paraId="55BB0915" w14:textId="77777777" w:rsidTr="00CA749B">
        <w:trPr>
          <w:trHeight w:val="20"/>
        </w:trPr>
        <w:tc>
          <w:tcPr>
            <w:tcW w:w="0" w:type="auto"/>
            <w:noWrap/>
            <w:vAlign w:val="center"/>
            <w:hideMark/>
          </w:tcPr>
          <w:p w14:paraId="0ACCB951" w14:textId="77777777" w:rsidR="009123AC" w:rsidRPr="00F0379B" w:rsidRDefault="009123AC" w:rsidP="009123AC">
            <w:pPr>
              <w:spacing w:after="0" w:line="240" w:lineRule="auto"/>
              <w:jc w:val="center"/>
              <w:rPr>
                <w:rFonts w:ascii="Cambria" w:eastAsia="Times New Roman" w:hAnsi="Cambria" w:cs="Calibri"/>
                <w:i/>
                <w:iCs/>
                <w:kern w:val="2"/>
                <w:sz w:val="16"/>
                <w:szCs w:val="16"/>
                <w:lang w:eastAsia="fr-FR" w:bidi="fr-FR"/>
                <w14:ligatures w14:val="standardContextual"/>
              </w:rPr>
            </w:pPr>
            <w:r w:rsidRPr="00F0379B">
              <w:rPr>
                <w:rFonts w:ascii="Cambria" w:eastAsia="MS Gothic" w:hAnsi="Cambria" w:cs="Times New Roman"/>
                <w:i/>
                <w:sz w:val="16"/>
                <w:szCs w:val="24"/>
                <w:lang w:eastAsia="fr-FR" w:bidi="fr-FR"/>
              </w:rPr>
              <w:t>Tipo de buque atunero</w:t>
            </w:r>
          </w:p>
        </w:tc>
        <w:tc>
          <w:tcPr>
            <w:tcW w:w="1874" w:type="dxa"/>
            <w:noWrap/>
            <w:vAlign w:val="center"/>
            <w:hideMark/>
          </w:tcPr>
          <w:p w14:paraId="6AEE139E"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p>
        </w:tc>
        <w:tc>
          <w:tcPr>
            <w:tcW w:w="1844" w:type="dxa"/>
            <w:gridSpan w:val="3"/>
          </w:tcPr>
          <w:p w14:paraId="4A738145" w14:textId="77777777" w:rsidR="009123AC" w:rsidRPr="00F0379B" w:rsidRDefault="009123AC" w:rsidP="009123AC">
            <w:pPr>
              <w:spacing w:after="0" w:line="240" w:lineRule="auto"/>
              <w:jc w:val="center"/>
              <w:rPr>
                <w:rFonts w:ascii="Cambria" w:eastAsia="Times New Roman" w:hAnsi="Cambria" w:cs="Calibri"/>
                <w:i/>
                <w:iCs/>
                <w:kern w:val="2"/>
                <w:sz w:val="16"/>
                <w:szCs w:val="16"/>
                <w:lang w:eastAsia="fr-FR" w:bidi="fr-FR"/>
                <w14:ligatures w14:val="standardContextual"/>
              </w:rPr>
            </w:pPr>
            <w:r w:rsidRPr="00F0379B">
              <w:rPr>
                <w:rFonts w:ascii="Cambria" w:eastAsia="MS Gothic" w:hAnsi="Cambria" w:cs="Times New Roman"/>
                <w:i/>
                <w:sz w:val="16"/>
                <w:szCs w:val="24"/>
                <w:lang w:eastAsia="fr-FR" w:bidi="fr-FR"/>
              </w:rPr>
              <w:t>Año de referencia</w:t>
            </w:r>
          </w:p>
        </w:tc>
        <w:tc>
          <w:tcPr>
            <w:tcW w:w="0" w:type="auto"/>
            <w:gridSpan w:val="4"/>
            <w:vAlign w:val="center"/>
          </w:tcPr>
          <w:p w14:paraId="4C330B0F" w14:textId="77777777" w:rsidR="009123AC" w:rsidRPr="00F0379B" w:rsidRDefault="009123AC" w:rsidP="009123AC">
            <w:pPr>
              <w:spacing w:after="0" w:line="240" w:lineRule="auto"/>
              <w:jc w:val="center"/>
              <w:rPr>
                <w:rFonts w:ascii="Cambria" w:eastAsia="Times New Roman" w:hAnsi="Cambria" w:cs="Cambria"/>
                <w:kern w:val="2"/>
                <w:sz w:val="16"/>
                <w:szCs w:val="16"/>
                <w:lang w:eastAsia="fr-FR" w:bidi="fr-FR"/>
                <w14:ligatures w14:val="standardContextual"/>
              </w:rPr>
            </w:pPr>
            <w:r w:rsidRPr="00F0379B">
              <w:rPr>
                <w:rFonts w:ascii="Cambria" w:eastAsia="MS Gothic" w:hAnsi="Cambria" w:cs="Times New Roman"/>
                <w:i/>
                <w:sz w:val="16"/>
                <w:szCs w:val="24"/>
                <w:lang w:eastAsia="fr-FR" w:bidi="fr-FR"/>
              </w:rPr>
              <w:t>N.º de buques</w:t>
            </w:r>
          </w:p>
        </w:tc>
        <w:tc>
          <w:tcPr>
            <w:tcW w:w="0" w:type="auto"/>
            <w:shd w:val="clear" w:color="auto" w:fill="D9D9D9"/>
            <w:vAlign w:val="center"/>
            <w:hideMark/>
          </w:tcPr>
          <w:p w14:paraId="5D3C13DE" w14:textId="77777777" w:rsidR="009123AC" w:rsidRPr="00F0379B" w:rsidRDefault="009123AC" w:rsidP="009123AC">
            <w:pPr>
              <w:spacing w:after="0" w:line="240" w:lineRule="auto"/>
              <w:jc w:val="center"/>
              <w:rPr>
                <w:rFonts w:ascii="Cambria" w:eastAsia="Times New Roman" w:hAnsi="Cambria" w:cs="Cambria"/>
                <w:kern w:val="2"/>
                <w:sz w:val="16"/>
                <w:szCs w:val="16"/>
                <w:lang w:eastAsia="ja-JP"/>
                <w14:ligatures w14:val="standardContextual"/>
              </w:rPr>
            </w:pPr>
          </w:p>
        </w:tc>
        <w:tc>
          <w:tcPr>
            <w:tcW w:w="0" w:type="auto"/>
            <w:gridSpan w:val="3"/>
          </w:tcPr>
          <w:p w14:paraId="64D3082F" w14:textId="77777777" w:rsidR="009123AC" w:rsidRPr="00F0379B" w:rsidRDefault="009123AC" w:rsidP="009123AC">
            <w:pPr>
              <w:spacing w:after="0" w:line="240" w:lineRule="auto"/>
              <w:jc w:val="center"/>
              <w:rPr>
                <w:rFonts w:ascii="Cambria" w:eastAsia="Times New Roman" w:hAnsi="Cambria" w:cs="Calibri"/>
                <w:i/>
                <w:iCs/>
                <w:kern w:val="2"/>
                <w:sz w:val="16"/>
                <w:szCs w:val="16"/>
                <w:lang w:eastAsia="fr-FR" w:bidi="fr-FR"/>
                <w14:ligatures w14:val="standardContextual"/>
              </w:rPr>
            </w:pPr>
            <w:r w:rsidRPr="00F0379B">
              <w:rPr>
                <w:rFonts w:ascii="Cambria" w:eastAsia="MS Gothic" w:hAnsi="Cambria" w:cs="Times New Roman"/>
                <w:i/>
                <w:sz w:val="16"/>
                <w:szCs w:val="24"/>
                <w:lang w:eastAsia="fr-FR" w:bidi="fr-FR"/>
              </w:rPr>
              <w:t>Año de referencia</w:t>
            </w:r>
          </w:p>
        </w:tc>
        <w:tc>
          <w:tcPr>
            <w:tcW w:w="0" w:type="auto"/>
            <w:gridSpan w:val="4"/>
          </w:tcPr>
          <w:p w14:paraId="0EEDD96E" w14:textId="77777777" w:rsidR="009123AC" w:rsidRPr="00F0379B" w:rsidRDefault="009123AC" w:rsidP="009123AC">
            <w:pPr>
              <w:spacing w:after="0" w:line="240" w:lineRule="auto"/>
              <w:jc w:val="center"/>
              <w:rPr>
                <w:rFonts w:ascii="Cambria" w:eastAsia="Times New Roman" w:hAnsi="Cambria" w:cs="Calibri"/>
                <w:i/>
                <w:iCs/>
                <w:kern w:val="2"/>
                <w:sz w:val="16"/>
                <w:szCs w:val="16"/>
                <w:lang w:eastAsia="fr-FR" w:bidi="fr-FR"/>
                <w14:ligatures w14:val="standardContextual"/>
              </w:rPr>
            </w:pPr>
            <w:r w:rsidRPr="00F0379B">
              <w:rPr>
                <w:rFonts w:ascii="Cambria" w:eastAsia="MS Gothic" w:hAnsi="Cambria" w:cs="Times New Roman"/>
                <w:i/>
                <w:sz w:val="16"/>
                <w:szCs w:val="24"/>
                <w:lang w:eastAsia="fr-FR" w:bidi="fr-FR"/>
              </w:rPr>
              <w:t>Capacidad de pesca</w:t>
            </w:r>
          </w:p>
        </w:tc>
      </w:tr>
      <w:tr w:rsidR="009123AC" w:rsidRPr="00F0379B" w14:paraId="5CB95D8D" w14:textId="77777777" w:rsidTr="00CA749B">
        <w:trPr>
          <w:trHeight w:val="20"/>
        </w:trPr>
        <w:tc>
          <w:tcPr>
            <w:tcW w:w="0" w:type="auto"/>
            <w:noWrap/>
            <w:vAlign w:val="center"/>
            <w:hideMark/>
          </w:tcPr>
          <w:p w14:paraId="03584658"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Tipo</w:t>
            </w:r>
          </w:p>
        </w:tc>
        <w:tc>
          <w:tcPr>
            <w:tcW w:w="1874" w:type="dxa"/>
            <w:vAlign w:val="center"/>
            <w:hideMark/>
          </w:tcPr>
          <w:p w14:paraId="6C8F5E08"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Mejores tasas de captura definidas por el SCRS en 2009 (t)</w:t>
            </w:r>
          </w:p>
        </w:tc>
        <w:tc>
          <w:tcPr>
            <w:tcW w:w="660" w:type="dxa"/>
            <w:vAlign w:val="center"/>
          </w:tcPr>
          <w:p w14:paraId="53173E5C"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2006</w:t>
            </w:r>
          </w:p>
        </w:tc>
        <w:tc>
          <w:tcPr>
            <w:tcW w:w="0" w:type="auto"/>
            <w:noWrap/>
            <w:vAlign w:val="center"/>
            <w:hideMark/>
          </w:tcPr>
          <w:p w14:paraId="3DC0272A"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2008</w:t>
            </w:r>
          </w:p>
        </w:tc>
        <w:tc>
          <w:tcPr>
            <w:tcW w:w="0" w:type="auto"/>
            <w:vAlign w:val="center"/>
            <w:hideMark/>
          </w:tcPr>
          <w:p w14:paraId="0FAB44A3"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2018</w:t>
            </w:r>
          </w:p>
        </w:tc>
        <w:tc>
          <w:tcPr>
            <w:tcW w:w="0" w:type="auto"/>
            <w:vAlign w:val="center"/>
            <w:hideMark/>
          </w:tcPr>
          <w:p w14:paraId="3874D48B"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2023</w:t>
            </w:r>
          </w:p>
        </w:tc>
        <w:tc>
          <w:tcPr>
            <w:tcW w:w="0" w:type="auto"/>
            <w:vAlign w:val="center"/>
            <w:hideMark/>
          </w:tcPr>
          <w:p w14:paraId="750A9C3A"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2024</w:t>
            </w:r>
          </w:p>
        </w:tc>
        <w:tc>
          <w:tcPr>
            <w:tcW w:w="0" w:type="auto"/>
            <w:vAlign w:val="center"/>
          </w:tcPr>
          <w:p w14:paraId="33186511"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2025</w:t>
            </w:r>
          </w:p>
        </w:tc>
        <w:tc>
          <w:tcPr>
            <w:tcW w:w="0" w:type="auto"/>
            <w:vAlign w:val="center"/>
          </w:tcPr>
          <w:p w14:paraId="49EA0ABA"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2026</w:t>
            </w:r>
          </w:p>
        </w:tc>
        <w:tc>
          <w:tcPr>
            <w:tcW w:w="0" w:type="auto"/>
            <w:shd w:val="clear" w:color="000000" w:fill="D9D9D9"/>
            <w:vAlign w:val="center"/>
            <w:hideMark/>
          </w:tcPr>
          <w:p w14:paraId="32AA5B56"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p>
        </w:tc>
        <w:tc>
          <w:tcPr>
            <w:tcW w:w="0" w:type="auto"/>
            <w:vAlign w:val="center"/>
          </w:tcPr>
          <w:p w14:paraId="4C7EBCF2"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2006</w:t>
            </w:r>
          </w:p>
        </w:tc>
        <w:tc>
          <w:tcPr>
            <w:tcW w:w="0" w:type="auto"/>
            <w:vAlign w:val="center"/>
            <w:hideMark/>
          </w:tcPr>
          <w:p w14:paraId="35236D6D"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2008</w:t>
            </w:r>
          </w:p>
        </w:tc>
        <w:tc>
          <w:tcPr>
            <w:tcW w:w="0" w:type="auto"/>
            <w:vAlign w:val="center"/>
            <w:hideMark/>
          </w:tcPr>
          <w:p w14:paraId="2B29BC73"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2018</w:t>
            </w:r>
          </w:p>
        </w:tc>
        <w:tc>
          <w:tcPr>
            <w:tcW w:w="0" w:type="auto"/>
            <w:vAlign w:val="center"/>
            <w:hideMark/>
          </w:tcPr>
          <w:p w14:paraId="7B2F570C"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2023</w:t>
            </w:r>
          </w:p>
        </w:tc>
        <w:tc>
          <w:tcPr>
            <w:tcW w:w="0" w:type="auto"/>
            <w:vAlign w:val="center"/>
            <w:hideMark/>
          </w:tcPr>
          <w:p w14:paraId="622B6E4E"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2024</w:t>
            </w:r>
          </w:p>
        </w:tc>
        <w:tc>
          <w:tcPr>
            <w:tcW w:w="0" w:type="auto"/>
            <w:vAlign w:val="center"/>
            <w:hideMark/>
          </w:tcPr>
          <w:p w14:paraId="3733856C"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2025</w:t>
            </w:r>
          </w:p>
        </w:tc>
        <w:tc>
          <w:tcPr>
            <w:tcW w:w="0" w:type="auto"/>
            <w:vAlign w:val="center"/>
          </w:tcPr>
          <w:p w14:paraId="4E9246F7"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2026</w:t>
            </w:r>
          </w:p>
        </w:tc>
      </w:tr>
      <w:tr w:rsidR="009123AC" w:rsidRPr="00F0379B" w14:paraId="7119F6CE" w14:textId="77777777" w:rsidTr="00CA749B">
        <w:trPr>
          <w:trHeight w:val="20"/>
        </w:trPr>
        <w:tc>
          <w:tcPr>
            <w:tcW w:w="0" w:type="auto"/>
            <w:noWrap/>
            <w:vAlign w:val="center"/>
            <w:hideMark/>
          </w:tcPr>
          <w:p w14:paraId="4E46D2AC"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16"/>
                <w:lang w:eastAsia="fr-FR" w:bidi="fr-FR"/>
              </w:rPr>
              <w:t>Cerqueros de más de 40 m</w:t>
            </w:r>
          </w:p>
        </w:tc>
        <w:tc>
          <w:tcPr>
            <w:tcW w:w="1874" w:type="dxa"/>
            <w:noWrap/>
            <w:vAlign w:val="center"/>
            <w:hideMark/>
          </w:tcPr>
          <w:p w14:paraId="0E0CF245"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70,66</w:t>
            </w:r>
          </w:p>
        </w:tc>
        <w:tc>
          <w:tcPr>
            <w:tcW w:w="660" w:type="dxa"/>
          </w:tcPr>
          <w:p w14:paraId="21B6F61E"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noWrap/>
            <w:vAlign w:val="center"/>
            <w:hideMark/>
          </w:tcPr>
          <w:p w14:paraId="030CA775"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1780DCB8"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45A02E93"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2D27A2EF"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tcPr>
          <w:p w14:paraId="64A26305"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tcPr>
          <w:p w14:paraId="44BD997F"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hideMark/>
          </w:tcPr>
          <w:p w14:paraId="38B67F72"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4C43F7E1"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hideMark/>
          </w:tcPr>
          <w:p w14:paraId="668946CE"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3B6E4565"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10691780"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2AB73AE1"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525A981D"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788A6A39"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36C9DE05" w14:textId="77777777" w:rsidTr="00CA749B">
        <w:trPr>
          <w:trHeight w:val="20"/>
        </w:trPr>
        <w:tc>
          <w:tcPr>
            <w:tcW w:w="0" w:type="auto"/>
            <w:noWrap/>
            <w:vAlign w:val="center"/>
            <w:hideMark/>
          </w:tcPr>
          <w:p w14:paraId="0C1E1E79"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16"/>
                <w:lang w:eastAsia="fr-FR" w:bidi="fr-FR"/>
              </w:rPr>
              <w:t>Cerqueros entre 24 y 40 m</w:t>
            </w:r>
          </w:p>
        </w:tc>
        <w:tc>
          <w:tcPr>
            <w:tcW w:w="1874" w:type="dxa"/>
            <w:noWrap/>
            <w:vAlign w:val="center"/>
            <w:hideMark/>
          </w:tcPr>
          <w:p w14:paraId="7A83AF24"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49,78</w:t>
            </w:r>
          </w:p>
        </w:tc>
        <w:tc>
          <w:tcPr>
            <w:tcW w:w="660" w:type="dxa"/>
          </w:tcPr>
          <w:p w14:paraId="28E2F835"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noWrap/>
            <w:vAlign w:val="center"/>
            <w:hideMark/>
          </w:tcPr>
          <w:p w14:paraId="2658D41C"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38CDFB42"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512CD896"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407DC284"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tcPr>
          <w:p w14:paraId="339C1B7E"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tcPr>
          <w:p w14:paraId="06D78CF0"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hideMark/>
          </w:tcPr>
          <w:p w14:paraId="164696B3"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2D101DC1"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hideMark/>
          </w:tcPr>
          <w:p w14:paraId="5E524EF3"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16ABB851"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54CAAE73"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7E93665D"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77CAEFE6"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3F623CF8"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7E8449C2" w14:textId="77777777" w:rsidTr="00CA749B">
        <w:trPr>
          <w:trHeight w:val="20"/>
        </w:trPr>
        <w:tc>
          <w:tcPr>
            <w:tcW w:w="0" w:type="auto"/>
            <w:noWrap/>
            <w:vAlign w:val="center"/>
            <w:hideMark/>
          </w:tcPr>
          <w:p w14:paraId="79573D2E"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16"/>
                <w:lang w:eastAsia="fr-FR" w:bidi="fr-FR"/>
              </w:rPr>
              <w:t>Cerqueros de menos de 24 m</w:t>
            </w:r>
          </w:p>
        </w:tc>
        <w:tc>
          <w:tcPr>
            <w:tcW w:w="1874" w:type="dxa"/>
            <w:noWrap/>
            <w:vAlign w:val="center"/>
            <w:hideMark/>
          </w:tcPr>
          <w:p w14:paraId="22D305F9"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33,68</w:t>
            </w:r>
          </w:p>
        </w:tc>
        <w:tc>
          <w:tcPr>
            <w:tcW w:w="660" w:type="dxa"/>
          </w:tcPr>
          <w:p w14:paraId="1498E977"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noWrap/>
            <w:vAlign w:val="center"/>
            <w:hideMark/>
          </w:tcPr>
          <w:p w14:paraId="4941430F"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67B68591"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602EF3D3"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044CD1ED"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tcPr>
          <w:p w14:paraId="121E36A2"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tcPr>
          <w:p w14:paraId="2C22ADE8"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hideMark/>
          </w:tcPr>
          <w:p w14:paraId="49767AF1"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61574B56"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hideMark/>
          </w:tcPr>
          <w:p w14:paraId="6CF20FA3"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1D4EC18D"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7163EFE6"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21F734CE"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23B18C31"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6D5C06F8"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6787097E" w14:textId="77777777" w:rsidTr="00CA749B">
        <w:trPr>
          <w:trHeight w:val="20"/>
        </w:trPr>
        <w:tc>
          <w:tcPr>
            <w:tcW w:w="0" w:type="auto"/>
            <w:noWrap/>
            <w:vAlign w:val="center"/>
            <w:hideMark/>
          </w:tcPr>
          <w:p w14:paraId="340E8672"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16"/>
                <w:lang w:eastAsia="fr-FR" w:bidi="fr-FR"/>
              </w:rPr>
              <w:t>Total flota de cerco</w:t>
            </w:r>
          </w:p>
        </w:tc>
        <w:tc>
          <w:tcPr>
            <w:tcW w:w="1874" w:type="dxa"/>
            <w:noWrap/>
            <w:vAlign w:val="center"/>
            <w:hideMark/>
          </w:tcPr>
          <w:p w14:paraId="2C489DB4" w14:textId="77777777" w:rsidR="009123AC" w:rsidRPr="00F0379B" w:rsidRDefault="009123AC" w:rsidP="009123AC">
            <w:pPr>
              <w:spacing w:after="0" w:line="240" w:lineRule="auto"/>
              <w:rPr>
                <w:rFonts w:ascii="Cambria" w:eastAsia="Times New Roman" w:hAnsi="Cambria" w:cs="Cambria"/>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660" w:type="dxa"/>
          </w:tcPr>
          <w:p w14:paraId="78D6D782"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hideMark/>
          </w:tcPr>
          <w:p w14:paraId="65167D40"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2ACFF72A"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0749C3DA"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33EB4183"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tcPr>
          <w:p w14:paraId="633D04B9"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36EB07A5" w14:textId="34ECB670"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p>
        </w:tc>
        <w:tc>
          <w:tcPr>
            <w:tcW w:w="0" w:type="auto"/>
            <w:shd w:val="clear" w:color="000000" w:fill="D9D9D9"/>
            <w:vAlign w:val="center"/>
            <w:hideMark/>
          </w:tcPr>
          <w:p w14:paraId="719127FE"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tcPr>
          <w:p w14:paraId="68B8406B"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hideMark/>
          </w:tcPr>
          <w:p w14:paraId="7F8C4087"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42947E51"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55BECC41"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13AEC9DC"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3382B425"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tcPr>
          <w:p w14:paraId="3845C443"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p>
        </w:tc>
      </w:tr>
      <w:tr w:rsidR="009123AC" w:rsidRPr="00F0379B" w14:paraId="710D05E8" w14:textId="77777777" w:rsidTr="00CA749B">
        <w:trPr>
          <w:trHeight w:val="20"/>
        </w:trPr>
        <w:tc>
          <w:tcPr>
            <w:tcW w:w="0" w:type="auto"/>
            <w:noWrap/>
            <w:vAlign w:val="center"/>
            <w:hideMark/>
          </w:tcPr>
          <w:p w14:paraId="428407BB"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16"/>
                <w:lang w:eastAsia="fr-FR" w:bidi="fr-FR"/>
              </w:rPr>
              <w:t>Palangreros de más de 40 m</w:t>
            </w:r>
          </w:p>
        </w:tc>
        <w:tc>
          <w:tcPr>
            <w:tcW w:w="1874" w:type="dxa"/>
            <w:noWrap/>
            <w:vAlign w:val="center"/>
            <w:hideMark/>
          </w:tcPr>
          <w:p w14:paraId="5E296C6B"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25</w:t>
            </w:r>
          </w:p>
        </w:tc>
        <w:tc>
          <w:tcPr>
            <w:tcW w:w="660" w:type="dxa"/>
          </w:tcPr>
          <w:p w14:paraId="76313CC1"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noWrap/>
            <w:vAlign w:val="center"/>
            <w:hideMark/>
          </w:tcPr>
          <w:p w14:paraId="59F4A9EE"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1A27E601"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07AF8657"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73C16024"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tcPr>
          <w:p w14:paraId="5C92292E"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tcPr>
          <w:p w14:paraId="6E42BD53"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hideMark/>
          </w:tcPr>
          <w:p w14:paraId="1165FD69"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10B75A1F"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hideMark/>
          </w:tcPr>
          <w:p w14:paraId="65091AD8"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2957CA87"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280172C3"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5A9C74E3"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3F3CFE55"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21F5E2DD"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07D7EDFD" w14:textId="77777777" w:rsidTr="00CA749B">
        <w:trPr>
          <w:trHeight w:val="20"/>
        </w:trPr>
        <w:tc>
          <w:tcPr>
            <w:tcW w:w="0" w:type="auto"/>
            <w:noWrap/>
            <w:vAlign w:val="center"/>
            <w:hideMark/>
          </w:tcPr>
          <w:p w14:paraId="1BA89C61"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16"/>
                <w:lang w:eastAsia="fr-FR" w:bidi="fr-FR"/>
              </w:rPr>
              <w:t>Palangreros entre 24 y 40 m</w:t>
            </w:r>
          </w:p>
        </w:tc>
        <w:tc>
          <w:tcPr>
            <w:tcW w:w="1874" w:type="dxa"/>
            <w:noWrap/>
            <w:vAlign w:val="center"/>
            <w:hideMark/>
          </w:tcPr>
          <w:p w14:paraId="2E83FBE6"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5,68</w:t>
            </w:r>
          </w:p>
        </w:tc>
        <w:tc>
          <w:tcPr>
            <w:tcW w:w="660" w:type="dxa"/>
          </w:tcPr>
          <w:p w14:paraId="1863650C"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noWrap/>
            <w:vAlign w:val="center"/>
            <w:hideMark/>
          </w:tcPr>
          <w:p w14:paraId="38284391"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7BB4F314"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67DE4B90"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5605B28C"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tcPr>
          <w:p w14:paraId="339F7988"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tcPr>
          <w:p w14:paraId="080613A0"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hideMark/>
          </w:tcPr>
          <w:p w14:paraId="6C2BA3F5"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613DEF1B"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hideMark/>
          </w:tcPr>
          <w:p w14:paraId="200AB773"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562C8C0B"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060576F7"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1AB1839A"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27126252"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0752A02F"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25AF13F0" w14:textId="77777777" w:rsidTr="00CA749B">
        <w:trPr>
          <w:trHeight w:val="20"/>
        </w:trPr>
        <w:tc>
          <w:tcPr>
            <w:tcW w:w="0" w:type="auto"/>
            <w:noWrap/>
            <w:vAlign w:val="center"/>
            <w:hideMark/>
          </w:tcPr>
          <w:p w14:paraId="01D1BE42"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16"/>
                <w:lang w:eastAsia="fr-FR" w:bidi="fr-FR"/>
              </w:rPr>
              <w:t>Palangreros de menos de 24 m</w:t>
            </w:r>
          </w:p>
        </w:tc>
        <w:tc>
          <w:tcPr>
            <w:tcW w:w="1874" w:type="dxa"/>
            <w:noWrap/>
            <w:vAlign w:val="center"/>
            <w:hideMark/>
          </w:tcPr>
          <w:p w14:paraId="667C980E"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5</w:t>
            </w:r>
          </w:p>
        </w:tc>
        <w:tc>
          <w:tcPr>
            <w:tcW w:w="660" w:type="dxa"/>
          </w:tcPr>
          <w:p w14:paraId="54E24620"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noWrap/>
            <w:vAlign w:val="center"/>
            <w:hideMark/>
          </w:tcPr>
          <w:p w14:paraId="07A91FD5"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7E36D88F"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191EF045"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52F44688"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tcPr>
          <w:p w14:paraId="0042A37B"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tcPr>
          <w:p w14:paraId="17865185"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hideMark/>
          </w:tcPr>
          <w:p w14:paraId="16F218C3"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60ACB095"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hideMark/>
          </w:tcPr>
          <w:p w14:paraId="5BFF3BEB"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69AA9916"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50BFBE5A"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66F668F8"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1625EFFA"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4874034A"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18EF6AFC" w14:textId="77777777" w:rsidTr="00CA749B">
        <w:trPr>
          <w:trHeight w:val="20"/>
        </w:trPr>
        <w:tc>
          <w:tcPr>
            <w:tcW w:w="0" w:type="auto"/>
            <w:noWrap/>
            <w:vAlign w:val="center"/>
            <w:hideMark/>
          </w:tcPr>
          <w:p w14:paraId="489CA0CC"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16"/>
                <w:lang w:eastAsia="fr-FR" w:bidi="fr-FR"/>
              </w:rPr>
              <w:t>Total flota de palangre</w:t>
            </w:r>
          </w:p>
        </w:tc>
        <w:tc>
          <w:tcPr>
            <w:tcW w:w="1874" w:type="dxa"/>
            <w:noWrap/>
            <w:vAlign w:val="center"/>
            <w:hideMark/>
          </w:tcPr>
          <w:p w14:paraId="3BD19E4E" w14:textId="77777777" w:rsidR="009123AC" w:rsidRPr="00F0379B" w:rsidRDefault="009123AC" w:rsidP="009123AC">
            <w:pPr>
              <w:spacing w:after="0" w:line="240" w:lineRule="auto"/>
              <w:rPr>
                <w:rFonts w:ascii="Cambria" w:eastAsia="Times New Roman" w:hAnsi="Cambria" w:cs="Cambria"/>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660" w:type="dxa"/>
          </w:tcPr>
          <w:p w14:paraId="73B2FB43"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hideMark/>
          </w:tcPr>
          <w:p w14:paraId="345E2CE1"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1BEC912D"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5D8A323A"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19B5D4D5"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tcPr>
          <w:p w14:paraId="6FB2A939"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3412D23D"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p>
        </w:tc>
        <w:tc>
          <w:tcPr>
            <w:tcW w:w="0" w:type="auto"/>
            <w:shd w:val="clear" w:color="000000" w:fill="D9D9D9"/>
            <w:vAlign w:val="center"/>
            <w:hideMark/>
          </w:tcPr>
          <w:p w14:paraId="5118429B"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tcPr>
          <w:p w14:paraId="2AC002FC"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hideMark/>
          </w:tcPr>
          <w:p w14:paraId="233F4CC0"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4E701500"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3CE28421"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58F3CBBD"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1BDC0521"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tcPr>
          <w:p w14:paraId="62BD72F1"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r>
      <w:tr w:rsidR="009123AC" w:rsidRPr="00F0379B" w14:paraId="24284105" w14:textId="77777777" w:rsidTr="00CA749B">
        <w:trPr>
          <w:trHeight w:val="20"/>
        </w:trPr>
        <w:tc>
          <w:tcPr>
            <w:tcW w:w="0" w:type="auto"/>
            <w:noWrap/>
            <w:vAlign w:val="center"/>
            <w:hideMark/>
          </w:tcPr>
          <w:p w14:paraId="33E7FA73"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16"/>
                <w:lang w:eastAsia="fr-FR" w:bidi="fr-FR"/>
              </w:rPr>
              <w:t>Cebo vivo</w:t>
            </w:r>
          </w:p>
        </w:tc>
        <w:tc>
          <w:tcPr>
            <w:tcW w:w="1874" w:type="dxa"/>
            <w:noWrap/>
            <w:vAlign w:val="center"/>
            <w:hideMark/>
          </w:tcPr>
          <w:p w14:paraId="657FCA64"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19,75</w:t>
            </w:r>
          </w:p>
        </w:tc>
        <w:tc>
          <w:tcPr>
            <w:tcW w:w="660" w:type="dxa"/>
          </w:tcPr>
          <w:p w14:paraId="72845C81"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hideMark/>
          </w:tcPr>
          <w:p w14:paraId="5ADDBC92"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079802B0"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6DABBEA6"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70BDE6A7"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tcPr>
          <w:p w14:paraId="40469AB7"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6FAA36AB"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hideMark/>
          </w:tcPr>
          <w:p w14:paraId="7000364E"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tcPr>
          <w:p w14:paraId="533035A9"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hideMark/>
          </w:tcPr>
          <w:p w14:paraId="7B8780D0"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1865A566"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0E86FB05"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6B58B4CC"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451CE8F9"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tcPr>
          <w:p w14:paraId="012283D5"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54793E68" w14:textId="77777777" w:rsidTr="00CA749B">
        <w:trPr>
          <w:trHeight w:val="20"/>
        </w:trPr>
        <w:tc>
          <w:tcPr>
            <w:tcW w:w="0" w:type="auto"/>
            <w:noWrap/>
            <w:vAlign w:val="center"/>
            <w:hideMark/>
          </w:tcPr>
          <w:p w14:paraId="375330F7"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16"/>
                <w:lang w:eastAsia="fr-FR" w:bidi="fr-FR"/>
              </w:rPr>
              <w:t>Liña de mano</w:t>
            </w:r>
          </w:p>
        </w:tc>
        <w:tc>
          <w:tcPr>
            <w:tcW w:w="1874" w:type="dxa"/>
            <w:noWrap/>
            <w:vAlign w:val="center"/>
            <w:hideMark/>
          </w:tcPr>
          <w:p w14:paraId="0D8A3209"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5</w:t>
            </w:r>
          </w:p>
        </w:tc>
        <w:tc>
          <w:tcPr>
            <w:tcW w:w="660" w:type="dxa"/>
          </w:tcPr>
          <w:p w14:paraId="09AE4B34"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noWrap/>
            <w:vAlign w:val="center"/>
            <w:hideMark/>
          </w:tcPr>
          <w:p w14:paraId="7E87CBC0"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3AA077FE"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39280CD6"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5081451C"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tcPr>
          <w:p w14:paraId="0A451512"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tcPr>
          <w:p w14:paraId="17461B79"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hideMark/>
          </w:tcPr>
          <w:p w14:paraId="7798B2D1"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3810EF2B"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hideMark/>
          </w:tcPr>
          <w:p w14:paraId="7CB4062E"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215E1071"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30A99119"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743041F2"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7A5EE742"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25DAC30B"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13D2DE3D" w14:textId="77777777" w:rsidTr="00CA749B">
        <w:trPr>
          <w:trHeight w:val="20"/>
        </w:trPr>
        <w:tc>
          <w:tcPr>
            <w:tcW w:w="0" w:type="auto"/>
            <w:noWrap/>
            <w:vAlign w:val="center"/>
            <w:hideMark/>
          </w:tcPr>
          <w:p w14:paraId="4A5C0B93"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16"/>
                <w:lang w:eastAsia="fr-FR" w:bidi="fr-FR"/>
              </w:rPr>
              <w:t>Arrastreros</w:t>
            </w:r>
          </w:p>
        </w:tc>
        <w:tc>
          <w:tcPr>
            <w:tcW w:w="1874" w:type="dxa"/>
            <w:noWrap/>
            <w:vAlign w:val="center"/>
            <w:hideMark/>
          </w:tcPr>
          <w:p w14:paraId="4834E08A"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10</w:t>
            </w:r>
          </w:p>
        </w:tc>
        <w:tc>
          <w:tcPr>
            <w:tcW w:w="660" w:type="dxa"/>
          </w:tcPr>
          <w:p w14:paraId="2F96FBAE"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noWrap/>
            <w:vAlign w:val="center"/>
            <w:hideMark/>
          </w:tcPr>
          <w:p w14:paraId="4E420B1E"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56B14D9F"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6AFBB0CA"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54BA2207"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tcPr>
          <w:p w14:paraId="03B84F12"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tcPr>
          <w:p w14:paraId="50BE27ED"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hideMark/>
          </w:tcPr>
          <w:p w14:paraId="2A0E8664"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0A467543"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hideMark/>
          </w:tcPr>
          <w:p w14:paraId="4C0D3107"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311EC165"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03EE1018"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5EEC185F"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226FE26F"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394E81B5"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56CE9D75" w14:textId="77777777" w:rsidTr="00CA749B">
        <w:trPr>
          <w:trHeight w:val="20"/>
        </w:trPr>
        <w:tc>
          <w:tcPr>
            <w:tcW w:w="0" w:type="auto"/>
            <w:noWrap/>
            <w:vAlign w:val="center"/>
            <w:hideMark/>
          </w:tcPr>
          <w:p w14:paraId="1BA489B4"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16"/>
                <w:lang w:eastAsia="fr-FR" w:bidi="fr-FR"/>
              </w:rPr>
              <w:t>Almadrabas</w:t>
            </w:r>
          </w:p>
        </w:tc>
        <w:tc>
          <w:tcPr>
            <w:tcW w:w="1874" w:type="dxa"/>
            <w:noWrap/>
            <w:vAlign w:val="center"/>
            <w:hideMark/>
          </w:tcPr>
          <w:p w14:paraId="12437311"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130</w:t>
            </w:r>
          </w:p>
        </w:tc>
        <w:tc>
          <w:tcPr>
            <w:tcW w:w="660" w:type="dxa"/>
          </w:tcPr>
          <w:p w14:paraId="40A22140"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hideMark/>
          </w:tcPr>
          <w:p w14:paraId="26E2786E"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5932E82E"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11020CD9"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16B39609"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tcPr>
          <w:p w14:paraId="028F8967"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5796D563"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hideMark/>
          </w:tcPr>
          <w:p w14:paraId="50850DCF"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tcPr>
          <w:p w14:paraId="1B6F9CB0"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hideMark/>
          </w:tcPr>
          <w:p w14:paraId="23DAC14A"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1A35F3F3"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22DC705E"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7DCF9DBC"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20E34277"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tcPr>
          <w:p w14:paraId="49798ACC"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6373495B" w14:textId="77777777" w:rsidTr="00CA749B">
        <w:trPr>
          <w:trHeight w:val="20"/>
        </w:trPr>
        <w:tc>
          <w:tcPr>
            <w:tcW w:w="0" w:type="auto"/>
            <w:vAlign w:val="center"/>
            <w:hideMark/>
          </w:tcPr>
          <w:p w14:paraId="4F7B7A2E"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16"/>
                <w:lang w:eastAsia="fr-FR" w:bidi="fr-FR"/>
              </w:rPr>
              <w:t>Pequeños barcos costeros</w:t>
            </w:r>
          </w:p>
        </w:tc>
        <w:tc>
          <w:tcPr>
            <w:tcW w:w="1874" w:type="dxa"/>
            <w:noWrap/>
            <w:vAlign w:val="center"/>
            <w:hideMark/>
          </w:tcPr>
          <w:p w14:paraId="4F0B0709"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No aplicable</w:t>
            </w:r>
          </w:p>
        </w:tc>
        <w:tc>
          <w:tcPr>
            <w:tcW w:w="660" w:type="dxa"/>
          </w:tcPr>
          <w:p w14:paraId="7519B351"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hideMark/>
          </w:tcPr>
          <w:p w14:paraId="76011C77"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23ADECC1"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626074C3"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296C5613"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tcPr>
          <w:p w14:paraId="3C2EECB2"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6F3B41AD"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hideMark/>
          </w:tcPr>
          <w:p w14:paraId="4F5381F5"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tcPr>
          <w:p w14:paraId="51AD7470"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hideMark/>
          </w:tcPr>
          <w:p w14:paraId="0658BDC4"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1574A9D9"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37A4B2AA"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4466EC83"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3B8C45BE"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tcPr>
          <w:p w14:paraId="0F5C4FEF"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1B454FF5" w14:textId="77777777" w:rsidTr="00CA749B">
        <w:trPr>
          <w:trHeight w:val="20"/>
        </w:trPr>
        <w:tc>
          <w:tcPr>
            <w:tcW w:w="0" w:type="auto"/>
            <w:vAlign w:val="center"/>
            <w:hideMark/>
          </w:tcPr>
          <w:p w14:paraId="58D2177A"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16"/>
                <w:lang w:eastAsia="fr-FR" w:bidi="fr-FR"/>
              </w:rPr>
              <w:t>Otros (especificar)</w:t>
            </w:r>
          </w:p>
        </w:tc>
        <w:tc>
          <w:tcPr>
            <w:tcW w:w="1874" w:type="dxa"/>
            <w:noWrap/>
            <w:vAlign w:val="center"/>
            <w:hideMark/>
          </w:tcPr>
          <w:p w14:paraId="0EDB80FC"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5</w:t>
            </w:r>
          </w:p>
        </w:tc>
        <w:tc>
          <w:tcPr>
            <w:tcW w:w="660" w:type="dxa"/>
          </w:tcPr>
          <w:p w14:paraId="15EFF8F9"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hideMark/>
          </w:tcPr>
          <w:p w14:paraId="322F2F7D"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573DAFBE"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748BE3FD"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35B64431"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tcPr>
          <w:p w14:paraId="2C62D934"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67336BB7"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hideMark/>
          </w:tcPr>
          <w:p w14:paraId="3AB844CA"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tcPr>
          <w:p w14:paraId="4A33D625"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hideMark/>
          </w:tcPr>
          <w:p w14:paraId="41AB1E56"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5CB79B5D"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0AD01BA0"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6CC07E9F"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2FC68E20"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tcPr>
          <w:p w14:paraId="6F473EE8"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73FC5FFE" w14:textId="77777777" w:rsidTr="00CA749B">
        <w:trPr>
          <w:trHeight w:val="20"/>
        </w:trPr>
        <w:tc>
          <w:tcPr>
            <w:tcW w:w="0" w:type="auto"/>
            <w:noWrap/>
            <w:vAlign w:val="center"/>
            <w:hideMark/>
          </w:tcPr>
          <w:p w14:paraId="4D191F47"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16"/>
                <w:lang w:eastAsia="fr-FR" w:bidi="fr-FR"/>
              </w:rPr>
              <w:t>Capacidad pesquera/flota total</w:t>
            </w:r>
          </w:p>
        </w:tc>
        <w:tc>
          <w:tcPr>
            <w:tcW w:w="1874" w:type="dxa"/>
            <w:noWrap/>
            <w:vAlign w:val="center"/>
            <w:hideMark/>
          </w:tcPr>
          <w:p w14:paraId="57D1C640" w14:textId="77777777" w:rsidR="009123AC" w:rsidRPr="00F0379B" w:rsidRDefault="009123AC" w:rsidP="009123AC">
            <w:pPr>
              <w:spacing w:after="0" w:line="240" w:lineRule="auto"/>
              <w:jc w:val="right"/>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660" w:type="dxa"/>
          </w:tcPr>
          <w:p w14:paraId="25AF6ED3"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hideMark/>
          </w:tcPr>
          <w:p w14:paraId="563B6BDE"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40A60DF9"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3D72D9A1"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vAlign w:val="center"/>
            <w:hideMark/>
          </w:tcPr>
          <w:p w14:paraId="7A13DCF6"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24"/>
                <w:lang w:eastAsia="fr-FR" w:bidi="fr-FR"/>
              </w:rPr>
              <w:t> </w:t>
            </w:r>
          </w:p>
        </w:tc>
        <w:tc>
          <w:tcPr>
            <w:tcW w:w="0" w:type="auto"/>
          </w:tcPr>
          <w:p w14:paraId="6710C3A6"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092EA1EE"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hideMark/>
          </w:tcPr>
          <w:p w14:paraId="5D06ED25"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tcPr>
          <w:p w14:paraId="6DC47B6E"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hideMark/>
          </w:tcPr>
          <w:p w14:paraId="25C026BF"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vAlign w:val="center"/>
            <w:hideMark/>
          </w:tcPr>
          <w:p w14:paraId="579B238F"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noWrap/>
            <w:vAlign w:val="center"/>
            <w:hideMark/>
          </w:tcPr>
          <w:p w14:paraId="75B00B4C"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noWrap/>
            <w:vAlign w:val="center"/>
            <w:hideMark/>
          </w:tcPr>
          <w:p w14:paraId="7DAE6774"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noWrap/>
            <w:vAlign w:val="center"/>
            <w:hideMark/>
          </w:tcPr>
          <w:p w14:paraId="26C3CF4B"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algun Gothic" w:hAnsi="Cambria" w:cs="Cambria"/>
                <w:b/>
                <w:kern w:val="2"/>
                <w:sz w:val="16"/>
                <w:szCs w:val="16"/>
                <w:lang w:eastAsia="ko-KR"/>
                <w14:ligatures w14:val="standardContextual"/>
              </w:rPr>
              <w:t> </w:t>
            </w:r>
          </w:p>
        </w:tc>
        <w:tc>
          <w:tcPr>
            <w:tcW w:w="0" w:type="auto"/>
          </w:tcPr>
          <w:p w14:paraId="40F4375A"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144DDF78" w14:textId="77777777" w:rsidTr="00CA749B">
        <w:trPr>
          <w:trHeight w:val="20"/>
        </w:trPr>
        <w:tc>
          <w:tcPr>
            <w:tcW w:w="0" w:type="auto"/>
            <w:shd w:val="clear" w:color="auto" w:fill="D9D9D9"/>
            <w:noWrap/>
            <w:vAlign w:val="center"/>
            <w:hideMark/>
          </w:tcPr>
          <w:p w14:paraId="33FB8D7C"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16"/>
                <w:lang w:eastAsia="fr-FR" w:bidi="fr-FR"/>
              </w:rPr>
              <w:t>Cuota inicial</w:t>
            </w:r>
          </w:p>
        </w:tc>
        <w:tc>
          <w:tcPr>
            <w:tcW w:w="1874" w:type="dxa"/>
            <w:shd w:val="clear" w:color="auto" w:fill="D9D9D9"/>
            <w:noWrap/>
            <w:vAlign w:val="center"/>
            <w:hideMark/>
          </w:tcPr>
          <w:p w14:paraId="546F8B6A" w14:textId="77777777" w:rsidR="009123AC" w:rsidRPr="00F0379B" w:rsidRDefault="009123AC" w:rsidP="009123AC">
            <w:pPr>
              <w:spacing w:after="0" w:line="240" w:lineRule="auto"/>
              <w:jc w:val="right"/>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660" w:type="dxa"/>
            <w:shd w:val="clear" w:color="auto" w:fill="D9D9D9"/>
          </w:tcPr>
          <w:p w14:paraId="56443248"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noWrap/>
            <w:vAlign w:val="center"/>
            <w:hideMark/>
          </w:tcPr>
          <w:p w14:paraId="1149C6A8"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shd w:val="clear" w:color="auto" w:fill="D9D9D9"/>
            <w:vAlign w:val="center"/>
            <w:hideMark/>
          </w:tcPr>
          <w:p w14:paraId="5656CDFB"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shd w:val="clear" w:color="auto" w:fill="D9D9D9"/>
            <w:vAlign w:val="center"/>
            <w:hideMark/>
          </w:tcPr>
          <w:p w14:paraId="5B2903CD"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shd w:val="clear" w:color="auto" w:fill="D9D9D9"/>
            <w:vAlign w:val="center"/>
            <w:hideMark/>
          </w:tcPr>
          <w:p w14:paraId="4F83C5B5"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shd w:val="clear" w:color="auto" w:fill="D9D9D9"/>
          </w:tcPr>
          <w:p w14:paraId="0D44A2B9"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tcPr>
          <w:p w14:paraId="1D235140"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auto" w:fill="D9D9D9"/>
            <w:vAlign w:val="center"/>
            <w:hideMark/>
          </w:tcPr>
          <w:p w14:paraId="6EF0C702"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shd w:val="clear" w:color="auto" w:fill="D9D9D9"/>
          </w:tcPr>
          <w:p w14:paraId="260F91DD"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vAlign w:val="center"/>
            <w:hideMark/>
          </w:tcPr>
          <w:p w14:paraId="3E5B81C2"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shd w:val="clear" w:color="auto" w:fill="D9D9D9"/>
            <w:vAlign w:val="center"/>
            <w:hideMark/>
          </w:tcPr>
          <w:p w14:paraId="578DCB56"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shd w:val="clear" w:color="auto" w:fill="D9D9D9"/>
            <w:vAlign w:val="center"/>
            <w:hideMark/>
          </w:tcPr>
          <w:p w14:paraId="75BE969A"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shd w:val="clear" w:color="auto" w:fill="D9D9D9"/>
            <w:vAlign w:val="center"/>
            <w:hideMark/>
          </w:tcPr>
          <w:p w14:paraId="2BA49585"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shd w:val="clear" w:color="auto" w:fill="D9D9D9"/>
            <w:vAlign w:val="center"/>
            <w:hideMark/>
          </w:tcPr>
          <w:p w14:paraId="6408E7A8"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shd w:val="clear" w:color="auto" w:fill="D9D9D9"/>
          </w:tcPr>
          <w:p w14:paraId="44ABF7CA"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Times New Roman" w:hAnsi="Cambria" w:cs="Calibri"/>
                <w:kern w:val="2"/>
                <w:sz w:val="16"/>
                <w:szCs w:val="16"/>
                <w:lang w:eastAsia="ja-JP"/>
                <w14:ligatures w14:val="standardContextual"/>
              </w:rPr>
              <w:t>55</w:t>
            </w:r>
          </w:p>
        </w:tc>
      </w:tr>
      <w:tr w:rsidR="009123AC" w:rsidRPr="00F0379B" w14:paraId="7F5D1F4E" w14:textId="77777777" w:rsidTr="00CA749B">
        <w:trPr>
          <w:trHeight w:val="20"/>
        </w:trPr>
        <w:tc>
          <w:tcPr>
            <w:tcW w:w="0" w:type="auto"/>
            <w:shd w:val="clear" w:color="auto" w:fill="D9D9D9"/>
            <w:noWrap/>
            <w:vAlign w:val="center"/>
          </w:tcPr>
          <w:p w14:paraId="0A82C554"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16"/>
                <w:lang w:eastAsia="fr-FR" w:bidi="fr-FR"/>
              </w:rPr>
              <w:t>Cuota ajustada (si procede)</w:t>
            </w:r>
          </w:p>
        </w:tc>
        <w:tc>
          <w:tcPr>
            <w:tcW w:w="1874" w:type="dxa"/>
            <w:shd w:val="clear" w:color="auto" w:fill="D9D9D9"/>
            <w:noWrap/>
            <w:vAlign w:val="center"/>
          </w:tcPr>
          <w:p w14:paraId="55D8ECF9" w14:textId="77777777" w:rsidR="009123AC" w:rsidRPr="00F0379B" w:rsidRDefault="009123AC" w:rsidP="009123AC">
            <w:pPr>
              <w:spacing w:after="0" w:line="240" w:lineRule="auto"/>
              <w:jc w:val="right"/>
              <w:rPr>
                <w:rFonts w:ascii="Cambria" w:eastAsia="Times New Roman" w:hAnsi="Cambria" w:cs="Calibri"/>
                <w:kern w:val="2"/>
                <w:sz w:val="16"/>
                <w:szCs w:val="16"/>
                <w:lang w:eastAsia="ja-JP"/>
                <w14:ligatures w14:val="standardContextual"/>
              </w:rPr>
            </w:pPr>
          </w:p>
        </w:tc>
        <w:tc>
          <w:tcPr>
            <w:tcW w:w="660" w:type="dxa"/>
            <w:shd w:val="clear" w:color="auto" w:fill="D9D9D9"/>
          </w:tcPr>
          <w:p w14:paraId="7E07F4E7"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noWrap/>
            <w:vAlign w:val="center"/>
          </w:tcPr>
          <w:p w14:paraId="124B4A11"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vAlign w:val="center"/>
          </w:tcPr>
          <w:p w14:paraId="6D65234C"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vAlign w:val="center"/>
          </w:tcPr>
          <w:p w14:paraId="5C08127E"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vAlign w:val="center"/>
          </w:tcPr>
          <w:p w14:paraId="3CBA5D97"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tcPr>
          <w:p w14:paraId="54A54052"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tcPr>
          <w:p w14:paraId="62A17B27"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auto" w:fill="D9D9D9"/>
            <w:vAlign w:val="center"/>
          </w:tcPr>
          <w:p w14:paraId="67FE808D"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tcPr>
          <w:p w14:paraId="299684F4"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vAlign w:val="center"/>
          </w:tcPr>
          <w:p w14:paraId="0E77556B"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vAlign w:val="center"/>
          </w:tcPr>
          <w:p w14:paraId="13149602"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vAlign w:val="center"/>
          </w:tcPr>
          <w:p w14:paraId="17CB7DAE"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vAlign w:val="center"/>
          </w:tcPr>
          <w:p w14:paraId="74A14377"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vAlign w:val="center"/>
          </w:tcPr>
          <w:p w14:paraId="69A62277"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tcPr>
          <w:p w14:paraId="25852159"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5BEEAA70" w14:textId="77777777" w:rsidTr="00CA749B">
        <w:trPr>
          <w:trHeight w:val="20"/>
        </w:trPr>
        <w:tc>
          <w:tcPr>
            <w:tcW w:w="0" w:type="auto"/>
            <w:noWrap/>
            <w:vAlign w:val="center"/>
            <w:hideMark/>
          </w:tcPr>
          <w:p w14:paraId="3286FA95"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16"/>
                <w:lang w:eastAsia="fr-FR" w:bidi="fr-FR"/>
              </w:rPr>
              <w:t>Porcentaje asignado a captura fortuita</w:t>
            </w:r>
          </w:p>
        </w:tc>
        <w:tc>
          <w:tcPr>
            <w:tcW w:w="1874" w:type="dxa"/>
            <w:noWrap/>
            <w:vAlign w:val="center"/>
            <w:hideMark/>
          </w:tcPr>
          <w:p w14:paraId="7F47FAB8" w14:textId="77777777" w:rsidR="009123AC" w:rsidRPr="00F0379B" w:rsidRDefault="009123AC" w:rsidP="009123AC">
            <w:pPr>
              <w:spacing w:after="0" w:line="240" w:lineRule="auto"/>
              <w:jc w:val="right"/>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660" w:type="dxa"/>
          </w:tcPr>
          <w:p w14:paraId="076A67D2"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noWrap/>
            <w:vAlign w:val="center"/>
            <w:hideMark/>
          </w:tcPr>
          <w:p w14:paraId="181DAA40"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45190D40"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6D1E2C56"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vAlign w:val="center"/>
            <w:hideMark/>
          </w:tcPr>
          <w:p w14:paraId="3997C226"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tcPr>
          <w:p w14:paraId="0DFFFCA8"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tcPr>
          <w:p w14:paraId="308C6C22"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hideMark/>
          </w:tcPr>
          <w:p w14:paraId="161D298C"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77CFA77D"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hideMark/>
          </w:tcPr>
          <w:p w14:paraId="7459591F"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22BCFE10"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476B72C5"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001EC9EF"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vAlign w:val="center"/>
            <w:hideMark/>
          </w:tcPr>
          <w:p w14:paraId="38358B8C"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tcPr>
          <w:p w14:paraId="79375CC3"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2155C111" w14:textId="77777777" w:rsidTr="00CA749B">
        <w:trPr>
          <w:trHeight w:val="20"/>
        </w:trPr>
        <w:tc>
          <w:tcPr>
            <w:tcW w:w="0" w:type="auto"/>
            <w:noWrap/>
            <w:vAlign w:val="center"/>
          </w:tcPr>
          <w:p w14:paraId="6E0D5F6E"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16"/>
                <w:lang w:eastAsia="fr-FR" w:bidi="fr-FR"/>
              </w:rPr>
              <w:t>Asignación a la captura fortuita</w:t>
            </w:r>
          </w:p>
        </w:tc>
        <w:tc>
          <w:tcPr>
            <w:tcW w:w="1874" w:type="dxa"/>
            <w:noWrap/>
            <w:vAlign w:val="center"/>
          </w:tcPr>
          <w:p w14:paraId="1212E983" w14:textId="77777777" w:rsidR="009123AC" w:rsidRPr="00F0379B" w:rsidRDefault="009123AC" w:rsidP="009123AC">
            <w:pPr>
              <w:spacing w:after="0" w:line="240" w:lineRule="auto"/>
              <w:jc w:val="right"/>
              <w:rPr>
                <w:rFonts w:ascii="Cambria" w:eastAsia="Times New Roman" w:hAnsi="Cambria" w:cs="Calibri"/>
                <w:kern w:val="2"/>
                <w:sz w:val="16"/>
                <w:szCs w:val="16"/>
                <w:lang w:eastAsia="ja-JP"/>
                <w14:ligatures w14:val="standardContextual"/>
              </w:rPr>
            </w:pPr>
          </w:p>
        </w:tc>
        <w:tc>
          <w:tcPr>
            <w:tcW w:w="660" w:type="dxa"/>
          </w:tcPr>
          <w:p w14:paraId="7A950574"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noWrap/>
            <w:vAlign w:val="center"/>
          </w:tcPr>
          <w:p w14:paraId="41FF1C31"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tcPr>
          <w:p w14:paraId="72E950C0"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tcPr>
          <w:p w14:paraId="7BCBC47E"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tcPr>
          <w:p w14:paraId="533E0198"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tcPr>
          <w:p w14:paraId="0CD00CBF"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tcPr>
          <w:p w14:paraId="2485BDC6"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tcPr>
          <w:p w14:paraId="39CE2C39"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tcPr>
          <w:p w14:paraId="358351A3"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tcPr>
          <w:p w14:paraId="09DFA645"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tcPr>
          <w:p w14:paraId="63FA668D"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tcPr>
          <w:p w14:paraId="183D25FD"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tcPr>
          <w:p w14:paraId="7CE70A90"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vAlign w:val="center"/>
          </w:tcPr>
          <w:p w14:paraId="468D243B"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tcPr>
          <w:p w14:paraId="2FB3D742"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11DFC0E8" w14:textId="77777777" w:rsidTr="00CA749B">
        <w:trPr>
          <w:trHeight w:val="20"/>
        </w:trPr>
        <w:tc>
          <w:tcPr>
            <w:tcW w:w="0" w:type="auto"/>
            <w:vAlign w:val="center"/>
          </w:tcPr>
          <w:p w14:paraId="71DC6497"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16"/>
                <w:lang w:eastAsia="fr-FR" w:bidi="fr-FR"/>
              </w:rPr>
              <w:t>Cuota para investigación científica (si procede)</w:t>
            </w:r>
          </w:p>
        </w:tc>
        <w:tc>
          <w:tcPr>
            <w:tcW w:w="1874" w:type="dxa"/>
            <w:noWrap/>
            <w:vAlign w:val="center"/>
          </w:tcPr>
          <w:p w14:paraId="2F0BF6A2" w14:textId="77777777" w:rsidR="009123AC" w:rsidRPr="00F0379B" w:rsidRDefault="009123AC" w:rsidP="009123AC">
            <w:pPr>
              <w:spacing w:after="0" w:line="240" w:lineRule="auto"/>
              <w:jc w:val="right"/>
              <w:rPr>
                <w:rFonts w:ascii="Cambria" w:eastAsia="Times New Roman" w:hAnsi="Cambria" w:cs="Calibri"/>
                <w:b/>
                <w:bCs/>
                <w:kern w:val="2"/>
                <w:sz w:val="16"/>
                <w:szCs w:val="16"/>
                <w:lang w:eastAsia="ja-JP"/>
                <w14:ligatures w14:val="standardContextual"/>
              </w:rPr>
            </w:pPr>
          </w:p>
        </w:tc>
        <w:tc>
          <w:tcPr>
            <w:tcW w:w="660" w:type="dxa"/>
          </w:tcPr>
          <w:p w14:paraId="79016F67"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tcPr>
          <w:p w14:paraId="471BB85B"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tcPr>
          <w:p w14:paraId="0D7C514E"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tcPr>
          <w:p w14:paraId="7547D36E"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tcPr>
          <w:p w14:paraId="5F8728B5"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5F318A6F"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0A98A6A2"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tcPr>
          <w:p w14:paraId="1D3D5451"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54D87B7F"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tcPr>
          <w:p w14:paraId="10068956"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tcPr>
          <w:p w14:paraId="65CF65AE"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tcPr>
          <w:p w14:paraId="607CC250"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tcPr>
          <w:p w14:paraId="2D376BCD"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tcPr>
          <w:p w14:paraId="422F7129"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31151BFF"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12426DD0" w14:textId="77777777" w:rsidTr="00CA749B">
        <w:trPr>
          <w:trHeight w:val="20"/>
        </w:trPr>
        <w:tc>
          <w:tcPr>
            <w:tcW w:w="0" w:type="auto"/>
            <w:vAlign w:val="center"/>
          </w:tcPr>
          <w:p w14:paraId="4FF851C2"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16"/>
                <w:lang w:eastAsia="fr-FR" w:bidi="fr-FR"/>
              </w:rPr>
              <w:t>Tolerancia para pesca deportiva/de recreo (si procede)</w:t>
            </w:r>
          </w:p>
        </w:tc>
        <w:tc>
          <w:tcPr>
            <w:tcW w:w="1874" w:type="dxa"/>
            <w:noWrap/>
            <w:vAlign w:val="center"/>
          </w:tcPr>
          <w:p w14:paraId="04655247" w14:textId="77777777" w:rsidR="009123AC" w:rsidRPr="00F0379B" w:rsidRDefault="009123AC" w:rsidP="009123AC">
            <w:pPr>
              <w:spacing w:after="0" w:line="240" w:lineRule="auto"/>
              <w:jc w:val="right"/>
              <w:rPr>
                <w:rFonts w:ascii="Cambria" w:eastAsia="Times New Roman" w:hAnsi="Cambria" w:cs="Calibri"/>
                <w:b/>
                <w:bCs/>
                <w:kern w:val="2"/>
                <w:sz w:val="16"/>
                <w:szCs w:val="16"/>
                <w:lang w:eastAsia="ja-JP"/>
                <w14:ligatures w14:val="standardContextual"/>
              </w:rPr>
            </w:pPr>
          </w:p>
        </w:tc>
        <w:tc>
          <w:tcPr>
            <w:tcW w:w="660" w:type="dxa"/>
          </w:tcPr>
          <w:p w14:paraId="3E121641"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tcPr>
          <w:p w14:paraId="56EC98C0"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tcPr>
          <w:p w14:paraId="4DACCF1F"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tcPr>
          <w:p w14:paraId="7992BC23"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tcPr>
          <w:p w14:paraId="0D488FCA"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33C102A3"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0E8F0148"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val="en-US" w:eastAsia="ja-JP"/>
                <w14:ligatures w14:val="standardContextual"/>
              </w:rPr>
              <w:t>0</w:t>
            </w:r>
          </w:p>
        </w:tc>
        <w:tc>
          <w:tcPr>
            <w:tcW w:w="0" w:type="auto"/>
            <w:shd w:val="clear" w:color="000000" w:fill="D9D9D9"/>
            <w:vAlign w:val="center"/>
          </w:tcPr>
          <w:p w14:paraId="1F30E75F"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3228F48A"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tcPr>
          <w:p w14:paraId="683A217B"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tcPr>
          <w:p w14:paraId="1923533D"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tcPr>
          <w:p w14:paraId="7B3CFFAE"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tcPr>
          <w:p w14:paraId="6E29C313"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tcPr>
          <w:p w14:paraId="532D9C53"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17D2EFB3"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val="en-US" w:eastAsia="ja-JP"/>
                <w14:ligatures w14:val="standardContextual"/>
              </w:rPr>
              <w:t>0</w:t>
            </w:r>
          </w:p>
        </w:tc>
      </w:tr>
      <w:tr w:rsidR="009123AC" w:rsidRPr="00F0379B" w14:paraId="5D659E73" w14:textId="77777777" w:rsidTr="00CA749B">
        <w:trPr>
          <w:trHeight w:val="20"/>
        </w:trPr>
        <w:tc>
          <w:tcPr>
            <w:tcW w:w="0" w:type="auto"/>
            <w:vAlign w:val="center"/>
          </w:tcPr>
          <w:p w14:paraId="197B787E"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sz w:val="16"/>
                <w:szCs w:val="16"/>
                <w:lang w:eastAsia="fr-FR" w:bidi="fr-FR"/>
              </w:rPr>
              <w:t>Cuota disponible</w:t>
            </w:r>
          </w:p>
        </w:tc>
        <w:tc>
          <w:tcPr>
            <w:tcW w:w="1874" w:type="dxa"/>
            <w:noWrap/>
            <w:vAlign w:val="center"/>
          </w:tcPr>
          <w:p w14:paraId="30CA2888" w14:textId="77777777" w:rsidR="009123AC" w:rsidRPr="00F0379B" w:rsidRDefault="009123AC" w:rsidP="009123AC">
            <w:pPr>
              <w:spacing w:after="0" w:line="240" w:lineRule="auto"/>
              <w:jc w:val="right"/>
              <w:rPr>
                <w:rFonts w:ascii="Cambria" w:eastAsia="Times New Roman" w:hAnsi="Cambria" w:cs="Calibri"/>
                <w:b/>
                <w:bCs/>
                <w:kern w:val="2"/>
                <w:sz w:val="16"/>
                <w:szCs w:val="16"/>
                <w:lang w:eastAsia="ja-JP"/>
                <w14:ligatures w14:val="standardContextual"/>
              </w:rPr>
            </w:pPr>
          </w:p>
        </w:tc>
        <w:tc>
          <w:tcPr>
            <w:tcW w:w="660" w:type="dxa"/>
          </w:tcPr>
          <w:p w14:paraId="5681AA11"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tcPr>
          <w:p w14:paraId="47664503"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tcPr>
          <w:p w14:paraId="39726114"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tcPr>
          <w:p w14:paraId="7402FFB3"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tcPr>
          <w:p w14:paraId="32186226"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6C7A29D6"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25A3F55F"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000000" w:fill="D9D9D9"/>
            <w:vAlign w:val="center"/>
          </w:tcPr>
          <w:p w14:paraId="1E091674"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5DAF2AEB"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tcPr>
          <w:p w14:paraId="240E5DDA"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vAlign w:val="center"/>
          </w:tcPr>
          <w:p w14:paraId="56333DEC"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tcPr>
          <w:p w14:paraId="06DB7CC0"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tcPr>
          <w:p w14:paraId="2D4D8873"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noWrap/>
            <w:vAlign w:val="center"/>
          </w:tcPr>
          <w:p w14:paraId="12786E2F" w14:textId="77777777" w:rsidR="009123AC" w:rsidRPr="00F0379B" w:rsidRDefault="009123AC" w:rsidP="009123AC">
            <w:pPr>
              <w:spacing w:after="0" w:line="240" w:lineRule="auto"/>
              <w:rPr>
                <w:rFonts w:ascii="Cambria" w:eastAsia="Times New Roman" w:hAnsi="Cambria" w:cs="Calibri"/>
                <w:b/>
                <w:bCs/>
                <w:kern w:val="2"/>
                <w:sz w:val="16"/>
                <w:szCs w:val="16"/>
                <w:lang w:eastAsia="ja-JP"/>
                <w14:ligatures w14:val="standardContextual"/>
              </w:rPr>
            </w:pPr>
          </w:p>
        </w:tc>
        <w:tc>
          <w:tcPr>
            <w:tcW w:w="0" w:type="auto"/>
          </w:tcPr>
          <w:p w14:paraId="3127C2B6"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Times New Roman" w:hAnsi="Cambria" w:cs="Calibri"/>
                <w:kern w:val="2"/>
                <w:sz w:val="16"/>
                <w:szCs w:val="16"/>
                <w:lang w:eastAsia="ja-JP"/>
                <w14:ligatures w14:val="standardContextual"/>
              </w:rPr>
              <w:t>0</w:t>
            </w:r>
          </w:p>
        </w:tc>
      </w:tr>
      <w:tr w:rsidR="009123AC" w:rsidRPr="00F0379B" w14:paraId="6DBF68F4" w14:textId="77777777" w:rsidTr="00CA749B">
        <w:trPr>
          <w:trHeight w:val="20"/>
        </w:trPr>
        <w:tc>
          <w:tcPr>
            <w:tcW w:w="0" w:type="auto"/>
            <w:shd w:val="clear" w:color="auto" w:fill="D9D9D9"/>
            <w:noWrap/>
            <w:vAlign w:val="center"/>
            <w:hideMark/>
          </w:tcPr>
          <w:p w14:paraId="1E7C95EB" w14:textId="77777777" w:rsidR="009123AC" w:rsidRPr="00F0379B" w:rsidRDefault="009123AC" w:rsidP="009123AC">
            <w:pPr>
              <w:spacing w:after="0" w:line="240" w:lineRule="auto"/>
              <w:rPr>
                <w:rFonts w:ascii="Cambria" w:eastAsia="Times New Roman" w:hAnsi="Cambria" w:cs="Calibri"/>
                <w:b/>
                <w:bCs/>
                <w:kern w:val="2"/>
                <w:sz w:val="16"/>
                <w:szCs w:val="16"/>
                <w:lang w:eastAsia="fr-FR" w:bidi="fr-FR"/>
                <w14:ligatures w14:val="standardContextual"/>
              </w:rPr>
            </w:pPr>
            <w:proofErr w:type="spellStart"/>
            <w:r w:rsidRPr="00F0379B">
              <w:rPr>
                <w:rFonts w:ascii="Cambria" w:eastAsia="MS Gothic" w:hAnsi="Cambria" w:cs="Times New Roman"/>
                <w:b/>
                <w:sz w:val="16"/>
                <w:szCs w:val="16"/>
                <w:lang w:eastAsia="fr-FR" w:bidi="fr-FR"/>
              </w:rPr>
              <w:t>Subcapacidad</w:t>
            </w:r>
            <w:proofErr w:type="spellEnd"/>
            <w:r w:rsidRPr="00F0379B">
              <w:rPr>
                <w:rFonts w:ascii="Cambria" w:eastAsia="MS Gothic" w:hAnsi="Cambria" w:cs="Times New Roman"/>
                <w:b/>
                <w:sz w:val="16"/>
                <w:szCs w:val="16"/>
                <w:lang w:eastAsia="fr-FR" w:bidi="fr-FR"/>
              </w:rPr>
              <w:t>/exceso de capacidad</w:t>
            </w:r>
          </w:p>
        </w:tc>
        <w:tc>
          <w:tcPr>
            <w:tcW w:w="1874" w:type="dxa"/>
            <w:shd w:val="clear" w:color="auto" w:fill="D9D9D9"/>
            <w:noWrap/>
            <w:vAlign w:val="center"/>
            <w:hideMark/>
          </w:tcPr>
          <w:p w14:paraId="2C9020AE" w14:textId="77777777" w:rsidR="009123AC" w:rsidRPr="00F0379B" w:rsidRDefault="009123AC" w:rsidP="009123AC">
            <w:pPr>
              <w:spacing w:after="0" w:line="240" w:lineRule="auto"/>
              <w:jc w:val="right"/>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660" w:type="dxa"/>
            <w:shd w:val="clear" w:color="auto" w:fill="D9D9D9"/>
          </w:tcPr>
          <w:p w14:paraId="3042718D"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noWrap/>
            <w:vAlign w:val="center"/>
            <w:hideMark/>
          </w:tcPr>
          <w:p w14:paraId="000B0CDC"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shd w:val="clear" w:color="auto" w:fill="D9D9D9"/>
            <w:vAlign w:val="center"/>
            <w:hideMark/>
          </w:tcPr>
          <w:p w14:paraId="42F91735"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shd w:val="clear" w:color="auto" w:fill="D9D9D9"/>
            <w:vAlign w:val="center"/>
            <w:hideMark/>
          </w:tcPr>
          <w:p w14:paraId="68FC2A70"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shd w:val="clear" w:color="auto" w:fill="D9D9D9"/>
            <w:vAlign w:val="center"/>
            <w:hideMark/>
          </w:tcPr>
          <w:p w14:paraId="2CF4FE87"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S Gothic" w:hAnsi="Cambria" w:cs="Times New Roman"/>
                <w:sz w:val="16"/>
                <w:szCs w:val="24"/>
                <w:lang w:eastAsia="fr-FR" w:bidi="fr-FR"/>
              </w:rPr>
              <w:t> </w:t>
            </w:r>
          </w:p>
        </w:tc>
        <w:tc>
          <w:tcPr>
            <w:tcW w:w="0" w:type="auto"/>
            <w:shd w:val="clear" w:color="auto" w:fill="D9D9D9"/>
          </w:tcPr>
          <w:p w14:paraId="4DD553D7"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tcPr>
          <w:p w14:paraId="0BFE2DEF" w14:textId="77777777" w:rsidR="009123AC" w:rsidRPr="00F0379B" w:rsidRDefault="009123AC" w:rsidP="009123AC">
            <w:pPr>
              <w:spacing w:after="0" w:line="240" w:lineRule="auto"/>
              <w:jc w:val="center"/>
              <w:rPr>
                <w:rFonts w:ascii="Cambria" w:eastAsia="Times New Roman" w:hAnsi="Cambria" w:cs="Calibri"/>
                <w:kern w:val="2"/>
                <w:sz w:val="16"/>
                <w:szCs w:val="16"/>
                <w:lang w:eastAsia="ja-JP"/>
                <w14:ligatures w14:val="standardContextual"/>
              </w:rPr>
            </w:pPr>
            <w:r w:rsidRPr="00F0379B">
              <w:rPr>
                <w:rFonts w:ascii="Cambria" w:eastAsia="Times New Roman" w:hAnsi="Cambria" w:cs="Calibri"/>
                <w:kern w:val="2"/>
                <w:sz w:val="16"/>
                <w:szCs w:val="16"/>
                <w:lang w:eastAsia="ja-JP"/>
                <w14:ligatures w14:val="standardContextual"/>
              </w:rPr>
              <w:t>0</w:t>
            </w:r>
          </w:p>
        </w:tc>
        <w:tc>
          <w:tcPr>
            <w:tcW w:w="0" w:type="auto"/>
            <w:shd w:val="clear" w:color="auto" w:fill="D9D9D9"/>
            <w:vAlign w:val="center"/>
            <w:hideMark/>
          </w:tcPr>
          <w:p w14:paraId="3134E099"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shd w:val="clear" w:color="auto" w:fill="D9D9D9"/>
          </w:tcPr>
          <w:p w14:paraId="54991EF4" w14:textId="77777777" w:rsidR="009123AC" w:rsidRPr="00F0379B" w:rsidRDefault="009123AC" w:rsidP="009123AC">
            <w:pPr>
              <w:spacing w:after="0" w:line="240" w:lineRule="auto"/>
              <w:rPr>
                <w:rFonts w:ascii="Cambria" w:eastAsia="Times New Roman" w:hAnsi="Cambria" w:cs="Calibri"/>
                <w:kern w:val="2"/>
                <w:sz w:val="16"/>
                <w:szCs w:val="16"/>
                <w:lang w:eastAsia="ja-JP"/>
                <w14:ligatures w14:val="standardContextual"/>
              </w:rPr>
            </w:pPr>
          </w:p>
        </w:tc>
        <w:tc>
          <w:tcPr>
            <w:tcW w:w="0" w:type="auto"/>
            <w:shd w:val="clear" w:color="auto" w:fill="D9D9D9"/>
            <w:vAlign w:val="center"/>
            <w:hideMark/>
          </w:tcPr>
          <w:p w14:paraId="11455A86"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shd w:val="clear" w:color="auto" w:fill="D9D9D9"/>
            <w:vAlign w:val="center"/>
            <w:hideMark/>
          </w:tcPr>
          <w:p w14:paraId="2CAE7F07"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shd w:val="clear" w:color="auto" w:fill="D9D9D9"/>
            <w:vAlign w:val="center"/>
            <w:hideMark/>
          </w:tcPr>
          <w:p w14:paraId="3D4BF9CC"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shd w:val="clear" w:color="auto" w:fill="D9D9D9"/>
            <w:vAlign w:val="center"/>
            <w:hideMark/>
          </w:tcPr>
          <w:p w14:paraId="26BAE12D"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shd w:val="clear" w:color="auto" w:fill="D9D9D9"/>
            <w:vAlign w:val="center"/>
            <w:hideMark/>
          </w:tcPr>
          <w:p w14:paraId="6A5D3B8F" w14:textId="77777777" w:rsidR="009123AC" w:rsidRPr="00F0379B" w:rsidRDefault="009123AC" w:rsidP="009123AC">
            <w:pPr>
              <w:spacing w:after="0" w:line="240" w:lineRule="auto"/>
              <w:rPr>
                <w:rFonts w:ascii="Cambria" w:eastAsia="Times New Roman" w:hAnsi="Cambria" w:cs="Calibri"/>
                <w:kern w:val="2"/>
                <w:sz w:val="16"/>
                <w:szCs w:val="16"/>
                <w:lang w:eastAsia="fr-FR" w:bidi="fr-FR"/>
                <w14:ligatures w14:val="standardContextual"/>
              </w:rPr>
            </w:pPr>
            <w:r w:rsidRPr="00F0379B">
              <w:rPr>
                <w:rFonts w:ascii="Cambria" w:eastAsia="Malgun Gothic" w:hAnsi="Cambria" w:cs="Cambria"/>
                <w:kern w:val="2"/>
                <w:sz w:val="16"/>
                <w:szCs w:val="16"/>
                <w:lang w:eastAsia="ko-KR"/>
                <w14:ligatures w14:val="standardContextual"/>
              </w:rPr>
              <w:t> </w:t>
            </w:r>
          </w:p>
        </w:tc>
        <w:tc>
          <w:tcPr>
            <w:tcW w:w="0" w:type="auto"/>
            <w:shd w:val="clear" w:color="auto" w:fill="D9D9D9"/>
          </w:tcPr>
          <w:p w14:paraId="15C2D057" w14:textId="77777777" w:rsidR="009123AC" w:rsidRPr="00F0379B" w:rsidRDefault="009123AC" w:rsidP="009123AC">
            <w:pPr>
              <w:spacing w:after="0" w:line="240" w:lineRule="auto"/>
              <w:jc w:val="center"/>
              <w:rPr>
                <w:rFonts w:ascii="Cambria" w:eastAsia="Times New Roman" w:hAnsi="Cambria" w:cs="Calibri"/>
                <w:kern w:val="2"/>
                <w:sz w:val="16"/>
                <w:szCs w:val="16"/>
                <w:lang w:eastAsia="fr-FR" w:bidi="fr-FR"/>
                <w14:ligatures w14:val="standardContextual"/>
              </w:rPr>
            </w:pPr>
            <w:r w:rsidRPr="00F0379B">
              <w:rPr>
                <w:rFonts w:ascii="Cambria" w:eastAsia="Times New Roman" w:hAnsi="Cambria" w:cs="Calibri"/>
                <w:kern w:val="2"/>
                <w:sz w:val="16"/>
                <w:szCs w:val="16"/>
                <w:lang w:eastAsia="ja-JP"/>
                <w14:ligatures w14:val="standardContextual"/>
              </w:rPr>
              <w:t>0</w:t>
            </w:r>
          </w:p>
        </w:tc>
      </w:tr>
    </w:tbl>
    <w:p w14:paraId="632A4031" w14:textId="77777777" w:rsidR="009123AC" w:rsidRPr="00F0379B" w:rsidRDefault="009123AC" w:rsidP="009123AC">
      <w:pPr>
        <w:spacing w:after="0" w:line="240" w:lineRule="auto"/>
        <w:rPr>
          <w:rFonts w:ascii="Cambria" w:eastAsia="Malgun Gothic" w:hAnsi="Cambria" w:cs="Cambria"/>
          <w:kern w:val="2"/>
          <w:sz w:val="20"/>
          <w:szCs w:val="20"/>
          <w:vertAlign w:val="superscript"/>
          <w:lang w:eastAsia="ko-KR"/>
          <w14:ligatures w14:val="standardContextual"/>
        </w:rPr>
      </w:pPr>
    </w:p>
    <w:p w14:paraId="66ED72D6" w14:textId="77777777" w:rsidR="009123AC" w:rsidRPr="00F0379B" w:rsidRDefault="009123AC" w:rsidP="009123AC">
      <w:pPr>
        <w:spacing w:after="0" w:line="240" w:lineRule="auto"/>
        <w:rPr>
          <w:rFonts w:ascii="Cambria" w:eastAsia="MS Gothic" w:hAnsi="Cambria" w:cs="Times New Roman"/>
          <w:sz w:val="20"/>
          <w:szCs w:val="20"/>
          <w:lang w:eastAsia="fr-FR" w:bidi="fr-FR"/>
        </w:rPr>
      </w:pPr>
    </w:p>
    <w:p w14:paraId="3E5B702E"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sectPr w:rsidR="009123AC" w:rsidRPr="00F0379B" w:rsidSect="009123AC">
          <w:footnotePr>
            <w:numFmt w:val="chicago"/>
          </w:footnotePr>
          <w:pgSz w:w="16838" w:h="11906" w:orient="landscape" w:code="9"/>
          <w:pgMar w:top="1418" w:right="1418" w:bottom="1418" w:left="1418" w:header="851" w:footer="1134" w:gutter="0"/>
          <w:cols w:space="425"/>
          <w:docGrid w:linePitch="360"/>
        </w:sectPr>
      </w:pPr>
    </w:p>
    <w:p w14:paraId="6F8166BF" w14:textId="71052B57" w:rsidR="002962EE" w:rsidRPr="00F0379B" w:rsidRDefault="002962EE" w:rsidP="002962EE">
      <w:pPr>
        <w:widowControl w:val="0"/>
        <w:spacing w:after="0" w:line="240" w:lineRule="auto"/>
        <w:jc w:val="both"/>
        <w:rPr>
          <w:rFonts w:ascii="Cambria" w:eastAsia="Malgun Gothic" w:hAnsi="Cambria" w:cs="Times New Roman"/>
          <w:bCs/>
          <w:kern w:val="2"/>
          <w:sz w:val="20"/>
          <w:szCs w:val="20"/>
          <w:lang w:val="pt-PT" w:eastAsia="fr-FR" w:bidi="fr-FR"/>
        </w:rPr>
      </w:pPr>
      <w:r w:rsidRPr="00F0379B">
        <w:rPr>
          <w:rFonts w:ascii="Cambria" w:eastAsia="MS Gothic" w:hAnsi="Cambria" w:cs="Times New Roman"/>
          <w:b/>
          <w:kern w:val="2"/>
          <w:sz w:val="20"/>
          <w:szCs w:val="20"/>
          <w:lang w:val="pt-PT" w:eastAsia="fr-FR" w:bidi="fr-FR"/>
        </w:rPr>
        <w:t>Marruecos</w:t>
      </w:r>
    </w:p>
    <w:p w14:paraId="524F98FC" w14:textId="77777777" w:rsidR="002962EE" w:rsidRPr="00F0379B" w:rsidRDefault="002962EE" w:rsidP="002962EE">
      <w:pPr>
        <w:widowControl w:val="0"/>
        <w:spacing w:after="0" w:line="240" w:lineRule="auto"/>
        <w:jc w:val="both"/>
        <w:rPr>
          <w:rFonts w:ascii="Cambria" w:eastAsia="MS Gothic" w:hAnsi="Cambria" w:cs="Times New Roman"/>
          <w:kern w:val="2"/>
          <w:sz w:val="20"/>
          <w:szCs w:val="20"/>
          <w:lang w:val="pt-PT" w:eastAsia="fr-FR" w:bidi="fr-FR"/>
        </w:rPr>
      </w:pPr>
    </w:p>
    <w:p w14:paraId="52ACCF17" w14:textId="77777777" w:rsidR="002962EE" w:rsidRPr="00F0379B" w:rsidRDefault="002962EE" w:rsidP="002962EE">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Año del plan de pesca: 2026</w:t>
      </w:r>
    </w:p>
    <w:p w14:paraId="4A919380" w14:textId="77777777" w:rsidR="002962EE" w:rsidRPr="00F0379B" w:rsidRDefault="002962EE" w:rsidP="002962EE">
      <w:pPr>
        <w:widowControl w:val="0"/>
        <w:spacing w:after="0" w:line="240" w:lineRule="auto"/>
        <w:jc w:val="both"/>
        <w:rPr>
          <w:rFonts w:ascii="Cambria" w:eastAsia="MS Gothic" w:hAnsi="Cambria" w:cs="Times New Roman"/>
          <w:kern w:val="2"/>
          <w:sz w:val="20"/>
          <w:szCs w:val="20"/>
          <w:lang w:eastAsia="fr-FR" w:bidi="fr-FR"/>
        </w:rPr>
      </w:pPr>
    </w:p>
    <w:p w14:paraId="4DD46FCA" w14:textId="77777777" w:rsidR="002962EE" w:rsidRPr="00F0379B" w:rsidRDefault="002962EE" w:rsidP="002962EE">
      <w:pPr>
        <w:widowControl w:val="0"/>
        <w:spacing w:after="0" w:line="240" w:lineRule="auto"/>
        <w:ind w:left="426" w:hanging="426"/>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 xml:space="preserve">1. Detalles del plan de pesca anual para los buques de captura y almadrabas </w:t>
      </w:r>
    </w:p>
    <w:p w14:paraId="69D16D80" w14:textId="77777777" w:rsidR="002962EE" w:rsidRPr="00F0379B" w:rsidRDefault="002962EE" w:rsidP="002962EE">
      <w:pPr>
        <w:widowControl w:val="0"/>
        <w:spacing w:after="0" w:line="240" w:lineRule="auto"/>
        <w:jc w:val="both"/>
        <w:rPr>
          <w:rFonts w:ascii="Cambria" w:eastAsia="MS Gothic" w:hAnsi="Cambria" w:cs="Times New Roman"/>
          <w:b/>
          <w:kern w:val="2"/>
          <w:sz w:val="20"/>
          <w:szCs w:val="20"/>
          <w:lang w:eastAsia="fr-FR" w:bidi="fr-FR"/>
        </w:rPr>
      </w:pPr>
    </w:p>
    <w:p w14:paraId="2262AE87" w14:textId="77777777" w:rsidR="002962EE" w:rsidRPr="00F0379B" w:rsidRDefault="002962EE" w:rsidP="002962EE">
      <w:pPr>
        <w:widowControl w:val="0"/>
        <w:spacing w:after="0" w:line="240" w:lineRule="auto"/>
        <w:jc w:val="both"/>
        <w:rPr>
          <w:rFonts w:ascii="Cambria" w:eastAsia="MS Gothic" w:hAnsi="Cambria" w:cs="Times New Roman"/>
          <w:i/>
          <w:color w:val="000000"/>
          <w:sz w:val="20"/>
          <w:szCs w:val="24"/>
          <w:lang w:eastAsia="fr-FR" w:bidi="fr-FR"/>
        </w:rPr>
      </w:pPr>
      <w:r w:rsidRPr="00F0379B">
        <w:rPr>
          <w:rFonts w:ascii="Cambria" w:eastAsia="MS Gothic" w:hAnsi="Cambria" w:cs="Times New Roman"/>
          <w:b/>
          <w:i/>
          <w:color w:val="000000"/>
          <w:kern w:val="2"/>
          <w:sz w:val="20"/>
          <w:szCs w:val="20"/>
          <w:lang w:eastAsia="fr-FR" w:bidi="fr-FR"/>
        </w:rPr>
        <w:t xml:space="preserve">1 a) Presentación </w:t>
      </w:r>
      <w:r w:rsidRPr="00F0379B">
        <w:rPr>
          <w:rFonts w:ascii="Cambria" w:eastAsia="MS Gothic" w:hAnsi="Cambria" w:cs="Times New Roman"/>
          <w:b/>
          <w:bCs/>
          <w:i/>
          <w:sz w:val="20"/>
          <w:szCs w:val="20"/>
          <w:lang w:eastAsia="fr-FR" w:bidi="fr-FR"/>
        </w:rPr>
        <w:t>(párrafo 12)</w:t>
      </w:r>
    </w:p>
    <w:p w14:paraId="3ECE4184" w14:textId="77777777" w:rsidR="002962EE" w:rsidRPr="00F0379B" w:rsidRDefault="002962EE" w:rsidP="002962EE">
      <w:pPr>
        <w:widowControl w:val="0"/>
        <w:spacing w:after="0" w:line="240" w:lineRule="auto"/>
        <w:ind w:left="426" w:hanging="426"/>
        <w:jc w:val="both"/>
        <w:rPr>
          <w:rFonts w:ascii="Cambria" w:eastAsia="MS Gothic" w:hAnsi="Cambria" w:cs="Times New Roman"/>
          <w:b/>
          <w:i/>
          <w:color w:val="000000"/>
          <w:kern w:val="2"/>
          <w:sz w:val="20"/>
          <w:szCs w:val="20"/>
          <w:lang w:eastAsia="fr-FR" w:bidi="fr-FR"/>
        </w:rPr>
      </w:pPr>
    </w:p>
    <w:p w14:paraId="09B441F1" w14:textId="77777777" w:rsidR="002962EE" w:rsidRPr="00F0379B" w:rsidRDefault="002962EE" w:rsidP="002962EE">
      <w:pPr>
        <w:widowControl w:val="0"/>
        <w:autoSpaceDE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Siguiendo las recomendaciones y resoluciones adoptadas durante la 29ª reunión ordinaria de ICCAT, celebrada en Sevilla, España, del 17 al 24 de noviembre de 2025, y de acuerdo con el párrafo 4 de la Rec. 25-04, la cuota de Marruecos se fija en 4.379,47 t, que se distribuirán entre los siguientes segmentos operativos: almadrabas, atuneros (cerqueros y palangrero) que se dirigen al atún rojo, pequeños buques costeros y embarcaciones artesanales que pescan atún rojo de forma fortuita. La cuota de cada segmento se define en función del historial de capturas y del número de unidades de pesca del segmento.</w:t>
      </w:r>
    </w:p>
    <w:p w14:paraId="63527DFC" w14:textId="77777777" w:rsidR="002962EE" w:rsidRPr="00F0379B" w:rsidRDefault="002962EE" w:rsidP="002962EE">
      <w:pPr>
        <w:widowControl w:val="0"/>
        <w:autoSpaceDE w:val="0"/>
        <w:spacing w:after="0" w:line="240" w:lineRule="auto"/>
        <w:jc w:val="both"/>
        <w:rPr>
          <w:rFonts w:ascii="Cambria" w:eastAsia="MS Gothic" w:hAnsi="Cambria" w:cs="Times New Roman"/>
          <w:kern w:val="2"/>
          <w:sz w:val="20"/>
          <w:szCs w:val="20"/>
          <w:lang w:eastAsia="fr-FR" w:bidi="fr-FR"/>
        </w:rPr>
      </w:pPr>
    </w:p>
    <w:p w14:paraId="6EB818AA" w14:textId="77777777" w:rsidR="002962EE" w:rsidRPr="00F0379B" w:rsidRDefault="002962EE" w:rsidP="002962EE">
      <w:pPr>
        <w:widowControl w:val="0"/>
        <w:autoSpaceDE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Tras las solicitudes de transferencia de 55 t de Namibia y de 55 t de Panamá a Marruecos para su captura con almadrabas en la campaña actual de 2026, y la aceptación de esta solicitud por Marruecos de conformidad con el párrafo 8 de la Recomendación 25-04 de ICCAT, la cuota nacional total ajustada tras la transferencia será de 4.489,47 t (4.379,47 t + 110 t).</w:t>
      </w:r>
    </w:p>
    <w:p w14:paraId="27973615" w14:textId="77777777" w:rsidR="002962EE" w:rsidRPr="00F0379B" w:rsidRDefault="002962EE" w:rsidP="002962EE">
      <w:pPr>
        <w:widowControl w:val="0"/>
        <w:autoSpaceDE w:val="0"/>
        <w:spacing w:after="0" w:line="240" w:lineRule="auto"/>
        <w:jc w:val="both"/>
        <w:rPr>
          <w:rFonts w:ascii="Cambria" w:eastAsia="MS Gothic" w:hAnsi="Cambria" w:cs="Times New Roman"/>
          <w:kern w:val="2"/>
          <w:sz w:val="20"/>
          <w:szCs w:val="20"/>
          <w:lang w:eastAsia="fr-FR" w:bidi="fr-FR"/>
        </w:rPr>
      </w:pPr>
    </w:p>
    <w:p w14:paraId="6F029513" w14:textId="77777777" w:rsidR="002962EE" w:rsidRPr="00F0379B" w:rsidRDefault="002962EE" w:rsidP="002962EE">
      <w:pPr>
        <w:widowControl w:val="0"/>
        <w:autoSpaceDE w:val="0"/>
        <w:spacing w:after="0" w:line="240" w:lineRule="auto"/>
        <w:jc w:val="both"/>
        <w:rPr>
          <w:rFonts w:ascii="Cambria" w:eastAsia="MS Gothic" w:hAnsi="Cambria" w:cs="Cambria"/>
          <w:kern w:val="2"/>
          <w:sz w:val="20"/>
          <w:szCs w:val="20"/>
          <w:lang w:eastAsia="fr-FR" w:bidi="fr-FR"/>
        </w:rPr>
      </w:pPr>
      <w:r w:rsidRPr="00F0379B">
        <w:rPr>
          <w:rFonts w:ascii="Cambria" w:eastAsia="MS Gothic" w:hAnsi="Cambria" w:cs="Times New Roman"/>
          <w:kern w:val="2"/>
          <w:sz w:val="20"/>
          <w:szCs w:val="20"/>
          <w:lang w:eastAsia="fr-FR" w:bidi="fr-FR"/>
        </w:rPr>
        <w:t>De conformidad con las disposiciones del plan nacional de ordenación de la capacidad de pesca, establecidas en los párrafos 10 a 13 de la Recomendación 25-04 de ICCAT, tal y como fue modificada y completada, la capacidad de pesca máxima autorizada para dirigirse directamente al atún rojo se desglosa del siguiente modo:</w:t>
      </w:r>
    </w:p>
    <w:p w14:paraId="511DE4C0" w14:textId="77777777" w:rsidR="002962EE" w:rsidRPr="00F0379B" w:rsidRDefault="002962EE" w:rsidP="00CE0EC8">
      <w:pPr>
        <w:widowControl w:val="0"/>
        <w:numPr>
          <w:ilvl w:val="0"/>
          <w:numId w:val="6"/>
        </w:numPr>
        <w:suppressAutoHyphens/>
        <w:autoSpaceDE w:val="0"/>
        <w:autoSpaceDN w:val="0"/>
        <w:adjustRightInd w:val="0"/>
        <w:spacing w:after="0" w:line="240" w:lineRule="auto"/>
        <w:ind w:left="851" w:hanging="425"/>
        <w:jc w:val="both"/>
        <w:rPr>
          <w:rFonts w:ascii="Cambria" w:eastAsia="MS Gothic" w:hAnsi="Cambria" w:cs="Cambria"/>
          <w:kern w:val="2"/>
          <w:sz w:val="20"/>
          <w:szCs w:val="20"/>
          <w:lang w:eastAsia="fr-FR" w:bidi="fr-FR"/>
        </w:rPr>
      </w:pPr>
      <w:r w:rsidRPr="00F0379B">
        <w:rPr>
          <w:rFonts w:ascii="Cambria" w:eastAsia="MS Gothic" w:hAnsi="Cambria" w:cs="Times New Roman"/>
          <w:kern w:val="2"/>
          <w:sz w:val="20"/>
          <w:szCs w:val="20"/>
          <w:lang w:eastAsia="fr-FR" w:bidi="fr-FR"/>
        </w:rPr>
        <w:t>18 almadrabas;</w:t>
      </w:r>
    </w:p>
    <w:p w14:paraId="02DD747E" w14:textId="77777777" w:rsidR="002962EE" w:rsidRPr="00F0379B" w:rsidRDefault="002962EE" w:rsidP="00CE0EC8">
      <w:pPr>
        <w:widowControl w:val="0"/>
        <w:numPr>
          <w:ilvl w:val="0"/>
          <w:numId w:val="6"/>
        </w:numPr>
        <w:suppressAutoHyphens/>
        <w:autoSpaceDE w:val="0"/>
        <w:autoSpaceDN w:val="0"/>
        <w:adjustRightInd w:val="0"/>
        <w:spacing w:after="0" w:line="240" w:lineRule="auto"/>
        <w:ind w:left="851" w:hanging="425"/>
        <w:jc w:val="both"/>
        <w:rPr>
          <w:rFonts w:ascii="Cambria" w:eastAsia="MS Gothic" w:hAnsi="Cambria" w:cs="Cambria"/>
          <w:kern w:val="2"/>
          <w:sz w:val="20"/>
          <w:szCs w:val="20"/>
          <w:lang w:eastAsia="fr-FR" w:bidi="fr-FR"/>
        </w:rPr>
      </w:pPr>
      <w:r w:rsidRPr="00F0379B">
        <w:rPr>
          <w:rFonts w:ascii="Cambria" w:eastAsia="MS Gothic" w:hAnsi="Cambria" w:cs="Times New Roman"/>
          <w:kern w:val="2"/>
          <w:sz w:val="20"/>
          <w:szCs w:val="20"/>
          <w:lang w:eastAsia="fr-FR" w:bidi="fr-FR"/>
        </w:rPr>
        <w:t>Siete cerqueros atuneros, cuatro de ellos con una eslora total de más de 40 m y tres con una eslora total de entre 24 y 40 m;</w:t>
      </w:r>
    </w:p>
    <w:p w14:paraId="04CAB7FB" w14:textId="77777777" w:rsidR="002962EE" w:rsidRPr="00F0379B" w:rsidRDefault="002962EE" w:rsidP="00CE0EC8">
      <w:pPr>
        <w:widowControl w:val="0"/>
        <w:numPr>
          <w:ilvl w:val="0"/>
          <w:numId w:val="6"/>
        </w:numPr>
        <w:suppressAutoHyphens/>
        <w:autoSpaceDE w:val="0"/>
        <w:autoSpaceDN w:val="0"/>
        <w:adjustRightInd w:val="0"/>
        <w:spacing w:after="0" w:line="240" w:lineRule="auto"/>
        <w:ind w:left="851" w:hanging="425"/>
        <w:jc w:val="both"/>
        <w:rPr>
          <w:rFonts w:ascii="Cambria" w:eastAsia="MS Gothic" w:hAnsi="Cambria" w:cs="Cambria"/>
          <w:kern w:val="2"/>
          <w:sz w:val="20"/>
          <w:szCs w:val="20"/>
          <w:lang w:eastAsia="fr-FR" w:bidi="fr-FR"/>
        </w:rPr>
      </w:pPr>
      <w:r w:rsidRPr="00F0379B">
        <w:rPr>
          <w:rFonts w:ascii="Cambria" w:eastAsia="MS Gothic" w:hAnsi="Cambria" w:cs="Times New Roman"/>
          <w:kern w:val="2"/>
          <w:sz w:val="20"/>
          <w:szCs w:val="20"/>
          <w:lang w:eastAsia="fr-FR" w:bidi="fr-FR"/>
        </w:rPr>
        <w:t>un palangrero atunero con una eslora total superior a 24 m;</w:t>
      </w:r>
    </w:p>
    <w:p w14:paraId="7000C01F" w14:textId="77777777" w:rsidR="002962EE" w:rsidRPr="00F0379B" w:rsidRDefault="002962EE" w:rsidP="00CE0EC8">
      <w:pPr>
        <w:widowControl w:val="0"/>
        <w:numPr>
          <w:ilvl w:val="0"/>
          <w:numId w:val="6"/>
        </w:numPr>
        <w:suppressAutoHyphens/>
        <w:autoSpaceDE w:val="0"/>
        <w:autoSpaceDN w:val="0"/>
        <w:adjustRightInd w:val="0"/>
        <w:spacing w:after="0" w:line="240" w:lineRule="auto"/>
        <w:ind w:left="851" w:hanging="425"/>
        <w:jc w:val="both"/>
        <w:rPr>
          <w:rFonts w:ascii="Cambria" w:eastAsia="MS Gothic" w:hAnsi="Cambria" w:cs="Trebuchet MS"/>
          <w:color w:val="000000"/>
          <w:kern w:val="2"/>
          <w:sz w:val="20"/>
          <w:szCs w:val="20"/>
          <w:lang w:eastAsia="fr-FR" w:bidi="fr-FR"/>
        </w:rPr>
      </w:pPr>
      <w:r w:rsidRPr="00F0379B">
        <w:rPr>
          <w:rFonts w:ascii="Cambria" w:eastAsia="MS Gothic" w:hAnsi="Cambria" w:cs="Times New Roman"/>
          <w:kern w:val="2"/>
          <w:sz w:val="20"/>
          <w:szCs w:val="20"/>
          <w:lang w:eastAsia="fr-FR" w:bidi="fr-FR"/>
        </w:rPr>
        <w:t>los pequeños barcos costeros y los barcos de pesca artesanal con una licencia de pesca para capturar de forma fortuita atún rojo durante su periodo de migración y sus capturas se descontarán, como en el pasado, del límite de cuota asignado al sector. Los artes de pesca utilizados por estos pequeños barcos costeros y barcos artesanales son el palangre y la liña. Las capturas de estos barcos son consignadas en el cuaderno de pesca y en el sistema eBCD.</w:t>
      </w:r>
    </w:p>
    <w:p w14:paraId="67D74EF9" w14:textId="77777777" w:rsidR="002962EE" w:rsidRPr="00F0379B" w:rsidRDefault="002962EE" w:rsidP="002962EE">
      <w:pPr>
        <w:widowControl w:val="0"/>
        <w:autoSpaceDE w:val="0"/>
        <w:spacing w:after="0" w:line="240" w:lineRule="auto"/>
        <w:jc w:val="both"/>
        <w:rPr>
          <w:rFonts w:ascii="Cambria" w:eastAsia="MS Gothic" w:hAnsi="Cambria" w:cs="Cambria"/>
          <w:color w:val="000000"/>
          <w:kern w:val="2"/>
          <w:sz w:val="20"/>
          <w:szCs w:val="20"/>
          <w:lang w:eastAsia="ar-SA"/>
        </w:rPr>
      </w:pPr>
    </w:p>
    <w:p w14:paraId="49FDA2C3" w14:textId="77777777" w:rsidR="002962EE" w:rsidRPr="00F0379B" w:rsidRDefault="002962EE" w:rsidP="002962EE">
      <w:pPr>
        <w:widowControl w:val="0"/>
        <w:suppressAutoHyphens/>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Arial"/>
          <w:kern w:val="2"/>
          <w:sz w:val="20"/>
          <w:lang w:eastAsia="ja-JP"/>
        </w:rPr>
        <w:t xml:space="preserve">Se asignarán cuotas individuales a los atuneros cerqueros y palangreros de más de 24 m y a las almadrabas marroquíes, de conformidad con </w:t>
      </w:r>
      <w:r w:rsidRPr="00F0379B">
        <w:rPr>
          <w:rFonts w:ascii="Cambria" w:eastAsia="Times New Roman" w:hAnsi="Cambria" w:cs="Arial"/>
          <w:kern w:val="2"/>
          <w:sz w:val="20"/>
          <w:lang w:eastAsia="ja-JP"/>
        </w:rPr>
        <w:t xml:space="preserve">el </w:t>
      </w:r>
      <w:r w:rsidRPr="00F0379B">
        <w:rPr>
          <w:rFonts w:ascii="Cambria" w:eastAsia="MS Gothic" w:hAnsi="Cambria" w:cs="Times New Roman"/>
          <w:sz w:val="20"/>
          <w:szCs w:val="24"/>
          <w:lang w:eastAsia="fr-FR" w:bidi="fr-FR"/>
        </w:rPr>
        <w:t xml:space="preserve">Decreto de la Secretaría de Estado adjunta al Ministerio de Agricultura, Pesca Marítima, Desarrollo Rural y Aguas y Bosques, encargada de la Pesca Marítima, n.º 2648-24, de 5 </w:t>
      </w:r>
      <w:proofErr w:type="spellStart"/>
      <w:r w:rsidRPr="00F0379B">
        <w:rPr>
          <w:rFonts w:ascii="Cambria" w:eastAsia="MS Gothic" w:hAnsi="Cambria" w:cs="Times New Roman"/>
          <w:sz w:val="20"/>
          <w:szCs w:val="24"/>
          <w:lang w:eastAsia="fr-FR" w:bidi="fr-FR"/>
        </w:rPr>
        <w:t>joumada</w:t>
      </w:r>
      <w:proofErr w:type="spellEnd"/>
      <w:r w:rsidRPr="00F0379B">
        <w:rPr>
          <w:rFonts w:ascii="Cambria" w:eastAsia="MS Gothic" w:hAnsi="Cambria" w:cs="Times New Roman"/>
          <w:sz w:val="20"/>
          <w:szCs w:val="24"/>
          <w:lang w:eastAsia="fr-FR" w:bidi="fr-FR"/>
        </w:rPr>
        <w:t xml:space="preserve"> I 1446 (8 de noviembre de 2024) relativo al plan de desarrollo y ordenación de la pesquería de atún rojo (</w:t>
      </w:r>
      <w:proofErr w:type="spellStart"/>
      <w:r w:rsidRPr="00F0379B">
        <w:rPr>
          <w:rFonts w:ascii="Cambria" w:eastAsia="MS Gothic" w:hAnsi="Cambria" w:cs="Times New Roman"/>
          <w:i/>
          <w:iCs/>
          <w:sz w:val="20"/>
          <w:szCs w:val="24"/>
          <w:lang w:eastAsia="fr-FR" w:bidi="fr-FR"/>
        </w:rPr>
        <w:t>Thunnus</w:t>
      </w:r>
      <w:proofErr w:type="spellEnd"/>
      <w:r w:rsidRPr="00F0379B">
        <w:rPr>
          <w:rFonts w:ascii="Cambria" w:eastAsia="MS Gothic" w:hAnsi="Cambria" w:cs="Times New Roman"/>
          <w:i/>
          <w:iCs/>
          <w:sz w:val="20"/>
          <w:szCs w:val="24"/>
          <w:lang w:eastAsia="fr-FR" w:bidi="fr-FR"/>
        </w:rPr>
        <w:t xml:space="preserve"> </w:t>
      </w:r>
      <w:proofErr w:type="spellStart"/>
      <w:r w:rsidRPr="00F0379B">
        <w:rPr>
          <w:rFonts w:ascii="Cambria" w:eastAsia="MS Gothic" w:hAnsi="Cambria" w:cs="Times New Roman"/>
          <w:i/>
          <w:iCs/>
          <w:sz w:val="20"/>
          <w:szCs w:val="24"/>
          <w:lang w:eastAsia="fr-FR" w:bidi="fr-FR"/>
        </w:rPr>
        <w:t>thynnus</w:t>
      </w:r>
      <w:proofErr w:type="spellEnd"/>
      <w:r w:rsidRPr="00F0379B">
        <w:rPr>
          <w:rFonts w:ascii="Cambria" w:eastAsia="MS Gothic" w:hAnsi="Cambria" w:cs="Times New Roman"/>
          <w:sz w:val="20"/>
          <w:szCs w:val="24"/>
          <w:lang w:eastAsia="fr-FR" w:bidi="fr-FR"/>
        </w:rPr>
        <w:t>) en aguas marítimas marroquíes.</w:t>
      </w:r>
    </w:p>
    <w:p w14:paraId="2259F9CB" w14:textId="77777777" w:rsidR="002962EE" w:rsidRPr="00F0379B" w:rsidRDefault="002962EE" w:rsidP="002962EE">
      <w:pPr>
        <w:widowControl w:val="0"/>
        <w:autoSpaceDE w:val="0"/>
        <w:spacing w:after="0" w:line="240" w:lineRule="auto"/>
        <w:jc w:val="both"/>
        <w:rPr>
          <w:rFonts w:ascii="Cambria" w:eastAsia="MS Gothic" w:hAnsi="Cambria" w:cs="Cambria"/>
          <w:color w:val="000000"/>
          <w:kern w:val="2"/>
          <w:sz w:val="20"/>
          <w:szCs w:val="20"/>
          <w:lang w:eastAsia="ar-SA"/>
        </w:rPr>
      </w:pPr>
    </w:p>
    <w:p w14:paraId="70D0AA40" w14:textId="77777777" w:rsidR="002962EE" w:rsidRPr="00F0379B" w:rsidRDefault="002962EE" w:rsidP="002962EE">
      <w:pPr>
        <w:widowControl w:val="0"/>
        <w:autoSpaceDE w:val="0"/>
        <w:spacing w:after="0" w:line="240" w:lineRule="auto"/>
        <w:jc w:val="both"/>
        <w:rPr>
          <w:rFonts w:ascii="Cambria" w:eastAsia="MS Gothic" w:hAnsi="Cambria" w:cs="Times New Roman"/>
          <w:color w:val="000000"/>
          <w:kern w:val="2"/>
          <w:sz w:val="20"/>
          <w:szCs w:val="20"/>
          <w:lang w:eastAsia="fr-FR" w:bidi="fr-FR"/>
        </w:rPr>
      </w:pPr>
      <w:r w:rsidRPr="00F0379B">
        <w:rPr>
          <w:rFonts w:ascii="Cambria" w:eastAsia="MS Gothic" w:hAnsi="Cambria" w:cs="Times New Roman"/>
          <w:color w:val="000000"/>
          <w:kern w:val="2"/>
          <w:sz w:val="20"/>
          <w:szCs w:val="20"/>
          <w:lang w:eastAsia="fr-FR" w:bidi="fr-FR"/>
        </w:rPr>
        <w:t xml:space="preserve">La cuota total ajustada (incluida la transferencia y el traspaso) de atún rojo para la temporada de pesca de </w:t>
      </w:r>
      <w:r w:rsidRPr="00F0379B">
        <w:rPr>
          <w:rFonts w:ascii="Cambria" w:eastAsia="MS Gothic" w:hAnsi="Cambria" w:cs="Times New Roman"/>
          <w:kern w:val="2"/>
          <w:sz w:val="20"/>
          <w:szCs w:val="20"/>
          <w:lang w:eastAsia="fr-FR" w:bidi="fr-FR"/>
        </w:rPr>
        <w:t xml:space="preserve">2026 </w:t>
      </w:r>
      <w:r w:rsidRPr="00F0379B">
        <w:rPr>
          <w:rFonts w:ascii="Cambria" w:eastAsia="MS Gothic" w:hAnsi="Cambria" w:cs="Times New Roman"/>
          <w:color w:val="000000"/>
          <w:kern w:val="2"/>
          <w:sz w:val="20"/>
          <w:szCs w:val="20"/>
          <w:lang w:eastAsia="fr-FR" w:bidi="fr-FR"/>
        </w:rPr>
        <w:t>se reparte de la siguiente manera:</w:t>
      </w:r>
    </w:p>
    <w:p w14:paraId="10203A5C" w14:textId="77777777" w:rsidR="002962EE" w:rsidRPr="00F0379B" w:rsidRDefault="002962EE" w:rsidP="00CE0EC8">
      <w:pPr>
        <w:widowControl w:val="0"/>
        <w:numPr>
          <w:ilvl w:val="0"/>
          <w:numId w:val="6"/>
        </w:numPr>
        <w:suppressAutoHyphens/>
        <w:autoSpaceDE w:val="0"/>
        <w:autoSpaceDN w:val="0"/>
        <w:adjustRightInd w:val="0"/>
        <w:spacing w:after="0" w:line="240" w:lineRule="auto"/>
        <w:ind w:left="851" w:hanging="425"/>
        <w:jc w:val="both"/>
        <w:rPr>
          <w:rFonts w:ascii="Cambria" w:eastAsia="MS Gothic" w:hAnsi="Cambria" w:cs="Cambria"/>
          <w:kern w:val="2"/>
          <w:sz w:val="20"/>
          <w:szCs w:val="20"/>
          <w:lang w:eastAsia="fr-FR" w:bidi="fr-FR"/>
        </w:rPr>
      </w:pPr>
      <w:r w:rsidRPr="00F0379B">
        <w:rPr>
          <w:rFonts w:ascii="Cambria" w:eastAsia="MS Gothic" w:hAnsi="Cambria" w:cs="Times New Roman"/>
          <w:kern w:val="2"/>
          <w:sz w:val="20"/>
          <w:szCs w:val="20"/>
          <w:lang w:eastAsia="fr-FR" w:bidi="fr-FR"/>
        </w:rPr>
        <w:t>almadrabas: 2.878 t;</w:t>
      </w:r>
    </w:p>
    <w:p w14:paraId="3F6B9E7C" w14:textId="77777777" w:rsidR="002962EE" w:rsidRPr="00F0379B" w:rsidRDefault="002962EE" w:rsidP="00CE0EC8">
      <w:pPr>
        <w:widowControl w:val="0"/>
        <w:numPr>
          <w:ilvl w:val="0"/>
          <w:numId w:val="6"/>
        </w:numPr>
        <w:suppressAutoHyphens/>
        <w:autoSpaceDE w:val="0"/>
        <w:autoSpaceDN w:val="0"/>
        <w:adjustRightInd w:val="0"/>
        <w:spacing w:after="0" w:line="240" w:lineRule="auto"/>
        <w:ind w:left="851" w:hanging="425"/>
        <w:jc w:val="both"/>
        <w:rPr>
          <w:rFonts w:ascii="Cambria" w:eastAsia="MS Gothic" w:hAnsi="Cambria" w:cs="Cambria"/>
          <w:kern w:val="2"/>
          <w:sz w:val="20"/>
          <w:szCs w:val="20"/>
          <w:lang w:eastAsia="fr-FR" w:bidi="fr-FR"/>
        </w:rPr>
      </w:pPr>
      <w:r w:rsidRPr="00F0379B">
        <w:rPr>
          <w:rFonts w:ascii="Cambria" w:eastAsia="MS Gothic" w:hAnsi="Cambria" w:cs="Times New Roman"/>
          <w:kern w:val="2"/>
          <w:sz w:val="20"/>
          <w:szCs w:val="20"/>
          <w:lang w:eastAsia="fr-FR" w:bidi="fr-FR"/>
        </w:rPr>
        <w:t>cerqueros atuneros: 1.053 t;</w:t>
      </w:r>
    </w:p>
    <w:p w14:paraId="1EABC454" w14:textId="77777777" w:rsidR="002962EE" w:rsidRPr="00F0379B" w:rsidRDefault="002962EE" w:rsidP="00CE0EC8">
      <w:pPr>
        <w:widowControl w:val="0"/>
        <w:numPr>
          <w:ilvl w:val="0"/>
          <w:numId w:val="6"/>
        </w:numPr>
        <w:suppressAutoHyphens/>
        <w:autoSpaceDE w:val="0"/>
        <w:autoSpaceDN w:val="0"/>
        <w:adjustRightInd w:val="0"/>
        <w:spacing w:after="0" w:line="240" w:lineRule="auto"/>
        <w:ind w:left="851" w:hanging="425"/>
        <w:jc w:val="both"/>
        <w:rPr>
          <w:rFonts w:ascii="Cambria" w:eastAsia="MS Gothic" w:hAnsi="Cambria" w:cs="Cambria"/>
          <w:kern w:val="2"/>
          <w:sz w:val="20"/>
          <w:szCs w:val="20"/>
          <w:lang w:eastAsia="fr-FR" w:bidi="fr-FR"/>
        </w:rPr>
      </w:pPr>
      <w:r w:rsidRPr="00F0379B">
        <w:rPr>
          <w:rFonts w:ascii="Cambria" w:eastAsia="MS Gothic" w:hAnsi="Cambria" w:cs="Times New Roman"/>
          <w:kern w:val="2"/>
          <w:sz w:val="20"/>
          <w:szCs w:val="20"/>
          <w:lang w:eastAsia="fr-FR" w:bidi="fr-FR"/>
        </w:rPr>
        <w:t>palangrero atunero: 70 t;</w:t>
      </w:r>
    </w:p>
    <w:p w14:paraId="3E9796B8" w14:textId="77777777" w:rsidR="002962EE" w:rsidRPr="00F0379B" w:rsidRDefault="002962EE" w:rsidP="00CE0EC8">
      <w:pPr>
        <w:widowControl w:val="0"/>
        <w:numPr>
          <w:ilvl w:val="0"/>
          <w:numId w:val="6"/>
        </w:numPr>
        <w:suppressAutoHyphens/>
        <w:autoSpaceDE w:val="0"/>
        <w:autoSpaceDN w:val="0"/>
        <w:adjustRightInd w:val="0"/>
        <w:spacing w:after="0" w:line="240" w:lineRule="auto"/>
        <w:ind w:left="851" w:hanging="425"/>
        <w:jc w:val="both"/>
        <w:rPr>
          <w:rFonts w:ascii="Cambria" w:eastAsia="MS Gothic" w:hAnsi="Cambria" w:cs="Cambria"/>
          <w:kern w:val="2"/>
          <w:sz w:val="20"/>
          <w:szCs w:val="20"/>
          <w:lang w:eastAsia="fr-FR" w:bidi="fr-FR"/>
        </w:rPr>
      </w:pPr>
      <w:r w:rsidRPr="00F0379B">
        <w:rPr>
          <w:rFonts w:ascii="Cambria" w:eastAsia="MS Gothic" w:hAnsi="Cambria" w:cs="Times New Roman"/>
          <w:kern w:val="2"/>
          <w:sz w:val="20"/>
          <w:szCs w:val="20"/>
          <w:lang w:eastAsia="fr-FR" w:bidi="fr-FR"/>
        </w:rPr>
        <w:t xml:space="preserve">capturas fortuitas de atún rojo reservadas para pequeños barcos costeros y embarcaciones artesanales (palangre y liña de mano (HL y LL)): 602,09 t, calculadas basándose en estadísticas históricas de captura fortuita. Cabe señalar que en 2025 las capturas fortuitas fueron de </w:t>
      </w:r>
      <w:r w:rsidRPr="00F0379B">
        <w:rPr>
          <w:rFonts w:ascii="Cambria" w:eastAsia="MS Gothic" w:hAnsi="Cambria" w:cs="Times New Roman"/>
          <w:kern w:val="2"/>
          <w:sz w:val="20"/>
          <w:szCs w:val="20"/>
          <w:lang w:eastAsia="fr-FR" w:bidi="fr-FR"/>
        </w:rPr>
        <w:br/>
        <w:t>337,80 t).</w:t>
      </w:r>
    </w:p>
    <w:p w14:paraId="587DE044" w14:textId="77777777" w:rsidR="002962EE" w:rsidRPr="00F0379B" w:rsidRDefault="002962EE" w:rsidP="00CE0EC8">
      <w:pPr>
        <w:widowControl w:val="0"/>
        <w:numPr>
          <w:ilvl w:val="0"/>
          <w:numId w:val="6"/>
        </w:numPr>
        <w:suppressAutoHyphens/>
        <w:autoSpaceDE w:val="0"/>
        <w:autoSpaceDN w:val="0"/>
        <w:adjustRightInd w:val="0"/>
        <w:spacing w:after="0" w:line="240" w:lineRule="auto"/>
        <w:ind w:left="851" w:hanging="425"/>
        <w:jc w:val="both"/>
        <w:rPr>
          <w:rFonts w:ascii="Cambria" w:eastAsia="MS Gothic" w:hAnsi="Cambria" w:cs="Cambria"/>
          <w:kern w:val="2"/>
          <w:sz w:val="20"/>
          <w:szCs w:val="20"/>
          <w:lang w:eastAsia="fr-FR" w:bidi="fr-FR"/>
        </w:rPr>
      </w:pPr>
      <w:r w:rsidRPr="00F0379B">
        <w:rPr>
          <w:rFonts w:ascii="Cambria" w:eastAsia="MS Gothic" w:hAnsi="Cambria" w:cs="Times New Roman"/>
          <w:kern w:val="2"/>
          <w:sz w:val="20"/>
          <w:szCs w:val="20"/>
          <w:lang w:eastAsia="fr-FR" w:bidi="fr-FR"/>
        </w:rPr>
        <w:t>se ha apartado una reserva para el caso de posibles descartes muertos de atún rojo: 30 t.</w:t>
      </w:r>
    </w:p>
    <w:p w14:paraId="70117F38" w14:textId="77777777" w:rsidR="002962EE" w:rsidRPr="00F0379B" w:rsidRDefault="002962EE" w:rsidP="002962EE">
      <w:pPr>
        <w:widowControl w:val="0"/>
        <w:autoSpaceDE w:val="0"/>
        <w:spacing w:after="0" w:line="240" w:lineRule="auto"/>
        <w:jc w:val="both"/>
        <w:rPr>
          <w:rFonts w:ascii="Cambria" w:eastAsia="MS Gothic" w:hAnsi="Cambria" w:cs="Cambria"/>
          <w:color w:val="000000"/>
          <w:kern w:val="2"/>
          <w:sz w:val="20"/>
          <w:szCs w:val="20"/>
          <w:lang w:eastAsia="ar-SA"/>
        </w:rPr>
      </w:pPr>
    </w:p>
    <w:p w14:paraId="6A4A8479" w14:textId="77777777" w:rsidR="002962EE" w:rsidRPr="00F0379B" w:rsidRDefault="002962EE" w:rsidP="002962EE">
      <w:pPr>
        <w:widowControl w:val="0"/>
        <w:autoSpaceDE w:val="0"/>
        <w:spacing w:after="0" w:line="240" w:lineRule="auto"/>
        <w:jc w:val="both"/>
        <w:rPr>
          <w:rFonts w:ascii="Cambria" w:eastAsia="MS Gothic" w:hAnsi="Cambria" w:cs="Cambria"/>
          <w:color w:val="000000"/>
          <w:kern w:val="2"/>
          <w:sz w:val="20"/>
          <w:szCs w:val="20"/>
          <w:lang w:eastAsia="ar-SA"/>
        </w:rPr>
      </w:pPr>
      <w:r w:rsidRPr="00F0379B">
        <w:rPr>
          <w:rFonts w:ascii="Cambria" w:eastAsia="MS Gothic" w:hAnsi="Cambria" w:cs="Cambria"/>
          <w:color w:val="000000"/>
          <w:kern w:val="2"/>
          <w:sz w:val="20"/>
          <w:szCs w:val="20"/>
          <w:lang w:eastAsia="ar-SA"/>
        </w:rPr>
        <w:t>Cabe precisar que los artes de pesca utilizados para la pesca del atún rojo en Marruecos tienen periodos de pesca específicos.</w:t>
      </w:r>
    </w:p>
    <w:p w14:paraId="47C8FCFC" w14:textId="77777777" w:rsidR="002962EE" w:rsidRPr="00F0379B" w:rsidRDefault="002962EE" w:rsidP="002962EE">
      <w:pPr>
        <w:widowControl w:val="0"/>
        <w:autoSpaceDE w:val="0"/>
        <w:spacing w:after="0" w:line="240" w:lineRule="auto"/>
        <w:jc w:val="both"/>
        <w:rPr>
          <w:rFonts w:ascii="Cambria" w:eastAsia="MS Gothic" w:hAnsi="Cambria" w:cs="Cambria"/>
          <w:color w:val="000000"/>
          <w:kern w:val="2"/>
          <w:sz w:val="20"/>
          <w:szCs w:val="20"/>
          <w:lang w:eastAsia="ar-SA"/>
        </w:rPr>
      </w:pPr>
    </w:p>
    <w:p w14:paraId="049E2006" w14:textId="77777777" w:rsidR="002962EE" w:rsidRPr="00F0379B" w:rsidRDefault="002962EE" w:rsidP="002962EE">
      <w:pPr>
        <w:widowControl w:val="0"/>
        <w:autoSpaceDE w:val="0"/>
        <w:spacing w:after="0" w:line="240" w:lineRule="auto"/>
        <w:jc w:val="both"/>
        <w:rPr>
          <w:rFonts w:ascii="Cambria" w:eastAsia="MS Gothic" w:hAnsi="Cambria" w:cs="Cambria"/>
          <w:color w:val="000000"/>
          <w:kern w:val="2"/>
          <w:sz w:val="20"/>
          <w:szCs w:val="20"/>
          <w:lang w:eastAsia="fr-FR" w:bidi="fr-FR"/>
        </w:rPr>
      </w:pPr>
      <w:r w:rsidRPr="00F0379B">
        <w:rPr>
          <w:rFonts w:ascii="Cambria" w:eastAsia="MS Gothic" w:hAnsi="Cambria" w:cs="Times New Roman"/>
          <w:color w:val="000000"/>
          <w:kern w:val="2"/>
          <w:sz w:val="20"/>
          <w:szCs w:val="20"/>
          <w:lang w:eastAsia="fr-FR" w:bidi="fr-FR"/>
        </w:rPr>
        <w:t>De las seis granjas de cría de atún rojo que se autorizarán, cuatro estarán operativas en 2026</w:t>
      </w:r>
      <w:r w:rsidRPr="00F0379B">
        <w:rPr>
          <w:rFonts w:ascii="Cambria" w:eastAsia="MS Gothic" w:hAnsi="Cambria" w:cs="Times New Roman"/>
          <w:kern w:val="2"/>
          <w:sz w:val="20"/>
          <w:szCs w:val="20"/>
          <w:lang w:eastAsia="fr-FR" w:bidi="fr-FR"/>
        </w:rPr>
        <w:t xml:space="preserve"> </w:t>
      </w:r>
      <w:r w:rsidRPr="00F0379B">
        <w:rPr>
          <w:rFonts w:ascii="Cambria" w:eastAsia="MS Gothic" w:hAnsi="Cambria" w:cs="Times New Roman"/>
          <w:color w:val="000000"/>
          <w:kern w:val="2"/>
          <w:sz w:val="20"/>
          <w:szCs w:val="20"/>
          <w:lang w:eastAsia="fr-FR" w:bidi="fr-FR"/>
        </w:rPr>
        <w:t>en las condiciones y modalidades específicas determinadas por la administración con arreglo a las disposiciones reglamentarias vigentes. Estas cuatro granjas están asociadas a las almadrabas y buques autorizados.</w:t>
      </w:r>
    </w:p>
    <w:p w14:paraId="413F3CCD" w14:textId="77777777" w:rsidR="002962EE" w:rsidRPr="00F0379B" w:rsidRDefault="002962EE" w:rsidP="002962EE">
      <w:pPr>
        <w:widowControl w:val="0"/>
        <w:autoSpaceDE w:val="0"/>
        <w:spacing w:after="0" w:line="240" w:lineRule="auto"/>
        <w:jc w:val="both"/>
        <w:rPr>
          <w:rFonts w:ascii="Cambria" w:eastAsia="MS Gothic" w:hAnsi="Cambria" w:cs="Cambria"/>
          <w:color w:val="000000"/>
          <w:kern w:val="2"/>
          <w:sz w:val="20"/>
          <w:szCs w:val="20"/>
          <w:lang w:eastAsia="ar-SA"/>
        </w:rPr>
      </w:pPr>
    </w:p>
    <w:p w14:paraId="320C6E46" w14:textId="77777777" w:rsidR="002962EE" w:rsidRPr="00F0379B" w:rsidRDefault="002962EE" w:rsidP="002962EE">
      <w:pPr>
        <w:widowControl w:val="0"/>
        <w:autoSpaceDE w:val="0"/>
        <w:spacing w:after="0" w:line="240" w:lineRule="auto"/>
        <w:jc w:val="both"/>
        <w:rPr>
          <w:rFonts w:ascii="Cambria" w:eastAsia="MS Gothic" w:hAnsi="Cambria" w:cs="Cambria"/>
          <w:color w:val="000000"/>
          <w:kern w:val="2"/>
          <w:sz w:val="20"/>
          <w:szCs w:val="20"/>
          <w:lang w:eastAsia="fr-FR" w:bidi="fr-FR"/>
        </w:rPr>
      </w:pPr>
      <w:r w:rsidRPr="00F0379B">
        <w:rPr>
          <w:rFonts w:ascii="Cambria" w:eastAsia="MS Gothic" w:hAnsi="Cambria" w:cs="Times New Roman"/>
          <w:color w:val="000000"/>
          <w:kern w:val="2"/>
          <w:sz w:val="20"/>
          <w:szCs w:val="20"/>
          <w:lang w:eastAsia="fr-FR" w:bidi="fr-FR"/>
        </w:rPr>
        <w:t>Las condiciones para la pesca se establecerán en el marco de un plan de ordenación anual de la pesquería de atún rojo actualizado para tener en cuenta las nuevas disposiciones del plan de ordenación del atún rojo del este adoptado por la Comisión Internacional para la Conservación del Atún Atlántico.</w:t>
      </w:r>
    </w:p>
    <w:p w14:paraId="21EF3931" w14:textId="77777777" w:rsidR="002962EE" w:rsidRPr="00F0379B" w:rsidRDefault="002962EE" w:rsidP="002962EE">
      <w:pPr>
        <w:widowControl w:val="0"/>
        <w:autoSpaceDE w:val="0"/>
        <w:spacing w:after="0" w:line="240" w:lineRule="auto"/>
        <w:jc w:val="both"/>
        <w:rPr>
          <w:rFonts w:ascii="Cambria" w:eastAsia="MS Gothic" w:hAnsi="Cambria" w:cs="Cambria"/>
          <w:color w:val="000000"/>
          <w:kern w:val="2"/>
          <w:sz w:val="20"/>
          <w:szCs w:val="20"/>
          <w:lang w:eastAsia="ar-SA"/>
        </w:rPr>
      </w:pPr>
    </w:p>
    <w:p w14:paraId="7171C465" w14:textId="77777777" w:rsidR="002962EE" w:rsidRPr="00F0379B" w:rsidRDefault="002962EE" w:rsidP="002962EE">
      <w:pPr>
        <w:widowControl w:val="0"/>
        <w:autoSpaceDE w:val="0"/>
        <w:spacing w:after="0" w:line="240" w:lineRule="auto"/>
        <w:jc w:val="both"/>
        <w:rPr>
          <w:rFonts w:ascii="Cambria" w:eastAsia="MS Gothic" w:hAnsi="Cambria" w:cs="Times New Roman"/>
          <w:b/>
          <w:bCs/>
          <w:i/>
          <w:iCs/>
          <w:color w:val="000000"/>
          <w:kern w:val="2"/>
          <w:sz w:val="20"/>
          <w:szCs w:val="20"/>
          <w:lang w:eastAsia="fr-FR" w:bidi="fr-FR"/>
        </w:rPr>
      </w:pPr>
      <w:r w:rsidRPr="00F0379B">
        <w:rPr>
          <w:rFonts w:ascii="Cambria" w:eastAsia="MS Gothic" w:hAnsi="Cambria" w:cs="Times New Roman"/>
          <w:b/>
          <w:bCs/>
          <w:i/>
          <w:iCs/>
          <w:color w:val="000000"/>
          <w:kern w:val="2"/>
          <w:sz w:val="20"/>
          <w:szCs w:val="20"/>
          <w:lang w:eastAsia="fr-FR" w:bidi="fr-FR"/>
        </w:rPr>
        <w:t>1 b) Traspaso (párrafo 6)</w:t>
      </w:r>
    </w:p>
    <w:p w14:paraId="34884E5A" w14:textId="77777777" w:rsidR="002962EE" w:rsidRPr="00F0379B" w:rsidRDefault="002962EE" w:rsidP="002962EE">
      <w:pPr>
        <w:widowControl w:val="0"/>
        <w:autoSpaceDE w:val="0"/>
        <w:spacing w:after="0" w:line="240" w:lineRule="auto"/>
        <w:jc w:val="both"/>
        <w:rPr>
          <w:rFonts w:ascii="Cambria" w:eastAsia="MS Gothic" w:hAnsi="Cambria" w:cs="Times New Roman"/>
          <w:color w:val="000000"/>
          <w:kern w:val="2"/>
          <w:sz w:val="20"/>
          <w:szCs w:val="20"/>
          <w:lang w:eastAsia="fr-FR" w:bidi="fr-FR"/>
        </w:rPr>
      </w:pPr>
    </w:p>
    <w:p w14:paraId="6C32AFAE" w14:textId="77777777" w:rsidR="002962EE" w:rsidRPr="00F0379B" w:rsidRDefault="002962EE" w:rsidP="002962EE">
      <w:pPr>
        <w:widowControl w:val="0"/>
        <w:autoSpaceDE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 xml:space="preserve">De conformidad con el párrafo 6 de la Rec. 25-04, Marruecos solicita una transferencia de un volumen de 143,62 t (3,88 % de la cuota inicial (3.700 t)) de su cuota no consumida en 2025 a 2026. Por tanto, la cuota nacional total ajustada </w:t>
      </w:r>
      <w:r w:rsidRPr="00F0379B">
        <w:rPr>
          <w:rFonts w:ascii="Cambria" w:eastAsia="MS Gothic" w:hAnsi="Cambria" w:cs="Times New Roman"/>
          <w:color w:val="000000"/>
          <w:kern w:val="2"/>
          <w:sz w:val="20"/>
          <w:szCs w:val="20"/>
          <w:lang w:eastAsia="fr-FR" w:bidi="fr-FR"/>
        </w:rPr>
        <w:t>(incluida la transferencia y el traspaso)</w:t>
      </w:r>
      <w:r w:rsidRPr="00F0379B">
        <w:rPr>
          <w:rFonts w:ascii="Cambria" w:eastAsia="MS Gothic" w:hAnsi="Cambria" w:cs="Times New Roman"/>
          <w:kern w:val="2"/>
          <w:sz w:val="20"/>
          <w:szCs w:val="20"/>
          <w:lang w:eastAsia="fr-FR" w:bidi="fr-FR"/>
        </w:rPr>
        <w:t xml:space="preserve"> será de 4.633,09 t.</w:t>
      </w:r>
    </w:p>
    <w:p w14:paraId="6F8A9002" w14:textId="77777777" w:rsidR="002962EE" w:rsidRPr="00F0379B" w:rsidRDefault="002962EE" w:rsidP="002962EE">
      <w:pPr>
        <w:widowControl w:val="0"/>
        <w:autoSpaceDE w:val="0"/>
        <w:spacing w:after="0" w:line="240" w:lineRule="auto"/>
        <w:jc w:val="both"/>
        <w:rPr>
          <w:rFonts w:ascii="Cambria" w:eastAsia="MS Gothic" w:hAnsi="Cambria" w:cs="Times New Roman"/>
          <w:color w:val="000000"/>
          <w:kern w:val="2"/>
          <w:sz w:val="20"/>
          <w:szCs w:val="20"/>
          <w:lang w:eastAsia="fr-FR" w:bidi="fr-FR"/>
        </w:rPr>
      </w:pPr>
    </w:p>
    <w:p w14:paraId="31C388D9" w14:textId="77777777" w:rsidR="002962EE" w:rsidRPr="00F0379B" w:rsidRDefault="002962EE" w:rsidP="002962EE">
      <w:pPr>
        <w:widowControl w:val="0"/>
        <w:autoSpaceDE w:val="0"/>
        <w:spacing w:after="0" w:line="240" w:lineRule="auto"/>
        <w:jc w:val="both"/>
        <w:rPr>
          <w:rFonts w:ascii="Cambria" w:eastAsia="MS Gothic" w:hAnsi="Cambria" w:cs="Times New Roman"/>
          <w:b/>
          <w:bCs/>
          <w:i/>
          <w:iCs/>
          <w:color w:val="000000"/>
          <w:kern w:val="2"/>
          <w:sz w:val="20"/>
          <w:szCs w:val="20"/>
          <w:lang w:eastAsia="fr-FR" w:bidi="fr-FR"/>
        </w:rPr>
      </w:pPr>
      <w:r w:rsidRPr="00F0379B">
        <w:rPr>
          <w:rFonts w:ascii="Cambria" w:eastAsia="MS Gothic" w:hAnsi="Cambria" w:cs="Times New Roman"/>
          <w:b/>
          <w:bCs/>
          <w:i/>
          <w:iCs/>
          <w:color w:val="000000"/>
          <w:kern w:val="2"/>
          <w:sz w:val="20"/>
          <w:szCs w:val="20"/>
          <w:lang w:eastAsia="fr-FR" w:bidi="fr-FR"/>
        </w:rPr>
        <w:t>1c) Destino de las capturas</w:t>
      </w:r>
    </w:p>
    <w:p w14:paraId="3565CADE" w14:textId="77777777" w:rsidR="002962EE" w:rsidRPr="00F0379B" w:rsidRDefault="002962EE" w:rsidP="002962EE">
      <w:pPr>
        <w:widowControl w:val="0"/>
        <w:autoSpaceDE w:val="0"/>
        <w:spacing w:after="0" w:line="240" w:lineRule="auto"/>
        <w:jc w:val="both"/>
        <w:rPr>
          <w:rFonts w:ascii="Cambria" w:eastAsia="MS Gothic" w:hAnsi="Cambria" w:cs="Times New Roman"/>
          <w:b/>
          <w:bCs/>
          <w:i/>
          <w:iCs/>
          <w:color w:val="000000"/>
          <w:kern w:val="2"/>
          <w:sz w:val="20"/>
          <w:szCs w:val="20"/>
          <w:lang w:eastAsia="fr-FR" w:bidi="fr-FR"/>
        </w:rPr>
      </w:pPr>
    </w:p>
    <w:p w14:paraId="1D247EEB" w14:textId="77777777" w:rsidR="002962EE" w:rsidRPr="00F0379B" w:rsidRDefault="002962EE" w:rsidP="002962EE">
      <w:pPr>
        <w:widowControl w:val="0"/>
        <w:autoSpaceDE w:val="0"/>
        <w:spacing w:after="0" w:line="240" w:lineRule="auto"/>
        <w:jc w:val="both"/>
        <w:rPr>
          <w:rFonts w:ascii="Cambria" w:eastAsia="MS Gothic" w:hAnsi="Cambria" w:cs="Times New Roman"/>
          <w:color w:val="000000"/>
          <w:kern w:val="2"/>
          <w:sz w:val="20"/>
          <w:szCs w:val="20"/>
          <w:lang w:eastAsia="fr-FR" w:bidi="fr-FR"/>
        </w:rPr>
      </w:pPr>
      <w:r w:rsidRPr="00F0379B">
        <w:rPr>
          <w:rFonts w:ascii="Cambria" w:eastAsia="MS Gothic" w:hAnsi="Cambria" w:cs="Times New Roman"/>
          <w:color w:val="000000"/>
          <w:kern w:val="2"/>
          <w:sz w:val="20"/>
          <w:szCs w:val="20"/>
          <w:lang w:eastAsia="fr-FR" w:bidi="fr-FR"/>
        </w:rPr>
        <w:t xml:space="preserve">Las capturas de almadrabas se destinarán la cría en granjas de engorde de atún rojo marroquíes autorizadas (55,76 %) y a la exportación (6,92 %). Las capturas procedentes de atuneros cerqueros se destinarán a las granjas de engorde autorizadas por ICCAT (24,30 %). Las capturas procedentes de pequeños buques costeros y embarcaciones artesanales se destinarán a la exportación </w:t>
      </w:r>
      <w:r w:rsidRPr="00F0379B">
        <w:rPr>
          <w:rFonts w:ascii="Cambria" w:eastAsia="Times New Roman" w:hAnsi="Cambria" w:cs="Cambria"/>
          <w:kern w:val="2"/>
          <w:sz w:val="20"/>
          <w:szCs w:val="20"/>
          <w:lang w:eastAsia="ar-SA"/>
        </w:rPr>
        <w:t>(13,02 %).</w:t>
      </w:r>
      <w:r w:rsidRPr="00F0379B">
        <w:rPr>
          <w:rFonts w:ascii="Cambria" w:eastAsia="MS Gothic" w:hAnsi="Cambria" w:cs="Times New Roman"/>
          <w:color w:val="000000"/>
          <w:kern w:val="2"/>
          <w:sz w:val="20"/>
          <w:szCs w:val="20"/>
          <w:lang w:eastAsia="fr-FR" w:bidi="fr-FR"/>
        </w:rPr>
        <w:t xml:space="preserve">  </w:t>
      </w:r>
    </w:p>
    <w:p w14:paraId="1C25AFCD" w14:textId="77777777" w:rsidR="002962EE" w:rsidRPr="00F0379B" w:rsidRDefault="002962EE" w:rsidP="002962EE">
      <w:pPr>
        <w:widowControl w:val="0"/>
        <w:autoSpaceDE w:val="0"/>
        <w:spacing w:after="0" w:line="240" w:lineRule="auto"/>
        <w:jc w:val="both"/>
        <w:rPr>
          <w:rFonts w:ascii="Cambria" w:eastAsia="MS Gothic" w:hAnsi="Cambria" w:cs="Times New Roman"/>
          <w:i/>
          <w:iCs/>
          <w:color w:val="000000"/>
          <w:kern w:val="2"/>
          <w:sz w:val="20"/>
          <w:szCs w:val="20"/>
          <w:lang w:eastAsia="fr-FR" w:bidi="fr-FR"/>
        </w:rPr>
      </w:pPr>
    </w:p>
    <w:p w14:paraId="6CD60850" w14:textId="77777777" w:rsidR="002962EE" w:rsidRPr="00F0379B" w:rsidRDefault="002962EE" w:rsidP="002962EE">
      <w:pPr>
        <w:widowControl w:val="0"/>
        <w:autoSpaceDE w:val="0"/>
        <w:spacing w:after="0" w:line="240" w:lineRule="auto"/>
        <w:jc w:val="both"/>
        <w:rPr>
          <w:rFonts w:ascii="Cambria" w:eastAsia="MS Gothic" w:hAnsi="Cambria" w:cs="Times New Roman"/>
          <w:b/>
          <w:bCs/>
          <w:i/>
          <w:iCs/>
          <w:color w:val="000000"/>
          <w:kern w:val="2"/>
          <w:sz w:val="20"/>
          <w:szCs w:val="20"/>
          <w:lang w:eastAsia="fr-FR" w:bidi="fr-FR"/>
        </w:rPr>
      </w:pPr>
      <w:r w:rsidRPr="00F0379B">
        <w:rPr>
          <w:rFonts w:ascii="Cambria" w:eastAsia="MS Gothic" w:hAnsi="Cambria" w:cs="Times New Roman"/>
          <w:b/>
          <w:bCs/>
          <w:i/>
          <w:iCs/>
          <w:color w:val="000000"/>
          <w:kern w:val="2"/>
          <w:sz w:val="20"/>
          <w:szCs w:val="20"/>
          <w:lang w:eastAsia="fr-FR" w:bidi="fr-FR"/>
        </w:rPr>
        <w:t xml:space="preserve">1 d) </w:t>
      </w:r>
    </w:p>
    <w:p w14:paraId="6A09D1C8" w14:textId="77777777" w:rsidR="002962EE" w:rsidRPr="00F0379B" w:rsidRDefault="002962EE" w:rsidP="002962EE">
      <w:pPr>
        <w:widowControl w:val="0"/>
        <w:spacing w:after="0" w:line="240" w:lineRule="auto"/>
        <w:jc w:val="both"/>
        <w:rPr>
          <w:rFonts w:ascii="Cambria" w:eastAsia="MS Gothic" w:hAnsi="Cambria" w:cs="Cambria"/>
          <w:color w:val="000000"/>
          <w:kern w:val="2"/>
          <w:sz w:val="20"/>
          <w:szCs w:val="20"/>
          <w:lang w:eastAsia="ar-SA"/>
        </w:rPr>
      </w:pPr>
    </w:p>
    <w:p w14:paraId="15C1D514" w14:textId="77777777" w:rsidR="002962EE" w:rsidRPr="00F0379B" w:rsidRDefault="002962EE" w:rsidP="002962EE">
      <w:pPr>
        <w:widowControl w:val="0"/>
        <w:spacing w:after="0" w:line="240" w:lineRule="auto"/>
        <w:jc w:val="both"/>
        <w:rPr>
          <w:rFonts w:ascii="Cambria" w:eastAsia="MS Gothic" w:hAnsi="Cambria" w:cs="Times New Roman"/>
          <w:color w:val="000000"/>
          <w:kern w:val="2"/>
          <w:sz w:val="2"/>
          <w:szCs w:val="2"/>
          <w:lang w:eastAsia="fr-FR" w:bidi="fr-FR"/>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
        <w:gridCol w:w="2678"/>
        <w:gridCol w:w="2956"/>
        <w:gridCol w:w="2413"/>
        <w:gridCol w:w="964"/>
      </w:tblGrid>
      <w:tr w:rsidR="002962EE" w:rsidRPr="00F0379B" w14:paraId="7320E111" w14:textId="77777777" w:rsidTr="00084782">
        <w:trPr>
          <w:tblHeader/>
        </w:trPr>
        <w:tc>
          <w:tcPr>
            <w:tcW w:w="453" w:type="dxa"/>
          </w:tcPr>
          <w:p w14:paraId="48181790"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color w:val="000000"/>
                <w:kern w:val="2"/>
                <w:sz w:val="24"/>
                <w:szCs w:val="24"/>
                <w:lang w:eastAsia="fr-FR" w:bidi="fr-FR"/>
              </w:rPr>
              <w:br w:type="page"/>
            </w:r>
            <w:r w:rsidRPr="00F0379B">
              <w:rPr>
                <w:rFonts w:ascii="Cambria" w:eastAsia="MS Gothic" w:hAnsi="Cambria" w:cs="Times New Roman"/>
                <w:color w:val="000000"/>
                <w:kern w:val="2"/>
                <w:sz w:val="24"/>
                <w:szCs w:val="24"/>
                <w:lang w:eastAsia="fr-FR" w:bidi="fr-FR"/>
              </w:rPr>
              <w:br w:type="page"/>
            </w:r>
          </w:p>
        </w:tc>
        <w:tc>
          <w:tcPr>
            <w:tcW w:w="2678" w:type="dxa"/>
          </w:tcPr>
          <w:p w14:paraId="5F4CCB19" w14:textId="77777777" w:rsidR="002962EE" w:rsidRPr="00F0379B" w:rsidRDefault="002962EE" w:rsidP="00084782">
            <w:pPr>
              <w:widowControl w:val="0"/>
              <w:spacing w:after="0" w:line="240" w:lineRule="auto"/>
              <w:jc w:val="center"/>
              <w:rPr>
                <w:rFonts w:ascii="Cambria" w:eastAsia="MS Gothic" w:hAnsi="Cambria" w:cs="Times New Roman"/>
                <w:i/>
                <w:kern w:val="2"/>
                <w:sz w:val="20"/>
                <w:szCs w:val="20"/>
                <w:lang w:eastAsia="fr-FR" w:bidi="fr-FR"/>
              </w:rPr>
            </w:pPr>
            <w:r w:rsidRPr="00F0379B">
              <w:rPr>
                <w:rFonts w:ascii="Cambria" w:eastAsia="MS Gothic" w:hAnsi="Cambria" w:cs="Times New Roman"/>
                <w:i/>
                <w:kern w:val="2"/>
                <w:sz w:val="20"/>
                <w:szCs w:val="20"/>
                <w:lang w:eastAsia="fr-FR" w:bidi="fr-FR"/>
              </w:rPr>
              <w:t xml:space="preserve">Requisito ICCAT </w:t>
            </w:r>
          </w:p>
          <w:p w14:paraId="20186B7B" w14:textId="77777777" w:rsidR="002962EE" w:rsidRPr="00F0379B" w:rsidRDefault="002962EE" w:rsidP="00084782">
            <w:pPr>
              <w:widowControl w:val="0"/>
              <w:spacing w:after="0" w:line="240" w:lineRule="auto"/>
              <w:jc w:val="center"/>
              <w:rPr>
                <w:rFonts w:ascii="Cambria" w:eastAsia="MS Gothic" w:hAnsi="Cambria" w:cs="Times New Roman"/>
                <w:i/>
                <w:kern w:val="2"/>
                <w:sz w:val="20"/>
                <w:szCs w:val="20"/>
                <w:lang w:eastAsia="fr-FR" w:bidi="fr-FR"/>
              </w:rPr>
            </w:pPr>
            <w:r w:rsidRPr="00F0379B">
              <w:rPr>
                <w:rFonts w:ascii="Cambria" w:eastAsia="MS Gothic" w:hAnsi="Cambria" w:cs="Times New Roman"/>
                <w:i/>
                <w:kern w:val="2"/>
                <w:sz w:val="20"/>
                <w:szCs w:val="20"/>
                <w:lang w:eastAsia="fr-FR" w:bidi="fr-FR"/>
              </w:rPr>
              <w:t xml:space="preserve">(según </w:t>
            </w:r>
            <w:hyperlink r:id="rId173" w:history="1">
              <w:r w:rsidRPr="00F0379B">
                <w:rPr>
                  <w:rFonts w:ascii="Cambria" w:eastAsia="MS Gothic" w:hAnsi="Cambria" w:cs="Times New Roman"/>
                  <w:i/>
                  <w:color w:val="0000FF"/>
                  <w:kern w:val="2"/>
                  <w:sz w:val="20"/>
                  <w:szCs w:val="20"/>
                  <w:lang w:eastAsia="fr-FR" w:bidi="fr-FR"/>
                </w:rPr>
                <w:t>Rec. 25-04</w:t>
              </w:r>
            </w:hyperlink>
            <w:r w:rsidRPr="00F0379B">
              <w:rPr>
                <w:rFonts w:ascii="Cambria" w:eastAsia="MS Gothic" w:hAnsi="Cambria" w:cs="Times New Roman"/>
                <w:kern w:val="2"/>
                <w:sz w:val="20"/>
                <w:szCs w:val="20"/>
                <w:lang w:eastAsia="fr-FR" w:bidi="fr-FR"/>
              </w:rPr>
              <w:t>)</w:t>
            </w:r>
          </w:p>
        </w:tc>
        <w:tc>
          <w:tcPr>
            <w:tcW w:w="2956" w:type="dxa"/>
          </w:tcPr>
          <w:p w14:paraId="63E008A6" w14:textId="77777777" w:rsidR="002962EE" w:rsidRPr="00F0379B" w:rsidRDefault="002962EE" w:rsidP="00084782">
            <w:pPr>
              <w:widowControl w:val="0"/>
              <w:spacing w:after="0" w:line="240" w:lineRule="auto"/>
              <w:jc w:val="center"/>
              <w:rPr>
                <w:rFonts w:ascii="Cambria" w:eastAsia="MS Gothic" w:hAnsi="Cambria" w:cs="Times New Roman"/>
                <w:i/>
                <w:kern w:val="2"/>
                <w:sz w:val="20"/>
                <w:szCs w:val="20"/>
                <w:lang w:eastAsia="fr-FR" w:bidi="fr-FR"/>
              </w:rPr>
            </w:pPr>
            <w:r w:rsidRPr="00F0379B">
              <w:rPr>
                <w:rFonts w:ascii="Cambria" w:eastAsia="MS Gothic" w:hAnsi="Cambria" w:cs="Times New Roman"/>
                <w:i/>
                <w:kern w:val="2"/>
                <w:sz w:val="20"/>
                <w:szCs w:val="20"/>
                <w:lang w:eastAsia="fr-FR" w:bidi="fr-FR"/>
              </w:rPr>
              <w:t>Explicación de las acciones emprendidas por la CPC con fines de implementación</w:t>
            </w:r>
          </w:p>
        </w:tc>
        <w:tc>
          <w:tcPr>
            <w:tcW w:w="2413" w:type="dxa"/>
          </w:tcPr>
          <w:p w14:paraId="24B8C6A3" w14:textId="77777777" w:rsidR="002962EE" w:rsidRPr="00F0379B" w:rsidRDefault="002962EE" w:rsidP="00084782">
            <w:pPr>
              <w:widowControl w:val="0"/>
              <w:spacing w:after="0" w:line="240" w:lineRule="auto"/>
              <w:jc w:val="center"/>
              <w:rPr>
                <w:rFonts w:ascii="Cambria" w:eastAsia="MS Gothic" w:hAnsi="Cambria" w:cs="Times New Roman"/>
                <w:i/>
                <w:kern w:val="2"/>
                <w:sz w:val="20"/>
                <w:szCs w:val="20"/>
                <w:lang w:eastAsia="fr-FR" w:bidi="fr-FR"/>
              </w:rPr>
            </w:pPr>
            <w:r w:rsidRPr="00F0379B">
              <w:rPr>
                <w:rFonts w:ascii="Cambria" w:eastAsia="MS Gothic" w:hAnsi="Cambria" w:cs="Times New Roman"/>
                <w:i/>
                <w:kern w:val="2"/>
                <w:sz w:val="20"/>
                <w:szCs w:val="20"/>
                <w:lang w:eastAsia="fr-FR" w:bidi="fr-FR"/>
              </w:rPr>
              <w:t xml:space="preserve">Leyes o reglamentos internos pertinentes </w:t>
            </w:r>
          </w:p>
          <w:p w14:paraId="5FA91821" w14:textId="77777777" w:rsidR="002962EE" w:rsidRPr="00F0379B" w:rsidRDefault="002962EE" w:rsidP="00084782">
            <w:pPr>
              <w:widowControl w:val="0"/>
              <w:spacing w:after="0" w:line="240" w:lineRule="auto"/>
              <w:jc w:val="center"/>
              <w:rPr>
                <w:rFonts w:ascii="Cambria" w:eastAsia="MS Gothic" w:hAnsi="Cambria" w:cs="Times New Roman"/>
                <w:i/>
                <w:kern w:val="2"/>
                <w:sz w:val="20"/>
                <w:szCs w:val="20"/>
                <w:lang w:eastAsia="fr-FR" w:bidi="fr-FR"/>
              </w:rPr>
            </w:pPr>
            <w:r w:rsidRPr="00F0379B">
              <w:rPr>
                <w:rFonts w:ascii="Cambria" w:eastAsia="MS Gothic" w:hAnsi="Cambria" w:cs="Times New Roman"/>
                <w:i/>
                <w:kern w:val="2"/>
                <w:sz w:val="20"/>
                <w:szCs w:val="20"/>
                <w:lang w:eastAsia="fr-FR" w:bidi="fr-FR"/>
              </w:rPr>
              <w:t>(si procede)</w:t>
            </w:r>
          </w:p>
        </w:tc>
        <w:tc>
          <w:tcPr>
            <w:tcW w:w="964" w:type="dxa"/>
          </w:tcPr>
          <w:p w14:paraId="750F9DAD" w14:textId="77777777" w:rsidR="002962EE" w:rsidRPr="00F0379B" w:rsidRDefault="002962EE" w:rsidP="00084782">
            <w:pPr>
              <w:widowControl w:val="0"/>
              <w:spacing w:after="0" w:line="240" w:lineRule="auto"/>
              <w:jc w:val="center"/>
              <w:rPr>
                <w:rFonts w:ascii="Cambria" w:eastAsia="MS Gothic" w:hAnsi="Cambria" w:cs="Times New Roman"/>
                <w:i/>
                <w:kern w:val="2"/>
                <w:sz w:val="20"/>
                <w:szCs w:val="20"/>
                <w:lang w:eastAsia="fr-FR" w:bidi="fr-FR"/>
              </w:rPr>
            </w:pPr>
            <w:r w:rsidRPr="00F0379B">
              <w:rPr>
                <w:rFonts w:ascii="Cambria" w:eastAsia="MS Gothic" w:hAnsi="Cambria" w:cs="Times New Roman"/>
                <w:i/>
                <w:kern w:val="2"/>
                <w:sz w:val="20"/>
                <w:szCs w:val="20"/>
                <w:lang w:eastAsia="fr-FR" w:bidi="fr-FR"/>
              </w:rPr>
              <w:t>Nota</w:t>
            </w:r>
          </w:p>
        </w:tc>
      </w:tr>
      <w:tr w:rsidR="002962EE" w:rsidRPr="00F0379B" w14:paraId="48F27C34" w14:textId="77777777" w:rsidTr="00084782">
        <w:tc>
          <w:tcPr>
            <w:tcW w:w="453" w:type="dxa"/>
          </w:tcPr>
          <w:p w14:paraId="4F6746AE"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1</w:t>
            </w:r>
          </w:p>
        </w:tc>
        <w:tc>
          <w:tcPr>
            <w:tcW w:w="2678" w:type="dxa"/>
          </w:tcPr>
          <w:p w14:paraId="480F64A4"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Consignación y comunicación de la captura (párrs. 74-88)</w:t>
            </w:r>
          </w:p>
        </w:tc>
        <w:tc>
          <w:tcPr>
            <w:tcW w:w="2956" w:type="dxa"/>
          </w:tcPr>
          <w:p w14:paraId="1194C2D8" w14:textId="77777777" w:rsidR="002962EE" w:rsidRPr="00F0379B" w:rsidRDefault="002962EE" w:rsidP="00084782">
            <w:pPr>
              <w:widowControl w:val="0"/>
              <w:autoSpaceDE w:val="0"/>
              <w:spacing w:after="0" w:line="240" w:lineRule="auto"/>
              <w:jc w:val="both"/>
              <w:rPr>
                <w:rFonts w:ascii="Cambria" w:eastAsia="MS Gothic" w:hAnsi="Cambria" w:cs="Times New Roman"/>
                <w:color w:val="000000"/>
                <w:kern w:val="2"/>
                <w:sz w:val="20"/>
                <w:szCs w:val="20"/>
                <w:lang w:eastAsia="fr-FR" w:bidi="fr-FR"/>
              </w:rPr>
            </w:pPr>
            <w:r w:rsidRPr="00F0379B">
              <w:rPr>
                <w:rFonts w:ascii="Cambria" w:eastAsia="MS Gothic" w:hAnsi="Cambria" w:cs="Times New Roman"/>
                <w:color w:val="000000"/>
                <w:kern w:val="2"/>
                <w:sz w:val="20"/>
                <w:szCs w:val="20"/>
                <w:lang w:eastAsia="fr-FR" w:bidi="fr-FR"/>
              </w:rPr>
              <w:t>- Los atuneros (cerqueros y palangrero) cuentan con un cuaderno de pesca encuadernado.</w:t>
            </w:r>
          </w:p>
          <w:p w14:paraId="13039517" w14:textId="77777777" w:rsidR="002962EE" w:rsidRPr="00F0379B" w:rsidRDefault="002962EE" w:rsidP="00084782">
            <w:pPr>
              <w:widowControl w:val="0"/>
              <w:autoSpaceDE w:val="0"/>
              <w:spacing w:after="0" w:line="240" w:lineRule="auto"/>
              <w:jc w:val="both"/>
              <w:rPr>
                <w:rFonts w:ascii="Cambria" w:eastAsia="MS Gothic" w:hAnsi="Cambria" w:cs="Cambria"/>
                <w:color w:val="000000"/>
                <w:kern w:val="2"/>
                <w:sz w:val="20"/>
                <w:szCs w:val="20"/>
                <w:lang w:eastAsia="fr-FR" w:bidi="fr-FR"/>
              </w:rPr>
            </w:pPr>
          </w:p>
          <w:p w14:paraId="0B7B44D0" w14:textId="77777777" w:rsidR="002962EE" w:rsidRPr="00F0379B" w:rsidRDefault="002962EE" w:rsidP="00084782">
            <w:pPr>
              <w:widowControl w:val="0"/>
              <w:autoSpaceDE w:val="0"/>
              <w:spacing w:after="0" w:line="240" w:lineRule="auto"/>
              <w:jc w:val="both"/>
              <w:rPr>
                <w:rFonts w:ascii="Cambria" w:eastAsia="MS Gothic" w:hAnsi="Cambria" w:cs="Cambria"/>
                <w:color w:val="000000"/>
                <w:kern w:val="2"/>
                <w:sz w:val="20"/>
                <w:szCs w:val="20"/>
                <w:lang w:eastAsia="fr-FR" w:bidi="fr-FR"/>
              </w:rPr>
            </w:pPr>
            <w:r w:rsidRPr="00F0379B">
              <w:rPr>
                <w:rFonts w:ascii="Cambria" w:eastAsia="MS Gothic" w:hAnsi="Cambria" w:cs="Times New Roman"/>
                <w:color w:val="000000"/>
                <w:kern w:val="2"/>
                <w:sz w:val="20"/>
                <w:szCs w:val="20"/>
                <w:lang w:eastAsia="fr-FR" w:bidi="fr-FR"/>
              </w:rPr>
              <w:t xml:space="preserve">Las capturas de los pequeños barcos costeros y los barcos artesanales que disponen de una licencia de pesca son consignadas en el cuaderno de pesca y en el sistema eBCD. </w:t>
            </w:r>
          </w:p>
          <w:p w14:paraId="130B8E8C" w14:textId="77777777" w:rsidR="002962EE" w:rsidRPr="00F0379B" w:rsidRDefault="002962EE" w:rsidP="00084782">
            <w:pPr>
              <w:widowControl w:val="0"/>
              <w:autoSpaceDE w:val="0"/>
              <w:spacing w:after="0" w:line="240" w:lineRule="auto"/>
              <w:jc w:val="both"/>
              <w:rPr>
                <w:rFonts w:ascii="Cambria" w:eastAsia="MS Gothic" w:hAnsi="Cambria" w:cs="Times New Roman"/>
                <w:color w:val="000000"/>
                <w:kern w:val="2"/>
                <w:sz w:val="20"/>
                <w:szCs w:val="20"/>
                <w:lang w:eastAsia="fr-FR" w:bidi="fr-FR"/>
              </w:rPr>
            </w:pPr>
          </w:p>
          <w:p w14:paraId="3D684011" w14:textId="77777777" w:rsidR="002962EE" w:rsidRPr="00F0379B" w:rsidRDefault="002962EE" w:rsidP="00084782">
            <w:pPr>
              <w:widowControl w:val="0"/>
              <w:autoSpaceDE w:val="0"/>
              <w:spacing w:after="0" w:line="240" w:lineRule="auto"/>
              <w:jc w:val="both"/>
              <w:rPr>
                <w:rFonts w:ascii="Cambria" w:eastAsia="MS Gothic" w:hAnsi="Cambria" w:cs="Times New Roman"/>
                <w:color w:val="000000"/>
                <w:kern w:val="2"/>
                <w:sz w:val="20"/>
                <w:szCs w:val="20"/>
                <w:lang w:eastAsia="fr-FR" w:bidi="fr-FR"/>
              </w:rPr>
            </w:pPr>
            <w:r w:rsidRPr="00F0379B">
              <w:rPr>
                <w:rFonts w:ascii="Cambria" w:eastAsia="MS Gothic" w:hAnsi="Cambria" w:cs="Times New Roman"/>
                <w:color w:val="000000"/>
                <w:kern w:val="2"/>
                <w:sz w:val="20"/>
                <w:szCs w:val="20"/>
                <w:lang w:eastAsia="fr-FR" w:bidi="fr-FR"/>
              </w:rPr>
              <w:t>- Las capturas de las almadrabas son consignadas en el cuaderno de pesca y en el sistema eBCD.</w:t>
            </w:r>
          </w:p>
          <w:p w14:paraId="636E9049" w14:textId="77777777" w:rsidR="002962EE" w:rsidRPr="00F0379B" w:rsidRDefault="002962EE" w:rsidP="00084782">
            <w:pPr>
              <w:widowControl w:val="0"/>
              <w:spacing w:after="0" w:line="240" w:lineRule="auto"/>
              <w:jc w:val="both"/>
              <w:rPr>
                <w:rFonts w:ascii="Cambria" w:eastAsia="MS Gothic" w:hAnsi="Cambria" w:cs="Cambria"/>
                <w:color w:val="000000"/>
                <w:kern w:val="2"/>
                <w:sz w:val="20"/>
                <w:szCs w:val="20"/>
                <w:lang w:eastAsia="fr-FR" w:bidi="fr-FR"/>
              </w:rPr>
            </w:pPr>
            <w:r w:rsidRPr="00F0379B">
              <w:rPr>
                <w:rFonts w:ascii="Cambria" w:eastAsia="MS Gothic" w:hAnsi="Cambria" w:cs="Times New Roman"/>
                <w:kern w:val="2"/>
                <w:sz w:val="20"/>
                <w:szCs w:val="20"/>
                <w:lang w:eastAsia="fr-FR" w:bidi="fr-FR"/>
              </w:rPr>
              <w:t>- Los peces muertos (retenidos o descartados) se descontarán de la cuota.</w:t>
            </w:r>
          </w:p>
          <w:p w14:paraId="23A21EA2" w14:textId="77777777" w:rsidR="002962EE" w:rsidRPr="00F0379B" w:rsidRDefault="002962EE" w:rsidP="00084782">
            <w:pPr>
              <w:widowControl w:val="0"/>
              <w:tabs>
                <w:tab w:val="left" w:pos="176"/>
              </w:tabs>
              <w:autoSpaceDE w:val="0"/>
              <w:spacing w:after="0" w:line="240" w:lineRule="auto"/>
              <w:jc w:val="both"/>
              <w:rPr>
                <w:rFonts w:ascii="Cambria" w:eastAsia="MS Gothic" w:hAnsi="Cambria" w:cs="Cambria"/>
                <w:color w:val="000000"/>
                <w:kern w:val="2"/>
                <w:sz w:val="20"/>
                <w:szCs w:val="20"/>
                <w:lang w:eastAsia="fr-FR" w:bidi="fr-FR"/>
              </w:rPr>
            </w:pPr>
            <w:r w:rsidRPr="00F0379B">
              <w:rPr>
                <w:rFonts w:ascii="Cambria" w:eastAsia="MS Gothic" w:hAnsi="Cambria" w:cs="Times New Roman"/>
                <w:color w:val="000000"/>
                <w:kern w:val="2"/>
                <w:sz w:val="20"/>
                <w:szCs w:val="20"/>
                <w:lang w:eastAsia="fr-FR" w:bidi="fr-FR"/>
              </w:rPr>
              <w:t>- Utilización del programa electrónico de documentación de capturas de atún rojo /eBCD.</w:t>
            </w:r>
          </w:p>
          <w:p w14:paraId="1D7DE5B9" w14:textId="77777777" w:rsidR="002962EE" w:rsidRPr="00F0379B" w:rsidRDefault="002962EE" w:rsidP="00084782">
            <w:pPr>
              <w:widowControl w:val="0"/>
              <w:autoSpaceDE w:val="0"/>
              <w:spacing w:after="0" w:line="240" w:lineRule="auto"/>
              <w:jc w:val="both"/>
              <w:rPr>
                <w:rFonts w:ascii="Cambria" w:eastAsia="MS Gothic" w:hAnsi="Cambria" w:cs="Cambria"/>
                <w:color w:val="000000"/>
                <w:kern w:val="2"/>
                <w:sz w:val="20"/>
                <w:szCs w:val="20"/>
                <w:lang w:eastAsia="fr-FR" w:bidi="fr-FR"/>
              </w:rPr>
            </w:pPr>
            <w:r w:rsidRPr="00F0379B">
              <w:rPr>
                <w:rFonts w:ascii="Cambria" w:eastAsia="MS Gothic" w:hAnsi="Cambria" w:cs="Times New Roman"/>
                <w:color w:val="000000"/>
                <w:kern w:val="2"/>
                <w:sz w:val="20"/>
                <w:szCs w:val="20"/>
                <w:lang w:eastAsia="fr-FR" w:bidi="fr-FR"/>
              </w:rPr>
              <w:t>- Transmisión quincenal de las capturas de atún rojo.</w:t>
            </w:r>
          </w:p>
          <w:p w14:paraId="01E2BEE1"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 Declaración a la Secretaría de ICCAT de las fechas de cierre de la pesquería de atún rojo.</w:t>
            </w:r>
          </w:p>
        </w:tc>
        <w:tc>
          <w:tcPr>
            <w:tcW w:w="2413" w:type="dxa"/>
          </w:tcPr>
          <w:p w14:paraId="72C17AF4" w14:textId="77777777" w:rsidR="002962EE" w:rsidRPr="00F0379B" w:rsidRDefault="002962EE" w:rsidP="00084782">
            <w:pPr>
              <w:widowControl w:val="0"/>
              <w:suppressAutoHyphens/>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 xml:space="preserve">Decreto de la Secretaría de Estado adjunta al Ministerio de Agricultura, Pesca Marítima, Desarrollo Rural y Aguas y Bosques, encargada de la Pesca Marítima, n.º 2648-24, de 5 </w:t>
            </w:r>
            <w:proofErr w:type="spellStart"/>
            <w:r w:rsidRPr="00F0379B">
              <w:rPr>
                <w:rFonts w:ascii="Cambria" w:eastAsia="MS Gothic" w:hAnsi="Cambria" w:cs="Times New Roman"/>
                <w:sz w:val="20"/>
                <w:szCs w:val="24"/>
                <w:lang w:eastAsia="fr-FR" w:bidi="fr-FR"/>
              </w:rPr>
              <w:t>joumada</w:t>
            </w:r>
            <w:proofErr w:type="spellEnd"/>
            <w:r w:rsidRPr="00F0379B">
              <w:rPr>
                <w:rFonts w:ascii="Cambria" w:eastAsia="MS Gothic" w:hAnsi="Cambria" w:cs="Times New Roman"/>
                <w:sz w:val="20"/>
                <w:szCs w:val="24"/>
                <w:lang w:eastAsia="fr-FR" w:bidi="fr-FR"/>
              </w:rPr>
              <w:t xml:space="preserve"> I 1446 (8 de noviembre de 2024) relativo al plan de desarrollo y ordenación de la pesquería de atún rojo (</w:t>
            </w:r>
            <w:proofErr w:type="spellStart"/>
            <w:r w:rsidRPr="00F0379B">
              <w:rPr>
                <w:rFonts w:ascii="Cambria" w:eastAsia="MS Gothic" w:hAnsi="Cambria" w:cs="Times New Roman"/>
                <w:i/>
                <w:iCs/>
                <w:sz w:val="20"/>
                <w:szCs w:val="24"/>
                <w:lang w:eastAsia="fr-FR" w:bidi="fr-FR"/>
              </w:rPr>
              <w:t>Thunnus</w:t>
            </w:r>
            <w:proofErr w:type="spellEnd"/>
            <w:r w:rsidRPr="00F0379B">
              <w:rPr>
                <w:rFonts w:ascii="Cambria" w:eastAsia="MS Gothic" w:hAnsi="Cambria" w:cs="Times New Roman"/>
                <w:i/>
                <w:iCs/>
                <w:sz w:val="20"/>
                <w:szCs w:val="24"/>
                <w:lang w:eastAsia="fr-FR" w:bidi="fr-FR"/>
              </w:rPr>
              <w:t xml:space="preserve"> </w:t>
            </w:r>
            <w:proofErr w:type="spellStart"/>
            <w:r w:rsidRPr="00F0379B">
              <w:rPr>
                <w:rFonts w:ascii="Cambria" w:eastAsia="MS Gothic" w:hAnsi="Cambria" w:cs="Times New Roman"/>
                <w:i/>
                <w:iCs/>
                <w:sz w:val="20"/>
                <w:szCs w:val="24"/>
                <w:lang w:eastAsia="fr-FR" w:bidi="fr-FR"/>
              </w:rPr>
              <w:t>thynnus</w:t>
            </w:r>
            <w:proofErr w:type="spellEnd"/>
            <w:r w:rsidRPr="00F0379B">
              <w:rPr>
                <w:rFonts w:ascii="Cambria" w:eastAsia="MS Gothic" w:hAnsi="Cambria" w:cs="Times New Roman"/>
                <w:sz w:val="20"/>
                <w:szCs w:val="24"/>
                <w:lang w:eastAsia="fr-FR" w:bidi="fr-FR"/>
              </w:rPr>
              <w:t>) en aguas marítimas marroquíes.</w:t>
            </w:r>
          </w:p>
          <w:p w14:paraId="0396CBD9"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tc>
        <w:tc>
          <w:tcPr>
            <w:tcW w:w="964" w:type="dxa"/>
          </w:tcPr>
          <w:p w14:paraId="4B16E8EC"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tc>
      </w:tr>
      <w:tr w:rsidR="002962EE" w:rsidRPr="00F0379B" w14:paraId="677381DA" w14:textId="77777777" w:rsidTr="00084782">
        <w:tc>
          <w:tcPr>
            <w:tcW w:w="453" w:type="dxa"/>
          </w:tcPr>
          <w:p w14:paraId="1993A1E6"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2</w:t>
            </w:r>
          </w:p>
        </w:tc>
        <w:tc>
          <w:tcPr>
            <w:tcW w:w="2678" w:type="dxa"/>
          </w:tcPr>
          <w:p w14:paraId="4FB6A136"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Temporadas de pesca abiertas (párrs.  28-32)</w:t>
            </w:r>
          </w:p>
        </w:tc>
        <w:tc>
          <w:tcPr>
            <w:tcW w:w="2956" w:type="dxa"/>
          </w:tcPr>
          <w:p w14:paraId="2C537859" w14:textId="77777777" w:rsidR="002962EE" w:rsidRPr="00F0379B" w:rsidRDefault="002962EE" w:rsidP="00084782">
            <w:pPr>
              <w:widowControl w:val="0"/>
              <w:suppressAutoHyphens/>
              <w:spacing w:after="0" w:line="240" w:lineRule="auto"/>
              <w:ind w:left="209" w:hanging="209"/>
              <w:jc w:val="both"/>
              <w:rPr>
                <w:rFonts w:ascii="Cambria" w:eastAsia="MS Gothic" w:hAnsi="Cambria" w:cs="Times New Roman"/>
                <w:color w:val="000000"/>
                <w:kern w:val="2"/>
                <w:sz w:val="20"/>
                <w:szCs w:val="20"/>
                <w:lang w:eastAsia="fr-FR" w:bidi="fr-FR"/>
              </w:rPr>
            </w:pPr>
            <w:r w:rsidRPr="00F0379B">
              <w:rPr>
                <w:rFonts w:ascii="Cambria" w:eastAsia="MS Gothic" w:hAnsi="Cambria" w:cs="Times New Roman"/>
                <w:color w:val="000000"/>
                <w:kern w:val="2"/>
                <w:sz w:val="20"/>
                <w:szCs w:val="20"/>
                <w:lang w:eastAsia="fr-FR" w:bidi="fr-FR"/>
              </w:rPr>
              <w:t>- La pesca de atún rojo con almadraba está autorizada del 1 de abril al 31 de julio.</w:t>
            </w:r>
          </w:p>
          <w:p w14:paraId="193CBF1C" w14:textId="77777777" w:rsidR="002962EE" w:rsidRPr="00F0379B" w:rsidRDefault="002962EE" w:rsidP="00084782">
            <w:pPr>
              <w:widowControl w:val="0"/>
              <w:suppressAutoHyphens/>
              <w:autoSpaceDE w:val="0"/>
              <w:spacing w:after="0" w:line="240" w:lineRule="auto"/>
              <w:ind w:left="163" w:right="34" w:hanging="163"/>
              <w:contextualSpacing/>
              <w:jc w:val="both"/>
              <w:rPr>
                <w:rFonts w:ascii="Cambria" w:eastAsia="MS Gothic" w:hAnsi="Cambria" w:cs="Times New Roman"/>
                <w:sz w:val="20"/>
                <w:szCs w:val="20"/>
                <w:lang w:eastAsia="fr-FR" w:bidi="fr-FR"/>
              </w:rPr>
            </w:pPr>
            <w:r w:rsidRPr="00F0379B">
              <w:rPr>
                <w:rFonts w:ascii="Cambria" w:eastAsia="MS Gothic" w:hAnsi="Cambria" w:cs="Times New Roman"/>
                <w:color w:val="000000"/>
                <w:kern w:val="2"/>
                <w:sz w:val="20"/>
                <w:szCs w:val="20"/>
                <w:lang w:eastAsia="fr-FR" w:bidi="fr-FR"/>
              </w:rPr>
              <w:t xml:space="preserve">- </w:t>
            </w:r>
            <w:r w:rsidRPr="00F0379B">
              <w:rPr>
                <w:rFonts w:ascii="Cambria" w:eastAsia="MS Gothic" w:hAnsi="Cambria" w:cs="Times New Roman"/>
                <w:sz w:val="20"/>
                <w:szCs w:val="24"/>
                <w:lang w:eastAsia="fr-FR" w:bidi="fr-FR"/>
              </w:rPr>
              <w:t>La pesca de atún rojo con palangre pelágico grande está autorizada del 1 de enero al 31 de mayo.</w:t>
            </w:r>
          </w:p>
          <w:p w14:paraId="4A7C414E" w14:textId="77777777" w:rsidR="002962EE" w:rsidRPr="00F0379B" w:rsidRDefault="002962EE" w:rsidP="00084782">
            <w:pPr>
              <w:widowControl w:val="0"/>
              <w:suppressAutoHyphens/>
              <w:spacing w:after="0" w:line="240" w:lineRule="auto"/>
              <w:ind w:left="209" w:hanging="209"/>
              <w:jc w:val="both"/>
              <w:rPr>
                <w:rFonts w:ascii="Cambria" w:eastAsia="Times New Roman" w:hAnsi="Cambria" w:cs="Arial"/>
                <w:kern w:val="2"/>
                <w:sz w:val="20"/>
                <w:lang w:val="es-AR" w:eastAsia="ja-JP"/>
              </w:rPr>
            </w:pPr>
            <w:r w:rsidRPr="00F0379B">
              <w:rPr>
                <w:rFonts w:ascii="Cambria" w:eastAsia="Times New Roman" w:hAnsi="Cambria" w:cs="Arial"/>
                <w:kern w:val="2"/>
                <w:sz w:val="20"/>
                <w:lang w:val="es-AR" w:eastAsia="ja-JP"/>
              </w:rPr>
              <w:t>-</w:t>
            </w:r>
            <w:r w:rsidRPr="00F0379B">
              <w:rPr>
                <w:rFonts w:ascii="Cambria" w:eastAsia="Times New Roman" w:hAnsi="Cambria" w:cs="Arial"/>
                <w:kern w:val="2"/>
                <w:sz w:val="20"/>
                <w:lang w:val="es-AR" w:eastAsia="ja-JP"/>
              </w:rPr>
              <w:tab/>
              <w:t xml:space="preserve">En cuanto a la pesca de atún rojo con cerco, siete cerqueros operarán en </w:t>
            </w:r>
            <w:r w:rsidRPr="00F0379B">
              <w:rPr>
                <w:rFonts w:ascii="Cambria" w:eastAsia="MS Gothic" w:hAnsi="Cambria" w:cs="Times New Roman"/>
                <w:color w:val="000000"/>
                <w:kern w:val="2"/>
                <w:sz w:val="20"/>
                <w:szCs w:val="20"/>
                <w:lang w:eastAsia="fr-FR" w:bidi="fr-FR"/>
              </w:rPr>
              <w:t>el</w:t>
            </w:r>
            <w:r w:rsidRPr="00F0379B">
              <w:rPr>
                <w:rFonts w:ascii="Cambria" w:eastAsia="Times New Roman" w:hAnsi="Cambria" w:cs="Arial"/>
                <w:kern w:val="2"/>
                <w:sz w:val="20"/>
                <w:lang w:val="es-AR" w:eastAsia="ja-JP"/>
              </w:rPr>
              <w:t xml:space="preserve"> marco de las operaciones de pesca conjunta (JFO) nacional;</w:t>
            </w:r>
          </w:p>
          <w:p w14:paraId="1BE226A7" w14:textId="77777777" w:rsidR="002962EE" w:rsidRPr="00F0379B" w:rsidRDefault="002962EE" w:rsidP="00084782">
            <w:pPr>
              <w:widowControl w:val="0"/>
              <w:suppressAutoHyphens/>
              <w:spacing w:after="0" w:line="240" w:lineRule="auto"/>
              <w:ind w:left="209" w:hanging="209"/>
              <w:jc w:val="both"/>
              <w:rPr>
                <w:rFonts w:ascii="Cambria" w:eastAsia="MS Gothic" w:hAnsi="Cambria" w:cs="Times New Roman"/>
                <w:kern w:val="2"/>
                <w:sz w:val="20"/>
                <w:szCs w:val="20"/>
                <w:lang w:eastAsia="fr-FR" w:bidi="fr-FR"/>
              </w:rPr>
            </w:pPr>
            <w:r w:rsidRPr="00F0379B">
              <w:rPr>
                <w:rFonts w:ascii="Cambria" w:eastAsia="Times New Roman" w:hAnsi="Cambria" w:cs="Arial"/>
                <w:kern w:val="2"/>
                <w:sz w:val="20"/>
                <w:lang w:val="es-AR" w:eastAsia="ja-JP"/>
              </w:rPr>
              <w:t xml:space="preserve">-  Cuatro buques operarán en el Mediterráneo del 19 </w:t>
            </w:r>
            <w:r w:rsidRPr="00F0379B">
              <w:rPr>
                <w:rFonts w:ascii="Cambria" w:eastAsia="MS Gothic" w:hAnsi="Cambria" w:cs="Times New Roman"/>
                <w:kern w:val="2"/>
                <w:sz w:val="20"/>
                <w:szCs w:val="20"/>
                <w:lang w:eastAsia="fr-FR" w:bidi="fr-FR"/>
              </w:rPr>
              <w:t xml:space="preserve">de mayo al 1 de julio. </w:t>
            </w:r>
          </w:p>
          <w:p w14:paraId="4DF19BED" w14:textId="77777777" w:rsidR="002962EE" w:rsidRPr="00F0379B" w:rsidRDefault="002962EE" w:rsidP="00084782">
            <w:pPr>
              <w:widowControl w:val="0"/>
              <w:suppressAutoHyphens/>
              <w:spacing w:after="0" w:line="240" w:lineRule="auto"/>
              <w:ind w:left="163" w:hanging="163"/>
              <w:jc w:val="both"/>
              <w:rPr>
                <w:rFonts w:ascii="Cambria" w:eastAsia="MS Gothic" w:hAnsi="Cambria" w:cs="Times New Roman"/>
                <w:sz w:val="20"/>
                <w:szCs w:val="20"/>
                <w:lang w:eastAsia="fr-FR" w:bidi="fr-FR"/>
              </w:rPr>
            </w:pPr>
            <w:r w:rsidRPr="00F0379B">
              <w:rPr>
                <w:rFonts w:ascii="Cambria" w:eastAsia="MS Gothic" w:hAnsi="Cambria" w:cs="Times New Roman"/>
                <w:color w:val="000000"/>
                <w:kern w:val="2"/>
                <w:sz w:val="20"/>
                <w:szCs w:val="20"/>
                <w:lang w:eastAsia="fr-FR" w:bidi="fr-FR"/>
              </w:rPr>
              <w:t xml:space="preserve">- </w:t>
            </w:r>
            <w:r w:rsidRPr="00F0379B">
              <w:rPr>
                <w:rFonts w:ascii="Cambria" w:eastAsia="MS Gothic" w:hAnsi="Cambria" w:cs="Times New Roman"/>
                <w:sz w:val="20"/>
                <w:szCs w:val="24"/>
                <w:lang w:eastAsia="fr-FR" w:bidi="fr-FR"/>
              </w:rPr>
              <w:t>Tres buques operarán en las zonas de pesca del Atlántico este y el mar Mediterráneo, limitándose a las aguas bajo la soberanía o jurisdicción del Reino de Marruecos. En este caso, Marruecos solicita una derogación para que la temporada de pesca con cerco esté abierta del 1 de mayo al 15 de junio.</w:t>
            </w:r>
          </w:p>
        </w:tc>
        <w:tc>
          <w:tcPr>
            <w:tcW w:w="2413" w:type="dxa"/>
          </w:tcPr>
          <w:p w14:paraId="48F7A2F9"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tc>
        <w:tc>
          <w:tcPr>
            <w:tcW w:w="964" w:type="dxa"/>
          </w:tcPr>
          <w:p w14:paraId="5F33F60F"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tc>
      </w:tr>
      <w:tr w:rsidR="002962EE" w:rsidRPr="00F0379B" w14:paraId="2C1DA5B5" w14:textId="77777777" w:rsidTr="00084782">
        <w:tc>
          <w:tcPr>
            <w:tcW w:w="453" w:type="dxa"/>
          </w:tcPr>
          <w:p w14:paraId="55497152"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3</w:t>
            </w:r>
          </w:p>
        </w:tc>
        <w:tc>
          <w:tcPr>
            <w:tcW w:w="2678" w:type="dxa"/>
          </w:tcPr>
          <w:p w14:paraId="7D8D2A8E"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Talla mínima (párrs. 33-35)</w:t>
            </w:r>
          </w:p>
        </w:tc>
        <w:tc>
          <w:tcPr>
            <w:tcW w:w="2956" w:type="dxa"/>
          </w:tcPr>
          <w:p w14:paraId="2BA68CA3" w14:textId="77777777" w:rsidR="002962EE" w:rsidRPr="00F0379B" w:rsidRDefault="002962EE" w:rsidP="00084782">
            <w:pPr>
              <w:widowControl w:val="0"/>
              <w:spacing w:after="0" w:line="240" w:lineRule="auto"/>
              <w:jc w:val="both"/>
              <w:rPr>
                <w:rFonts w:ascii="Cambria" w:eastAsia="MS Gothic" w:hAnsi="Cambria" w:cs="Cambria"/>
                <w:color w:val="000000"/>
                <w:kern w:val="2"/>
                <w:sz w:val="20"/>
                <w:szCs w:val="20"/>
                <w:lang w:eastAsia="fr-FR" w:bidi="fr-FR"/>
              </w:rPr>
            </w:pPr>
            <w:r w:rsidRPr="00F0379B">
              <w:rPr>
                <w:rFonts w:ascii="Cambria" w:eastAsia="MS Gothic" w:hAnsi="Cambria" w:cs="Times New Roman"/>
                <w:color w:val="000000"/>
                <w:kern w:val="2"/>
                <w:sz w:val="20"/>
                <w:szCs w:val="20"/>
                <w:lang w:eastAsia="fr-FR" w:bidi="fr-FR"/>
              </w:rPr>
              <w:t>Está prohibida la captura, retención a bordo, el transbordo, la transferencia, el desembarque, el almacenaje, la venta, la exposición o proposición de venta de atún rojo con un peso inferior a 30 kg o con una longitud a la horquilla de menos de 115 cm.</w:t>
            </w:r>
            <w:r w:rsidRPr="00F0379B">
              <w:rPr>
                <w:rFonts w:ascii="Cambria" w:eastAsia="MS Gothic" w:hAnsi="Cambria" w:cs="Times New Roman"/>
                <w:color w:val="000000"/>
                <w:kern w:val="2"/>
                <w:sz w:val="24"/>
                <w:szCs w:val="24"/>
                <w:lang w:eastAsia="fr-FR" w:bidi="fr-FR"/>
              </w:rPr>
              <w:t xml:space="preserve"> </w:t>
            </w:r>
            <w:r w:rsidRPr="00F0379B">
              <w:rPr>
                <w:rFonts w:ascii="Cambria" w:eastAsia="MS Gothic" w:hAnsi="Cambria" w:cs="Times New Roman"/>
                <w:color w:val="000000"/>
                <w:kern w:val="2"/>
                <w:sz w:val="20"/>
                <w:szCs w:val="20"/>
                <w:lang w:eastAsia="fr-FR" w:bidi="fr-FR"/>
              </w:rPr>
              <w:t>Se autoriza una captura fortuita de un máximo del 5% en número de atunes rojos capturados con un peso de entre 8 y 30 kg o una talla de 75 cm a 115 cm.</w:t>
            </w:r>
          </w:p>
          <w:p w14:paraId="2F6E1737" w14:textId="77777777" w:rsidR="002962EE" w:rsidRPr="00F0379B" w:rsidRDefault="002962EE" w:rsidP="00084782">
            <w:pPr>
              <w:widowControl w:val="0"/>
              <w:autoSpaceDE w:val="0"/>
              <w:spacing w:after="0" w:line="240" w:lineRule="auto"/>
              <w:jc w:val="both"/>
              <w:rPr>
                <w:rFonts w:ascii="Cambria" w:eastAsia="MS Gothic" w:hAnsi="Cambria" w:cs="Cambria"/>
                <w:color w:val="000000"/>
                <w:kern w:val="2"/>
                <w:sz w:val="20"/>
                <w:szCs w:val="20"/>
                <w:lang w:eastAsia="ar-SA"/>
              </w:rPr>
            </w:pPr>
          </w:p>
          <w:p w14:paraId="2D7D7631"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Cualquier atún rojo con una talla inferior a la mínima será consignado y deducido de la cuota asignada a Marruecos.</w:t>
            </w:r>
          </w:p>
        </w:tc>
        <w:tc>
          <w:tcPr>
            <w:tcW w:w="2413" w:type="dxa"/>
          </w:tcPr>
          <w:p w14:paraId="412C0E24" w14:textId="77777777" w:rsidR="002962EE" w:rsidRPr="00F0379B" w:rsidRDefault="002962EE" w:rsidP="00084782">
            <w:pPr>
              <w:widowControl w:val="0"/>
              <w:spacing w:after="0" w:line="240" w:lineRule="auto"/>
              <w:jc w:val="both"/>
              <w:rPr>
                <w:rFonts w:ascii="Cambria" w:eastAsia="MS Gothic" w:hAnsi="Cambria" w:cs="Times New Roman"/>
                <w:color w:val="000000"/>
                <w:kern w:val="2"/>
                <w:sz w:val="20"/>
                <w:szCs w:val="20"/>
                <w:lang w:eastAsia="fr-FR" w:bidi="fr-FR"/>
              </w:rPr>
            </w:pPr>
            <w:r w:rsidRPr="00F0379B">
              <w:rPr>
                <w:rFonts w:ascii="Cambria" w:eastAsia="MS Gothic" w:hAnsi="Cambria" w:cs="Times New Roman"/>
                <w:color w:val="000000"/>
                <w:kern w:val="2"/>
                <w:sz w:val="20"/>
                <w:szCs w:val="20"/>
                <w:lang w:eastAsia="fr-FR" w:bidi="fr-FR"/>
              </w:rPr>
              <w:t>Decreto del Ministerio de pesca y de la Marina mercante n.º 1154-88 del 3 de octubre de 1988 que fija la talla mínima comercial de las especies pescadas en las aguas marítimas marroquíes, modificado y completado</w:t>
            </w:r>
            <w:r w:rsidRPr="00F0379B">
              <w:rPr>
                <w:rFonts w:ascii="Cambria" w:eastAsia="MS Gothic" w:hAnsi="Cambria" w:cs="Times New Roman"/>
                <w:color w:val="000000"/>
                <w:kern w:val="2"/>
                <w:sz w:val="24"/>
                <w:szCs w:val="24"/>
                <w:lang w:eastAsia="fr-FR" w:bidi="fr-FR"/>
              </w:rPr>
              <w:t xml:space="preserve"> </w:t>
            </w:r>
            <w:r w:rsidRPr="00F0379B">
              <w:rPr>
                <w:rFonts w:ascii="Cambria" w:eastAsia="MS Gothic" w:hAnsi="Cambria" w:cs="Times New Roman"/>
                <w:color w:val="000000"/>
                <w:kern w:val="2"/>
                <w:sz w:val="20"/>
                <w:szCs w:val="20"/>
                <w:lang w:eastAsia="fr-FR" w:bidi="fr-FR"/>
              </w:rPr>
              <w:t>por el decreto n.º 4132-19 del 26 de diciembre de 2019.</w:t>
            </w:r>
          </w:p>
          <w:p w14:paraId="52275AD6" w14:textId="77777777" w:rsidR="002962EE" w:rsidRPr="00F0379B" w:rsidRDefault="002962EE" w:rsidP="00084782">
            <w:pPr>
              <w:widowControl w:val="0"/>
              <w:spacing w:after="0" w:line="240" w:lineRule="auto"/>
              <w:jc w:val="both"/>
              <w:rPr>
                <w:rFonts w:ascii="Cambria" w:eastAsia="MS Gothic" w:hAnsi="Cambria" w:cs="Times New Roman"/>
                <w:color w:val="000000"/>
                <w:kern w:val="2"/>
                <w:sz w:val="20"/>
                <w:szCs w:val="20"/>
                <w:lang w:eastAsia="fr-FR" w:bidi="fr-FR"/>
              </w:rPr>
            </w:pPr>
          </w:p>
          <w:p w14:paraId="4AD4A2D3" w14:textId="77777777" w:rsidR="002962EE" w:rsidRPr="00F0379B" w:rsidRDefault="002962EE" w:rsidP="00084782">
            <w:pPr>
              <w:widowControl w:val="0"/>
              <w:spacing w:after="0" w:line="240" w:lineRule="auto"/>
              <w:jc w:val="both"/>
              <w:rPr>
                <w:rFonts w:ascii="Cambria" w:eastAsia="MS Gothic" w:hAnsi="Cambria" w:cs="Calibri"/>
                <w:color w:val="000000"/>
                <w:kern w:val="2"/>
                <w:sz w:val="20"/>
                <w:szCs w:val="20"/>
                <w:lang w:eastAsia="fr-FR" w:bidi="fr-FR"/>
              </w:rPr>
            </w:pPr>
          </w:p>
          <w:p w14:paraId="5A7765BF"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Este decreto se aplica también a alta mar en la zona del Convenio ICCAT.</w:t>
            </w:r>
          </w:p>
        </w:tc>
        <w:tc>
          <w:tcPr>
            <w:tcW w:w="964" w:type="dxa"/>
          </w:tcPr>
          <w:p w14:paraId="31873C36"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tc>
      </w:tr>
      <w:tr w:rsidR="002962EE" w:rsidRPr="00F0379B" w14:paraId="3B0744B4" w14:textId="77777777" w:rsidTr="00084782">
        <w:tc>
          <w:tcPr>
            <w:tcW w:w="453" w:type="dxa"/>
          </w:tcPr>
          <w:p w14:paraId="086ACC2D"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4</w:t>
            </w:r>
          </w:p>
        </w:tc>
        <w:tc>
          <w:tcPr>
            <w:tcW w:w="2678" w:type="dxa"/>
          </w:tcPr>
          <w:p w14:paraId="04278F67"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bCs/>
                <w:kern w:val="2"/>
                <w:sz w:val="20"/>
                <w:szCs w:val="20"/>
                <w:lang w:eastAsia="fr-FR" w:bidi="fr-FR"/>
              </w:rPr>
              <w:t>Captura fortuita (párr.  37)</w:t>
            </w:r>
          </w:p>
        </w:tc>
        <w:tc>
          <w:tcPr>
            <w:tcW w:w="2956" w:type="dxa"/>
          </w:tcPr>
          <w:p w14:paraId="7CB5069B" w14:textId="77777777" w:rsidR="002962EE" w:rsidRPr="00F0379B" w:rsidRDefault="002962EE" w:rsidP="00084782">
            <w:pPr>
              <w:widowControl w:val="0"/>
              <w:spacing w:after="0" w:line="240" w:lineRule="auto"/>
              <w:jc w:val="both"/>
              <w:rPr>
                <w:rFonts w:ascii="Cambria" w:eastAsia="MS Gothic" w:hAnsi="Cambria" w:cs="TimesNewRomanPSMT"/>
                <w:color w:val="000000"/>
                <w:kern w:val="2"/>
                <w:sz w:val="20"/>
                <w:szCs w:val="20"/>
                <w:lang w:eastAsia="fr-FR" w:bidi="fr-FR"/>
              </w:rPr>
            </w:pPr>
            <w:r w:rsidRPr="00F0379B">
              <w:rPr>
                <w:rFonts w:ascii="Cambria" w:eastAsia="MS Gothic" w:hAnsi="Cambria" w:cs="Times New Roman"/>
                <w:color w:val="000000"/>
                <w:kern w:val="2"/>
                <w:sz w:val="20"/>
                <w:szCs w:val="20"/>
                <w:lang w:eastAsia="fr-FR" w:bidi="fr-FR"/>
              </w:rPr>
              <w:t xml:space="preserve">Los buques que pescan atún rojo de manera fortuita están autorizados a retener, independientemente del momento, el atún rojo que suponga menos del 20 % de la captura total anual en peso o en número de ejemplares. </w:t>
            </w:r>
          </w:p>
          <w:p w14:paraId="47CB5E3F" w14:textId="77777777" w:rsidR="002962EE" w:rsidRPr="00F0379B" w:rsidRDefault="002962EE" w:rsidP="00084782">
            <w:pPr>
              <w:widowControl w:val="0"/>
              <w:suppressAutoHyphens/>
              <w:spacing w:after="0" w:line="240" w:lineRule="auto"/>
              <w:jc w:val="both"/>
              <w:rPr>
                <w:rFonts w:ascii="Cambria" w:eastAsia="Times New Roman" w:hAnsi="Cambria" w:cs="Cambria"/>
                <w:kern w:val="2"/>
                <w:sz w:val="20"/>
                <w:szCs w:val="20"/>
                <w:lang w:val="es-ES_tradnl" w:eastAsia="ar-SA"/>
              </w:rPr>
            </w:pPr>
          </w:p>
          <w:p w14:paraId="5FEB6D21"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La cuota de 602,09 t asignada a las capturas fortuitas realizadas por pequeños barcos costeros y barcos artesanales, que utilizan el palangre y la liña, se calcula anualmente, y se contabiliza y se deduce de la cuota nacional asignada por ICCAT.</w:t>
            </w:r>
          </w:p>
          <w:p w14:paraId="65C66773"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p w14:paraId="077B862A"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En 2025, el nivel de capturas fortuitas fue de 337,80 t.</w:t>
            </w:r>
          </w:p>
          <w:p w14:paraId="28D6B580"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p w14:paraId="4FFDCAD6"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p w14:paraId="565B5DB1"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Se deja una reserva de 30 t para posibles descartes de ejemplares muertos de atún rojo.</w:t>
            </w:r>
          </w:p>
          <w:p w14:paraId="0A262300"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p w14:paraId="7419665A"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Un total de 632,09 t (13,64 %) de la cuota ajustada (4.633,09 t) se reserva para las capturas fortuitas de los buques costeros de pequeña escala y artesanales y los posibles descartes de ejemplares muertos de atún rojo.</w:t>
            </w:r>
          </w:p>
        </w:tc>
        <w:tc>
          <w:tcPr>
            <w:tcW w:w="2413" w:type="dxa"/>
          </w:tcPr>
          <w:p w14:paraId="0D78831C" w14:textId="77777777" w:rsidR="002962EE" w:rsidRPr="00F0379B" w:rsidRDefault="002962EE" w:rsidP="00084782">
            <w:pPr>
              <w:widowControl w:val="0"/>
              <w:suppressAutoHyphens/>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 xml:space="preserve">Decreto de la Secretaria de Estado adjunta al Ministerio de Agricultura, Pesca Marítima, Desarrollo Rural y Aguas y Bosques, encargada de la Pesca Marítima, n.º 2648-24, de 5 </w:t>
            </w:r>
            <w:proofErr w:type="spellStart"/>
            <w:r w:rsidRPr="00F0379B">
              <w:rPr>
                <w:rFonts w:ascii="Cambria" w:eastAsia="MS Gothic" w:hAnsi="Cambria" w:cs="Times New Roman"/>
                <w:sz w:val="20"/>
                <w:szCs w:val="24"/>
                <w:lang w:eastAsia="fr-FR" w:bidi="fr-FR"/>
              </w:rPr>
              <w:t>joumada</w:t>
            </w:r>
            <w:proofErr w:type="spellEnd"/>
            <w:r w:rsidRPr="00F0379B">
              <w:rPr>
                <w:rFonts w:ascii="Cambria" w:eastAsia="MS Gothic" w:hAnsi="Cambria" w:cs="Times New Roman"/>
                <w:sz w:val="20"/>
                <w:szCs w:val="24"/>
                <w:lang w:eastAsia="fr-FR" w:bidi="fr-FR"/>
              </w:rPr>
              <w:t xml:space="preserve"> I 1446 (8 de noviembre de 2024) relativo al plan de desarrollo y ordenación de la pesquería de atún rojo (</w:t>
            </w:r>
            <w:proofErr w:type="spellStart"/>
            <w:r w:rsidRPr="00F0379B">
              <w:rPr>
                <w:rFonts w:ascii="Cambria" w:eastAsia="MS Gothic" w:hAnsi="Cambria" w:cs="Times New Roman"/>
                <w:i/>
                <w:iCs/>
                <w:sz w:val="20"/>
                <w:szCs w:val="24"/>
                <w:lang w:eastAsia="fr-FR" w:bidi="fr-FR"/>
              </w:rPr>
              <w:t>Thunnus</w:t>
            </w:r>
            <w:proofErr w:type="spellEnd"/>
            <w:r w:rsidRPr="00F0379B">
              <w:rPr>
                <w:rFonts w:ascii="Cambria" w:eastAsia="MS Gothic" w:hAnsi="Cambria" w:cs="Times New Roman"/>
                <w:i/>
                <w:iCs/>
                <w:sz w:val="20"/>
                <w:szCs w:val="24"/>
                <w:lang w:eastAsia="fr-FR" w:bidi="fr-FR"/>
              </w:rPr>
              <w:t xml:space="preserve"> </w:t>
            </w:r>
            <w:proofErr w:type="spellStart"/>
            <w:r w:rsidRPr="00F0379B">
              <w:rPr>
                <w:rFonts w:ascii="Cambria" w:eastAsia="MS Gothic" w:hAnsi="Cambria" w:cs="Times New Roman"/>
                <w:i/>
                <w:iCs/>
                <w:sz w:val="20"/>
                <w:szCs w:val="24"/>
                <w:lang w:eastAsia="fr-FR" w:bidi="fr-FR"/>
              </w:rPr>
              <w:t>thynnus</w:t>
            </w:r>
            <w:proofErr w:type="spellEnd"/>
            <w:r w:rsidRPr="00F0379B">
              <w:rPr>
                <w:rFonts w:ascii="Cambria" w:eastAsia="MS Gothic" w:hAnsi="Cambria" w:cs="Times New Roman"/>
                <w:sz w:val="20"/>
                <w:szCs w:val="24"/>
                <w:lang w:eastAsia="fr-FR" w:bidi="fr-FR"/>
              </w:rPr>
              <w:t>) en aguas marítimas marroquíes.</w:t>
            </w:r>
          </w:p>
        </w:tc>
        <w:tc>
          <w:tcPr>
            <w:tcW w:w="964" w:type="dxa"/>
          </w:tcPr>
          <w:p w14:paraId="634A78C0"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tc>
      </w:tr>
      <w:tr w:rsidR="002962EE" w:rsidRPr="00F0379B" w14:paraId="25548106" w14:textId="77777777" w:rsidTr="00084782">
        <w:tc>
          <w:tcPr>
            <w:tcW w:w="453" w:type="dxa"/>
          </w:tcPr>
          <w:p w14:paraId="20E376E6"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5</w:t>
            </w:r>
          </w:p>
        </w:tc>
        <w:tc>
          <w:tcPr>
            <w:tcW w:w="2678" w:type="dxa"/>
          </w:tcPr>
          <w:p w14:paraId="5155104C"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Pesquerías deportivas y de recreo (párrs.  38-46)</w:t>
            </w:r>
          </w:p>
        </w:tc>
        <w:tc>
          <w:tcPr>
            <w:tcW w:w="2956" w:type="dxa"/>
          </w:tcPr>
          <w:p w14:paraId="475F1D09"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Actualmente no se permite la pesca recreativa y deportiva de atún rojo</w:t>
            </w:r>
          </w:p>
        </w:tc>
        <w:tc>
          <w:tcPr>
            <w:tcW w:w="2413" w:type="dxa"/>
          </w:tcPr>
          <w:p w14:paraId="26E9AB8D"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tc>
        <w:tc>
          <w:tcPr>
            <w:tcW w:w="964" w:type="dxa"/>
          </w:tcPr>
          <w:p w14:paraId="6D670C6C"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tc>
      </w:tr>
      <w:tr w:rsidR="002962EE" w:rsidRPr="00F0379B" w14:paraId="43E18545" w14:textId="77777777" w:rsidTr="00084782">
        <w:tc>
          <w:tcPr>
            <w:tcW w:w="453" w:type="dxa"/>
          </w:tcPr>
          <w:p w14:paraId="35E68B56"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6</w:t>
            </w:r>
          </w:p>
        </w:tc>
        <w:tc>
          <w:tcPr>
            <w:tcW w:w="2678" w:type="dxa"/>
          </w:tcPr>
          <w:p w14:paraId="687C3902" w14:textId="77777777" w:rsidR="002962EE" w:rsidRPr="00F0379B" w:rsidRDefault="002962EE" w:rsidP="00084782">
            <w:pPr>
              <w:widowControl w:val="0"/>
              <w:spacing w:after="0" w:line="240" w:lineRule="auto"/>
              <w:jc w:val="both"/>
              <w:rPr>
                <w:rFonts w:ascii="Cambria" w:eastAsia="MS Gothic" w:hAnsi="Cambria" w:cs="Times New Roman"/>
                <w:b/>
                <w:bCs/>
                <w:kern w:val="2"/>
                <w:sz w:val="20"/>
                <w:szCs w:val="20"/>
                <w:lang w:eastAsia="fr-FR" w:bidi="fr-FR"/>
              </w:rPr>
            </w:pPr>
            <w:r w:rsidRPr="00F0379B">
              <w:rPr>
                <w:rFonts w:ascii="Cambria" w:eastAsia="MS Gothic" w:hAnsi="Cambria" w:cs="Times New Roman"/>
                <w:b/>
                <w:bCs/>
                <w:kern w:val="2"/>
                <w:sz w:val="20"/>
                <w:szCs w:val="20"/>
                <w:lang w:eastAsia="fr-FR" w:bidi="fr-FR"/>
              </w:rPr>
              <w:t xml:space="preserve">Transbordo </w:t>
            </w:r>
          </w:p>
          <w:p w14:paraId="00A3E89B"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bCs/>
                <w:kern w:val="2"/>
                <w:sz w:val="20"/>
                <w:szCs w:val="20"/>
                <w:lang w:eastAsia="fr-FR" w:bidi="fr-FR"/>
              </w:rPr>
              <w:t>(párrs. 89-94)</w:t>
            </w:r>
          </w:p>
        </w:tc>
        <w:tc>
          <w:tcPr>
            <w:tcW w:w="2956" w:type="dxa"/>
          </w:tcPr>
          <w:p w14:paraId="2B1F44D9"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Está prohibido el transbordo en el mar.</w:t>
            </w:r>
          </w:p>
          <w:p w14:paraId="69A0F7B2"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p w14:paraId="5F4B5C37" w14:textId="77777777" w:rsidR="002962EE" w:rsidRPr="00F0379B" w:rsidRDefault="002962EE" w:rsidP="00084782">
            <w:pPr>
              <w:widowControl w:val="0"/>
              <w:suppressAutoHyphens/>
              <w:spacing w:after="0" w:line="240" w:lineRule="auto"/>
              <w:jc w:val="both"/>
              <w:rPr>
                <w:rFonts w:ascii="Cambria" w:eastAsia="MS Gothic" w:hAnsi="Cambria" w:cs="Cambria"/>
                <w:sz w:val="20"/>
                <w:szCs w:val="20"/>
                <w:lang w:eastAsia="fr-FR" w:bidi="fr-FR"/>
              </w:rPr>
            </w:pPr>
            <w:r w:rsidRPr="00F0379B">
              <w:rPr>
                <w:rFonts w:ascii="Cambria" w:eastAsia="MS Gothic" w:hAnsi="Cambria" w:cs="Times New Roman"/>
                <w:sz w:val="20"/>
                <w:szCs w:val="24"/>
                <w:lang w:eastAsia="fr-FR" w:bidi="fr-FR"/>
              </w:rPr>
              <w:t>Solo se permite el transbordo en el puerto, de conformidad con la normativa nacional.</w:t>
            </w:r>
          </w:p>
          <w:p w14:paraId="691D8564" w14:textId="77777777" w:rsidR="002962EE" w:rsidRPr="00F0379B" w:rsidRDefault="002962EE" w:rsidP="00084782">
            <w:pPr>
              <w:widowControl w:val="0"/>
              <w:spacing w:after="0" w:line="240" w:lineRule="auto"/>
              <w:jc w:val="both"/>
              <w:rPr>
                <w:rFonts w:ascii="Cambria" w:eastAsia="MS Gothic" w:hAnsi="Cambria" w:cs="Cambria"/>
                <w:kern w:val="2"/>
                <w:sz w:val="20"/>
                <w:szCs w:val="20"/>
                <w:lang w:eastAsia="fr-FR" w:bidi="fr-FR"/>
              </w:rPr>
            </w:pPr>
          </w:p>
          <w:p w14:paraId="2C933E3F"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 xml:space="preserve">El transbordo está autorizado únicamente en los puertos designados con este fin, de en aplicación de todas las disposiciones de las Recomendaciones de ICCAT. </w:t>
            </w:r>
          </w:p>
          <w:p w14:paraId="27C7C676"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p w14:paraId="361572F6"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Todas las operaciones de transbordo de atún rojo en puerto están sujetas a inspección.</w:t>
            </w:r>
          </w:p>
          <w:p w14:paraId="6FE815E4"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tc>
        <w:tc>
          <w:tcPr>
            <w:tcW w:w="2413" w:type="dxa"/>
          </w:tcPr>
          <w:p w14:paraId="359CB374" w14:textId="77777777" w:rsidR="002962EE" w:rsidRPr="00F0379B" w:rsidRDefault="002962EE" w:rsidP="00084782">
            <w:pPr>
              <w:widowControl w:val="0"/>
              <w:spacing w:after="0" w:line="240" w:lineRule="auto"/>
              <w:jc w:val="both"/>
              <w:rPr>
                <w:rFonts w:ascii="Cambria" w:eastAsia="MS Gothic" w:hAnsi="Cambria" w:cs="Cambria"/>
                <w:kern w:val="2"/>
                <w:sz w:val="20"/>
                <w:szCs w:val="20"/>
                <w:lang w:eastAsia="fr-FR" w:bidi="fr-FR"/>
              </w:rPr>
            </w:pPr>
            <w:r w:rsidRPr="00F0379B">
              <w:rPr>
                <w:rFonts w:ascii="Cambria" w:eastAsia="MS Gothic" w:hAnsi="Cambria" w:cs="Times New Roman"/>
                <w:kern w:val="2"/>
                <w:sz w:val="20"/>
                <w:szCs w:val="20"/>
                <w:lang w:eastAsia="fr-FR" w:bidi="fr-FR"/>
              </w:rPr>
              <w:t xml:space="preserve">Dahir n.º 1-14-95 del 12 de mayo de 2014 que promulga la ley n.º 15-12 relativa a la prevención y lucha contra la pesca ilegal, no declarada y no reglamentada y que modifica y completa el Dahir n.º 1-73-255 del </w:t>
            </w:r>
            <w:r w:rsidRPr="00F0379B">
              <w:rPr>
                <w:rFonts w:ascii="Cambria" w:eastAsia="Times New Roman" w:hAnsi="Cambria" w:cs="Calibri"/>
                <w:kern w:val="2"/>
                <w:sz w:val="20"/>
                <w:szCs w:val="20"/>
                <w:lang w:eastAsia="ja-JP"/>
              </w:rPr>
              <w:t xml:space="preserve">27 </w:t>
            </w:r>
            <w:proofErr w:type="spellStart"/>
            <w:r w:rsidRPr="00F0379B">
              <w:rPr>
                <w:rFonts w:ascii="Cambria" w:eastAsia="Times New Roman" w:hAnsi="Cambria" w:cs="Calibri"/>
                <w:kern w:val="2"/>
                <w:sz w:val="20"/>
                <w:szCs w:val="20"/>
                <w:lang w:eastAsia="ja-JP"/>
              </w:rPr>
              <w:t>chaoual</w:t>
            </w:r>
            <w:proofErr w:type="spellEnd"/>
            <w:r w:rsidRPr="00F0379B">
              <w:rPr>
                <w:rFonts w:ascii="Cambria" w:eastAsia="Times New Roman" w:hAnsi="Cambria" w:cs="Calibri"/>
                <w:kern w:val="2"/>
                <w:sz w:val="20"/>
                <w:szCs w:val="20"/>
                <w:lang w:eastAsia="ja-JP"/>
              </w:rPr>
              <w:t xml:space="preserve"> 1393 </w:t>
            </w:r>
            <w:proofErr w:type="gramStart"/>
            <w:r w:rsidRPr="00F0379B">
              <w:rPr>
                <w:rFonts w:ascii="Cambria" w:eastAsia="MS Gothic" w:hAnsi="Cambria" w:cs="Times New Roman"/>
                <w:kern w:val="2"/>
                <w:sz w:val="20"/>
                <w:szCs w:val="20"/>
                <w:lang w:eastAsia="fr-FR" w:bidi="fr-FR"/>
              </w:rPr>
              <w:t>( 23</w:t>
            </w:r>
            <w:proofErr w:type="gramEnd"/>
            <w:r w:rsidRPr="00F0379B">
              <w:rPr>
                <w:rFonts w:ascii="Cambria" w:eastAsia="MS Gothic" w:hAnsi="Cambria" w:cs="Times New Roman"/>
                <w:kern w:val="2"/>
                <w:sz w:val="20"/>
                <w:szCs w:val="20"/>
                <w:lang w:eastAsia="fr-FR" w:bidi="fr-FR"/>
              </w:rPr>
              <w:t xml:space="preserve"> de noviembre de 1973) que establece el reglamento sobre pesca marítima.</w:t>
            </w:r>
          </w:p>
          <w:p w14:paraId="579D4B12" w14:textId="77777777" w:rsidR="002962EE" w:rsidRPr="00F0379B" w:rsidRDefault="002962EE" w:rsidP="00084782">
            <w:pPr>
              <w:widowControl w:val="0"/>
              <w:spacing w:after="0" w:line="240" w:lineRule="auto"/>
              <w:jc w:val="both"/>
              <w:rPr>
                <w:rFonts w:ascii="Cambria" w:eastAsia="MS Gothic" w:hAnsi="Cambria" w:cs="Cambria"/>
                <w:kern w:val="2"/>
                <w:sz w:val="20"/>
                <w:szCs w:val="20"/>
                <w:lang w:eastAsia="fr-FR" w:bidi="fr-FR"/>
              </w:rPr>
            </w:pPr>
          </w:p>
          <w:p w14:paraId="4855DAE3" w14:textId="77777777" w:rsidR="002962EE" w:rsidRPr="00F0379B" w:rsidRDefault="002962EE" w:rsidP="00084782">
            <w:pPr>
              <w:widowControl w:val="0"/>
              <w:spacing w:after="0" w:line="240" w:lineRule="auto"/>
              <w:jc w:val="both"/>
              <w:rPr>
                <w:rFonts w:ascii="Cambria" w:eastAsia="MS Gothic" w:hAnsi="Cambria" w:cs="Cambria"/>
                <w:kern w:val="2"/>
                <w:sz w:val="20"/>
                <w:szCs w:val="20"/>
                <w:lang w:eastAsia="fr-FR" w:bidi="fr-FR"/>
              </w:rPr>
            </w:pPr>
            <w:r w:rsidRPr="00F0379B">
              <w:rPr>
                <w:rFonts w:ascii="Cambria" w:eastAsia="MS Gothic" w:hAnsi="Cambria" w:cs="Times New Roman"/>
                <w:kern w:val="2"/>
                <w:sz w:val="20"/>
                <w:szCs w:val="20"/>
                <w:lang w:eastAsia="fr-FR" w:bidi="fr-FR"/>
              </w:rPr>
              <w:t>Decreto n.º 455.17.2 del 26 de abril de 2018 para la aplicación de ciertas disposiciones de la ley nº15-12 relativa a la prevención y la lucha contra la pesca IUU.</w:t>
            </w:r>
          </w:p>
          <w:p w14:paraId="20BB1F24" w14:textId="77777777" w:rsidR="002962EE" w:rsidRPr="00F0379B" w:rsidRDefault="002962EE" w:rsidP="00084782">
            <w:pPr>
              <w:widowControl w:val="0"/>
              <w:spacing w:after="0" w:line="240" w:lineRule="auto"/>
              <w:jc w:val="both"/>
              <w:rPr>
                <w:rFonts w:ascii="Cambria" w:eastAsia="MS Gothic" w:hAnsi="Cambria" w:cs="Cambria"/>
                <w:kern w:val="2"/>
                <w:sz w:val="20"/>
                <w:szCs w:val="20"/>
                <w:lang w:eastAsia="fr-FR" w:bidi="fr-FR"/>
              </w:rPr>
            </w:pPr>
          </w:p>
          <w:p w14:paraId="45A67867"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 xml:space="preserve">Decreto n.º 2-17-456 del 15 de marzo de 2018 para la aplicación de ciertas disposiciones del Dahir n.º 1-73-255 del </w:t>
            </w:r>
            <w:r w:rsidRPr="00F0379B">
              <w:rPr>
                <w:rFonts w:ascii="Cambria" w:eastAsia="Times New Roman" w:hAnsi="Cambria" w:cs="Calibri"/>
                <w:kern w:val="2"/>
                <w:sz w:val="20"/>
                <w:szCs w:val="20"/>
                <w:lang w:eastAsia="ja-JP"/>
              </w:rPr>
              <w:t xml:space="preserve">27 </w:t>
            </w:r>
            <w:proofErr w:type="spellStart"/>
            <w:r w:rsidRPr="00F0379B">
              <w:rPr>
                <w:rFonts w:ascii="Cambria" w:eastAsia="Times New Roman" w:hAnsi="Cambria" w:cs="Calibri"/>
                <w:kern w:val="2"/>
                <w:sz w:val="20"/>
                <w:szCs w:val="20"/>
                <w:lang w:eastAsia="ja-JP"/>
              </w:rPr>
              <w:t>chaoual</w:t>
            </w:r>
            <w:proofErr w:type="spellEnd"/>
            <w:r w:rsidRPr="00F0379B">
              <w:rPr>
                <w:rFonts w:ascii="Cambria" w:eastAsia="Times New Roman" w:hAnsi="Cambria" w:cs="Calibri"/>
                <w:kern w:val="2"/>
                <w:sz w:val="20"/>
                <w:szCs w:val="20"/>
                <w:lang w:eastAsia="ja-JP"/>
              </w:rPr>
              <w:t xml:space="preserve"> 1393 (</w:t>
            </w:r>
            <w:r w:rsidRPr="00F0379B">
              <w:rPr>
                <w:rFonts w:ascii="Cambria" w:eastAsia="MS Gothic" w:hAnsi="Cambria" w:cs="Times New Roman"/>
                <w:kern w:val="2"/>
                <w:sz w:val="20"/>
                <w:szCs w:val="20"/>
                <w:lang w:eastAsia="fr-FR" w:bidi="fr-FR"/>
              </w:rPr>
              <w:t>23 de noviembre de 1973) estableciendo el reglamento sobre la pesca marítima.</w:t>
            </w:r>
          </w:p>
        </w:tc>
        <w:tc>
          <w:tcPr>
            <w:tcW w:w="964" w:type="dxa"/>
          </w:tcPr>
          <w:p w14:paraId="1E65D678"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tc>
      </w:tr>
      <w:tr w:rsidR="002962EE" w:rsidRPr="00F0379B" w14:paraId="55B37107" w14:textId="77777777" w:rsidTr="00084782">
        <w:tc>
          <w:tcPr>
            <w:tcW w:w="453" w:type="dxa"/>
          </w:tcPr>
          <w:p w14:paraId="3DC29370"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7</w:t>
            </w:r>
          </w:p>
        </w:tc>
        <w:tc>
          <w:tcPr>
            <w:tcW w:w="2678" w:type="dxa"/>
          </w:tcPr>
          <w:p w14:paraId="6C9F14B0"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Times New Roman" w:hAnsi="Cambria" w:cs="Arial"/>
                <w:b/>
                <w:kern w:val="2"/>
                <w:sz w:val="20"/>
                <w:lang w:val="en-US" w:eastAsia="ja-JP"/>
              </w:rPr>
              <w:t>VMS (</w:t>
            </w:r>
            <w:r w:rsidRPr="00F0379B">
              <w:rPr>
                <w:rFonts w:ascii="Cambria" w:eastAsia="Times New Roman" w:hAnsi="Cambria" w:cs="Arial"/>
                <w:b/>
                <w:kern w:val="2"/>
                <w:sz w:val="20"/>
                <w:lang w:val="fr-BE" w:eastAsia="ja-JP"/>
              </w:rPr>
              <w:t>párrs. </w:t>
            </w:r>
            <w:r w:rsidRPr="00F0379B">
              <w:rPr>
                <w:rFonts w:ascii="Cambria" w:eastAsia="Times New Roman" w:hAnsi="Cambria" w:cs="Arial"/>
                <w:b/>
                <w:kern w:val="2"/>
                <w:sz w:val="20"/>
                <w:szCs w:val="20"/>
                <w:lang w:val="en-US" w:eastAsia="ja-JP"/>
              </w:rPr>
              <w:t>222-228</w:t>
            </w:r>
            <w:r w:rsidRPr="00F0379B">
              <w:rPr>
                <w:rFonts w:ascii="Cambria" w:eastAsia="Times New Roman" w:hAnsi="Cambria" w:cs="Arial"/>
                <w:b/>
                <w:kern w:val="2"/>
                <w:sz w:val="20"/>
                <w:lang w:val="en-US" w:eastAsia="ja-JP"/>
              </w:rPr>
              <w:t>)</w:t>
            </w:r>
          </w:p>
        </w:tc>
        <w:tc>
          <w:tcPr>
            <w:tcW w:w="2956" w:type="dxa"/>
          </w:tcPr>
          <w:p w14:paraId="2DE99E72"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 xml:space="preserve">Obligación de llevar a bordo un dispositivo en funcionamiento de posicionamiento y localización </w:t>
            </w:r>
            <w:r w:rsidRPr="00F0379B">
              <w:rPr>
                <w:rFonts w:ascii="Cambria" w:eastAsia="MS Gothic" w:hAnsi="Cambria" w:cs="Times New Roman"/>
                <w:sz w:val="20"/>
                <w:szCs w:val="24"/>
                <w:lang w:eastAsia="fr-FR" w:bidi="fr-FR"/>
              </w:rPr>
              <w:t>para todos los buques pesqueros autorizados sujetos al VMS en virtud de la Recomendación 25-04</w:t>
            </w:r>
            <w:r w:rsidRPr="00F0379B">
              <w:rPr>
                <w:rFonts w:ascii="Cambria" w:eastAsia="MS Gothic" w:hAnsi="Cambria" w:cs="Times New Roman"/>
                <w:kern w:val="2"/>
                <w:sz w:val="20"/>
                <w:szCs w:val="20"/>
                <w:lang w:eastAsia="fr-FR" w:bidi="fr-FR"/>
              </w:rPr>
              <w:t xml:space="preserve">.  </w:t>
            </w:r>
          </w:p>
          <w:p w14:paraId="767054A7" w14:textId="77777777" w:rsidR="002962EE" w:rsidRPr="00F0379B" w:rsidRDefault="002962EE" w:rsidP="00084782">
            <w:pPr>
              <w:widowControl w:val="0"/>
              <w:spacing w:after="0" w:line="240" w:lineRule="auto"/>
              <w:jc w:val="both"/>
              <w:rPr>
                <w:rFonts w:ascii="Cambria" w:eastAsia="MS Gothic" w:hAnsi="Cambria" w:cs="Cambria"/>
                <w:kern w:val="2"/>
                <w:sz w:val="20"/>
                <w:szCs w:val="20"/>
                <w:lang w:eastAsia="fr-FR" w:bidi="fr-FR"/>
              </w:rPr>
            </w:pPr>
          </w:p>
          <w:p w14:paraId="4E6C7152" w14:textId="77777777" w:rsidR="002962EE" w:rsidRPr="00F0379B" w:rsidRDefault="002962EE" w:rsidP="00084782">
            <w:pPr>
              <w:widowControl w:val="0"/>
              <w:spacing w:after="0" w:line="240" w:lineRule="auto"/>
              <w:jc w:val="both"/>
              <w:rPr>
                <w:rFonts w:ascii="Cambria" w:eastAsia="MS Gothic" w:hAnsi="Cambria" w:cs="Cambria"/>
                <w:color w:val="000000"/>
                <w:kern w:val="2"/>
                <w:sz w:val="20"/>
                <w:szCs w:val="20"/>
                <w:lang w:eastAsia="fr-FR" w:bidi="fr-FR"/>
              </w:rPr>
            </w:pPr>
            <w:r w:rsidRPr="00F0379B">
              <w:rPr>
                <w:rFonts w:ascii="Cambria" w:eastAsia="MS Gothic" w:hAnsi="Cambria" w:cs="Times New Roman"/>
                <w:color w:val="000000"/>
                <w:kern w:val="2"/>
                <w:sz w:val="20"/>
                <w:szCs w:val="20"/>
                <w:lang w:eastAsia="fr-FR" w:bidi="fr-FR"/>
              </w:rPr>
              <w:t>La transmisión de datos VMS de los buques pesqueros sujetos al VMS de conformidad con la Rec. 25-04, inscritos en el registro de ICCAT, comienza al menos 5 días antes del periodo de autorización y continúa 5 días después de dicho periodo, salvo si el buque es eliminado de la lista de buques autorizados.</w:t>
            </w:r>
          </w:p>
          <w:p w14:paraId="31442AEF" w14:textId="77777777" w:rsidR="002962EE" w:rsidRPr="00F0379B" w:rsidRDefault="002962EE" w:rsidP="00084782">
            <w:pPr>
              <w:widowControl w:val="0"/>
              <w:spacing w:after="0" w:line="240" w:lineRule="auto"/>
              <w:jc w:val="both"/>
              <w:rPr>
                <w:rFonts w:ascii="Cambria" w:eastAsia="MS Gothic" w:hAnsi="Cambria" w:cs="Cambria"/>
                <w:color w:val="000000"/>
                <w:kern w:val="2"/>
                <w:sz w:val="20"/>
                <w:szCs w:val="20"/>
                <w:lang w:eastAsia="fr-FR" w:bidi="fr-FR"/>
              </w:rPr>
            </w:pPr>
          </w:p>
          <w:p w14:paraId="1F2FEBFE" w14:textId="77777777" w:rsidR="002962EE" w:rsidRPr="00F0379B" w:rsidRDefault="002962EE" w:rsidP="00084782">
            <w:pPr>
              <w:widowControl w:val="0"/>
              <w:suppressAutoHyphens/>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La transmisión de datos VMS se garantiza:</w:t>
            </w:r>
          </w:p>
          <w:p w14:paraId="0C7D2899" w14:textId="77777777" w:rsidR="002962EE" w:rsidRPr="00F0379B" w:rsidRDefault="002962EE" w:rsidP="00084782">
            <w:pPr>
              <w:widowControl w:val="0"/>
              <w:suppressAutoHyphens/>
              <w:spacing w:after="0" w:line="240" w:lineRule="auto"/>
              <w:jc w:val="both"/>
              <w:rPr>
                <w:rFonts w:ascii="Cambria" w:eastAsia="MS Gothic" w:hAnsi="Cambria" w:cs="Cambria"/>
                <w:sz w:val="20"/>
                <w:szCs w:val="20"/>
                <w:lang w:eastAsia="fr-FR" w:bidi="fr-FR"/>
              </w:rPr>
            </w:pPr>
          </w:p>
          <w:p w14:paraId="388B2756" w14:textId="77777777" w:rsidR="002962EE" w:rsidRPr="00F0379B" w:rsidRDefault="002962EE" w:rsidP="00CE0EC8">
            <w:pPr>
              <w:widowControl w:val="0"/>
              <w:numPr>
                <w:ilvl w:val="0"/>
                <w:numId w:val="84"/>
              </w:numPr>
              <w:suppressAutoHyphens/>
              <w:spacing w:after="0" w:line="240" w:lineRule="auto"/>
              <w:ind w:left="261" w:hanging="141"/>
              <w:contextualSpacing/>
              <w:jc w:val="both"/>
              <w:rPr>
                <w:rFonts w:ascii="Cambria" w:eastAsia="MS Gothic" w:hAnsi="Cambria" w:cs="Cambria"/>
                <w:sz w:val="20"/>
                <w:szCs w:val="20"/>
                <w:lang w:eastAsia="fr-FR" w:bidi="fr-FR"/>
              </w:rPr>
            </w:pPr>
            <w:r w:rsidRPr="00F0379B">
              <w:rPr>
                <w:rFonts w:ascii="Cambria" w:eastAsia="MS Gothic" w:hAnsi="Cambria" w:cs="Times New Roman"/>
                <w:sz w:val="20"/>
                <w:szCs w:val="24"/>
                <w:lang w:eastAsia="fr-FR" w:bidi="fr-FR"/>
              </w:rPr>
              <w:t>Cada hora para los cerqueros y los remolcadores;</w:t>
            </w:r>
          </w:p>
          <w:p w14:paraId="4D70D918" w14:textId="77777777" w:rsidR="002962EE" w:rsidRPr="00F0379B" w:rsidRDefault="002962EE" w:rsidP="00CE0EC8">
            <w:pPr>
              <w:widowControl w:val="0"/>
              <w:numPr>
                <w:ilvl w:val="0"/>
                <w:numId w:val="84"/>
              </w:numPr>
              <w:suppressAutoHyphens/>
              <w:spacing w:after="0" w:line="240" w:lineRule="auto"/>
              <w:ind w:left="261" w:hanging="141"/>
              <w:contextualSpacing/>
              <w:jc w:val="both"/>
              <w:rPr>
                <w:rFonts w:ascii="Cambria" w:eastAsia="MS Gothic" w:hAnsi="Cambria" w:cs="Times New Roman"/>
                <w:kern w:val="2"/>
                <w:sz w:val="20"/>
                <w:szCs w:val="20"/>
                <w:lang w:eastAsia="fr-FR" w:bidi="fr-FR"/>
              </w:rPr>
            </w:pPr>
            <w:r w:rsidRPr="00F0379B">
              <w:rPr>
                <w:rFonts w:ascii="Cambria" w:eastAsia="MS Gothic" w:hAnsi="Cambria" w:cs="Times New Roman"/>
                <w:sz w:val="20"/>
                <w:szCs w:val="24"/>
                <w:lang w:eastAsia="fr-FR" w:bidi="fr-FR"/>
              </w:rPr>
              <w:t>Cada dos horas para los demás buques.</w:t>
            </w:r>
          </w:p>
        </w:tc>
        <w:tc>
          <w:tcPr>
            <w:tcW w:w="2413" w:type="dxa"/>
          </w:tcPr>
          <w:p w14:paraId="7D45592A" w14:textId="77777777" w:rsidR="002962EE" w:rsidRPr="00F0379B" w:rsidRDefault="002962EE" w:rsidP="00084782">
            <w:pPr>
              <w:widowControl w:val="0"/>
              <w:spacing w:after="0" w:line="240" w:lineRule="auto"/>
              <w:jc w:val="both"/>
              <w:rPr>
                <w:rFonts w:ascii="Cambria" w:eastAsia="MS Gothic" w:hAnsi="Cambria" w:cs="Cambria"/>
                <w:kern w:val="2"/>
                <w:sz w:val="20"/>
                <w:szCs w:val="20"/>
                <w:lang w:eastAsia="fr-FR" w:bidi="fr-FR"/>
              </w:rPr>
            </w:pPr>
            <w:r w:rsidRPr="00F0379B">
              <w:rPr>
                <w:rFonts w:ascii="Cambria" w:eastAsia="MS Gothic" w:hAnsi="Cambria" w:cs="Times New Roman"/>
                <w:kern w:val="2"/>
                <w:sz w:val="20"/>
                <w:szCs w:val="20"/>
                <w:lang w:eastAsia="fr-FR" w:bidi="fr-FR"/>
              </w:rPr>
              <w:t xml:space="preserve">Decreto n.º </w:t>
            </w:r>
            <w:r w:rsidRPr="00F0379B">
              <w:rPr>
                <w:rFonts w:ascii="Cambria" w:eastAsia="MS Gothic" w:hAnsi="Cambria" w:cs="Cambria"/>
                <w:kern w:val="2"/>
                <w:sz w:val="20"/>
                <w:szCs w:val="20"/>
                <w:lang w:eastAsia="fr-FR" w:bidi="fr-FR"/>
              </w:rPr>
              <w:t xml:space="preserve">2.18.104 </w:t>
            </w:r>
            <w:r w:rsidRPr="00F0379B">
              <w:rPr>
                <w:rFonts w:ascii="Cambria" w:eastAsia="MS Gothic" w:hAnsi="Cambria" w:cs="Times New Roman"/>
                <w:kern w:val="2"/>
                <w:sz w:val="20"/>
                <w:szCs w:val="20"/>
                <w:lang w:eastAsia="fr-FR" w:bidi="fr-FR"/>
              </w:rPr>
              <w:t xml:space="preserve">del </w:t>
            </w:r>
            <w:r w:rsidRPr="00F0379B">
              <w:rPr>
                <w:rFonts w:ascii="Cambria" w:eastAsia="Times New Roman" w:hAnsi="Cambria" w:cs="Calibri"/>
                <w:kern w:val="2"/>
                <w:sz w:val="20"/>
                <w:szCs w:val="20"/>
                <w:lang w:eastAsia="ar-SA"/>
              </w:rPr>
              <w:t xml:space="preserve">02 </w:t>
            </w:r>
            <w:proofErr w:type="spellStart"/>
            <w:r w:rsidRPr="00F0379B">
              <w:rPr>
                <w:rFonts w:ascii="Cambria" w:eastAsia="Times New Roman" w:hAnsi="Cambria" w:cs="Calibri"/>
                <w:kern w:val="2"/>
                <w:sz w:val="20"/>
                <w:szCs w:val="20"/>
                <w:lang w:eastAsia="ar-SA"/>
              </w:rPr>
              <w:t>rabbi</w:t>
            </w:r>
            <w:proofErr w:type="spellEnd"/>
            <w:r w:rsidRPr="00F0379B">
              <w:rPr>
                <w:rFonts w:ascii="Cambria" w:eastAsia="Times New Roman" w:hAnsi="Cambria" w:cs="Calibri"/>
                <w:kern w:val="2"/>
                <w:sz w:val="20"/>
                <w:szCs w:val="20"/>
                <w:lang w:eastAsia="ar-SA"/>
              </w:rPr>
              <w:t xml:space="preserve"> II 1440 (</w:t>
            </w:r>
            <w:r w:rsidRPr="00F0379B">
              <w:rPr>
                <w:rFonts w:ascii="Cambria" w:eastAsia="MS Gothic" w:hAnsi="Cambria" w:cs="Times New Roman"/>
                <w:kern w:val="2"/>
                <w:sz w:val="20"/>
                <w:szCs w:val="20"/>
                <w:lang w:eastAsia="fr-FR" w:bidi="fr-FR"/>
              </w:rPr>
              <w:t xml:space="preserve">10 de diciembre de 2018), que modifica y completa el decreto n1 2-09-674 del </w:t>
            </w:r>
            <w:r w:rsidRPr="00F0379B">
              <w:rPr>
                <w:rFonts w:ascii="Cambria" w:eastAsia="Times New Roman" w:hAnsi="Cambria" w:cs="Calibri"/>
                <w:kern w:val="2"/>
                <w:sz w:val="20"/>
                <w:szCs w:val="20"/>
                <w:lang w:eastAsia="ar-SA"/>
              </w:rPr>
              <w:t xml:space="preserve">30 </w:t>
            </w:r>
            <w:proofErr w:type="spellStart"/>
            <w:r w:rsidRPr="00F0379B">
              <w:rPr>
                <w:rFonts w:ascii="Cambria" w:eastAsia="Times New Roman" w:hAnsi="Cambria" w:cs="Calibri"/>
                <w:kern w:val="2"/>
                <w:sz w:val="20"/>
                <w:szCs w:val="20"/>
                <w:lang w:eastAsia="ar-SA"/>
              </w:rPr>
              <w:t>rabbi</w:t>
            </w:r>
            <w:proofErr w:type="spellEnd"/>
            <w:r w:rsidRPr="00F0379B">
              <w:rPr>
                <w:rFonts w:ascii="Cambria" w:eastAsia="Times New Roman" w:hAnsi="Cambria" w:cs="Calibri"/>
                <w:kern w:val="2"/>
                <w:sz w:val="20"/>
                <w:szCs w:val="20"/>
                <w:lang w:eastAsia="ar-SA"/>
              </w:rPr>
              <w:t xml:space="preserve"> I 1431 (</w:t>
            </w:r>
            <w:r w:rsidRPr="00F0379B">
              <w:rPr>
                <w:rFonts w:ascii="Cambria" w:eastAsia="MS Gothic" w:hAnsi="Cambria" w:cs="Times New Roman"/>
                <w:kern w:val="2"/>
                <w:sz w:val="20"/>
                <w:szCs w:val="20"/>
                <w:lang w:eastAsia="fr-FR" w:bidi="fr-FR"/>
              </w:rPr>
              <w:t xml:space="preserve">17 de marzo de 2010) que fija las condiciones y modalidades de instalación y utilización a bordo de los buques pesqueros de un sistema de posicionamiento y localización continuos utilizando las comunicaciones por satélite para la transmisión de los datos. </w:t>
            </w:r>
          </w:p>
          <w:p w14:paraId="687A8C3A" w14:textId="77777777" w:rsidR="002962EE" w:rsidRPr="00F0379B" w:rsidRDefault="002962EE" w:rsidP="00084782">
            <w:pPr>
              <w:widowControl w:val="0"/>
              <w:spacing w:after="0" w:line="240" w:lineRule="auto"/>
              <w:jc w:val="both"/>
              <w:rPr>
                <w:rFonts w:ascii="Cambria" w:eastAsia="MS Gothic" w:hAnsi="Cambria" w:cs="Calibri"/>
                <w:strike/>
                <w:kern w:val="2"/>
                <w:sz w:val="20"/>
                <w:szCs w:val="20"/>
                <w:lang w:eastAsia="fr-FR" w:bidi="fr-FR"/>
              </w:rPr>
            </w:pPr>
          </w:p>
          <w:p w14:paraId="40628388" w14:textId="77777777" w:rsidR="002962EE" w:rsidRPr="00F0379B" w:rsidRDefault="002962EE" w:rsidP="00084782">
            <w:pPr>
              <w:widowControl w:val="0"/>
              <w:spacing w:after="0" w:line="240" w:lineRule="auto"/>
              <w:rPr>
                <w:rFonts w:ascii="Cambria" w:eastAsia="MS Gothic" w:hAnsi="Cambria" w:cs="Calibri"/>
                <w:color w:val="000000"/>
                <w:sz w:val="20"/>
                <w:szCs w:val="20"/>
                <w:lang w:eastAsia="ar-SA"/>
              </w:rPr>
            </w:pPr>
            <w:r w:rsidRPr="00F0379B">
              <w:rPr>
                <w:rFonts w:ascii="Cambria" w:eastAsia="MS Gothic" w:hAnsi="Cambria" w:cs="Times New Roman"/>
                <w:color w:val="000000"/>
                <w:kern w:val="2"/>
                <w:sz w:val="20"/>
                <w:szCs w:val="20"/>
                <w:lang w:eastAsia="fr-FR" w:bidi="fr-FR"/>
              </w:rPr>
              <w:t xml:space="preserve">Decreto n.º 57419 </w:t>
            </w:r>
            <w:proofErr w:type="gramStart"/>
            <w:r w:rsidRPr="00F0379B">
              <w:rPr>
                <w:rFonts w:ascii="Cambria" w:eastAsia="MS Gothic" w:hAnsi="Cambria" w:cs="Times New Roman"/>
                <w:color w:val="000000"/>
                <w:kern w:val="2"/>
                <w:sz w:val="20"/>
                <w:szCs w:val="20"/>
                <w:lang w:eastAsia="fr-FR" w:bidi="fr-FR"/>
              </w:rPr>
              <w:t xml:space="preserve">del </w:t>
            </w:r>
            <w:r w:rsidRPr="00F0379B">
              <w:rPr>
                <w:rFonts w:ascii="Cambria" w:eastAsia="MS Gothic" w:hAnsi="Cambria" w:cs="Times New Roman"/>
                <w:color w:val="000000"/>
                <w:sz w:val="20"/>
                <w:szCs w:val="24"/>
                <w:lang w:eastAsia="fr-FR" w:bidi="fr-FR"/>
              </w:rPr>
              <w:t xml:space="preserve"> </w:t>
            </w:r>
            <w:r w:rsidRPr="00F0379B">
              <w:rPr>
                <w:rFonts w:ascii="Cambria" w:eastAsia="MS Gothic" w:hAnsi="Cambria" w:cs="Calibri"/>
                <w:color w:val="000000"/>
                <w:sz w:val="20"/>
                <w:szCs w:val="20"/>
                <w:lang w:eastAsia="ar-SA"/>
              </w:rPr>
              <w:t>29</w:t>
            </w:r>
            <w:proofErr w:type="gramEnd"/>
            <w:r w:rsidRPr="00F0379B">
              <w:rPr>
                <w:rFonts w:ascii="Cambria" w:eastAsia="MS Gothic" w:hAnsi="Cambria" w:cs="Calibri"/>
                <w:color w:val="000000"/>
                <w:sz w:val="20"/>
                <w:szCs w:val="20"/>
                <w:lang w:eastAsia="ar-SA"/>
              </w:rPr>
              <w:t xml:space="preserve"> </w:t>
            </w:r>
            <w:proofErr w:type="spellStart"/>
            <w:r w:rsidRPr="00F0379B">
              <w:rPr>
                <w:rFonts w:ascii="Cambria" w:eastAsia="MS Gothic" w:hAnsi="Cambria" w:cs="Calibri"/>
                <w:color w:val="000000"/>
                <w:sz w:val="20"/>
                <w:szCs w:val="20"/>
                <w:lang w:eastAsia="ar-SA"/>
              </w:rPr>
              <w:t>joumada</w:t>
            </w:r>
            <w:proofErr w:type="spellEnd"/>
            <w:r w:rsidRPr="00F0379B">
              <w:rPr>
                <w:rFonts w:ascii="Cambria" w:eastAsia="MS Gothic" w:hAnsi="Cambria" w:cs="Calibri"/>
                <w:color w:val="000000"/>
                <w:sz w:val="20"/>
                <w:szCs w:val="20"/>
                <w:lang w:eastAsia="ar-SA"/>
              </w:rPr>
              <w:t xml:space="preserve"> II 1440</w:t>
            </w:r>
          </w:p>
          <w:p w14:paraId="1E5CD8EB" w14:textId="77777777" w:rsidR="002962EE" w:rsidRPr="00F0379B" w:rsidRDefault="002962EE" w:rsidP="00084782">
            <w:pPr>
              <w:widowControl w:val="0"/>
              <w:spacing w:after="0" w:line="240" w:lineRule="auto"/>
              <w:jc w:val="both"/>
              <w:rPr>
                <w:rFonts w:ascii="Cambria" w:eastAsia="MS Gothic" w:hAnsi="Cambria" w:cs="Times New Roman"/>
                <w:color w:val="000000"/>
                <w:kern w:val="2"/>
                <w:sz w:val="20"/>
                <w:szCs w:val="20"/>
                <w:lang w:eastAsia="fr-FR" w:bidi="fr-FR"/>
              </w:rPr>
            </w:pPr>
            <w:r w:rsidRPr="00F0379B">
              <w:rPr>
                <w:rFonts w:ascii="Cambria" w:eastAsia="MS Gothic" w:hAnsi="Cambria" w:cs="Calibri"/>
                <w:color w:val="000000"/>
                <w:sz w:val="20"/>
                <w:szCs w:val="20"/>
                <w:lang w:eastAsia="ar-SA"/>
              </w:rPr>
              <w:t>(</w:t>
            </w:r>
            <w:r w:rsidRPr="00F0379B">
              <w:rPr>
                <w:rFonts w:ascii="Cambria" w:eastAsia="MS Gothic" w:hAnsi="Cambria" w:cs="Times New Roman"/>
                <w:color w:val="000000"/>
                <w:kern w:val="2"/>
                <w:sz w:val="20"/>
                <w:szCs w:val="20"/>
                <w:lang w:eastAsia="fr-FR" w:bidi="fr-FR"/>
              </w:rPr>
              <w:t>7 de marzo de 2019)</w:t>
            </w:r>
          </w:p>
          <w:p w14:paraId="6AFA610C" w14:textId="77777777" w:rsidR="002962EE" w:rsidRPr="00F0379B" w:rsidRDefault="002962EE" w:rsidP="00084782">
            <w:pPr>
              <w:widowControl w:val="0"/>
              <w:spacing w:after="0" w:line="240" w:lineRule="auto"/>
              <w:jc w:val="both"/>
              <w:rPr>
                <w:rFonts w:ascii="Cambria" w:eastAsia="MS Gothic" w:hAnsi="Cambria" w:cs="Calibri"/>
                <w:color w:val="000000"/>
                <w:kern w:val="2"/>
                <w:sz w:val="20"/>
                <w:szCs w:val="20"/>
                <w:lang w:eastAsia="fr-FR" w:bidi="fr-FR"/>
              </w:rPr>
            </w:pPr>
            <w:r w:rsidRPr="00F0379B">
              <w:rPr>
                <w:rFonts w:ascii="Cambria" w:eastAsia="MS Gothic" w:hAnsi="Cambria" w:cs="Times New Roman"/>
                <w:color w:val="000000"/>
                <w:kern w:val="2"/>
                <w:sz w:val="20"/>
                <w:szCs w:val="20"/>
                <w:lang w:eastAsia="fr-FR" w:bidi="fr-FR"/>
              </w:rPr>
              <w:t xml:space="preserve">relativo al dispositivo de posicionamiento y localización continua de los buques de pesca. </w:t>
            </w:r>
          </w:p>
        </w:tc>
        <w:tc>
          <w:tcPr>
            <w:tcW w:w="964" w:type="dxa"/>
          </w:tcPr>
          <w:p w14:paraId="2269F39C"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tc>
      </w:tr>
      <w:tr w:rsidR="002962EE" w:rsidRPr="00F0379B" w14:paraId="6F55FEB2" w14:textId="77777777" w:rsidTr="00084782">
        <w:tc>
          <w:tcPr>
            <w:tcW w:w="453" w:type="dxa"/>
          </w:tcPr>
          <w:p w14:paraId="6003ECB6"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8</w:t>
            </w:r>
          </w:p>
        </w:tc>
        <w:tc>
          <w:tcPr>
            <w:tcW w:w="2678" w:type="dxa"/>
          </w:tcPr>
          <w:p w14:paraId="119CF3C9"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bookmarkStart w:id="16" w:name="_Hlk189184"/>
            <w:r w:rsidRPr="00F0379B">
              <w:rPr>
                <w:rFonts w:ascii="Cambria" w:eastAsia="MS Gothic" w:hAnsi="Cambria" w:cs="Times New Roman"/>
                <w:b/>
                <w:kern w:val="2"/>
                <w:sz w:val="20"/>
                <w:szCs w:val="20"/>
                <w:lang w:eastAsia="fr-FR" w:bidi="fr-FR"/>
              </w:rPr>
              <w:t>Programa de observadores de las CPC (párr. 95-100)</w:t>
            </w:r>
            <w:bookmarkEnd w:id="16"/>
          </w:p>
        </w:tc>
        <w:tc>
          <w:tcPr>
            <w:tcW w:w="2956" w:type="dxa"/>
          </w:tcPr>
          <w:p w14:paraId="4D412E8D" w14:textId="77777777" w:rsidR="002962EE" w:rsidRPr="00F0379B" w:rsidRDefault="002962EE" w:rsidP="00084782">
            <w:pPr>
              <w:widowControl w:val="0"/>
              <w:spacing w:after="0" w:line="240" w:lineRule="auto"/>
              <w:jc w:val="both"/>
              <w:rPr>
                <w:rFonts w:ascii="Cambria" w:eastAsia="MS Gothic" w:hAnsi="Cambria" w:cs="Cambria"/>
                <w:color w:val="000000"/>
                <w:kern w:val="2"/>
                <w:sz w:val="20"/>
                <w:szCs w:val="20"/>
                <w:lang w:eastAsia="fr-FR" w:bidi="fr-FR"/>
              </w:rPr>
            </w:pPr>
            <w:r w:rsidRPr="00F0379B">
              <w:rPr>
                <w:rFonts w:ascii="Cambria" w:eastAsia="MS Gothic" w:hAnsi="Cambria" w:cs="Times New Roman"/>
                <w:color w:val="000000"/>
                <w:kern w:val="2"/>
                <w:sz w:val="20"/>
                <w:szCs w:val="20"/>
                <w:lang w:eastAsia="fr-FR" w:bidi="fr-FR"/>
              </w:rPr>
              <w:t>Presencia obligatoria de observadores durante las siguientes operaciones:</w:t>
            </w:r>
          </w:p>
          <w:p w14:paraId="58A3AA78" w14:textId="77777777" w:rsidR="002962EE" w:rsidRPr="00F0379B" w:rsidRDefault="002962EE" w:rsidP="00084782">
            <w:pPr>
              <w:widowControl w:val="0"/>
              <w:spacing w:after="0" w:line="240" w:lineRule="auto"/>
              <w:jc w:val="both"/>
              <w:rPr>
                <w:rFonts w:ascii="Cambria" w:eastAsia="MS Gothic" w:hAnsi="Cambria" w:cs="Cambria"/>
                <w:color w:val="000000"/>
                <w:kern w:val="2"/>
                <w:sz w:val="20"/>
                <w:szCs w:val="20"/>
                <w:lang w:eastAsia="fr-FR" w:bidi="fr-FR"/>
              </w:rPr>
            </w:pPr>
          </w:p>
          <w:p w14:paraId="19CF8FDE"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 la transferencia de atún rojo vivo de la almadraba a la granja de cría;</w:t>
            </w:r>
          </w:p>
          <w:p w14:paraId="4ACEFC0F"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  el sacrificio de atún rojo;</w:t>
            </w:r>
          </w:p>
          <w:p w14:paraId="01A89F13"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 transferencia dentro de la granja (de una jaula flotante a otra);</w:t>
            </w:r>
          </w:p>
          <w:p w14:paraId="3CEB444A"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 precintado y desprecintado de jaulas.</w:t>
            </w:r>
          </w:p>
        </w:tc>
        <w:tc>
          <w:tcPr>
            <w:tcW w:w="2413" w:type="dxa"/>
          </w:tcPr>
          <w:p w14:paraId="28A7A10E" w14:textId="77777777" w:rsidR="002962EE" w:rsidRPr="00F0379B" w:rsidRDefault="002962EE" w:rsidP="00084782">
            <w:pPr>
              <w:widowControl w:val="0"/>
              <w:spacing w:after="0" w:line="240" w:lineRule="auto"/>
              <w:jc w:val="both"/>
              <w:rPr>
                <w:rFonts w:ascii="Cambria" w:eastAsia="MS Gothic" w:hAnsi="Cambria" w:cs="Times New Roman"/>
                <w:i/>
                <w:iCs/>
                <w:kern w:val="2"/>
                <w:sz w:val="20"/>
                <w:szCs w:val="20"/>
                <w:lang w:eastAsia="fr-FR" w:bidi="fr-FR"/>
              </w:rPr>
            </w:pPr>
          </w:p>
        </w:tc>
        <w:tc>
          <w:tcPr>
            <w:tcW w:w="964" w:type="dxa"/>
          </w:tcPr>
          <w:p w14:paraId="41DA50AE"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tc>
      </w:tr>
      <w:tr w:rsidR="002962EE" w:rsidRPr="00F0379B" w14:paraId="0F3D124F" w14:textId="77777777" w:rsidTr="00084782">
        <w:tc>
          <w:tcPr>
            <w:tcW w:w="453" w:type="dxa"/>
          </w:tcPr>
          <w:p w14:paraId="5118EA8C"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9</w:t>
            </w:r>
          </w:p>
        </w:tc>
        <w:tc>
          <w:tcPr>
            <w:tcW w:w="2678" w:type="dxa"/>
          </w:tcPr>
          <w:p w14:paraId="43EAEEAD"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val="pt-BR" w:eastAsia="fr-FR" w:bidi="fr-FR"/>
              </w:rPr>
              <w:t>Programa Regional de Observadores (</w:t>
            </w:r>
            <w:proofErr w:type="spellStart"/>
            <w:r w:rsidRPr="00F0379B">
              <w:rPr>
                <w:rFonts w:ascii="Cambria" w:eastAsia="MS Gothic" w:hAnsi="Cambria" w:cs="Times New Roman"/>
                <w:b/>
                <w:kern w:val="2"/>
                <w:sz w:val="20"/>
                <w:szCs w:val="20"/>
                <w:lang w:val="pt-BR" w:eastAsia="fr-FR" w:bidi="fr-FR"/>
              </w:rPr>
              <w:t>párr</w:t>
            </w:r>
            <w:proofErr w:type="spellEnd"/>
            <w:r w:rsidRPr="00F0379B">
              <w:rPr>
                <w:rFonts w:ascii="Cambria" w:eastAsia="MS Gothic" w:hAnsi="Cambria" w:cs="Times New Roman"/>
                <w:b/>
                <w:kern w:val="2"/>
                <w:sz w:val="20"/>
                <w:szCs w:val="20"/>
                <w:lang w:val="pt-BR" w:eastAsia="fr-FR" w:bidi="fr-FR"/>
              </w:rPr>
              <w:t xml:space="preserve">. </w:t>
            </w:r>
            <w:r w:rsidRPr="00F0379B">
              <w:rPr>
                <w:rFonts w:ascii="Cambria" w:eastAsia="MS Gothic" w:hAnsi="Cambria" w:cs="Times New Roman"/>
                <w:b/>
                <w:kern w:val="2"/>
                <w:sz w:val="20"/>
                <w:szCs w:val="20"/>
                <w:lang w:eastAsia="fr-FR" w:bidi="fr-FR"/>
              </w:rPr>
              <w:t>101-107)</w:t>
            </w:r>
          </w:p>
        </w:tc>
        <w:tc>
          <w:tcPr>
            <w:tcW w:w="2956" w:type="dxa"/>
          </w:tcPr>
          <w:p w14:paraId="26D33951" w14:textId="77777777" w:rsidR="002962EE" w:rsidRPr="00F0379B" w:rsidRDefault="002962EE" w:rsidP="00084782">
            <w:pPr>
              <w:widowControl w:val="0"/>
              <w:spacing w:after="0" w:line="240" w:lineRule="auto"/>
              <w:jc w:val="both"/>
              <w:rPr>
                <w:rFonts w:ascii="Cambria" w:eastAsia="MS Gothic" w:hAnsi="Cambria" w:cs="Cambria"/>
                <w:color w:val="000000"/>
                <w:kern w:val="2"/>
                <w:sz w:val="20"/>
                <w:szCs w:val="20"/>
                <w:lang w:val="pt-BR" w:eastAsia="fr-FR" w:bidi="fr-FR"/>
              </w:rPr>
            </w:pPr>
            <w:r w:rsidRPr="00F0379B">
              <w:rPr>
                <w:rFonts w:ascii="Cambria" w:eastAsia="MS Gothic" w:hAnsi="Cambria" w:cs="Times New Roman"/>
                <w:color w:val="000000"/>
                <w:kern w:val="2"/>
                <w:sz w:val="20"/>
                <w:szCs w:val="20"/>
                <w:lang w:val="pt-BR" w:eastAsia="fr-FR" w:bidi="fr-FR"/>
              </w:rPr>
              <w:t>Presencia de observadores a bordo.</w:t>
            </w:r>
          </w:p>
          <w:p w14:paraId="104AA36F" w14:textId="77777777" w:rsidR="002962EE" w:rsidRPr="00F0379B" w:rsidRDefault="002962EE" w:rsidP="00084782">
            <w:pPr>
              <w:widowControl w:val="0"/>
              <w:spacing w:after="0" w:line="240" w:lineRule="auto"/>
              <w:jc w:val="both"/>
              <w:rPr>
                <w:rFonts w:ascii="Cambria" w:eastAsia="MS Gothic" w:hAnsi="Cambria" w:cs="Cambria"/>
                <w:kern w:val="2"/>
                <w:sz w:val="20"/>
                <w:szCs w:val="20"/>
                <w:lang w:val="pt-BR" w:eastAsia="fr-FR" w:bidi="fr-FR"/>
              </w:rPr>
            </w:pPr>
          </w:p>
          <w:p w14:paraId="1A6C85FC"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 xml:space="preserve">- Transferencia de atún rojo vivo desde la almadraba a las granjas de cría: 100 % </w:t>
            </w:r>
          </w:p>
          <w:p w14:paraId="505CD1EA"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 xml:space="preserve">- Introducción en jaulas y sacrificio en las granjas; 100 % </w:t>
            </w:r>
          </w:p>
          <w:p w14:paraId="13EDCEC9"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 xml:space="preserve"> - Cerqueros atuneros: 100 %</w:t>
            </w:r>
          </w:p>
        </w:tc>
        <w:tc>
          <w:tcPr>
            <w:tcW w:w="2413" w:type="dxa"/>
          </w:tcPr>
          <w:p w14:paraId="2522A127"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tc>
        <w:tc>
          <w:tcPr>
            <w:tcW w:w="964" w:type="dxa"/>
          </w:tcPr>
          <w:p w14:paraId="3C8D2E7C"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tc>
      </w:tr>
      <w:tr w:rsidR="002962EE" w:rsidRPr="00F0379B" w14:paraId="2898EC1C" w14:textId="77777777" w:rsidTr="00084782">
        <w:tc>
          <w:tcPr>
            <w:tcW w:w="453" w:type="dxa"/>
          </w:tcPr>
          <w:p w14:paraId="34F40A36"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10</w:t>
            </w:r>
          </w:p>
        </w:tc>
        <w:tc>
          <w:tcPr>
            <w:tcW w:w="2678" w:type="dxa"/>
          </w:tcPr>
          <w:p w14:paraId="11388539" w14:textId="77777777" w:rsidR="002962EE" w:rsidRPr="00F0379B" w:rsidRDefault="002962EE" w:rsidP="00084782">
            <w:pPr>
              <w:widowControl w:val="0"/>
              <w:spacing w:after="0" w:line="240" w:lineRule="auto"/>
              <w:jc w:val="both"/>
              <w:rPr>
                <w:rFonts w:ascii="Cambria" w:eastAsia="MS Gothic" w:hAnsi="Cambria" w:cs="Times New Roman"/>
                <w:b/>
                <w:kern w:val="2"/>
                <w:sz w:val="20"/>
                <w:szCs w:val="20"/>
                <w:lang w:val="pt-BR" w:eastAsia="fr-FR" w:bidi="fr-FR"/>
              </w:rPr>
            </w:pPr>
            <w:proofErr w:type="spellStart"/>
            <w:r w:rsidRPr="00F0379B">
              <w:rPr>
                <w:rFonts w:ascii="Cambria" w:eastAsia="MS Gothic" w:hAnsi="Cambria" w:cs="Times New Roman"/>
                <w:b/>
                <w:kern w:val="2"/>
                <w:sz w:val="20"/>
                <w:szCs w:val="20"/>
                <w:lang w:val="pt-BR" w:eastAsia="fr-FR" w:bidi="fr-FR"/>
              </w:rPr>
              <w:t>Legislación</w:t>
            </w:r>
            <w:proofErr w:type="spellEnd"/>
            <w:r w:rsidRPr="00F0379B">
              <w:rPr>
                <w:rFonts w:ascii="Cambria" w:eastAsia="MS Gothic" w:hAnsi="Cambria" w:cs="Times New Roman"/>
                <w:b/>
                <w:kern w:val="2"/>
                <w:sz w:val="20"/>
                <w:szCs w:val="20"/>
                <w:lang w:val="pt-BR" w:eastAsia="fr-FR" w:bidi="fr-FR"/>
              </w:rPr>
              <w:t xml:space="preserve"> nacional</w:t>
            </w:r>
          </w:p>
        </w:tc>
        <w:tc>
          <w:tcPr>
            <w:tcW w:w="2956" w:type="dxa"/>
          </w:tcPr>
          <w:p w14:paraId="405B99BF" w14:textId="77777777" w:rsidR="002962EE" w:rsidRPr="00F0379B" w:rsidRDefault="002962EE" w:rsidP="00084782">
            <w:pPr>
              <w:widowControl w:val="0"/>
              <w:spacing w:after="0" w:line="240" w:lineRule="auto"/>
              <w:jc w:val="both"/>
              <w:rPr>
                <w:rFonts w:ascii="Cambria" w:eastAsia="MS Gothic" w:hAnsi="Cambria" w:cs="Times New Roman"/>
                <w:color w:val="000000"/>
                <w:kern w:val="2"/>
                <w:sz w:val="20"/>
                <w:szCs w:val="20"/>
                <w:lang w:eastAsia="fr-FR" w:bidi="fr-FR"/>
              </w:rPr>
            </w:pPr>
          </w:p>
        </w:tc>
        <w:tc>
          <w:tcPr>
            <w:tcW w:w="2413" w:type="dxa"/>
          </w:tcPr>
          <w:p w14:paraId="15261D84"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Times New Roman" w:hAnsi="Cambria" w:cs="Arial"/>
                <w:kern w:val="2"/>
                <w:sz w:val="20"/>
                <w:lang w:eastAsia="ja-JP"/>
              </w:rPr>
              <w:t xml:space="preserve">Decreto de la Secretaria de Estado adjunta al Ministerio de Agricultura, Pesca Marítima, Desarrollo Rural y Aguas y Bosques, encargada de la Pesca Marítima, n.º 2648-24, de 5 </w:t>
            </w:r>
            <w:proofErr w:type="spellStart"/>
            <w:r w:rsidRPr="00F0379B">
              <w:rPr>
                <w:rFonts w:ascii="Cambria" w:eastAsia="Times New Roman" w:hAnsi="Cambria" w:cs="Arial"/>
                <w:kern w:val="2"/>
                <w:sz w:val="20"/>
                <w:lang w:eastAsia="ja-JP"/>
              </w:rPr>
              <w:t>joumada</w:t>
            </w:r>
            <w:proofErr w:type="spellEnd"/>
            <w:r w:rsidRPr="00F0379B">
              <w:rPr>
                <w:rFonts w:ascii="Cambria" w:eastAsia="Times New Roman" w:hAnsi="Cambria" w:cs="Arial"/>
                <w:kern w:val="2"/>
                <w:sz w:val="20"/>
                <w:lang w:eastAsia="ja-JP"/>
              </w:rPr>
              <w:t xml:space="preserve"> I 1446 (8 de noviembre de 2024) relativo al plan de desarrollo y ordenación de la pesquería de atún rojo (</w:t>
            </w:r>
            <w:proofErr w:type="spellStart"/>
            <w:r w:rsidRPr="00F0379B">
              <w:rPr>
                <w:rFonts w:ascii="Cambria" w:eastAsia="Times New Roman" w:hAnsi="Cambria" w:cs="Arial"/>
                <w:i/>
                <w:iCs/>
                <w:kern w:val="2"/>
                <w:sz w:val="20"/>
                <w:lang w:eastAsia="ja-JP"/>
              </w:rPr>
              <w:t>Thunnus</w:t>
            </w:r>
            <w:proofErr w:type="spellEnd"/>
            <w:r w:rsidRPr="00F0379B">
              <w:rPr>
                <w:rFonts w:ascii="Cambria" w:eastAsia="Times New Roman" w:hAnsi="Cambria" w:cs="Arial"/>
                <w:i/>
                <w:iCs/>
                <w:kern w:val="2"/>
                <w:sz w:val="20"/>
                <w:lang w:eastAsia="ja-JP"/>
              </w:rPr>
              <w:t xml:space="preserve"> </w:t>
            </w:r>
            <w:proofErr w:type="spellStart"/>
            <w:r w:rsidRPr="00F0379B">
              <w:rPr>
                <w:rFonts w:ascii="Cambria" w:eastAsia="Times New Roman" w:hAnsi="Cambria" w:cs="Arial"/>
                <w:i/>
                <w:iCs/>
                <w:kern w:val="2"/>
                <w:sz w:val="20"/>
                <w:lang w:eastAsia="ja-JP"/>
              </w:rPr>
              <w:t>thynnus</w:t>
            </w:r>
            <w:proofErr w:type="spellEnd"/>
            <w:r w:rsidRPr="00F0379B">
              <w:rPr>
                <w:rFonts w:ascii="Cambria" w:eastAsia="Times New Roman" w:hAnsi="Cambria" w:cs="Arial"/>
                <w:kern w:val="2"/>
                <w:sz w:val="20"/>
                <w:lang w:eastAsia="ja-JP"/>
              </w:rPr>
              <w:t>) en aguas marítimas marroquíes.</w:t>
            </w:r>
          </w:p>
        </w:tc>
        <w:tc>
          <w:tcPr>
            <w:tcW w:w="964" w:type="dxa"/>
          </w:tcPr>
          <w:p w14:paraId="7246FE5B"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eastAsia="fr-FR" w:bidi="fr-FR"/>
              </w:rPr>
            </w:pPr>
          </w:p>
        </w:tc>
      </w:tr>
    </w:tbl>
    <w:p w14:paraId="0DA6BC2D" w14:textId="77777777" w:rsidR="002962EE" w:rsidRPr="00F0379B" w:rsidRDefault="002962EE" w:rsidP="002962EE">
      <w:pPr>
        <w:spacing w:after="0" w:line="240" w:lineRule="exact"/>
        <w:rPr>
          <w:rFonts w:ascii="Cambria" w:eastAsia="MS Gothic" w:hAnsi="Cambria" w:cs="Times New Roman"/>
          <w:b/>
          <w:bCs/>
          <w:i/>
          <w:iCs/>
          <w:kern w:val="2"/>
          <w:sz w:val="20"/>
          <w:szCs w:val="20"/>
          <w:lang w:eastAsia="fr-FR" w:bidi="fr-FR"/>
        </w:rPr>
      </w:pPr>
      <w:r w:rsidRPr="00F0379B">
        <w:rPr>
          <w:rFonts w:ascii="Cambria" w:eastAsia="MS Gothic" w:hAnsi="Cambria" w:cs="Times New Roman"/>
          <w:b/>
          <w:bCs/>
          <w:i/>
          <w:iCs/>
          <w:kern w:val="2"/>
          <w:sz w:val="20"/>
          <w:szCs w:val="20"/>
          <w:lang w:eastAsia="fr-FR" w:bidi="fr-FR"/>
        </w:rPr>
        <w:br w:type="page"/>
        <w:t>1 e) Puertos designados (párrafo 80)</w:t>
      </w:r>
    </w:p>
    <w:p w14:paraId="508DC132" w14:textId="77777777" w:rsidR="002962EE" w:rsidRPr="00F0379B" w:rsidRDefault="002962EE" w:rsidP="002962EE">
      <w:pPr>
        <w:widowControl w:val="0"/>
        <w:spacing w:after="0" w:line="240" w:lineRule="exact"/>
        <w:ind w:left="426" w:hanging="426"/>
        <w:jc w:val="both"/>
        <w:rPr>
          <w:rFonts w:ascii="Cambria" w:eastAsia="MS Gothic" w:hAnsi="Cambria" w:cs="Times New Roman"/>
          <w:b/>
          <w:bCs/>
          <w:i/>
          <w:iCs/>
          <w:kern w:val="2"/>
          <w:sz w:val="20"/>
          <w:szCs w:val="20"/>
          <w:lang w:eastAsia="fr-FR" w:bidi="fr-FR"/>
        </w:rPr>
      </w:pPr>
    </w:p>
    <w:p w14:paraId="69397381" w14:textId="77777777" w:rsidR="002962EE" w:rsidRPr="00F0379B" w:rsidRDefault="002962EE" w:rsidP="002962EE">
      <w:pPr>
        <w:widowControl w:val="0"/>
        <w:spacing w:after="0" w:line="240" w:lineRule="exact"/>
        <w:ind w:left="426" w:hanging="426"/>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Lista de puertos designados para el desembarque y transbordo de atún rojo para la temporada de 2026:</w:t>
      </w:r>
    </w:p>
    <w:p w14:paraId="5C10FB9F" w14:textId="77777777" w:rsidR="002962EE" w:rsidRPr="00F0379B" w:rsidRDefault="002962EE" w:rsidP="002962EE">
      <w:pPr>
        <w:widowControl w:val="0"/>
        <w:spacing w:after="0" w:line="240" w:lineRule="exact"/>
        <w:ind w:left="426" w:hanging="426"/>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Agadir, Casablanca, Dakhla, Kenitra, El Aaiún, Larache y Tánger.</w:t>
      </w:r>
    </w:p>
    <w:p w14:paraId="1291E1D9" w14:textId="77777777" w:rsidR="002962EE" w:rsidRPr="00F0379B" w:rsidRDefault="002962EE" w:rsidP="002962EE">
      <w:pPr>
        <w:widowControl w:val="0"/>
        <w:spacing w:after="0" w:line="240" w:lineRule="exact"/>
        <w:ind w:left="426" w:hanging="426"/>
        <w:jc w:val="both"/>
        <w:rPr>
          <w:rFonts w:ascii="Cambria" w:eastAsia="MS Gothic" w:hAnsi="Cambria" w:cs="Times New Roman"/>
          <w:kern w:val="2"/>
          <w:sz w:val="20"/>
          <w:szCs w:val="20"/>
          <w:lang w:eastAsia="fr-FR" w:bidi="fr-FR"/>
        </w:rPr>
      </w:pPr>
    </w:p>
    <w:p w14:paraId="01920892" w14:textId="77777777" w:rsidR="002962EE" w:rsidRPr="00F0379B" w:rsidRDefault="002962EE" w:rsidP="002962EE">
      <w:pPr>
        <w:widowControl w:val="0"/>
        <w:spacing w:after="0" w:line="240" w:lineRule="auto"/>
        <w:ind w:left="426" w:hanging="426"/>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Lista de puertos designados exclusivamente para el desembarque de atún rojo para la temporada de 2026:</w:t>
      </w:r>
    </w:p>
    <w:p w14:paraId="5A5F6822" w14:textId="77777777" w:rsidR="002962EE" w:rsidRPr="00F0379B" w:rsidRDefault="002962EE" w:rsidP="002962EE">
      <w:pPr>
        <w:widowControl w:val="0"/>
        <w:spacing w:after="0" w:line="240" w:lineRule="auto"/>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 xml:space="preserve">Alhucemas, Asilah, Bojador, El </w:t>
      </w:r>
      <w:proofErr w:type="spellStart"/>
      <w:r w:rsidRPr="00F0379B">
        <w:rPr>
          <w:rFonts w:ascii="Cambria" w:eastAsia="MS Gothic" w:hAnsi="Cambria" w:cs="Times New Roman"/>
          <w:kern w:val="2"/>
          <w:sz w:val="20"/>
          <w:szCs w:val="20"/>
          <w:lang w:eastAsia="fr-FR" w:bidi="fr-FR"/>
        </w:rPr>
        <w:t>jadida</w:t>
      </w:r>
      <w:proofErr w:type="spellEnd"/>
      <w:r w:rsidRPr="00F0379B">
        <w:rPr>
          <w:rFonts w:ascii="Cambria" w:eastAsia="MS Gothic" w:hAnsi="Cambria" w:cs="Times New Roman"/>
          <w:kern w:val="2"/>
          <w:sz w:val="20"/>
          <w:szCs w:val="20"/>
          <w:lang w:eastAsia="fr-FR" w:bidi="fr-FR"/>
        </w:rPr>
        <w:t xml:space="preserve">, </w:t>
      </w:r>
      <w:proofErr w:type="spellStart"/>
      <w:r w:rsidRPr="00F0379B">
        <w:rPr>
          <w:rFonts w:ascii="Cambria" w:eastAsia="MS Gothic" w:hAnsi="Cambria" w:cs="Times New Roman"/>
          <w:kern w:val="2"/>
          <w:sz w:val="20"/>
          <w:szCs w:val="20"/>
          <w:lang w:eastAsia="fr-FR" w:bidi="fr-FR"/>
        </w:rPr>
        <w:t>Essaouira</w:t>
      </w:r>
      <w:proofErr w:type="spellEnd"/>
      <w:r w:rsidRPr="00F0379B">
        <w:rPr>
          <w:rFonts w:ascii="Cambria" w:eastAsia="MS Gothic" w:hAnsi="Cambria" w:cs="Times New Roman"/>
          <w:kern w:val="2"/>
          <w:sz w:val="20"/>
          <w:szCs w:val="20"/>
          <w:lang w:eastAsia="fr-FR" w:bidi="fr-FR"/>
        </w:rPr>
        <w:t xml:space="preserve">, </w:t>
      </w:r>
      <w:proofErr w:type="spellStart"/>
      <w:r w:rsidRPr="00F0379B">
        <w:rPr>
          <w:rFonts w:ascii="Cambria" w:eastAsia="MS Gothic" w:hAnsi="Cambria" w:cs="Times New Roman"/>
          <w:kern w:val="2"/>
          <w:sz w:val="20"/>
          <w:szCs w:val="20"/>
          <w:lang w:eastAsia="fr-FR" w:bidi="fr-FR"/>
        </w:rPr>
        <w:t>Jebha</w:t>
      </w:r>
      <w:proofErr w:type="spellEnd"/>
      <w:r w:rsidRPr="00F0379B">
        <w:rPr>
          <w:rFonts w:ascii="Cambria" w:eastAsia="MS Gothic" w:hAnsi="Cambria" w:cs="Times New Roman"/>
          <w:kern w:val="2"/>
          <w:sz w:val="20"/>
          <w:szCs w:val="20"/>
          <w:lang w:eastAsia="fr-FR" w:bidi="fr-FR"/>
        </w:rPr>
        <w:t xml:space="preserve">, </w:t>
      </w:r>
      <w:proofErr w:type="spellStart"/>
      <w:r w:rsidRPr="00F0379B">
        <w:rPr>
          <w:rFonts w:ascii="Cambria" w:eastAsia="MS Gothic" w:hAnsi="Cambria" w:cs="Times New Roman"/>
          <w:kern w:val="2"/>
          <w:sz w:val="20"/>
          <w:szCs w:val="20"/>
          <w:lang w:eastAsia="fr-FR" w:bidi="fr-FR"/>
        </w:rPr>
        <w:t>Jorf</w:t>
      </w:r>
      <w:proofErr w:type="spellEnd"/>
      <w:r w:rsidRPr="00F0379B">
        <w:rPr>
          <w:rFonts w:ascii="Cambria" w:eastAsia="MS Gothic" w:hAnsi="Cambria" w:cs="Times New Roman"/>
          <w:kern w:val="2"/>
          <w:sz w:val="20"/>
          <w:szCs w:val="20"/>
          <w:lang w:eastAsia="fr-FR" w:bidi="fr-FR"/>
        </w:rPr>
        <w:t xml:space="preserve"> Lasfar, </w:t>
      </w:r>
      <w:proofErr w:type="spellStart"/>
      <w:r w:rsidRPr="00F0379B">
        <w:rPr>
          <w:rFonts w:ascii="Cambria" w:eastAsia="MS Gothic" w:hAnsi="Cambria" w:cs="Times New Roman"/>
          <w:kern w:val="2"/>
          <w:sz w:val="20"/>
          <w:szCs w:val="20"/>
          <w:lang w:eastAsia="fr-FR" w:bidi="fr-FR"/>
        </w:rPr>
        <w:t>Ksar</w:t>
      </w:r>
      <w:proofErr w:type="spellEnd"/>
      <w:r w:rsidRPr="00F0379B">
        <w:rPr>
          <w:rFonts w:ascii="Cambria" w:eastAsia="MS Gothic" w:hAnsi="Cambria" w:cs="Times New Roman"/>
          <w:kern w:val="2"/>
          <w:sz w:val="20"/>
          <w:szCs w:val="20"/>
          <w:lang w:eastAsia="fr-FR" w:bidi="fr-FR"/>
        </w:rPr>
        <w:t xml:space="preserve"> Sghir, </w:t>
      </w:r>
      <w:proofErr w:type="spellStart"/>
      <w:r w:rsidRPr="00F0379B">
        <w:rPr>
          <w:rFonts w:ascii="Cambria" w:eastAsia="MS Gothic" w:hAnsi="Cambria" w:cs="Times New Roman"/>
          <w:kern w:val="2"/>
          <w:sz w:val="20"/>
          <w:szCs w:val="20"/>
          <w:lang w:eastAsia="fr-FR" w:bidi="fr-FR"/>
        </w:rPr>
        <w:t>Mdiq</w:t>
      </w:r>
      <w:proofErr w:type="spellEnd"/>
      <w:r w:rsidRPr="00F0379B">
        <w:rPr>
          <w:rFonts w:ascii="Cambria" w:eastAsia="MS Gothic" w:hAnsi="Cambria" w:cs="Times New Roman"/>
          <w:kern w:val="2"/>
          <w:sz w:val="20"/>
          <w:szCs w:val="20"/>
          <w:lang w:eastAsia="fr-FR" w:bidi="fr-FR"/>
        </w:rPr>
        <w:t xml:space="preserve">, </w:t>
      </w:r>
      <w:proofErr w:type="spellStart"/>
      <w:r w:rsidRPr="00F0379B">
        <w:rPr>
          <w:rFonts w:ascii="Cambria" w:eastAsia="MS Gothic" w:hAnsi="Cambria" w:cs="Times New Roman"/>
          <w:kern w:val="2"/>
          <w:sz w:val="20"/>
          <w:szCs w:val="20"/>
          <w:lang w:eastAsia="fr-FR" w:bidi="fr-FR"/>
        </w:rPr>
        <w:t>Mohammedia</w:t>
      </w:r>
      <w:proofErr w:type="spellEnd"/>
      <w:r w:rsidRPr="00F0379B">
        <w:rPr>
          <w:rFonts w:ascii="Cambria" w:eastAsia="MS Gothic" w:hAnsi="Cambria" w:cs="Times New Roman"/>
          <w:kern w:val="2"/>
          <w:sz w:val="20"/>
          <w:szCs w:val="20"/>
          <w:lang w:eastAsia="fr-FR" w:bidi="fr-FR"/>
        </w:rPr>
        <w:t xml:space="preserve">, Nador, Safi, Sidi Ifni, </w:t>
      </w:r>
      <w:proofErr w:type="spellStart"/>
      <w:r w:rsidRPr="00F0379B">
        <w:rPr>
          <w:rFonts w:ascii="Cambria" w:eastAsia="MS Gothic" w:hAnsi="Cambria" w:cs="Times New Roman"/>
          <w:kern w:val="2"/>
          <w:sz w:val="20"/>
          <w:szCs w:val="20"/>
          <w:lang w:eastAsia="fr-FR" w:bidi="fr-FR"/>
        </w:rPr>
        <w:t>Tarfaya</w:t>
      </w:r>
      <w:proofErr w:type="spellEnd"/>
      <w:r w:rsidRPr="00F0379B">
        <w:rPr>
          <w:rFonts w:ascii="Cambria" w:eastAsia="MS Gothic" w:hAnsi="Cambria" w:cs="Times New Roman"/>
          <w:kern w:val="2"/>
          <w:sz w:val="20"/>
          <w:szCs w:val="20"/>
          <w:lang w:eastAsia="fr-FR" w:bidi="fr-FR"/>
        </w:rPr>
        <w:t xml:space="preserve">, Ras </w:t>
      </w:r>
      <w:proofErr w:type="spellStart"/>
      <w:r w:rsidRPr="00F0379B">
        <w:rPr>
          <w:rFonts w:ascii="Cambria" w:eastAsia="MS Gothic" w:hAnsi="Cambria" w:cs="Times New Roman"/>
          <w:kern w:val="2"/>
          <w:sz w:val="20"/>
          <w:szCs w:val="20"/>
          <w:lang w:eastAsia="fr-FR" w:bidi="fr-FR"/>
        </w:rPr>
        <w:t>kebdana</w:t>
      </w:r>
      <w:proofErr w:type="spellEnd"/>
      <w:r w:rsidRPr="00F0379B">
        <w:rPr>
          <w:rFonts w:ascii="Cambria" w:eastAsia="MS Gothic" w:hAnsi="Cambria" w:cs="Times New Roman"/>
          <w:kern w:val="2"/>
          <w:sz w:val="20"/>
          <w:szCs w:val="20"/>
          <w:lang w:eastAsia="fr-FR" w:bidi="fr-FR"/>
        </w:rPr>
        <w:t xml:space="preserve"> y TanTan.</w:t>
      </w:r>
    </w:p>
    <w:p w14:paraId="192AC8CE" w14:textId="77777777" w:rsidR="002962EE" w:rsidRPr="00F0379B" w:rsidRDefault="002962EE" w:rsidP="002962EE">
      <w:pPr>
        <w:widowControl w:val="0"/>
        <w:spacing w:after="0" w:line="240" w:lineRule="auto"/>
        <w:ind w:left="426" w:hanging="426"/>
        <w:jc w:val="both"/>
        <w:rPr>
          <w:rFonts w:ascii="Cambria" w:eastAsia="MS Gothic" w:hAnsi="Cambria" w:cs="Times New Roman"/>
          <w:kern w:val="2"/>
          <w:sz w:val="20"/>
          <w:szCs w:val="20"/>
          <w:lang w:eastAsia="fr-FR" w:bidi="fr-FR"/>
        </w:rPr>
      </w:pPr>
    </w:p>
    <w:p w14:paraId="19664DB9" w14:textId="77777777" w:rsidR="002962EE" w:rsidRPr="00F0379B" w:rsidRDefault="002962EE" w:rsidP="002962EE">
      <w:pPr>
        <w:widowControl w:val="0"/>
        <w:spacing w:after="0" w:line="240" w:lineRule="auto"/>
        <w:ind w:left="426" w:hanging="426"/>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Lista de puertos designados exclusivamente para el transbordo de atún rojo para la temporada de 2026:</w:t>
      </w:r>
    </w:p>
    <w:p w14:paraId="04C05F3E" w14:textId="77777777" w:rsidR="002962EE" w:rsidRPr="00F0379B" w:rsidRDefault="002962EE" w:rsidP="002962EE">
      <w:pPr>
        <w:widowControl w:val="0"/>
        <w:spacing w:after="0" w:line="240" w:lineRule="auto"/>
        <w:ind w:left="426" w:hanging="426"/>
        <w:jc w:val="both"/>
        <w:rPr>
          <w:rFonts w:ascii="Cambria" w:eastAsia="MS Gothic" w:hAnsi="Cambria" w:cs="Times New Roman"/>
          <w:kern w:val="2"/>
          <w:sz w:val="20"/>
          <w:szCs w:val="20"/>
          <w:lang w:eastAsia="fr-FR" w:bidi="fr-FR"/>
        </w:rPr>
      </w:pPr>
      <w:r w:rsidRPr="00F0379B">
        <w:rPr>
          <w:rFonts w:ascii="Cambria" w:eastAsia="MS Gothic" w:hAnsi="Cambria" w:cs="Times New Roman"/>
          <w:kern w:val="2"/>
          <w:sz w:val="20"/>
          <w:szCs w:val="20"/>
          <w:lang w:eastAsia="fr-FR" w:bidi="fr-FR"/>
        </w:rPr>
        <w:t>Tanger-Med.</w:t>
      </w:r>
    </w:p>
    <w:p w14:paraId="6312875E" w14:textId="77777777" w:rsidR="002962EE" w:rsidRPr="00F0379B" w:rsidRDefault="002962EE" w:rsidP="002962EE">
      <w:pPr>
        <w:widowControl w:val="0"/>
        <w:spacing w:after="0" w:line="240" w:lineRule="auto"/>
        <w:ind w:left="426" w:hanging="426"/>
        <w:jc w:val="both"/>
        <w:rPr>
          <w:rFonts w:ascii="Cambria" w:eastAsia="MS Gothic" w:hAnsi="Cambria" w:cs="Times New Roman"/>
          <w:kern w:val="2"/>
          <w:sz w:val="20"/>
          <w:szCs w:val="20"/>
          <w:lang w:eastAsia="fr-FR" w:bidi="fr-FR"/>
        </w:rPr>
      </w:pPr>
    </w:p>
    <w:p w14:paraId="58E003AE" w14:textId="77777777" w:rsidR="002962EE" w:rsidRPr="00F0379B" w:rsidRDefault="002962EE" w:rsidP="002962EE">
      <w:pPr>
        <w:widowControl w:val="0"/>
        <w:spacing w:after="0" w:line="240" w:lineRule="auto"/>
        <w:ind w:left="426" w:hanging="426"/>
        <w:jc w:val="both"/>
        <w:rPr>
          <w:rFonts w:ascii="Cambria" w:eastAsia="MS Gothic" w:hAnsi="Cambria" w:cs="Times New Roman"/>
          <w:b/>
          <w:kern w:val="2"/>
          <w:sz w:val="20"/>
          <w:szCs w:val="20"/>
          <w:lang w:eastAsia="fr-FR" w:bidi="fr-FR"/>
        </w:rPr>
      </w:pPr>
    </w:p>
    <w:p w14:paraId="24F9FE95" w14:textId="77777777" w:rsidR="002962EE" w:rsidRPr="00F0379B" w:rsidRDefault="002962EE" w:rsidP="002962EE">
      <w:pPr>
        <w:widowControl w:val="0"/>
        <w:tabs>
          <w:tab w:val="left" w:pos="426"/>
        </w:tabs>
        <w:spacing w:after="0" w:line="240" w:lineRule="auto"/>
        <w:ind w:left="426" w:hanging="426"/>
        <w:rPr>
          <w:rFonts w:ascii="Cambria" w:eastAsia="Times New Roman" w:hAnsi="Cambria" w:cs="Arial"/>
          <w:b/>
          <w:kern w:val="2"/>
          <w:sz w:val="20"/>
          <w:lang w:eastAsia="ja-JP"/>
        </w:rPr>
      </w:pPr>
      <w:r w:rsidRPr="00F0379B">
        <w:rPr>
          <w:rFonts w:ascii="Cambria" w:eastAsia="Times New Roman" w:hAnsi="Cambria" w:cs="Arial"/>
          <w:b/>
          <w:kern w:val="2"/>
          <w:sz w:val="20"/>
          <w:szCs w:val="24"/>
          <w:lang w:eastAsia="ja-JP"/>
        </w:rPr>
        <w:t>2.</w:t>
      </w:r>
      <w:r w:rsidRPr="00F0379B">
        <w:rPr>
          <w:rFonts w:ascii="Cambria" w:eastAsia="Times New Roman" w:hAnsi="Cambria" w:cs="Arial"/>
          <w:b/>
          <w:kern w:val="2"/>
          <w:sz w:val="20"/>
          <w:szCs w:val="24"/>
          <w:lang w:eastAsia="ja-JP"/>
        </w:rPr>
        <w:tab/>
        <w:t>Plan anual de ordenación de la capacidad pesquera (párrs. 14-21)</w:t>
      </w:r>
    </w:p>
    <w:p w14:paraId="25A861D6" w14:textId="77777777" w:rsidR="002962EE" w:rsidRPr="00F0379B" w:rsidRDefault="002962EE" w:rsidP="002962EE">
      <w:pPr>
        <w:widowControl w:val="0"/>
        <w:spacing w:after="0" w:line="240" w:lineRule="auto"/>
        <w:ind w:left="426" w:hanging="426"/>
        <w:jc w:val="both"/>
        <w:rPr>
          <w:rFonts w:ascii="Cambria" w:eastAsia="MS Gothic" w:hAnsi="Cambria" w:cs="Times New Roman"/>
          <w:b/>
          <w:kern w:val="2"/>
          <w:sz w:val="20"/>
          <w:szCs w:val="20"/>
          <w:lang w:eastAsia="fr-FR" w:bidi="fr-FR"/>
        </w:rPr>
      </w:pPr>
    </w:p>
    <w:p w14:paraId="47BE2210" w14:textId="77777777" w:rsidR="002962EE" w:rsidRPr="00F0379B" w:rsidRDefault="002962EE" w:rsidP="002962EE">
      <w:pPr>
        <w:widowControl w:val="0"/>
        <w:spacing w:after="0" w:line="240" w:lineRule="auto"/>
        <w:jc w:val="both"/>
        <w:rPr>
          <w:rFonts w:ascii="Cambria" w:eastAsia="MS Gothic" w:hAnsi="Cambria" w:cs="Times New Roman"/>
          <w:bCs/>
          <w:kern w:val="2"/>
          <w:sz w:val="20"/>
          <w:szCs w:val="20"/>
          <w:lang w:eastAsia="fr-FR" w:bidi="fr-FR"/>
        </w:rPr>
      </w:pPr>
      <w:r w:rsidRPr="00F0379B">
        <w:rPr>
          <w:rFonts w:ascii="Cambria" w:eastAsia="MS Gothic" w:hAnsi="Cambria" w:cs="Times New Roman"/>
          <w:bCs/>
          <w:kern w:val="2"/>
          <w:sz w:val="20"/>
          <w:szCs w:val="20"/>
          <w:lang w:eastAsia="fr-FR" w:bidi="fr-FR"/>
        </w:rPr>
        <w:t>El número de buques de pesca y la capacidad de pesca correspondiente se comunican en la tabla adjunta.</w:t>
      </w:r>
    </w:p>
    <w:p w14:paraId="642D990D" w14:textId="77777777" w:rsidR="002962EE" w:rsidRPr="00F0379B" w:rsidRDefault="002962EE" w:rsidP="002962EE">
      <w:pPr>
        <w:widowControl w:val="0"/>
        <w:spacing w:after="0" w:line="240" w:lineRule="auto"/>
        <w:jc w:val="both"/>
        <w:rPr>
          <w:rFonts w:ascii="Cambria" w:eastAsia="MS Gothic" w:hAnsi="Cambria" w:cs="Times New Roman"/>
          <w:bCs/>
          <w:kern w:val="2"/>
          <w:sz w:val="20"/>
          <w:szCs w:val="20"/>
          <w:lang w:eastAsia="fr-FR" w:bidi="fr-FR"/>
        </w:rPr>
      </w:pPr>
    </w:p>
    <w:p w14:paraId="44556E60" w14:textId="77777777" w:rsidR="002962EE" w:rsidRPr="00F0379B" w:rsidRDefault="002962EE" w:rsidP="002962EE">
      <w:pPr>
        <w:widowControl w:val="0"/>
        <w:suppressAutoHyphens/>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sz w:val="20"/>
          <w:szCs w:val="24"/>
          <w:lang w:eastAsia="fr-FR" w:bidi="fr-FR"/>
        </w:rPr>
        <w:t xml:space="preserve">Dado que Marruecos registra una </w:t>
      </w:r>
      <w:proofErr w:type="spellStart"/>
      <w:r w:rsidRPr="00F0379B">
        <w:rPr>
          <w:rFonts w:ascii="Cambria" w:eastAsia="MS Gothic" w:hAnsi="Cambria" w:cs="Times New Roman"/>
          <w:sz w:val="20"/>
          <w:szCs w:val="24"/>
          <w:lang w:eastAsia="fr-FR" w:bidi="fr-FR"/>
        </w:rPr>
        <w:t>subcapacidad</w:t>
      </w:r>
      <w:proofErr w:type="spellEnd"/>
      <w:r w:rsidRPr="00F0379B">
        <w:rPr>
          <w:rFonts w:ascii="Cambria" w:eastAsia="MS Gothic" w:hAnsi="Cambria" w:cs="Times New Roman"/>
          <w:sz w:val="20"/>
          <w:szCs w:val="24"/>
          <w:lang w:eastAsia="fr-FR" w:bidi="fr-FR"/>
        </w:rPr>
        <w:t xml:space="preserve"> desde hace varios años (-177,6 en 2025), se autorizarán tres nuevos buques atuneros (dos cerqueros y un palangrero) durante la temporada de pesca del atún rojo de 2026. </w:t>
      </w:r>
    </w:p>
    <w:p w14:paraId="1C782CDF" w14:textId="77777777" w:rsidR="002962EE" w:rsidRPr="00F0379B" w:rsidRDefault="002962EE" w:rsidP="002962EE">
      <w:pPr>
        <w:widowControl w:val="0"/>
        <w:spacing w:after="0" w:line="240" w:lineRule="auto"/>
        <w:jc w:val="both"/>
        <w:rPr>
          <w:rFonts w:ascii="Cambria" w:eastAsia="MS Gothic" w:hAnsi="Cambria" w:cs="Times New Roman"/>
          <w:bCs/>
          <w:kern w:val="2"/>
          <w:sz w:val="20"/>
          <w:szCs w:val="20"/>
          <w:lang w:eastAsia="fr-FR" w:bidi="fr-FR"/>
        </w:rPr>
      </w:pPr>
    </w:p>
    <w:p w14:paraId="495E323D" w14:textId="77777777" w:rsidR="002962EE" w:rsidRPr="00F0379B" w:rsidRDefault="002962EE" w:rsidP="002962EE">
      <w:pPr>
        <w:widowControl w:val="0"/>
        <w:spacing w:after="0" w:line="240" w:lineRule="auto"/>
        <w:jc w:val="both"/>
        <w:rPr>
          <w:rFonts w:ascii="Cambria" w:eastAsia="MS Gothic" w:hAnsi="Cambria" w:cs="Times New Roman"/>
          <w:bCs/>
          <w:kern w:val="2"/>
          <w:sz w:val="20"/>
          <w:szCs w:val="20"/>
          <w:lang w:eastAsia="fr-FR" w:bidi="fr-FR"/>
        </w:rPr>
      </w:pPr>
      <w:r w:rsidRPr="00F0379B">
        <w:rPr>
          <w:rFonts w:ascii="Cambria" w:eastAsia="MS Gothic" w:hAnsi="Cambria" w:cs="Times New Roman"/>
          <w:bCs/>
          <w:kern w:val="2"/>
          <w:sz w:val="20"/>
          <w:szCs w:val="20"/>
          <w:lang w:eastAsia="fr-FR" w:bidi="fr-FR"/>
        </w:rPr>
        <w:t>Este plan de ordenación de la capacidad pesquera podrá ser revisado y comunicado a la Secretaría de ICCAT al menos un día hábil antes del ejercicio de la actividad correspondiente a dicha modificación, de conformidad con lo dispuesto en el párrafo 13 de la Rec. 25-04.</w:t>
      </w:r>
    </w:p>
    <w:p w14:paraId="3DBA3616" w14:textId="77777777" w:rsidR="002962EE" w:rsidRPr="00F0379B" w:rsidRDefault="002962EE" w:rsidP="002962EE">
      <w:pPr>
        <w:spacing w:line="259" w:lineRule="auto"/>
        <w:rPr>
          <w:rFonts w:ascii="Cambria" w:eastAsia="MS Gothic" w:hAnsi="Cambria" w:cs="Times New Roman"/>
          <w:b/>
          <w:kern w:val="2"/>
          <w:sz w:val="20"/>
          <w:szCs w:val="20"/>
          <w:lang w:eastAsia="fr-FR" w:bidi="fr-FR"/>
        </w:rPr>
      </w:pPr>
      <w:bookmarkStart w:id="17" w:name="_Hlk189306"/>
    </w:p>
    <w:bookmarkEnd w:id="17"/>
    <w:p w14:paraId="2BB9C15C" w14:textId="77777777" w:rsidR="002962EE" w:rsidRPr="00F0379B" w:rsidRDefault="002962EE" w:rsidP="002962EE">
      <w:pPr>
        <w:widowControl w:val="0"/>
        <w:spacing w:after="0" w:line="240" w:lineRule="auto"/>
        <w:ind w:left="360" w:hanging="360"/>
        <w:contextualSpacing/>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3.</w:t>
      </w:r>
      <w:r w:rsidRPr="00F0379B">
        <w:rPr>
          <w:rFonts w:ascii="Cambria" w:eastAsia="MS Gothic" w:hAnsi="Cambria" w:cs="Times New Roman"/>
          <w:b/>
          <w:sz w:val="20"/>
          <w:szCs w:val="24"/>
          <w:lang w:eastAsia="fr-FR" w:bidi="fr-FR"/>
        </w:rPr>
        <w:tab/>
        <w:t>Plan anual de ordenación de la cría (párrs. 22-23), si es aplicable</w:t>
      </w:r>
    </w:p>
    <w:p w14:paraId="103BB852" w14:textId="77777777" w:rsidR="002962EE" w:rsidRPr="00F0379B" w:rsidRDefault="002962EE" w:rsidP="002962EE">
      <w:pPr>
        <w:widowControl w:val="0"/>
        <w:spacing w:after="0" w:line="240" w:lineRule="auto"/>
        <w:jc w:val="both"/>
        <w:rPr>
          <w:rFonts w:ascii="Cambria" w:eastAsia="MS Gothic" w:hAnsi="Cambria" w:cs="Times New Roman"/>
          <w:b/>
          <w:kern w:val="2"/>
          <w:sz w:val="14"/>
          <w:szCs w:val="14"/>
          <w:lang w:eastAsia="fr-FR" w:bidi="fr-FR"/>
        </w:rPr>
      </w:pPr>
    </w:p>
    <w:p w14:paraId="5E1AE9B8" w14:textId="77777777" w:rsidR="002962EE" w:rsidRPr="00F0379B" w:rsidRDefault="002962EE" w:rsidP="002962EE">
      <w:pPr>
        <w:widowControl w:val="0"/>
        <w:autoSpaceDE w:val="0"/>
        <w:autoSpaceDN w:val="0"/>
        <w:adjustRightInd w:val="0"/>
        <w:snapToGrid w:val="0"/>
        <w:spacing w:after="0" w:line="240" w:lineRule="auto"/>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 xml:space="preserve">Por el presente plan, Marruecos se reserva el derecho de presentar, si es necesario, planes de ordenación de granjas revisados a la Secretaría antes del 1 de junio de </w:t>
      </w:r>
      <w:r w:rsidRPr="00F0379B">
        <w:rPr>
          <w:rFonts w:ascii="Cambria" w:eastAsia="MS Gothic" w:hAnsi="Cambria" w:cs="Times New Roman"/>
          <w:kern w:val="2"/>
          <w:sz w:val="20"/>
          <w:szCs w:val="20"/>
          <w:lang w:eastAsia="fr-FR" w:bidi="fr-FR"/>
        </w:rPr>
        <w:t>2026</w:t>
      </w:r>
      <w:r w:rsidRPr="00F0379B">
        <w:rPr>
          <w:rFonts w:ascii="Cambria" w:eastAsia="MS Gothic" w:hAnsi="Cambria" w:cs="Times New Roman"/>
          <w:iCs/>
          <w:color w:val="000000"/>
          <w:kern w:val="2"/>
          <w:sz w:val="20"/>
          <w:szCs w:val="20"/>
          <w:lang w:eastAsia="fr-FR" w:bidi="fr-FR"/>
        </w:rPr>
        <w:t xml:space="preserve">, de conformidad con el párrafo 22 de la Recomendación </w:t>
      </w:r>
      <w:r w:rsidRPr="00F0379B">
        <w:rPr>
          <w:rFonts w:ascii="Cambria" w:eastAsia="MS Gothic" w:hAnsi="Cambria" w:cs="Times New Roman"/>
          <w:bCs/>
          <w:kern w:val="2"/>
          <w:sz w:val="20"/>
          <w:szCs w:val="20"/>
          <w:lang w:eastAsia="fr-FR" w:bidi="fr-FR"/>
        </w:rPr>
        <w:t>25-04</w:t>
      </w:r>
      <w:r w:rsidRPr="00F0379B">
        <w:rPr>
          <w:rFonts w:ascii="Cambria" w:eastAsia="MS Gothic" w:hAnsi="Cambria" w:cs="Times New Roman"/>
          <w:iCs/>
          <w:color w:val="000000"/>
          <w:kern w:val="2"/>
          <w:sz w:val="20"/>
          <w:szCs w:val="20"/>
          <w:lang w:eastAsia="fr-FR" w:bidi="fr-FR"/>
        </w:rPr>
        <w:t xml:space="preserve"> de ICCAT por la que se establece un plan de ordenación plurianual para el atún rojo en el Atlántico este y Mediterráneo.</w:t>
      </w:r>
    </w:p>
    <w:p w14:paraId="49852012" w14:textId="77777777" w:rsidR="002962EE" w:rsidRPr="00F0379B" w:rsidRDefault="002962EE" w:rsidP="002962EE">
      <w:pPr>
        <w:widowControl w:val="0"/>
        <w:autoSpaceDE w:val="0"/>
        <w:autoSpaceDN w:val="0"/>
        <w:adjustRightInd w:val="0"/>
        <w:snapToGrid w:val="0"/>
        <w:spacing w:after="0" w:line="240" w:lineRule="auto"/>
        <w:jc w:val="both"/>
        <w:rPr>
          <w:rFonts w:ascii="Cambria" w:eastAsia="MS Gothic" w:hAnsi="Cambria" w:cs="Times New Roman"/>
          <w:iCs/>
          <w:color w:val="000000"/>
          <w:kern w:val="2"/>
          <w:sz w:val="20"/>
          <w:szCs w:val="20"/>
          <w:lang w:eastAsia="fr-FR" w:bidi="fr-FR"/>
        </w:rPr>
      </w:pPr>
    </w:p>
    <w:p w14:paraId="132C1F6B" w14:textId="77777777" w:rsidR="002962EE" w:rsidRPr="00F0379B" w:rsidRDefault="002962EE" w:rsidP="002962EE">
      <w:pPr>
        <w:widowControl w:val="0"/>
        <w:tabs>
          <w:tab w:val="left" w:pos="1056"/>
        </w:tabs>
        <w:autoSpaceDE w:val="0"/>
        <w:autoSpaceDN w:val="0"/>
        <w:adjustRightInd w:val="0"/>
        <w:snapToGrid w:val="0"/>
        <w:spacing w:after="0" w:line="240" w:lineRule="auto"/>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Además, cabe señalar que, cualquier traspaso de atún rojo vivo introducido en jaulas no está autorizado.</w:t>
      </w:r>
    </w:p>
    <w:p w14:paraId="1EBE0D49" w14:textId="77777777" w:rsidR="002962EE" w:rsidRPr="00F0379B" w:rsidRDefault="002962EE" w:rsidP="002962EE">
      <w:pPr>
        <w:widowControl w:val="0"/>
        <w:tabs>
          <w:tab w:val="left" w:pos="1056"/>
        </w:tabs>
        <w:autoSpaceDE w:val="0"/>
        <w:autoSpaceDN w:val="0"/>
        <w:adjustRightInd w:val="0"/>
        <w:spacing w:after="0" w:line="240" w:lineRule="auto"/>
        <w:jc w:val="both"/>
        <w:rPr>
          <w:rFonts w:ascii="Cambria" w:eastAsia="MS Gothic" w:hAnsi="Cambria" w:cs="Times New Roman"/>
          <w:iCs/>
          <w:color w:val="000000"/>
          <w:kern w:val="2"/>
          <w:sz w:val="14"/>
          <w:szCs w:val="14"/>
          <w:lang w:eastAsia="fr-FR" w:bidi="fr-FR"/>
        </w:rPr>
      </w:pPr>
    </w:p>
    <w:p w14:paraId="7C1072F2" w14:textId="77777777" w:rsidR="002962EE" w:rsidRPr="00F0379B" w:rsidRDefault="002962EE" w:rsidP="002962EE">
      <w:pPr>
        <w:widowControl w:val="0"/>
        <w:tabs>
          <w:tab w:val="left" w:pos="1056"/>
        </w:tabs>
        <w:autoSpaceDE w:val="0"/>
        <w:autoSpaceDN w:val="0"/>
        <w:adjustRightInd w:val="0"/>
        <w:spacing w:after="0" w:line="360" w:lineRule="auto"/>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 xml:space="preserve">En </w:t>
      </w:r>
      <w:r w:rsidRPr="00F0379B">
        <w:rPr>
          <w:rFonts w:ascii="Cambria" w:eastAsia="MS Gothic" w:hAnsi="Cambria" w:cs="Times New Roman"/>
          <w:kern w:val="2"/>
          <w:sz w:val="20"/>
          <w:szCs w:val="20"/>
          <w:lang w:eastAsia="fr-FR" w:bidi="fr-FR"/>
        </w:rPr>
        <w:t>2026</w:t>
      </w:r>
      <w:r w:rsidRPr="00F0379B">
        <w:rPr>
          <w:rFonts w:ascii="Cambria" w:eastAsia="MS Gothic" w:hAnsi="Cambria" w:cs="Times New Roman"/>
          <w:iCs/>
          <w:color w:val="000000"/>
          <w:kern w:val="2"/>
          <w:sz w:val="20"/>
          <w:szCs w:val="20"/>
          <w:lang w:eastAsia="fr-FR" w:bidi="fr-FR"/>
        </w:rPr>
        <w:t>, el plan de ordenación de la capacidad de cría de Marruecos es el siguiente:</w:t>
      </w:r>
    </w:p>
    <w:p w14:paraId="1E16AE6B" w14:textId="77777777" w:rsidR="002962EE" w:rsidRPr="00F0379B" w:rsidRDefault="002962EE" w:rsidP="00CE0EC8">
      <w:pPr>
        <w:widowControl w:val="0"/>
        <w:numPr>
          <w:ilvl w:val="0"/>
          <w:numId w:val="58"/>
        </w:numPr>
        <w:autoSpaceDE w:val="0"/>
        <w:autoSpaceDN w:val="0"/>
        <w:adjustRightInd w:val="0"/>
        <w:spacing w:after="0" w:line="360" w:lineRule="auto"/>
        <w:ind w:left="426" w:hanging="357"/>
        <w:contextualSpacing/>
        <w:jc w:val="both"/>
        <w:rPr>
          <w:rFonts w:ascii="Cambria" w:eastAsia="MS Gothic" w:hAnsi="Cambria" w:cs="Times New Roman"/>
          <w:iCs/>
          <w:color w:val="000000"/>
          <w:kern w:val="2"/>
          <w:sz w:val="20"/>
          <w:szCs w:val="20"/>
          <w:lang w:val="pt-BR" w:eastAsia="fr-FR" w:bidi="fr-FR"/>
        </w:rPr>
      </w:pPr>
      <w:r w:rsidRPr="00F0379B">
        <w:rPr>
          <w:rFonts w:ascii="Cambria" w:eastAsia="MS Gothic" w:hAnsi="Cambria" w:cs="Times New Roman"/>
          <w:iCs/>
          <w:color w:val="000000"/>
          <w:kern w:val="2"/>
          <w:sz w:val="20"/>
          <w:szCs w:val="20"/>
          <w:lang w:val="pt-BR" w:eastAsia="fr-FR" w:bidi="fr-FR"/>
        </w:rPr>
        <w:t>Granjas de engorde autorizadas a estar operativas: 4 granjas</w:t>
      </w:r>
    </w:p>
    <w:p w14:paraId="672E0620" w14:textId="77777777" w:rsidR="002962EE" w:rsidRPr="00F0379B" w:rsidRDefault="002962EE" w:rsidP="00CE0EC8">
      <w:pPr>
        <w:widowControl w:val="0"/>
        <w:numPr>
          <w:ilvl w:val="0"/>
          <w:numId w:val="58"/>
        </w:numPr>
        <w:autoSpaceDE w:val="0"/>
        <w:autoSpaceDN w:val="0"/>
        <w:adjustRightInd w:val="0"/>
        <w:spacing w:after="0" w:line="240" w:lineRule="auto"/>
        <w:ind w:left="425" w:hanging="357"/>
        <w:contextualSpacing/>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Estas cuatro granjas están asociadas a las almadrabas y buques autorizados (como se indica en la primera página)</w:t>
      </w:r>
    </w:p>
    <w:p w14:paraId="0AD7BCE4" w14:textId="77777777" w:rsidR="002962EE" w:rsidRPr="00F0379B" w:rsidRDefault="002962EE" w:rsidP="002962EE">
      <w:pPr>
        <w:widowControl w:val="0"/>
        <w:autoSpaceDE w:val="0"/>
        <w:autoSpaceDN w:val="0"/>
        <w:adjustRightInd w:val="0"/>
        <w:spacing w:after="0" w:line="240" w:lineRule="auto"/>
        <w:ind w:left="425"/>
        <w:contextualSpacing/>
        <w:jc w:val="both"/>
        <w:rPr>
          <w:rFonts w:ascii="Cambria" w:eastAsia="MS Gothic" w:hAnsi="Cambria" w:cs="Times New Roman"/>
          <w:iCs/>
          <w:color w:val="000000"/>
          <w:kern w:val="2"/>
          <w:sz w:val="20"/>
          <w:szCs w:val="20"/>
          <w:lang w:eastAsia="fr-FR" w:bidi="fr-FR"/>
        </w:rPr>
      </w:pPr>
    </w:p>
    <w:tbl>
      <w:tblPr>
        <w:tblW w:w="92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131"/>
        <w:gridCol w:w="3260"/>
        <w:gridCol w:w="1055"/>
        <w:gridCol w:w="1242"/>
      </w:tblGrid>
      <w:tr w:rsidR="002962EE" w:rsidRPr="00F0379B" w14:paraId="74D5EDD1" w14:textId="77777777" w:rsidTr="00084782">
        <w:trPr>
          <w:trHeight w:val="670"/>
          <w:tblHeader/>
        </w:trPr>
        <w:tc>
          <w:tcPr>
            <w:tcW w:w="1555" w:type="dxa"/>
            <w:tcBorders>
              <w:top w:val="single" w:sz="4" w:space="0" w:color="auto"/>
              <w:left w:val="single" w:sz="4" w:space="0" w:color="auto"/>
              <w:bottom w:val="single" w:sz="4" w:space="0" w:color="auto"/>
              <w:right w:val="single" w:sz="4" w:space="0" w:color="auto"/>
            </w:tcBorders>
            <w:vAlign w:val="center"/>
            <w:hideMark/>
          </w:tcPr>
          <w:p w14:paraId="117634F2" w14:textId="77777777" w:rsidR="002962EE" w:rsidRPr="00F0379B" w:rsidRDefault="002962EE" w:rsidP="00084782">
            <w:pPr>
              <w:widowControl w:val="0"/>
              <w:spacing w:after="0" w:line="240" w:lineRule="auto"/>
              <w:jc w:val="center"/>
              <w:rPr>
                <w:rFonts w:ascii="Cambria" w:eastAsia="MS Gothic" w:hAnsi="Cambria" w:cs="Times New Roman"/>
                <w:bCs/>
                <w:i/>
                <w:iCs/>
                <w:kern w:val="2"/>
                <w:sz w:val="20"/>
                <w:szCs w:val="20"/>
                <w:lang w:eastAsia="fr-FR" w:bidi="fr-FR"/>
              </w:rPr>
            </w:pPr>
            <w:r w:rsidRPr="00F0379B">
              <w:rPr>
                <w:rFonts w:ascii="Cambria" w:eastAsia="MS Gothic" w:hAnsi="Cambria" w:cs="Times New Roman"/>
                <w:bCs/>
                <w:i/>
                <w:iCs/>
                <w:kern w:val="2"/>
                <w:sz w:val="20"/>
                <w:szCs w:val="20"/>
                <w:lang w:eastAsia="fr-FR" w:bidi="fr-FR"/>
              </w:rPr>
              <w:t>Nombre de la granja</w:t>
            </w:r>
          </w:p>
        </w:tc>
        <w:tc>
          <w:tcPr>
            <w:tcW w:w="2131" w:type="dxa"/>
            <w:tcBorders>
              <w:top w:val="single" w:sz="4" w:space="0" w:color="auto"/>
              <w:left w:val="single" w:sz="4" w:space="0" w:color="auto"/>
              <w:bottom w:val="single" w:sz="4" w:space="0" w:color="auto"/>
              <w:right w:val="single" w:sz="4" w:space="0" w:color="auto"/>
            </w:tcBorders>
            <w:vAlign w:val="center"/>
            <w:hideMark/>
          </w:tcPr>
          <w:p w14:paraId="7ED9F1A4" w14:textId="77777777" w:rsidR="002962EE" w:rsidRPr="00F0379B" w:rsidRDefault="002962EE" w:rsidP="00084782">
            <w:pPr>
              <w:widowControl w:val="0"/>
              <w:spacing w:after="0" w:line="240" w:lineRule="auto"/>
              <w:jc w:val="center"/>
              <w:rPr>
                <w:rFonts w:ascii="Cambria" w:eastAsia="MS Gothic" w:hAnsi="Cambria" w:cs="Times New Roman"/>
                <w:bCs/>
                <w:i/>
                <w:iCs/>
                <w:kern w:val="2"/>
                <w:sz w:val="20"/>
                <w:szCs w:val="20"/>
                <w:lang w:val="fr-FR" w:eastAsia="fr-FR" w:bidi="fr-FR"/>
              </w:rPr>
            </w:pPr>
            <w:proofErr w:type="gramStart"/>
            <w:r w:rsidRPr="00F0379B">
              <w:rPr>
                <w:rFonts w:ascii="Cambria" w:eastAsia="MS Gothic" w:hAnsi="Cambria" w:cs="Times New Roman"/>
                <w:bCs/>
                <w:i/>
                <w:iCs/>
                <w:kern w:val="2"/>
                <w:sz w:val="20"/>
                <w:szCs w:val="20"/>
                <w:lang w:val="fr-FR" w:eastAsia="fr-FR" w:bidi="fr-FR"/>
              </w:rPr>
              <w:t>N.º</w:t>
            </w:r>
            <w:proofErr w:type="gramEnd"/>
            <w:r w:rsidRPr="00F0379B">
              <w:rPr>
                <w:rFonts w:ascii="Cambria" w:eastAsia="MS Gothic" w:hAnsi="Cambria" w:cs="Times New Roman"/>
                <w:bCs/>
                <w:i/>
                <w:iCs/>
                <w:kern w:val="2"/>
                <w:sz w:val="20"/>
                <w:szCs w:val="20"/>
                <w:lang w:val="fr-FR" w:eastAsia="fr-FR" w:bidi="fr-FR"/>
              </w:rPr>
              <w:t xml:space="preserve"> FFB de ICCAT</w:t>
            </w:r>
          </w:p>
        </w:tc>
        <w:tc>
          <w:tcPr>
            <w:tcW w:w="3260" w:type="dxa"/>
            <w:tcBorders>
              <w:top w:val="single" w:sz="4" w:space="0" w:color="auto"/>
              <w:left w:val="single" w:sz="4" w:space="0" w:color="auto"/>
              <w:bottom w:val="single" w:sz="4" w:space="0" w:color="auto"/>
              <w:right w:val="single" w:sz="4" w:space="0" w:color="auto"/>
            </w:tcBorders>
            <w:vAlign w:val="center"/>
          </w:tcPr>
          <w:p w14:paraId="0A181698" w14:textId="77777777" w:rsidR="002962EE" w:rsidRPr="00F0379B" w:rsidRDefault="002962EE" w:rsidP="00084782">
            <w:pPr>
              <w:widowControl w:val="0"/>
              <w:spacing w:after="0" w:line="240" w:lineRule="auto"/>
              <w:jc w:val="center"/>
              <w:rPr>
                <w:rFonts w:ascii="Cambria" w:eastAsia="MS Gothic" w:hAnsi="Cambria" w:cs="Times New Roman"/>
                <w:bCs/>
                <w:i/>
                <w:iCs/>
                <w:kern w:val="2"/>
                <w:sz w:val="20"/>
                <w:szCs w:val="20"/>
                <w:lang w:eastAsia="fr-FR" w:bidi="fr-FR"/>
              </w:rPr>
            </w:pPr>
            <w:r w:rsidRPr="00F0379B">
              <w:rPr>
                <w:rFonts w:ascii="Cambria" w:eastAsia="MS Gothic" w:hAnsi="Cambria" w:cs="Times New Roman"/>
                <w:bCs/>
                <w:i/>
                <w:iCs/>
                <w:kern w:val="2"/>
                <w:sz w:val="20"/>
                <w:szCs w:val="20"/>
                <w:lang w:eastAsia="fr-FR" w:bidi="fr-FR"/>
              </w:rPr>
              <w:t>Coordenadas geográficas</w:t>
            </w:r>
          </w:p>
        </w:tc>
        <w:tc>
          <w:tcPr>
            <w:tcW w:w="1055" w:type="dxa"/>
            <w:tcBorders>
              <w:top w:val="single" w:sz="4" w:space="0" w:color="auto"/>
              <w:left w:val="single" w:sz="4" w:space="0" w:color="auto"/>
              <w:bottom w:val="single" w:sz="4" w:space="0" w:color="auto"/>
              <w:right w:val="single" w:sz="4" w:space="0" w:color="auto"/>
            </w:tcBorders>
            <w:vAlign w:val="center"/>
            <w:hideMark/>
          </w:tcPr>
          <w:p w14:paraId="59277BFD" w14:textId="77777777" w:rsidR="002962EE" w:rsidRPr="00F0379B" w:rsidRDefault="002962EE" w:rsidP="00084782">
            <w:pPr>
              <w:widowControl w:val="0"/>
              <w:spacing w:after="0" w:line="240" w:lineRule="auto"/>
              <w:jc w:val="center"/>
              <w:rPr>
                <w:rFonts w:ascii="Cambria" w:eastAsia="MS Gothic" w:hAnsi="Cambria" w:cs="Times New Roman"/>
                <w:bCs/>
                <w:i/>
                <w:iCs/>
                <w:kern w:val="2"/>
                <w:sz w:val="20"/>
                <w:szCs w:val="20"/>
                <w:lang w:eastAsia="fr-FR" w:bidi="fr-FR"/>
              </w:rPr>
            </w:pPr>
            <w:r w:rsidRPr="00F0379B">
              <w:rPr>
                <w:rFonts w:ascii="Cambria" w:eastAsia="MS Gothic" w:hAnsi="Cambria" w:cs="Times New Roman"/>
                <w:bCs/>
                <w:i/>
                <w:iCs/>
                <w:kern w:val="2"/>
                <w:sz w:val="18"/>
                <w:szCs w:val="18"/>
                <w:lang w:eastAsia="fr-FR" w:bidi="fr-FR"/>
              </w:rPr>
              <w:t>Entrada en estado salvaje (t)*</w:t>
            </w:r>
          </w:p>
        </w:tc>
        <w:tc>
          <w:tcPr>
            <w:tcW w:w="1242" w:type="dxa"/>
            <w:tcBorders>
              <w:top w:val="single" w:sz="4" w:space="0" w:color="auto"/>
              <w:left w:val="single" w:sz="4" w:space="0" w:color="auto"/>
              <w:bottom w:val="single" w:sz="4" w:space="0" w:color="auto"/>
              <w:right w:val="single" w:sz="4" w:space="0" w:color="auto"/>
            </w:tcBorders>
            <w:vAlign w:val="center"/>
            <w:hideMark/>
          </w:tcPr>
          <w:p w14:paraId="5ACC90A5" w14:textId="77777777" w:rsidR="002962EE" w:rsidRPr="00F0379B" w:rsidRDefault="002962EE" w:rsidP="00084782">
            <w:pPr>
              <w:widowControl w:val="0"/>
              <w:spacing w:after="0" w:line="240" w:lineRule="auto"/>
              <w:jc w:val="center"/>
              <w:rPr>
                <w:rFonts w:ascii="Cambria" w:eastAsia="MS Gothic" w:hAnsi="Cambria" w:cs="Times New Roman"/>
                <w:bCs/>
                <w:i/>
                <w:iCs/>
                <w:kern w:val="2"/>
                <w:sz w:val="20"/>
                <w:szCs w:val="20"/>
                <w:lang w:eastAsia="fr-FR" w:bidi="fr-FR"/>
              </w:rPr>
            </w:pPr>
            <w:r w:rsidRPr="00F0379B">
              <w:rPr>
                <w:rFonts w:ascii="Cambria" w:eastAsia="MS Gothic" w:hAnsi="Cambria" w:cs="Times New Roman"/>
                <w:bCs/>
                <w:i/>
                <w:iCs/>
                <w:kern w:val="2"/>
                <w:sz w:val="20"/>
                <w:szCs w:val="20"/>
                <w:lang w:eastAsia="fr-FR" w:bidi="fr-FR"/>
              </w:rPr>
              <w:t>Capacidad (t)*</w:t>
            </w:r>
          </w:p>
        </w:tc>
      </w:tr>
      <w:tr w:rsidR="002962EE" w:rsidRPr="00F0379B" w14:paraId="145F5594" w14:textId="77777777" w:rsidTr="00084782">
        <w:trPr>
          <w:trHeight w:val="324"/>
        </w:trPr>
        <w:tc>
          <w:tcPr>
            <w:tcW w:w="1555" w:type="dxa"/>
            <w:tcBorders>
              <w:top w:val="single" w:sz="4" w:space="0" w:color="auto"/>
              <w:left w:val="single" w:sz="4" w:space="0" w:color="auto"/>
              <w:bottom w:val="single" w:sz="4" w:space="0" w:color="auto"/>
              <w:right w:val="single" w:sz="4" w:space="0" w:color="auto"/>
            </w:tcBorders>
          </w:tcPr>
          <w:p w14:paraId="4E116FFF"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val="fr-FR" w:eastAsia="fr-FR" w:bidi="fr-FR"/>
              </w:rPr>
            </w:pPr>
            <w:r w:rsidRPr="00F0379B">
              <w:rPr>
                <w:rFonts w:ascii="Cambria" w:eastAsia="MS Gothic" w:hAnsi="Cambria" w:cs="Times New Roman"/>
                <w:color w:val="000000"/>
                <w:kern w:val="2"/>
                <w:sz w:val="20"/>
                <w:szCs w:val="20"/>
                <w:lang w:val="fr-FR" w:eastAsia="fr-FR" w:bidi="fr-FR"/>
              </w:rPr>
              <w:t>BLUE FARM</w:t>
            </w:r>
          </w:p>
        </w:tc>
        <w:tc>
          <w:tcPr>
            <w:tcW w:w="2131" w:type="dxa"/>
            <w:tcBorders>
              <w:top w:val="single" w:sz="4" w:space="0" w:color="auto"/>
              <w:left w:val="single" w:sz="4" w:space="0" w:color="auto"/>
              <w:bottom w:val="single" w:sz="4" w:space="0" w:color="auto"/>
              <w:right w:val="single" w:sz="4" w:space="0" w:color="auto"/>
            </w:tcBorders>
          </w:tcPr>
          <w:p w14:paraId="0E027A42" w14:textId="77777777" w:rsidR="002962EE" w:rsidRPr="00F0379B" w:rsidRDefault="002962EE" w:rsidP="00084782">
            <w:pPr>
              <w:widowControl w:val="0"/>
              <w:spacing w:after="0" w:line="240" w:lineRule="auto"/>
              <w:jc w:val="center"/>
              <w:rPr>
                <w:rFonts w:ascii="Cambria" w:eastAsia="MS Gothic" w:hAnsi="Cambria" w:cs="Times New Roman"/>
                <w:smallCaps/>
                <w:color w:val="000000"/>
                <w:kern w:val="2"/>
                <w:sz w:val="20"/>
                <w:szCs w:val="20"/>
                <w:lang w:val="fr-FR" w:eastAsia="fr-FR" w:bidi="fr-FR"/>
              </w:rPr>
            </w:pPr>
            <w:r w:rsidRPr="00F0379B">
              <w:rPr>
                <w:rFonts w:ascii="Cambria" w:eastAsia="MS Gothic" w:hAnsi="Cambria" w:cs="Times New Roman"/>
                <w:smallCaps/>
                <w:color w:val="000000"/>
                <w:kern w:val="2"/>
                <w:sz w:val="20"/>
                <w:szCs w:val="20"/>
                <w:lang w:val="fr-FR" w:eastAsia="fr-FR" w:bidi="fr-FR"/>
              </w:rPr>
              <w:t>AT001MAR00002</w:t>
            </w:r>
          </w:p>
        </w:tc>
        <w:tc>
          <w:tcPr>
            <w:tcW w:w="3260" w:type="dxa"/>
            <w:tcBorders>
              <w:top w:val="single" w:sz="4" w:space="0" w:color="auto"/>
              <w:left w:val="single" w:sz="4" w:space="0" w:color="auto"/>
              <w:bottom w:val="single" w:sz="4" w:space="0" w:color="auto"/>
              <w:right w:val="single" w:sz="4" w:space="0" w:color="auto"/>
            </w:tcBorders>
          </w:tcPr>
          <w:p w14:paraId="1018E9AE"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Punto A: Lat: 35°18'17,00"N</w:t>
            </w:r>
          </w:p>
          <w:p w14:paraId="26C9786D"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 xml:space="preserve">                 Long: 006°11'19,00"W</w:t>
            </w:r>
          </w:p>
          <w:p w14:paraId="1A1DBAA0"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Punto B: Lat: 35°19'17,00"N</w:t>
            </w:r>
          </w:p>
          <w:p w14:paraId="018D5B7A"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 xml:space="preserve">                 Long: 006°11'19,00"W</w:t>
            </w:r>
          </w:p>
          <w:p w14:paraId="26FB1883"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Punto C: Lat: 35°19'17,00"N</w:t>
            </w:r>
          </w:p>
          <w:p w14:paraId="09E80E1F"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 xml:space="preserve">                 Long: 006°10'47,20"W</w:t>
            </w:r>
          </w:p>
          <w:p w14:paraId="2672608A"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Punto D: Lat: 35°18'17,00"N</w:t>
            </w:r>
          </w:p>
          <w:p w14:paraId="0CEE62D8" w14:textId="77777777" w:rsidR="002962EE" w:rsidRPr="00F0379B" w:rsidRDefault="002962EE" w:rsidP="00084782">
            <w:pPr>
              <w:widowControl w:val="0"/>
              <w:spacing w:after="0" w:line="240" w:lineRule="auto"/>
              <w:jc w:val="both"/>
              <w:rPr>
                <w:rFonts w:ascii="Cambria" w:eastAsia="MS Gothic" w:hAnsi="Cambria" w:cs="Times New Roman"/>
                <w:color w:val="000000"/>
                <w:kern w:val="2"/>
                <w:sz w:val="20"/>
                <w:szCs w:val="20"/>
                <w:lang w:val="en-US" w:eastAsia="fr-FR" w:bidi="fr-FR"/>
              </w:rPr>
            </w:pPr>
            <w:r w:rsidRPr="00F0379B">
              <w:rPr>
                <w:rFonts w:ascii="Cambria" w:eastAsia="Times New Roman" w:hAnsi="Cambria" w:cs="Arial"/>
                <w:kern w:val="2"/>
                <w:sz w:val="20"/>
                <w:szCs w:val="20"/>
                <w:lang w:val="en-US" w:eastAsia="ja-JP"/>
              </w:rPr>
              <w:t xml:space="preserve">                 Long: 006°10'47,20"W</w:t>
            </w:r>
          </w:p>
        </w:tc>
        <w:tc>
          <w:tcPr>
            <w:tcW w:w="1055" w:type="dxa"/>
            <w:tcBorders>
              <w:top w:val="single" w:sz="4" w:space="0" w:color="auto"/>
              <w:left w:val="single" w:sz="4" w:space="0" w:color="auto"/>
              <w:bottom w:val="single" w:sz="4" w:space="0" w:color="auto"/>
              <w:right w:val="single" w:sz="4" w:space="0" w:color="auto"/>
            </w:tcBorders>
            <w:vAlign w:val="center"/>
          </w:tcPr>
          <w:p w14:paraId="3052A5FD" w14:textId="77777777" w:rsidR="002962EE" w:rsidRPr="00F0379B" w:rsidRDefault="002962EE" w:rsidP="00084782">
            <w:pPr>
              <w:widowControl w:val="0"/>
              <w:spacing w:after="0" w:line="240" w:lineRule="auto"/>
              <w:jc w:val="center"/>
              <w:rPr>
                <w:rFonts w:ascii="Cambria" w:eastAsia="MS Gothic" w:hAnsi="Cambria" w:cs="Arial"/>
                <w:kern w:val="2"/>
                <w:sz w:val="20"/>
                <w:lang w:val="en-US" w:eastAsia="ja-JP"/>
              </w:rPr>
            </w:pPr>
            <w:r w:rsidRPr="00F0379B">
              <w:rPr>
                <w:rFonts w:ascii="Cambria" w:eastAsia="Times New Roman" w:hAnsi="Cambria" w:cs="Arial"/>
                <w:kern w:val="2"/>
                <w:sz w:val="20"/>
                <w:lang w:val="en-US" w:eastAsia="ja-JP"/>
              </w:rPr>
              <w:t>1.057</w:t>
            </w:r>
          </w:p>
        </w:tc>
        <w:tc>
          <w:tcPr>
            <w:tcW w:w="1242" w:type="dxa"/>
            <w:tcBorders>
              <w:top w:val="single" w:sz="4" w:space="0" w:color="auto"/>
              <w:left w:val="single" w:sz="4" w:space="0" w:color="auto"/>
              <w:bottom w:val="single" w:sz="4" w:space="0" w:color="auto"/>
              <w:right w:val="single" w:sz="4" w:space="0" w:color="auto"/>
            </w:tcBorders>
            <w:vAlign w:val="center"/>
          </w:tcPr>
          <w:p w14:paraId="6DB6AEDD" w14:textId="77777777" w:rsidR="002962EE" w:rsidRPr="00F0379B" w:rsidRDefault="002962EE" w:rsidP="00084782">
            <w:pPr>
              <w:widowControl w:val="0"/>
              <w:spacing w:after="0" w:line="240" w:lineRule="auto"/>
              <w:jc w:val="center"/>
              <w:rPr>
                <w:rFonts w:ascii="Cambria" w:eastAsia="MS Gothic" w:hAnsi="Cambria" w:cs="Arial"/>
                <w:kern w:val="2"/>
                <w:sz w:val="20"/>
                <w:lang w:val="en-US" w:eastAsia="ja-JP"/>
              </w:rPr>
            </w:pPr>
            <w:r w:rsidRPr="00F0379B">
              <w:rPr>
                <w:rFonts w:ascii="Cambria" w:eastAsia="Times New Roman" w:hAnsi="Cambria" w:cs="Arial"/>
                <w:kern w:val="2"/>
                <w:sz w:val="20"/>
                <w:lang w:val="en-US" w:eastAsia="ja-JP"/>
              </w:rPr>
              <w:t>2.500</w:t>
            </w:r>
          </w:p>
        </w:tc>
      </w:tr>
      <w:tr w:rsidR="002962EE" w:rsidRPr="00F0379B" w14:paraId="06202347" w14:textId="77777777" w:rsidTr="00084782">
        <w:trPr>
          <w:trHeight w:val="612"/>
        </w:trPr>
        <w:tc>
          <w:tcPr>
            <w:tcW w:w="1555" w:type="dxa"/>
            <w:tcBorders>
              <w:top w:val="single" w:sz="4" w:space="0" w:color="auto"/>
              <w:left w:val="single" w:sz="4" w:space="0" w:color="auto"/>
              <w:bottom w:val="single" w:sz="4" w:space="0" w:color="auto"/>
              <w:right w:val="single" w:sz="4" w:space="0" w:color="auto"/>
            </w:tcBorders>
          </w:tcPr>
          <w:p w14:paraId="2862BF3F" w14:textId="77777777" w:rsidR="002962EE" w:rsidRPr="00F0379B" w:rsidRDefault="002962EE" w:rsidP="00084782">
            <w:pPr>
              <w:widowControl w:val="0"/>
              <w:spacing w:after="0" w:line="240" w:lineRule="auto"/>
              <w:jc w:val="both"/>
              <w:rPr>
                <w:rFonts w:ascii="Cambria" w:eastAsia="MS Gothic" w:hAnsi="Cambria" w:cs="Times New Roman"/>
                <w:color w:val="000000"/>
                <w:kern w:val="2"/>
                <w:sz w:val="20"/>
                <w:szCs w:val="20"/>
                <w:lang w:val="fr-FR" w:eastAsia="fr-FR" w:bidi="fr-FR"/>
              </w:rPr>
            </w:pPr>
            <w:r w:rsidRPr="00F0379B">
              <w:rPr>
                <w:rFonts w:ascii="Cambria" w:eastAsia="MS Gothic" w:hAnsi="Cambria" w:cs="Times New Roman"/>
                <w:color w:val="000000"/>
                <w:kern w:val="2"/>
                <w:sz w:val="20"/>
                <w:szCs w:val="20"/>
                <w:lang w:val="fr-FR" w:eastAsia="fr-FR" w:bidi="fr-FR"/>
              </w:rPr>
              <w:t>LA LEVANTADA</w:t>
            </w:r>
          </w:p>
        </w:tc>
        <w:tc>
          <w:tcPr>
            <w:tcW w:w="2131" w:type="dxa"/>
            <w:tcBorders>
              <w:top w:val="single" w:sz="4" w:space="0" w:color="auto"/>
              <w:left w:val="single" w:sz="4" w:space="0" w:color="auto"/>
              <w:bottom w:val="single" w:sz="4" w:space="0" w:color="auto"/>
              <w:right w:val="single" w:sz="4" w:space="0" w:color="auto"/>
            </w:tcBorders>
          </w:tcPr>
          <w:p w14:paraId="6F4F9B5E" w14:textId="77777777" w:rsidR="002962EE" w:rsidRPr="00F0379B" w:rsidRDefault="002962EE" w:rsidP="00084782">
            <w:pPr>
              <w:widowControl w:val="0"/>
              <w:spacing w:after="0" w:line="240" w:lineRule="auto"/>
              <w:jc w:val="center"/>
              <w:rPr>
                <w:rFonts w:ascii="Cambria" w:eastAsia="MS Gothic" w:hAnsi="Cambria" w:cs="Times New Roman"/>
                <w:smallCaps/>
                <w:color w:val="000000"/>
                <w:kern w:val="2"/>
                <w:sz w:val="24"/>
                <w:szCs w:val="24"/>
                <w:lang w:val="fr-FR" w:eastAsia="fr-FR" w:bidi="fr-FR"/>
              </w:rPr>
            </w:pPr>
            <w:r w:rsidRPr="00F0379B">
              <w:rPr>
                <w:rFonts w:ascii="Cambria" w:eastAsia="MS Gothic" w:hAnsi="Cambria" w:cs="Times New Roman"/>
                <w:smallCaps/>
                <w:color w:val="000000"/>
                <w:kern w:val="2"/>
                <w:sz w:val="20"/>
                <w:szCs w:val="20"/>
                <w:lang w:val="fr-FR" w:eastAsia="fr-FR" w:bidi="fr-FR"/>
              </w:rPr>
              <w:t>AT001MAR00003</w:t>
            </w:r>
          </w:p>
        </w:tc>
        <w:tc>
          <w:tcPr>
            <w:tcW w:w="3260" w:type="dxa"/>
            <w:tcBorders>
              <w:top w:val="single" w:sz="4" w:space="0" w:color="auto"/>
              <w:left w:val="single" w:sz="4" w:space="0" w:color="auto"/>
              <w:bottom w:val="single" w:sz="4" w:space="0" w:color="auto"/>
              <w:right w:val="single" w:sz="4" w:space="0" w:color="auto"/>
            </w:tcBorders>
          </w:tcPr>
          <w:p w14:paraId="5C0849ED"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Punto A: Lat: 35°18'10,00"N</w:t>
            </w:r>
          </w:p>
          <w:p w14:paraId="4508EEC6"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 xml:space="preserve">                 Long: 006°10'31,00"W</w:t>
            </w:r>
          </w:p>
          <w:p w14:paraId="02BD0E6E"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Punto B: Lat: 35°19'10,00"N</w:t>
            </w:r>
          </w:p>
          <w:p w14:paraId="29DF460A"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 xml:space="preserve">                 Long: 006°10'31,00"W</w:t>
            </w:r>
          </w:p>
          <w:p w14:paraId="758EAA53"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Punto C: Lat: 35°19'10,00"N</w:t>
            </w:r>
          </w:p>
          <w:p w14:paraId="7D2927F0"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 xml:space="preserve">                 Long: 006°10'01,50"W</w:t>
            </w:r>
          </w:p>
          <w:p w14:paraId="2EEE10B5"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Punto D: Lat: 35°18'10,00"N</w:t>
            </w:r>
          </w:p>
          <w:p w14:paraId="7E03C698" w14:textId="77777777" w:rsidR="002962EE" w:rsidRPr="00F0379B" w:rsidRDefault="002962EE" w:rsidP="00084782">
            <w:pPr>
              <w:widowControl w:val="0"/>
              <w:spacing w:after="0" w:line="240" w:lineRule="auto"/>
              <w:jc w:val="both"/>
              <w:rPr>
                <w:rFonts w:ascii="Cambria" w:eastAsia="MS Gothic" w:hAnsi="Cambria" w:cs="Times New Roman"/>
                <w:color w:val="000000"/>
                <w:kern w:val="2"/>
                <w:sz w:val="20"/>
                <w:szCs w:val="20"/>
                <w:lang w:val="en-US" w:eastAsia="fr-FR" w:bidi="fr-FR"/>
              </w:rPr>
            </w:pPr>
            <w:r w:rsidRPr="00F0379B">
              <w:rPr>
                <w:rFonts w:ascii="Cambria" w:eastAsia="Times New Roman" w:hAnsi="Cambria" w:cs="Arial"/>
                <w:kern w:val="2"/>
                <w:sz w:val="20"/>
                <w:szCs w:val="20"/>
                <w:lang w:val="en-US" w:eastAsia="ja-JP"/>
              </w:rPr>
              <w:t xml:space="preserve">                 Long: 006°10'01,50"W</w:t>
            </w:r>
          </w:p>
        </w:tc>
        <w:tc>
          <w:tcPr>
            <w:tcW w:w="1055" w:type="dxa"/>
            <w:tcBorders>
              <w:top w:val="single" w:sz="4" w:space="0" w:color="auto"/>
              <w:left w:val="single" w:sz="4" w:space="0" w:color="auto"/>
              <w:bottom w:val="single" w:sz="4" w:space="0" w:color="auto"/>
              <w:right w:val="single" w:sz="4" w:space="0" w:color="auto"/>
            </w:tcBorders>
            <w:vAlign w:val="center"/>
          </w:tcPr>
          <w:p w14:paraId="71E6A310" w14:textId="77777777" w:rsidR="002962EE" w:rsidRPr="00F0379B" w:rsidRDefault="002962EE" w:rsidP="00084782">
            <w:pPr>
              <w:widowControl w:val="0"/>
              <w:spacing w:after="0" w:line="240" w:lineRule="auto"/>
              <w:jc w:val="center"/>
              <w:rPr>
                <w:rFonts w:ascii="Cambria" w:eastAsia="MS Gothic" w:hAnsi="Cambria" w:cs="Times New Roman"/>
                <w:color w:val="000000"/>
                <w:kern w:val="2"/>
                <w:sz w:val="20"/>
                <w:szCs w:val="20"/>
                <w:lang w:val="fr-FR" w:eastAsia="fr-FR" w:bidi="fr-FR"/>
              </w:rPr>
            </w:pPr>
            <w:r w:rsidRPr="00F0379B">
              <w:rPr>
                <w:rFonts w:ascii="Cambria" w:eastAsia="Times New Roman" w:hAnsi="Cambria" w:cs="Arial"/>
                <w:kern w:val="2"/>
                <w:sz w:val="20"/>
                <w:lang w:val="en-US" w:eastAsia="ja-JP"/>
              </w:rPr>
              <w:t>1.128</w:t>
            </w:r>
          </w:p>
        </w:tc>
        <w:tc>
          <w:tcPr>
            <w:tcW w:w="1242" w:type="dxa"/>
            <w:tcBorders>
              <w:top w:val="single" w:sz="4" w:space="0" w:color="auto"/>
              <w:left w:val="single" w:sz="4" w:space="0" w:color="auto"/>
              <w:bottom w:val="single" w:sz="4" w:space="0" w:color="auto"/>
              <w:right w:val="single" w:sz="4" w:space="0" w:color="auto"/>
            </w:tcBorders>
            <w:vAlign w:val="center"/>
          </w:tcPr>
          <w:p w14:paraId="380A81BE" w14:textId="77777777" w:rsidR="002962EE" w:rsidRPr="00F0379B" w:rsidRDefault="002962EE" w:rsidP="00084782">
            <w:pPr>
              <w:widowControl w:val="0"/>
              <w:spacing w:after="0" w:line="240" w:lineRule="auto"/>
              <w:jc w:val="center"/>
              <w:rPr>
                <w:rFonts w:ascii="Cambria" w:eastAsia="MS Gothic" w:hAnsi="Cambria" w:cs="Times New Roman"/>
                <w:color w:val="000000"/>
                <w:kern w:val="2"/>
                <w:sz w:val="20"/>
                <w:szCs w:val="20"/>
                <w:lang w:val="fr-FR" w:eastAsia="fr-FR" w:bidi="fr-FR"/>
              </w:rPr>
            </w:pPr>
            <w:r w:rsidRPr="00F0379B">
              <w:rPr>
                <w:rFonts w:ascii="Cambria" w:eastAsia="Times New Roman" w:hAnsi="Cambria" w:cs="Arial"/>
                <w:kern w:val="2"/>
                <w:sz w:val="20"/>
                <w:szCs w:val="20"/>
                <w:lang w:val="en-US" w:eastAsia="ja-JP"/>
              </w:rPr>
              <w:t>1.500</w:t>
            </w:r>
          </w:p>
        </w:tc>
      </w:tr>
      <w:tr w:rsidR="002962EE" w:rsidRPr="00F0379B" w14:paraId="0573AF63" w14:textId="77777777" w:rsidTr="00084782">
        <w:trPr>
          <w:trHeight w:val="643"/>
        </w:trPr>
        <w:tc>
          <w:tcPr>
            <w:tcW w:w="1555" w:type="dxa"/>
            <w:tcBorders>
              <w:top w:val="single" w:sz="4" w:space="0" w:color="auto"/>
              <w:left w:val="single" w:sz="4" w:space="0" w:color="auto"/>
              <w:bottom w:val="single" w:sz="4" w:space="0" w:color="auto"/>
              <w:right w:val="single" w:sz="4" w:space="0" w:color="auto"/>
            </w:tcBorders>
          </w:tcPr>
          <w:p w14:paraId="19F618B0" w14:textId="77777777" w:rsidR="002962EE" w:rsidRPr="00F0379B" w:rsidRDefault="002962EE" w:rsidP="00084782">
            <w:pPr>
              <w:widowControl w:val="0"/>
              <w:spacing w:after="0" w:line="240" w:lineRule="auto"/>
              <w:jc w:val="both"/>
              <w:rPr>
                <w:rFonts w:ascii="Cambria" w:eastAsia="MS Gothic" w:hAnsi="Cambria" w:cs="Times New Roman"/>
                <w:kern w:val="2"/>
                <w:sz w:val="20"/>
                <w:szCs w:val="20"/>
                <w:lang w:val="fr-FR" w:eastAsia="fr-FR" w:bidi="fr-FR"/>
              </w:rPr>
            </w:pPr>
            <w:r w:rsidRPr="00F0379B">
              <w:rPr>
                <w:rFonts w:ascii="Cambria" w:eastAsia="MS Gothic" w:hAnsi="Cambria" w:cs="Times New Roman"/>
                <w:color w:val="000000"/>
                <w:kern w:val="2"/>
                <w:sz w:val="20"/>
                <w:szCs w:val="20"/>
                <w:lang w:val="fr-FR" w:eastAsia="fr-FR" w:bidi="fr-FR"/>
              </w:rPr>
              <w:t>PESBAK FISH</w:t>
            </w:r>
          </w:p>
        </w:tc>
        <w:tc>
          <w:tcPr>
            <w:tcW w:w="2131" w:type="dxa"/>
            <w:tcBorders>
              <w:top w:val="single" w:sz="4" w:space="0" w:color="auto"/>
              <w:left w:val="single" w:sz="4" w:space="0" w:color="auto"/>
              <w:bottom w:val="single" w:sz="4" w:space="0" w:color="auto"/>
              <w:right w:val="single" w:sz="4" w:space="0" w:color="auto"/>
            </w:tcBorders>
          </w:tcPr>
          <w:p w14:paraId="111DCCC4" w14:textId="77777777" w:rsidR="002962EE" w:rsidRPr="00F0379B" w:rsidRDefault="002962EE" w:rsidP="00084782">
            <w:pPr>
              <w:widowControl w:val="0"/>
              <w:spacing w:after="0" w:line="240" w:lineRule="auto"/>
              <w:jc w:val="center"/>
              <w:rPr>
                <w:rFonts w:ascii="Cambria" w:eastAsia="MS Gothic" w:hAnsi="Cambria" w:cs="Times New Roman"/>
                <w:smallCaps/>
                <w:color w:val="000000"/>
                <w:kern w:val="2"/>
                <w:sz w:val="20"/>
                <w:szCs w:val="20"/>
                <w:lang w:val="fr-FR" w:eastAsia="fr-FR" w:bidi="fr-FR"/>
              </w:rPr>
            </w:pPr>
            <w:r w:rsidRPr="00F0379B">
              <w:rPr>
                <w:rFonts w:ascii="Cambria" w:eastAsia="MS Gothic" w:hAnsi="Cambria" w:cs="Times New Roman"/>
                <w:smallCaps/>
                <w:color w:val="000000"/>
                <w:kern w:val="2"/>
                <w:sz w:val="20"/>
                <w:szCs w:val="20"/>
                <w:lang w:val="fr-FR" w:eastAsia="fr-FR" w:bidi="fr-FR"/>
              </w:rPr>
              <w:t>AT001MAR00004</w:t>
            </w:r>
          </w:p>
        </w:tc>
        <w:tc>
          <w:tcPr>
            <w:tcW w:w="3260" w:type="dxa"/>
            <w:tcBorders>
              <w:top w:val="single" w:sz="4" w:space="0" w:color="auto"/>
              <w:left w:val="single" w:sz="4" w:space="0" w:color="auto"/>
              <w:bottom w:val="single" w:sz="4" w:space="0" w:color="auto"/>
              <w:right w:val="single" w:sz="4" w:space="0" w:color="auto"/>
            </w:tcBorders>
          </w:tcPr>
          <w:p w14:paraId="3F4530DA"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 xml:space="preserve">Punto A: Lat: </w:t>
            </w:r>
            <w:r w:rsidRPr="00F0379B">
              <w:rPr>
                <w:rFonts w:ascii="Cambria" w:eastAsia="Times New Roman" w:hAnsi="Cambria" w:cs="Arial"/>
                <w:color w:val="000000" w:themeColor="text1"/>
                <w:kern w:val="2"/>
                <w:sz w:val="20"/>
                <w:lang w:val="en-US" w:eastAsia="ja-JP"/>
              </w:rPr>
              <w:t>35°</w:t>
            </w:r>
            <w:r w:rsidRPr="00F0379B">
              <w:rPr>
                <w:rFonts w:ascii="Cambria" w:eastAsia="Times New Roman" w:hAnsi="Cambria" w:cs="Arial"/>
                <w:color w:val="000000" w:themeColor="text1"/>
                <w:kern w:val="2"/>
                <w:sz w:val="20"/>
                <w:szCs w:val="20"/>
                <w:lang w:val="en-US" w:eastAsia="ja-JP"/>
              </w:rPr>
              <w:t>19’23’’</w:t>
            </w:r>
            <w:r w:rsidRPr="00F0379B">
              <w:rPr>
                <w:rFonts w:ascii="Cambria" w:eastAsia="Times New Roman" w:hAnsi="Cambria" w:cs="Arial"/>
                <w:kern w:val="2"/>
                <w:sz w:val="20"/>
                <w:szCs w:val="20"/>
                <w:lang w:val="en-US" w:eastAsia="ja-JP"/>
              </w:rPr>
              <w:t>N</w:t>
            </w:r>
          </w:p>
          <w:p w14:paraId="5C6FF722" w14:textId="77777777" w:rsidR="002962EE" w:rsidRPr="00F0379B" w:rsidRDefault="002962EE" w:rsidP="00084782">
            <w:pPr>
              <w:widowControl w:val="0"/>
              <w:spacing w:after="0" w:line="240" w:lineRule="auto"/>
              <w:ind w:left="747"/>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 xml:space="preserve">Long: </w:t>
            </w:r>
            <w:r w:rsidRPr="00F0379B">
              <w:rPr>
                <w:rFonts w:ascii="Cambria" w:eastAsia="Times New Roman" w:hAnsi="Cambria" w:cs="Arial"/>
                <w:color w:val="000000" w:themeColor="text1"/>
                <w:kern w:val="2"/>
                <w:sz w:val="20"/>
                <w:lang w:val="en-US" w:eastAsia="ja-JP"/>
              </w:rPr>
              <w:t>06°</w:t>
            </w:r>
            <w:r w:rsidRPr="00F0379B">
              <w:rPr>
                <w:rFonts w:ascii="Cambria" w:eastAsia="Times New Roman" w:hAnsi="Cambria" w:cs="Arial"/>
                <w:color w:val="000000" w:themeColor="text1"/>
                <w:kern w:val="2"/>
                <w:sz w:val="20"/>
                <w:szCs w:val="20"/>
                <w:lang w:val="en-US" w:eastAsia="ja-JP"/>
              </w:rPr>
              <w:t>10’35’’</w:t>
            </w:r>
            <w:r w:rsidRPr="00F0379B">
              <w:rPr>
                <w:rFonts w:ascii="Cambria" w:eastAsia="Times New Roman" w:hAnsi="Cambria" w:cs="Arial"/>
                <w:kern w:val="2"/>
                <w:sz w:val="20"/>
                <w:szCs w:val="20"/>
                <w:lang w:val="en-US" w:eastAsia="ja-JP"/>
              </w:rPr>
              <w:t>W</w:t>
            </w:r>
          </w:p>
          <w:p w14:paraId="4E68A852"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 xml:space="preserve">Punto B: Lat: </w:t>
            </w:r>
            <w:r w:rsidRPr="00F0379B">
              <w:rPr>
                <w:rFonts w:ascii="Cambria" w:eastAsia="Times New Roman" w:hAnsi="Cambria" w:cs="Arial"/>
                <w:color w:val="000000" w:themeColor="text1"/>
                <w:kern w:val="2"/>
                <w:sz w:val="20"/>
                <w:lang w:val="en-US" w:eastAsia="ja-JP"/>
              </w:rPr>
              <w:t>35°</w:t>
            </w:r>
            <w:r w:rsidRPr="00F0379B">
              <w:rPr>
                <w:rFonts w:ascii="Cambria" w:eastAsia="Times New Roman" w:hAnsi="Cambria" w:cs="Arial"/>
                <w:color w:val="000000" w:themeColor="text1"/>
                <w:kern w:val="2"/>
                <w:sz w:val="20"/>
                <w:szCs w:val="20"/>
                <w:lang w:val="en-US" w:eastAsia="ja-JP"/>
              </w:rPr>
              <w:t>20’27’’</w:t>
            </w:r>
            <w:r w:rsidRPr="00F0379B">
              <w:rPr>
                <w:rFonts w:ascii="Cambria" w:eastAsia="Times New Roman" w:hAnsi="Cambria" w:cs="Arial"/>
                <w:kern w:val="2"/>
                <w:sz w:val="20"/>
                <w:szCs w:val="20"/>
                <w:lang w:val="en-US" w:eastAsia="ja-JP"/>
              </w:rPr>
              <w:t xml:space="preserve"> N</w:t>
            </w:r>
          </w:p>
          <w:p w14:paraId="200E2AE2" w14:textId="77777777" w:rsidR="002962EE" w:rsidRPr="00F0379B" w:rsidRDefault="002962EE" w:rsidP="00084782">
            <w:pPr>
              <w:widowControl w:val="0"/>
              <w:spacing w:after="0" w:line="240" w:lineRule="auto"/>
              <w:ind w:left="747"/>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 xml:space="preserve">Long: </w:t>
            </w:r>
            <w:r w:rsidRPr="00F0379B">
              <w:rPr>
                <w:rFonts w:ascii="Cambria" w:eastAsia="Times New Roman" w:hAnsi="Cambria" w:cs="Arial"/>
                <w:color w:val="000000" w:themeColor="text1"/>
                <w:kern w:val="2"/>
                <w:sz w:val="20"/>
                <w:lang w:val="en-US" w:eastAsia="ja-JP"/>
              </w:rPr>
              <w:t>06°</w:t>
            </w:r>
            <w:r w:rsidRPr="00F0379B">
              <w:rPr>
                <w:rFonts w:ascii="Cambria" w:eastAsia="Times New Roman" w:hAnsi="Cambria" w:cs="Arial"/>
                <w:color w:val="000000" w:themeColor="text1"/>
                <w:kern w:val="2"/>
                <w:sz w:val="20"/>
                <w:szCs w:val="20"/>
                <w:lang w:val="en-US" w:eastAsia="ja-JP"/>
              </w:rPr>
              <w:t>10’30’’</w:t>
            </w:r>
            <w:r w:rsidRPr="00F0379B">
              <w:rPr>
                <w:rFonts w:ascii="Cambria" w:eastAsia="Times New Roman" w:hAnsi="Cambria" w:cs="Arial"/>
                <w:kern w:val="2"/>
                <w:sz w:val="20"/>
                <w:szCs w:val="20"/>
                <w:lang w:val="en-US" w:eastAsia="ja-JP"/>
              </w:rPr>
              <w:t>W</w:t>
            </w:r>
          </w:p>
          <w:p w14:paraId="5A8FD274"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 xml:space="preserve">Punto C: Lat: </w:t>
            </w:r>
            <w:r w:rsidRPr="00F0379B">
              <w:rPr>
                <w:rFonts w:ascii="Cambria" w:eastAsia="Times New Roman" w:hAnsi="Cambria" w:cs="Arial"/>
                <w:color w:val="000000" w:themeColor="text1"/>
                <w:kern w:val="2"/>
                <w:sz w:val="20"/>
                <w:lang w:val="en-US" w:eastAsia="ja-JP"/>
              </w:rPr>
              <w:t>35°</w:t>
            </w:r>
            <w:r w:rsidRPr="00F0379B">
              <w:rPr>
                <w:rFonts w:ascii="Cambria" w:eastAsia="Times New Roman" w:hAnsi="Cambria" w:cs="Arial"/>
                <w:color w:val="000000" w:themeColor="text1"/>
                <w:kern w:val="2"/>
                <w:sz w:val="20"/>
                <w:szCs w:val="20"/>
                <w:lang w:val="en-US" w:eastAsia="ja-JP"/>
              </w:rPr>
              <w:t>20’24’’</w:t>
            </w:r>
            <w:r w:rsidRPr="00F0379B">
              <w:rPr>
                <w:rFonts w:ascii="Cambria" w:eastAsia="Times New Roman" w:hAnsi="Cambria" w:cs="Arial"/>
                <w:kern w:val="2"/>
                <w:sz w:val="20"/>
                <w:szCs w:val="20"/>
                <w:lang w:val="en-US" w:eastAsia="ja-JP"/>
              </w:rPr>
              <w:t xml:space="preserve"> N</w:t>
            </w:r>
          </w:p>
          <w:p w14:paraId="5A898860" w14:textId="77777777" w:rsidR="002962EE" w:rsidRPr="00F0379B" w:rsidRDefault="002962EE" w:rsidP="00084782">
            <w:pPr>
              <w:widowControl w:val="0"/>
              <w:spacing w:after="0" w:line="240" w:lineRule="auto"/>
              <w:ind w:left="747"/>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 xml:space="preserve">Long: </w:t>
            </w:r>
            <w:r w:rsidRPr="00F0379B">
              <w:rPr>
                <w:rFonts w:ascii="Cambria" w:eastAsia="Times New Roman" w:hAnsi="Cambria" w:cs="Arial"/>
                <w:color w:val="000000" w:themeColor="text1"/>
                <w:kern w:val="2"/>
                <w:sz w:val="20"/>
                <w:lang w:val="en-US" w:eastAsia="ja-JP"/>
              </w:rPr>
              <w:t>06°</w:t>
            </w:r>
            <w:r w:rsidRPr="00F0379B">
              <w:rPr>
                <w:rFonts w:ascii="Cambria" w:eastAsia="Times New Roman" w:hAnsi="Cambria" w:cs="Arial"/>
                <w:color w:val="000000" w:themeColor="text1"/>
                <w:kern w:val="2"/>
                <w:sz w:val="20"/>
                <w:szCs w:val="20"/>
                <w:lang w:val="en-US" w:eastAsia="ja-JP"/>
              </w:rPr>
              <w:t>09’28’’</w:t>
            </w:r>
            <w:r w:rsidRPr="00F0379B">
              <w:rPr>
                <w:rFonts w:ascii="Cambria" w:eastAsia="Times New Roman" w:hAnsi="Cambria" w:cs="Arial"/>
                <w:kern w:val="2"/>
                <w:sz w:val="20"/>
                <w:szCs w:val="20"/>
                <w:lang w:val="en-US" w:eastAsia="ja-JP"/>
              </w:rPr>
              <w:t>W</w:t>
            </w:r>
          </w:p>
          <w:p w14:paraId="6941BBB7"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 xml:space="preserve">Punto D: Lat: </w:t>
            </w:r>
            <w:r w:rsidRPr="00F0379B">
              <w:rPr>
                <w:rFonts w:ascii="Cambria" w:eastAsia="Times New Roman" w:hAnsi="Cambria" w:cs="Arial"/>
                <w:color w:val="000000" w:themeColor="text1"/>
                <w:kern w:val="2"/>
                <w:sz w:val="20"/>
                <w:lang w:val="en-US" w:eastAsia="ja-JP"/>
              </w:rPr>
              <w:t>35°</w:t>
            </w:r>
            <w:r w:rsidRPr="00F0379B">
              <w:rPr>
                <w:rFonts w:ascii="Cambria" w:eastAsia="Times New Roman" w:hAnsi="Cambria" w:cs="Arial"/>
                <w:color w:val="000000" w:themeColor="text1"/>
                <w:kern w:val="2"/>
                <w:sz w:val="20"/>
                <w:szCs w:val="20"/>
                <w:lang w:val="en-US" w:eastAsia="ja-JP"/>
              </w:rPr>
              <w:t>19’21’’</w:t>
            </w:r>
            <w:r w:rsidRPr="00F0379B">
              <w:rPr>
                <w:rFonts w:ascii="Cambria" w:eastAsia="Times New Roman" w:hAnsi="Cambria" w:cs="Arial"/>
                <w:kern w:val="2"/>
                <w:sz w:val="20"/>
                <w:szCs w:val="20"/>
                <w:lang w:val="en-US" w:eastAsia="ja-JP"/>
              </w:rPr>
              <w:t xml:space="preserve"> N</w:t>
            </w:r>
          </w:p>
          <w:p w14:paraId="19CB4A74" w14:textId="77777777" w:rsidR="002962EE" w:rsidRPr="00F0379B" w:rsidRDefault="002962EE" w:rsidP="00084782">
            <w:pPr>
              <w:widowControl w:val="0"/>
              <w:spacing w:after="0" w:line="240" w:lineRule="auto"/>
              <w:jc w:val="both"/>
              <w:rPr>
                <w:rFonts w:ascii="Cambria" w:eastAsia="MS Gothic" w:hAnsi="Cambria" w:cs="Times New Roman"/>
                <w:color w:val="000000"/>
                <w:kern w:val="2"/>
                <w:sz w:val="20"/>
                <w:szCs w:val="20"/>
                <w:lang w:val="en-US" w:eastAsia="fr-FR" w:bidi="fr-FR"/>
              </w:rPr>
            </w:pPr>
            <w:r w:rsidRPr="00F0379B">
              <w:rPr>
                <w:rFonts w:ascii="Cambria" w:eastAsia="Times New Roman" w:hAnsi="Cambria" w:cs="Arial"/>
                <w:kern w:val="2"/>
                <w:sz w:val="20"/>
                <w:szCs w:val="20"/>
                <w:lang w:val="en-US" w:eastAsia="ja-JP"/>
              </w:rPr>
              <w:t xml:space="preserve">                 Long: </w:t>
            </w:r>
            <w:r w:rsidRPr="00F0379B">
              <w:rPr>
                <w:rFonts w:ascii="Cambria" w:eastAsia="Times New Roman" w:hAnsi="Cambria" w:cs="Arial"/>
                <w:color w:val="000000" w:themeColor="text1"/>
                <w:kern w:val="2"/>
                <w:sz w:val="20"/>
                <w:lang w:val="en-US" w:eastAsia="ja-JP"/>
              </w:rPr>
              <w:t>06°</w:t>
            </w:r>
            <w:r w:rsidRPr="00F0379B">
              <w:rPr>
                <w:rFonts w:ascii="Cambria" w:eastAsia="Times New Roman" w:hAnsi="Cambria" w:cs="Arial"/>
                <w:color w:val="000000" w:themeColor="text1"/>
                <w:kern w:val="2"/>
                <w:sz w:val="20"/>
                <w:szCs w:val="20"/>
                <w:lang w:val="en-US" w:eastAsia="ja-JP"/>
              </w:rPr>
              <w:t>09’33’’</w:t>
            </w:r>
            <w:r w:rsidRPr="00F0379B">
              <w:rPr>
                <w:rFonts w:ascii="Cambria" w:eastAsia="Times New Roman" w:hAnsi="Cambria" w:cs="Arial"/>
                <w:kern w:val="2"/>
                <w:sz w:val="20"/>
                <w:szCs w:val="20"/>
                <w:lang w:val="en-US" w:eastAsia="ja-JP"/>
              </w:rPr>
              <w:t>W</w:t>
            </w:r>
          </w:p>
        </w:tc>
        <w:tc>
          <w:tcPr>
            <w:tcW w:w="1055" w:type="dxa"/>
            <w:tcBorders>
              <w:top w:val="single" w:sz="4" w:space="0" w:color="auto"/>
              <w:left w:val="single" w:sz="4" w:space="0" w:color="auto"/>
              <w:bottom w:val="single" w:sz="4" w:space="0" w:color="auto"/>
              <w:right w:val="single" w:sz="4" w:space="0" w:color="auto"/>
            </w:tcBorders>
            <w:vAlign w:val="center"/>
          </w:tcPr>
          <w:p w14:paraId="26F3F7FE" w14:textId="77777777" w:rsidR="002962EE" w:rsidRPr="00F0379B" w:rsidRDefault="002962EE" w:rsidP="00084782">
            <w:pPr>
              <w:widowControl w:val="0"/>
              <w:spacing w:after="0" w:line="240" w:lineRule="auto"/>
              <w:jc w:val="center"/>
              <w:rPr>
                <w:rFonts w:ascii="Cambria" w:eastAsia="MS Gothic" w:hAnsi="Cambria" w:cs="Times New Roman"/>
                <w:kern w:val="2"/>
                <w:sz w:val="20"/>
                <w:szCs w:val="20"/>
                <w:lang w:val="fr-FR" w:eastAsia="fr-FR" w:bidi="fr-FR"/>
              </w:rPr>
            </w:pPr>
            <w:r w:rsidRPr="00F0379B">
              <w:rPr>
                <w:rFonts w:ascii="Cambria" w:eastAsia="Times New Roman" w:hAnsi="Cambria" w:cs="Arial"/>
                <w:kern w:val="2"/>
                <w:sz w:val="20"/>
                <w:lang w:val="en-US" w:eastAsia="ja-JP"/>
              </w:rPr>
              <w:t>1.138</w:t>
            </w:r>
          </w:p>
        </w:tc>
        <w:tc>
          <w:tcPr>
            <w:tcW w:w="1242" w:type="dxa"/>
            <w:tcBorders>
              <w:top w:val="single" w:sz="4" w:space="0" w:color="auto"/>
              <w:left w:val="single" w:sz="4" w:space="0" w:color="auto"/>
              <w:bottom w:val="single" w:sz="4" w:space="0" w:color="auto"/>
              <w:right w:val="single" w:sz="4" w:space="0" w:color="auto"/>
            </w:tcBorders>
            <w:vAlign w:val="center"/>
          </w:tcPr>
          <w:p w14:paraId="787D996C" w14:textId="77777777" w:rsidR="002962EE" w:rsidRPr="00F0379B" w:rsidRDefault="002962EE" w:rsidP="00084782">
            <w:pPr>
              <w:widowControl w:val="0"/>
              <w:spacing w:after="0" w:line="240" w:lineRule="auto"/>
              <w:jc w:val="center"/>
              <w:rPr>
                <w:rFonts w:ascii="Cambria" w:eastAsia="MS Gothic" w:hAnsi="Cambria" w:cs="Times New Roman"/>
                <w:kern w:val="2"/>
                <w:sz w:val="20"/>
                <w:szCs w:val="20"/>
                <w:lang w:val="fr-FR" w:eastAsia="fr-FR" w:bidi="fr-FR"/>
              </w:rPr>
            </w:pPr>
            <w:r w:rsidRPr="00F0379B">
              <w:rPr>
                <w:rFonts w:ascii="Cambria" w:eastAsia="Times New Roman" w:hAnsi="Cambria" w:cs="Arial"/>
                <w:kern w:val="2"/>
                <w:sz w:val="20"/>
                <w:szCs w:val="20"/>
                <w:lang w:val="en-US" w:eastAsia="ja-JP"/>
              </w:rPr>
              <w:t>1.500</w:t>
            </w:r>
          </w:p>
        </w:tc>
      </w:tr>
      <w:tr w:rsidR="002962EE" w:rsidRPr="00F0379B" w14:paraId="5EB4F2A3" w14:textId="77777777" w:rsidTr="00084782">
        <w:trPr>
          <w:trHeight w:val="643"/>
        </w:trPr>
        <w:tc>
          <w:tcPr>
            <w:tcW w:w="1555" w:type="dxa"/>
            <w:tcBorders>
              <w:top w:val="single" w:sz="4" w:space="0" w:color="auto"/>
              <w:left w:val="single" w:sz="4" w:space="0" w:color="auto"/>
              <w:bottom w:val="single" w:sz="4" w:space="0" w:color="auto"/>
              <w:right w:val="single" w:sz="4" w:space="0" w:color="auto"/>
            </w:tcBorders>
          </w:tcPr>
          <w:p w14:paraId="421C12DA" w14:textId="77777777" w:rsidR="002962EE" w:rsidRPr="00F0379B" w:rsidRDefault="002962EE" w:rsidP="00084782">
            <w:pPr>
              <w:widowControl w:val="0"/>
              <w:spacing w:after="0" w:line="240" w:lineRule="auto"/>
              <w:jc w:val="both"/>
              <w:rPr>
                <w:rFonts w:ascii="Cambria" w:eastAsia="MS Gothic" w:hAnsi="Cambria" w:cs="Times New Roman"/>
                <w:color w:val="000000"/>
                <w:kern w:val="2"/>
                <w:sz w:val="20"/>
                <w:szCs w:val="20"/>
                <w:lang w:val="fr-FR" w:eastAsia="fr-FR" w:bidi="fr-FR"/>
              </w:rPr>
            </w:pPr>
            <w:r w:rsidRPr="00F0379B">
              <w:rPr>
                <w:rFonts w:ascii="Cambria" w:eastAsia="Times New Roman" w:hAnsi="Cambria" w:cs="Arial"/>
                <w:kern w:val="2"/>
                <w:sz w:val="20"/>
                <w:szCs w:val="20"/>
                <w:lang w:val="en-US" w:eastAsia="ja-JP"/>
              </w:rPr>
              <w:t>ATLANTIQUE TUNA FARM</w:t>
            </w:r>
          </w:p>
        </w:tc>
        <w:tc>
          <w:tcPr>
            <w:tcW w:w="2131" w:type="dxa"/>
            <w:tcBorders>
              <w:top w:val="single" w:sz="4" w:space="0" w:color="auto"/>
              <w:left w:val="single" w:sz="4" w:space="0" w:color="auto"/>
              <w:bottom w:val="single" w:sz="4" w:space="0" w:color="auto"/>
              <w:right w:val="single" w:sz="4" w:space="0" w:color="auto"/>
            </w:tcBorders>
          </w:tcPr>
          <w:p w14:paraId="4A0BFD47" w14:textId="77777777" w:rsidR="002962EE" w:rsidRPr="00F0379B" w:rsidRDefault="002962EE" w:rsidP="00084782">
            <w:pPr>
              <w:widowControl w:val="0"/>
              <w:spacing w:after="0" w:line="240" w:lineRule="auto"/>
              <w:jc w:val="center"/>
              <w:rPr>
                <w:rFonts w:ascii="Cambria" w:eastAsia="MS Gothic" w:hAnsi="Cambria" w:cs="Times New Roman"/>
                <w:smallCaps/>
                <w:color w:val="000000"/>
                <w:kern w:val="2"/>
                <w:sz w:val="20"/>
                <w:szCs w:val="20"/>
                <w:lang w:val="fr-FR" w:eastAsia="fr-FR" w:bidi="fr-FR"/>
              </w:rPr>
            </w:pPr>
            <w:r w:rsidRPr="00F0379B">
              <w:rPr>
                <w:rFonts w:ascii="Cambria" w:eastAsia="Times New Roman" w:hAnsi="Cambria" w:cs="Arial"/>
                <w:kern w:val="2"/>
                <w:sz w:val="20"/>
                <w:szCs w:val="20"/>
                <w:lang w:val="en-US" w:eastAsia="ja-JP"/>
              </w:rPr>
              <w:t>AT001MAR00005</w:t>
            </w:r>
          </w:p>
        </w:tc>
        <w:tc>
          <w:tcPr>
            <w:tcW w:w="3260" w:type="dxa"/>
            <w:tcBorders>
              <w:top w:val="single" w:sz="4" w:space="0" w:color="auto"/>
              <w:left w:val="single" w:sz="4" w:space="0" w:color="auto"/>
              <w:bottom w:val="single" w:sz="4" w:space="0" w:color="auto"/>
              <w:right w:val="single" w:sz="4" w:space="0" w:color="auto"/>
            </w:tcBorders>
          </w:tcPr>
          <w:p w14:paraId="49005C97" w14:textId="77777777" w:rsidR="002962EE" w:rsidRPr="00F0379B" w:rsidRDefault="002962EE" w:rsidP="00084782">
            <w:pPr>
              <w:widowControl w:val="0"/>
              <w:spacing w:after="0" w:line="240" w:lineRule="auto"/>
              <w:jc w:val="both"/>
              <w:rPr>
                <w:rFonts w:ascii="Cambria" w:eastAsia="MS Gothic" w:hAnsi="Cambria" w:cs="Times New Roman"/>
                <w:sz w:val="20"/>
                <w:szCs w:val="20"/>
                <w:lang w:val="en-US" w:eastAsia="fr-FR" w:bidi="fr-FR"/>
              </w:rPr>
            </w:pPr>
            <w:r w:rsidRPr="00F0379B">
              <w:rPr>
                <w:rFonts w:ascii="Cambria" w:eastAsia="Times New Roman" w:hAnsi="Cambria" w:cs="Arial"/>
                <w:kern w:val="2"/>
                <w:sz w:val="20"/>
                <w:szCs w:val="20"/>
                <w:lang w:val="en-US" w:eastAsia="ja-JP"/>
              </w:rPr>
              <w:t xml:space="preserve">Punto </w:t>
            </w:r>
            <w:proofErr w:type="gramStart"/>
            <w:r w:rsidRPr="00F0379B">
              <w:rPr>
                <w:rFonts w:ascii="Cambria" w:eastAsia="MS Gothic" w:hAnsi="Cambria" w:cs="Times New Roman"/>
                <w:sz w:val="20"/>
                <w:szCs w:val="20"/>
                <w:lang w:val="en-US" w:eastAsia="fr-FR" w:bidi="fr-FR"/>
              </w:rPr>
              <w:t>A :</w:t>
            </w:r>
            <w:proofErr w:type="gramEnd"/>
            <w:r w:rsidRPr="00F0379B">
              <w:rPr>
                <w:rFonts w:ascii="Cambria" w:eastAsia="MS Gothic" w:hAnsi="Cambria" w:cs="Times New Roman"/>
                <w:sz w:val="20"/>
                <w:szCs w:val="20"/>
                <w:lang w:val="en-US" w:eastAsia="fr-FR" w:bidi="fr-FR"/>
              </w:rPr>
              <w:t xml:space="preserve"> </w:t>
            </w:r>
            <w:proofErr w:type="gramStart"/>
            <w:r w:rsidRPr="00F0379B">
              <w:rPr>
                <w:rFonts w:ascii="Cambria" w:eastAsia="MS Gothic" w:hAnsi="Cambria" w:cs="Times New Roman"/>
                <w:sz w:val="20"/>
                <w:szCs w:val="20"/>
                <w:lang w:val="en-US" w:eastAsia="fr-FR" w:bidi="fr-FR"/>
              </w:rPr>
              <w:t>Lat :</w:t>
            </w:r>
            <w:proofErr w:type="gramEnd"/>
            <w:r w:rsidRPr="00F0379B">
              <w:rPr>
                <w:rFonts w:ascii="Cambria" w:eastAsia="MS Gothic" w:hAnsi="Cambria" w:cs="Times New Roman"/>
                <w:sz w:val="20"/>
                <w:szCs w:val="20"/>
                <w:lang w:val="en-US" w:eastAsia="fr-FR" w:bidi="fr-FR"/>
              </w:rPr>
              <w:t xml:space="preserve"> 34°24’00’’N</w:t>
            </w:r>
          </w:p>
          <w:p w14:paraId="2DECF7DB" w14:textId="77777777" w:rsidR="002962EE" w:rsidRPr="00F0379B" w:rsidRDefault="002962EE" w:rsidP="00084782">
            <w:pPr>
              <w:widowControl w:val="0"/>
              <w:spacing w:after="0" w:line="240" w:lineRule="auto"/>
              <w:jc w:val="both"/>
              <w:rPr>
                <w:rFonts w:ascii="Cambria" w:eastAsia="MS Gothic" w:hAnsi="Cambria" w:cs="Times New Roman"/>
                <w:sz w:val="20"/>
                <w:szCs w:val="20"/>
                <w:lang w:val="en-US" w:eastAsia="fr-FR" w:bidi="fr-FR"/>
              </w:rPr>
            </w:pPr>
            <w:r w:rsidRPr="00F0379B">
              <w:rPr>
                <w:rFonts w:ascii="Cambria" w:eastAsia="MS Gothic" w:hAnsi="Cambria" w:cs="Times New Roman"/>
                <w:sz w:val="20"/>
                <w:szCs w:val="20"/>
                <w:lang w:val="en-US" w:eastAsia="fr-FR" w:bidi="fr-FR"/>
              </w:rPr>
              <w:t xml:space="preserve">     </w:t>
            </w:r>
            <w:r w:rsidRPr="00F0379B">
              <w:rPr>
                <w:rFonts w:ascii="Cambria" w:eastAsia="MS Gothic" w:hAnsi="Cambria" w:cs="Times New Roman"/>
                <w:sz w:val="20"/>
                <w:szCs w:val="20"/>
                <w:lang w:val="en-US" w:eastAsia="fr-FR" w:bidi="fr-FR"/>
              </w:rPr>
              <w:tab/>
              <w:t xml:space="preserve">  </w:t>
            </w:r>
            <w:proofErr w:type="gramStart"/>
            <w:r w:rsidRPr="00F0379B">
              <w:rPr>
                <w:rFonts w:ascii="Cambria" w:eastAsia="MS Gothic" w:hAnsi="Cambria" w:cs="Times New Roman"/>
                <w:sz w:val="20"/>
                <w:szCs w:val="20"/>
                <w:lang w:val="en-US" w:eastAsia="fr-FR" w:bidi="fr-FR"/>
              </w:rPr>
              <w:t>Long :</w:t>
            </w:r>
            <w:proofErr w:type="gramEnd"/>
            <w:r w:rsidRPr="00F0379B">
              <w:rPr>
                <w:rFonts w:ascii="Cambria" w:eastAsia="MS Gothic" w:hAnsi="Cambria" w:cs="Times New Roman"/>
                <w:sz w:val="20"/>
                <w:szCs w:val="20"/>
                <w:lang w:val="en-US" w:eastAsia="fr-FR" w:bidi="fr-FR"/>
              </w:rPr>
              <w:t xml:space="preserve"> 06°39’25’’W</w:t>
            </w:r>
          </w:p>
          <w:p w14:paraId="76ED4EB8" w14:textId="77777777" w:rsidR="002962EE" w:rsidRPr="00F0379B" w:rsidRDefault="002962EE" w:rsidP="00084782">
            <w:pPr>
              <w:widowControl w:val="0"/>
              <w:spacing w:after="0" w:line="240" w:lineRule="auto"/>
              <w:jc w:val="both"/>
              <w:rPr>
                <w:rFonts w:ascii="Cambria" w:eastAsia="MS Gothic" w:hAnsi="Cambria" w:cs="Times New Roman"/>
                <w:sz w:val="20"/>
                <w:szCs w:val="20"/>
                <w:lang w:val="en-US" w:eastAsia="fr-FR" w:bidi="fr-FR"/>
              </w:rPr>
            </w:pPr>
            <w:r w:rsidRPr="00F0379B">
              <w:rPr>
                <w:rFonts w:ascii="Cambria" w:eastAsia="Times New Roman" w:hAnsi="Cambria" w:cs="Arial"/>
                <w:kern w:val="2"/>
                <w:sz w:val="20"/>
                <w:szCs w:val="20"/>
                <w:lang w:val="en-US" w:eastAsia="ja-JP"/>
              </w:rPr>
              <w:t xml:space="preserve">Punto </w:t>
            </w:r>
            <w:proofErr w:type="gramStart"/>
            <w:r w:rsidRPr="00F0379B">
              <w:rPr>
                <w:rFonts w:ascii="Cambria" w:eastAsia="MS Gothic" w:hAnsi="Cambria" w:cs="Times New Roman"/>
                <w:sz w:val="20"/>
                <w:szCs w:val="20"/>
                <w:lang w:val="en-US" w:eastAsia="fr-FR" w:bidi="fr-FR"/>
              </w:rPr>
              <w:t>B :</w:t>
            </w:r>
            <w:proofErr w:type="gramEnd"/>
            <w:r w:rsidRPr="00F0379B">
              <w:rPr>
                <w:rFonts w:ascii="Cambria" w:eastAsia="MS Gothic" w:hAnsi="Cambria" w:cs="Times New Roman"/>
                <w:sz w:val="20"/>
                <w:szCs w:val="20"/>
                <w:lang w:val="en-US" w:eastAsia="fr-FR" w:bidi="fr-FR"/>
              </w:rPr>
              <w:t xml:space="preserve"> </w:t>
            </w:r>
            <w:proofErr w:type="gramStart"/>
            <w:r w:rsidRPr="00F0379B">
              <w:rPr>
                <w:rFonts w:ascii="Cambria" w:eastAsia="MS Gothic" w:hAnsi="Cambria" w:cs="Times New Roman"/>
                <w:sz w:val="20"/>
                <w:szCs w:val="20"/>
                <w:lang w:val="en-US" w:eastAsia="fr-FR" w:bidi="fr-FR"/>
              </w:rPr>
              <w:t>Lat :</w:t>
            </w:r>
            <w:proofErr w:type="gramEnd"/>
            <w:r w:rsidRPr="00F0379B">
              <w:rPr>
                <w:rFonts w:ascii="Cambria" w:eastAsia="MS Gothic" w:hAnsi="Cambria" w:cs="Times New Roman"/>
                <w:sz w:val="20"/>
                <w:szCs w:val="20"/>
                <w:lang w:val="en-US" w:eastAsia="fr-FR" w:bidi="fr-FR"/>
              </w:rPr>
              <w:t xml:space="preserve"> 34°25’14’’ N</w:t>
            </w:r>
          </w:p>
          <w:p w14:paraId="08F1D199" w14:textId="77777777" w:rsidR="002962EE" w:rsidRPr="00F0379B" w:rsidRDefault="002962EE" w:rsidP="00084782">
            <w:pPr>
              <w:widowControl w:val="0"/>
              <w:spacing w:after="0" w:line="240" w:lineRule="auto"/>
              <w:jc w:val="both"/>
              <w:rPr>
                <w:rFonts w:ascii="Cambria" w:eastAsia="MS Gothic" w:hAnsi="Cambria" w:cs="Times New Roman"/>
                <w:sz w:val="20"/>
                <w:szCs w:val="20"/>
                <w:lang w:val="en-US" w:eastAsia="fr-FR" w:bidi="fr-FR"/>
              </w:rPr>
            </w:pPr>
            <w:r w:rsidRPr="00F0379B">
              <w:rPr>
                <w:rFonts w:ascii="Cambria" w:eastAsia="MS Gothic" w:hAnsi="Cambria" w:cs="Times New Roman"/>
                <w:sz w:val="20"/>
                <w:szCs w:val="20"/>
                <w:lang w:val="en-US" w:eastAsia="fr-FR" w:bidi="fr-FR"/>
              </w:rPr>
              <w:t xml:space="preserve">       </w:t>
            </w:r>
            <w:r w:rsidRPr="00F0379B">
              <w:rPr>
                <w:rFonts w:ascii="Cambria" w:eastAsia="MS Gothic" w:hAnsi="Cambria" w:cs="Times New Roman"/>
                <w:sz w:val="20"/>
                <w:szCs w:val="20"/>
                <w:lang w:val="en-US" w:eastAsia="fr-FR" w:bidi="fr-FR"/>
              </w:rPr>
              <w:tab/>
            </w:r>
            <w:proofErr w:type="gramStart"/>
            <w:r w:rsidRPr="00F0379B">
              <w:rPr>
                <w:rFonts w:ascii="Cambria" w:eastAsia="MS Gothic" w:hAnsi="Cambria" w:cs="Times New Roman"/>
                <w:sz w:val="20"/>
                <w:szCs w:val="20"/>
                <w:lang w:val="en-US" w:eastAsia="fr-FR" w:bidi="fr-FR"/>
              </w:rPr>
              <w:t>Long :</w:t>
            </w:r>
            <w:proofErr w:type="gramEnd"/>
            <w:r w:rsidRPr="00F0379B">
              <w:rPr>
                <w:rFonts w:ascii="Cambria" w:eastAsia="MS Gothic" w:hAnsi="Cambria" w:cs="Times New Roman"/>
                <w:sz w:val="20"/>
                <w:szCs w:val="20"/>
                <w:lang w:val="en-US" w:eastAsia="fr-FR" w:bidi="fr-FR"/>
              </w:rPr>
              <w:t xml:space="preserve"> 06°38’40’’W</w:t>
            </w:r>
          </w:p>
          <w:p w14:paraId="40028BA9" w14:textId="77777777" w:rsidR="002962EE" w:rsidRPr="00F0379B" w:rsidRDefault="002962EE" w:rsidP="00084782">
            <w:pPr>
              <w:widowControl w:val="0"/>
              <w:spacing w:after="0" w:line="240" w:lineRule="auto"/>
              <w:jc w:val="both"/>
              <w:rPr>
                <w:rFonts w:ascii="Cambria" w:eastAsia="MS Gothic" w:hAnsi="Cambria" w:cs="Times New Roman"/>
                <w:sz w:val="20"/>
                <w:szCs w:val="20"/>
                <w:lang w:val="en-US" w:eastAsia="fr-FR" w:bidi="fr-FR"/>
              </w:rPr>
            </w:pPr>
            <w:r w:rsidRPr="00F0379B">
              <w:rPr>
                <w:rFonts w:ascii="Cambria" w:eastAsia="Times New Roman" w:hAnsi="Cambria" w:cs="Arial"/>
                <w:kern w:val="2"/>
                <w:sz w:val="20"/>
                <w:szCs w:val="20"/>
                <w:lang w:val="en-US" w:eastAsia="ja-JP"/>
              </w:rPr>
              <w:t xml:space="preserve">Punto </w:t>
            </w:r>
            <w:r w:rsidRPr="00F0379B">
              <w:rPr>
                <w:rFonts w:ascii="Cambria" w:eastAsia="MS Gothic" w:hAnsi="Cambria" w:cs="Times New Roman"/>
                <w:sz w:val="20"/>
                <w:szCs w:val="20"/>
                <w:lang w:val="en-US" w:eastAsia="fr-FR" w:bidi="fr-FR"/>
              </w:rPr>
              <w:t>C: Lat: 34°25’00’’N</w:t>
            </w:r>
          </w:p>
          <w:p w14:paraId="3CB4AB43" w14:textId="77777777" w:rsidR="002962EE" w:rsidRPr="00F0379B" w:rsidRDefault="002962EE" w:rsidP="00084782">
            <w:pPr>
              <w:widowControl w:val="0"/>
              <w:spacing w:after="0" w:line="240" w:lineRule="auto"/>
              <w:jc w:val="both"/>
              <w:rPr>
                <w:rFonts w:ascii="Cambria" w:eastAsia="MS Gothic" w:hAnsi="Cambria" w:cs="Times New Roman"/>
                <w:sz w:val="20"/>
                <w:szCs w:val="20"/>
                <w:lang w:val="en-US" w:eastAsia="fr-FR" w:bidi="fr-FR"/>
              </w:rPr>
            </w:pPr>
            <w:r w:rsidRPr="00F0379B">
              <w:rPr>
                <w:rFonts w:ascii="Cambria" w:eastAsia="MS Gothic" w:hAnsi="Cambria" w:cs="Times New Roman"/>
                <w:sz w:val="20"/>
                <w:szCs w:val="20"/>
                <w:lang w:val="en-US" w:eastAsia="fr-FR" w:bidi="fr-FR"/>
              </w:rPr>
              <w:t xml:space="preserve">       </w:t>
            </w:r>
            <w:r w:rsidRPr="00F0379B">
              <w:rPr>
                <w:rFonts w:ascii="Cambria" w:eastAsia="MS Gothic" w:hAnsi="Cambria" w:cs="Times New Roman"/>
                <w:sz w:val="20"/>
                <w:szCs w:val="20"/>
                <w:lang w:val="en-US" w:eastAsia="fr-FR" w:bidi="fr-FR"/>
              </w:rPr>
              <w:tab/>
            </w:r>
            <w:proofErr w:type="gramStart"/>
            <w:r w:rsidRPr="00F0379B">
              <w:rPr>
                <w:rFonts w:ascii="Cambria" w:eastAsia="MS Gothic" w:hAnsi="Cambria" w:cs="Times New Roman"/>
                <w:sz w:val="20"/>
                <w:szCs w:val="20"/>
                <w:lang w:val="en-US" w:eastAsia="fr-FR" w:bidi="fr-FR"/>
              </w:rPr>
              <w:t>Long :</w:t>
            </w:r>
            <w:proofErr w:type="gramEnd"/>
            <w:r w:rsidRPr="00F0379B">
              <w:rPr>
                <w:rFonts w:ascii="Cambria" w:eastAsia="MS Gothic" w:hAnsi="Cambria" w:cs="Times New Roman"/>
                <w:sz w:val="20"/>
                <w:szCs w:val="20"/>
                <w:lang w:val="en-US" w:eastAsia="fr-FR" w:bidi="fr-FR"/>
              </w:rPr>
              <w:t xml:space="preserve"> 06°36’50’’W</w:t>
            </w:r>
          </w:p>
          <w:p w14:paraId="7A1AED26" w14:textId="77777777" w:rsidR="002962EE" w:rsidRPr="00F0379B" w:rsidRDefault="002962EE" w:rsidP="00084782">
            <w:pPr>
              <w:widowControl w:val="0"/>
              <w:spacing w:after="0" w:line="240" w:lineRule="auto"/>
              <w:jc w:val="both"/>
              <w:rPr>
                <w:rFonts w:ascii="Cambria" w:eastAsia="MS Gothic" w:hAnsi="Cambria" w:cs="Times New Roman"/>
                <w:sz w:val="20"/>
                <w:szCs w:val="20"/>
                <w:lang w:val="en-US" w:eastAsia="fr-FR" w:bidi="fr-FR"/>
              </w:rPr>
            </w:pPr>
            <w:r w:rsidRPr="00F0379B">
              <w:rPr>
                <w:rFonts w:ascii="Cambria" w:eastAsia="Times New Roman" w:hAnsi="Cambria" w:cs="Arial"/>
                <w:kern w:val="2"/>
                <w:sz w:val="20"/>
                <w:szCs w:val="20"/>
                <w:lang w:val="en-US" w:eastAsia="ja-JP"/>
              </w:rPr>
              <w:t xml:space="preserve">Punto </w:t>
            </w:r>
            <w:proofErr w:type="gramStart"/>
            <w:r w:rsidRPr="00F0379B">
              <w:rPr>
                <w:rFonts w:ascii="Cambria" w:eastAsia="MS Gothic" w:hAnsi="Cambria" w:cs="Times New Roman"/>
                <w:sz w:val="20"/>
                <w:szCs w:val="20"/>
                <w:lang w:val="en-US" w:eastAsia="fr-FR" w:bidi="fr-FR"/>
              </w:rPr>
              <w:t>D :</w:t>
            </w:r>
            <w:proofErr w:type="gramEnd"/>
            <w:r w:rsidRPr="00F0379B">
              <w:rPr>
                <w:rFonts w:ascii="Cambria" w:eastAsia="MS Gothic" w:hAnsi="Cambria" w:cs="Times New Roman"/>
                <w:sz w:val="20"/>
                <w:szCs w:val="20"/>
                <w:lang w:val="en-US" w:eastAsia="fr-FR" w:bidi="fr-FR"/>
              </w:rPr>
              <w:t xml:space="preserve"> </w:t>
            </w:r>
            <w:proofErr w:type="gramStart"/>
            <w:r w:rsidRPr="00F0379B">
              <w:rPr>
                <w:rFonts w:ascii="Cambria" w:eastAsia="MS Gothic" w:hAnsi="Cambria" w:cs="Times New Roman"/>
                <w:sz w:val="20"/>
                <w:szCs w:val="20"/>
                <w:lang w:val="en-US" w:eastAsia="fr-FR" w:bidi="fr-FR"/>
              </w:rPr>
              <w:t>Lat :</w:t>
            </w:r>
            <w:proofErr w:type="gramEnd"/>
            <w:r w:rsidRPr="00F0379B">
              <w:rPr>
                <w:rFonts w:ascii="Cambria" w:eastAsia="MS Gothic" w:hAnsi="Cambria" w:cs="Times New Roman"/>
                <w:sz w:val="20"/>
                <w:szCs w:val="20"/>
                <w:lang w:val="en-US" w:eastAsia="fr-FR" w:bidi="fr-FR"/>
              </w:rPr>
              <w:t xml:space="preserve"> 34°23’41’’ N</w:t>
            </w:r>
          </w:p>
          <w:p w14:paraId="7608B367" w14:textId="77777777" w:rsidR="002962EE" w:rsidRPr="00F0379B" w:rsidRDefault="002962EE" w:rsidP="00084782">
            <w:pPr>
              <w:widowControl w:val="0"/>
              <w:spacing w:after="0" w:line="240" w:lineRule="auto"/>
              <w:jc w:val="both"/>
              <w:rPr>
                <w:rFonts w:ascii="Cambria" w:eastAsia="Times New Roman" w:hAnsi="Cambria" w:cs="Arial"/>
                <w:kern w:val="2"/>
                <w:sz w:val="20"/>
                <w:szCs w:val="20"/>
                <w:lang w:val="en-US" w:eastAsia="ja-JP"/>
              </w:rPr>
            </w:pPr>
            <w:r w:rsidRPr="00F0379B">
              <w:rPr>
                <w:rFonts w:ascii="Cambria" w:eastAsia="MS Gothic" w:hAnsi="Cambria" w:cs="Times New Roman"/>
                <w:sz w:val="20"/>
                <w:szCs w:val="20"/>
                <w:lang w:val="en-US" w:eastAsia="fr-FR" w:bidi="fr-FR"/>
              </w:rPr>
              <w:t xml:space="preserve">      </w:t>
            </w:r>
            <w:r w:rsidRPr="00F0379B">
              <w:rPr>
                <w:rFonts w:ascii="Cambria" w:eastAsia="MS Gothic" w:hAnsi="Cambria" w:cs="Times New Roman"/>
                <w:sz w:val="20"/>
                <w:szCs w:val="20"/>
                <w:lang w:val="en-US" w:eastAsia="fr-FR" w:bidi="fr-FR"/>
              </w:rPr>
              <w:tab/>
            </w:r>
            <w:proofErr w:type="gramStart"/>
            <w:r w:rsidRPr="00F0379B">
              <w:rPr>
                <w:rFonts w:ascii="Cambria" w:eastAsia="MS Gothic" w:hAnsi="Cambria" w:cs="Times New Roman"/>
                <w:sz w:val="20"/>
                <w:szCs w:val="20"/>
                <w:lang w:val="en-US" w:eastAsia="fr-FR" w:bidi="fr-FR"/>
              </w:rPr>
              <w:t>Long :</w:t>
            </w:r>
            <w:proofErr w:type="gramEnd"/>
            <w:r w:rsidRPr="00F0379B">
              <w:rPr>
                <w:rFonts w:ascii="Cambria" w:eastAsia="MS Gothic" w:hAnsi="Cambria" w:cs="Times New Roman"/>
                <w:sz w:val="20"/>
                <w:szCs w:val="20"/>
                <w:lang w:val="en-US" w:eastAsia="fr-FR" w:bidi="fr-FR"/>
              </w:rPr>
              <w:t xml:space="preserve"> 06°37’46’’W</w:t>
            </w:r>
          </w:p>
        </w:tc>
        <w:tc>
          <w:tcPr>
            <w:tcW w:w="1055" w:type="dxa"/>
            <w:tcBorders>
              <w:top w:val="single" w:sz="4" w:space="0" w:color="auto"/>
              <w:left w:val="single" w:sz="4" w:space="0" w:color="auto"/>
              <w:bottom w:val="single" w:sz="4" w:space="0" w:color="auto"/>
              <w:right w:val="single" w:sz="4" w:space="0" w:color="auto"/>
            </w:tcBorders>
            <w:vAlign w:val="center"/>
          </w:tcPr>
          <w:p w14:paraId="46D76623" w14:textId="77777777" w:rsidR="002962EE" w:rsidRPr="00F0379B" w:rsidRDefault="002962EE" w:rsidP="00084782">
            <w:pPr>
              <w:widowControl w:val="0"/>
              <w:spacing w:after="0" w:line="240" w:lineRule="auto"/>
              <w:jc w:val="center"/>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608</w:t>
            </w:r>
          </w:p>
        </w:tc>
        <w:tc>
          <w:tcPr>
            <w:tcW w:w="1242" w:type="dxa"/>
            <w:tcBorders>
              <w:top w:val="single" w:sz="4" w:space="0" w:color="auto"/>
              <w:left w:val="single" w:sz="4" w:space="0" w:color="auto"/>
              <w:bottom w:val="single" w:sz="4" w:space="0" w:color="auto"/>
              <w:right w:val="single" w:sz="4" w:space="0" w:color="auto"/>
            </w:tcBorders>
            <w:vAlign w:val="center"/>
          </w:tcPr>
          <w:p w14:paraId="50761FF6" w14:textId="77777777" w:rsidR="002962EE" w:rsidRPr="00F0379B" w:rsidRDefault="002962EE" w:rsidP="00084782">
            <w:pPr>
              <w:widowControl w:val="0"/>
              <w:spacing w:after="0" w:line="240" w:lineRule="auto"/>
              <w:jc w:val="center"/>
              <w:rPr>
                <w:rFonts w:ascii="Cambria" w:eastAsia="Times New Roman" w:hAnsi="Cambria" w:cs="Arial"/>
                <w:kern w:val="2"/>
                <w:sz w:val="20"/>
                <w:szCs w:val="20"/>
                <w:lang w:val="en-US" w:eastAsia="ja-JP"/>
              </w:rPr>
            </w:pPr>
            <w:r w:rsidRPr="00F0379B">
              <w:rPr>
                <w:rFonts w:ascii="Cambria" w:eastAsia="Times New Roman" w:hAnsi="Cambria" w:cs="Arial"/>
                <w:kern w:val="2"/>
                <w:sz w:val="20"/>
                <w:szCs w:val="20"/>
                <w:lang w:val="en-US" w:eastAsia="ja-JP"/>
              </w:rPr>
              <w:t>1.500</w:t>
            </w:r>
          </w:p>
        </w:tc>
      </w:tr>
      <w:tr w:rsidR="002962EE" w:rsidRPr="00F0379B" w14:paraId="212977A4" w14:textId="77777777" w:rsidTr="00084782">
        <w:trPr>
          <w:trHeight w:val="324"/>
        </w:trPr>
        <w:tc>
          <w:tcPr>
            <w:tcW w:w="1555" w:type="dxa"/>
            <w:tcBorders>
              <w:top w:val="single" w:sz="4" w:space="0" w:color="auto"/>
              <w:left w:val="single" w:sz="4" w:space="0" w:color="auto"/>
              <w:bottom w:val="single" w:sz="4" w:space="0" w:color="auto"/>
              <w:right w:val="single" w:sz="4" w:space="0" w:color="auto"/>
            </w:tcBorders>
          </w:tcPr>
          <w:p w14:paraId="5ECD41FC" w14:textId="77777777" w:rsidR="002962EE" w:rsidRPr="00F0379B" w:rsidRDefault="002962EE" w:rsidP="00084782">
            <w:pPr>
              <w:widowControl w:val="0"/>
              <w:spacing w:after="0" w:line="240" w:lineRule="auto"/>
              <w:jc w:val="both"/>
              <w:rPr>
                <w:rFonts w:ascii="Cambria" w:eastAsia="MS Gothic" w:hAnsi="Cambria" w:cs="Times New Roman"/>
                <w:color w:val="000000"/>
                <w:kern w:val="2"/>
                <w:sz w:val="20"/>
                <w:szCs w:val="20"/>
                <w:lang w:val="fr-FR" w:eastAsia="fr-FR" w:bidi="fr-FR"/>
              </w:rPr>
            </w:pPr>
            <w:r w:rsidRPr="00F0379B">
              <w:rPr>
                <w:rFonts w:ascii="Cambria" w:eastAsia="MS Gothic" w:hAnsi="Cambria" w:cs="Times New Roman"/>
                <w:color w:val="000000"/>
                <w:kern w:val="2"/>
                <w:sz w:val="20"/>
                <w:szCs w:val="20"/>
                <w:lang w:val="fr-FR" w:eastAsia="fr-FR" w:bidi="fr-FR"/>
              </w:rPr>
              <w:t>TOTAL</w:t>
            </w:r>
          </w:p>
        </w:tc>
        <w:tc>
          <w:tcPr>
            <w:tcW w:w="2131" w:type="dxa"/>
            <w:tcBorders>
              <w:top w:val="single" w:sz="4" w:space="0" w:color="auto"/>
              <w:left w:val="single" w:sz="4" w:space="0" w:color="auto"/>
              <w:bottom w:val="single" w:sz="4" w:space="0" w:color="auto"/>
              <w:right w:val="single" w:sz="4" w:space="0" w:color="auto"/>
            </w:tcBorders>
          </w:tcPr>
          <w:p w14:paraId="03695A89" w14:textId="77777777" w:rsidR="002962EE" w:rsidRPr="00F0379B" w:rsidRDefault="002962EE" w:rsidP="00084782">
            <w:pPr>
              <w:widowControl w:val="0"/>
              <w:spacing w:after="0" w:line="240" w:lineRule="auto"/>
              <w:jc w:val="center"/>
              <w:rPr>
                <w:rFonts w:ascii="Cambria" w:eastAsia="MS Gothic" w:hAnsi="Cambria" w:cs="Times New Roman"/>
                <w:smallCaps/>
                <w:color w:val="000000"/>
                <w:kern w:val="2"/>
                <w:sz w:val="20"/>
                <w:szCs w:val="20"/>
                <w:lang w:val="fr-FR" w:eastAsia="fr-FR" w:bidi="fr-FR"/>
              </w:rPr>
            </w:pPr>
          </w:p>
        </w:tc>
        <w:tc>
          <w:tcPr>
            <w:tcW w:w="3260" w:type="dxa"/>
            <w:tcBorders>
              <w:top w:val="single" w:sz="4" w:space="0" w:color="auto"/>
              <w:left w:val="single" w:sz="4" w:space="0" w:color="auto"/>
              <w:bottom w:val="single" w:sz="4" w:space="0" w:color="auto"/>
              <w:right w:val="single" w:sz="4" w:space="0" w:color="auto"/>
            </w:tcBorders>
          </w:tcPr>
          <w:p w14:paraId="7BC2E227" w14:textId="77777777" w:rsidR="002962EE" w:rsidRPr="00F0379B" w:rsidRDefault="002962EE" w:rsidP="00084782">
            <w:pPr>
              <w:widowControl w:val="0"/>
              <w:spacing w:after="0" w:line="240" w:lineRule="auto"/>
              <w:jc w:val="center"/>
              <w:rPr>
                <w:rFonts w:ascii="Cambria" w:eastAsia="MS Gothic" w:hAnsi="Cambria" w:cs="Times New Roman"/>
                <w:color w:val="000000"/>
                <w:kern w:val="2"/>
                <w:sz w:val="20"/>
                <w:szCs w:val="20"/>
                <w:lang w:val="fr-FR" w:eastAsia="fr-FR" w:bidi="fr-FR"/>
              </w:rPr>
            </w:pPr>
          </w:p>
        </w:tc>
        <w:tc>
          <w:tcPr>
            <w:tcW w:w="1055" w:type="dxa"/>
            <w:tcBorders>
              <w:top w:val="single" w:sz="4" w:space="0" w:color="auto"/>
              <w:left w:val="single" w:sz="4" w:space="0" w:color="auto"/>
              <w:bottom w:val="single" w:sz="4" w:space="0" w:color="auto"/>
              <w:right w:val="single" w:sz="4" w:space="0" w:color="auto"/>
            </w:tcBorders>
            <w:vAlign w:val="center"/>
          </w:tcPr>
          <w:p w14:paraId="7E6AEEB2" w14:textId="77777777" w:rsidR="002962EE" w:rsidRPr="00F0379B" w:rsidRDefault="002962EE" w:rsidP="00084782">
            <w:pPr>
              <w:widowControl w:val="0"/>
              <w:spacing w:after="0" w:line="240" w:lineRule="auto"/>
              <w:jc w:val="center"/>
              <w:rPr>
                <w:rFonts w:ascii="Cambria" w:eastAsia="MS Gothic" w:hAnsi="Cambria" w:cs="Times New Roman"/>
                <w:color w:val="000000"/>
                <w:kern w:val="2"/>
                <w:sz w:val="20"/>
                <w:szCs w:val="20"/>
                <w:lang w:val="fr-FR" w:eastAsia="fr-FR" w:bidi="fr-FR"/>
              </w:rPr>
            </w:pPr>
            <w:r w:rsidRPr="00F0379B">
              <w:rPr>
                <w:rFonts w:ascii="Cambria" w:eastAsia="Times New Roman" w:hAnsi="Cambria" w:cs="Arial"/>
                <w:kern w:val="2"/>
                <w:sz w:val="20"/>
                <w:szCs w:val="20"/>
                <w:lang w:val="en-US" w:eastAsia="ja-JP"/>
              </w:rPr>
              <w:t>3.931</w:t>
            </w:r>
          </w:p>
        </w:tc>
        <w:tc>
          <w:tcPr>
            <w:tcW w:w="1242" w:type="dxa"/>
            <w:tcBorders>
              <w:top w:val="single" w:sz="4" w:space="0" w:color="auto"/>
              <w:left w:val="single" w:sz="4" w:space="0" w:color="auto"/>
              <w:bottom w:val="single" w:sz="4" w:space="0" w:color="auto"/>
              <w:right w:val="single" w:sz="4" w:space="0" w:color="auto"/>
            </w:tcBorders>
            <w:vAlign w:val="center"/>
          </w:tcPr>
          <w:p w14:paraId="67541EAB" w14:textId="77777777" w:rsidR="002962EE" w:rsidRPr="00F0379B" w:rsidRDefault="002962EE" w:rsidP="00084782">
            <w:pPr>
              <w:widowControl w:val="0"/>
              <w:spacing w:after="0" w:line="240" w:lineRule="auto"/>
              <w:jc w:val="center"/>
              <w:rPr>
                <w:rFonts w:ascii="Cambria" w:eastAsia="MS Gothic" w:hAnsi="Cambria" w:cs="Times New Roman"/>
                <w:color w:val="000000"/>
                <w:kern w:val="2"/>
                <w:sz w:val="20"/>
                <w:szCs w:val="20"/>
                <w:lang w:val="fr-FR" w:eastAsia="fr-FR" w:bidi="fr-FR"/>
              </w:rPr>
            </w:pPr>
            <w:r w:rsidRPr="00F0379B">
              <w:rPr>
                <w:rFonts w:ascii="Cambria" w:eastAsia="Times New Roman" w:hAnsi="Cambria" w:cs="Arial"/>
                <w:kern w:val="2"/>
                <w:sz w:val="20"/>
                <w:szCs w:val="20"/>
                <w:lang w:val="en-US" w:eastAsia="ja-JP"/>
              </w:rPr>
              <w:t>7.000</w:t>
            </w:r>
          </w:p>
        </w:tc>
      </w:tr>
    </w:tbl>
    <w:p w14:paraId="4EDF892C" w14:textId="77777777" w:rsidR="002962EE" w:rsidRPr="00F0379B" w:rsidRDefault="002962EE" w:rsidP="002962EE">
      <w:pPr>
        <w:widowControl w:val="0"/>
        <w:autoSpaceDE w:val="0"/>
        <w:autoSpaceDN w:val="0"/>
        <w:adjustRightInd w:val="0"/>
        <w:spacing w:after="0" w:line="240" w:lineRule="auto"/>
        <w:ind w:left="1145"/>
        <w:contextualSpacing/>
        <w:jc w:val="both"/>
        <w:rPr>
          <w:rFonts w:ascii="Cambria" w:eastAsia="MS Gothic" w:hAnsi="Cambria" w:cs="Times New Roman"/>
          <w:iCs/>
          <w:color w:val="000000"/>
          <w:kern w:val="2"/>
          <w:sz w:val="20"/>
          <w:szCs w:val="20"/>
          <w:lang w:eastAsia="fr-FR" w:bidi="fr-FR"/>
        </w:rPr>
      </w:pPr>
    </w:p>
    <w:p w14:paraId="709E3878" w14:textId="77777777" w:rsidR="002962EE" w:rsidRPr="00F0379B" w:rsidRDefault="002962EE" w:rsidP="002962EE">
      <w:pPr>
        <w:widowControl w:val="0"/>
        <w:autoSpaceDE w:val="0"/>
        <w:autoSpaceDN w:val="0"/>
        <w:adjustRightInd w:val="0"/>
        <w:spacing w:after="0" w:line="360" w:lineRule="auto"/>
        <w:ind w:left="851" w:hanging="425"/>
        <w:jc w:val="both"/>
        <w:rPr>
          <w:rFonts w:ascii="Cambria" w:eastAsia="MS Gothic" w:hAnsi="Cambria" w:cs="Times New Roman"/>
          <w:kern w:val="2"/>
          <w:sz w:val="16"/>
          <w:szCs w:val="16"/>
          <w:lang w:eastAsia="fr-FR" w:bidi="fr-FR"/>
        </w:rPr>
      </w:pPr>
      <w:r w:rsidRPr="00F0379B">
        <w:rPr>
          <w:rFonts w:ascii="Cambria" w:eastAsia="MS Gothic" w:hAnsi="Cambria" w:cs="Times New Roman"/>
          <w:b/>
          <w:bCs/>
          <w:iCs/>
          <w:color w:val="000000"/>
          <w:kern w:val="2"/>
          <w:sz w:val="16"/>
          <w:szCs w:val="16"/>
          <w:lang w:eastAsia="fr-FR" w:bidi="fr-FR"/>
        </w:rPr>
        <w:t>* </w:t>
      </w:r>
      <w:r w:rsidRPr="00F0379B">
        <w:rPr>
          <w:rFonts w:ascii="Cambria" w:eastAsia="MS Gothic" w:hAnsi="Cambria" w:cs="Times New Roman"/>
          <w:kern w:val="2"/>
          <w:sz w:val="16"/>
          <w:szCs w:val="16"/>
          <w:lang w:eastAsia="fr-FR" w:bidi="fr-FR"/>
        </w:rPr>
        <w:t>Estimación aproximada y provisional</w:t>
      </w:r>
    </w:p>
    <w:p w14:paraId="00E94B7C" w14:textId="77777777" w:rsidR="002962EE" w:rsidRPr="00F0379B" w:rsidRDefault="002962EE" w:rsidP="002962EE">
      <w:pPr>
        <w:widowControl w:val="0"/>
        <w:autoSpaceDE w:val="0"/>
        <w:autoSpaceDN w:val="0"/>
        <w:adjustRightInd w:val="0"/>
        <w:spacing w:after="0" w:line="360" w:lineRule="auto"/>
        <w:ind w:left="851" w:hanging="425"/>
        <w:jc w:val="both"/>
        <w:rPr>
          <w:rFonts w:ascii="Cambria" w:eastAsia="MS Gothic" w:hAnsi="Cambria" w:cs="Times New Roman"/>
          <w:b/>
          <w:bCs/>
          <w:iCs/>
          <w:color w:val="000000"/>
          <w:kern w:val="2"/>
          <w:sz w:val="16"/>
          <w:szCs w:val="16"/>
          <w:lang w:eastAsia="fr-FR" w:bidi="fr-FR"/>
        </w:rPr>
      </w:pPr>
      <w:r w:rsidRPr="00F0379B">
        <w:rPr>
          <w:rFonts w:ascii="Cambria" w:eastAsia="MS Gothic" w:hAnsi="Cambria" w:cs="Times New Roman"/>
          <w:b/>
          <w:bCs/>
          <w:iCs/>
          <w:color w:val="000000"/>
          <w:kern w:val="2"/>
          <w:sz w:val="16"/>
          <w:szCs w:val="16"/>
          <w:lang w:eastAsia="fr-FR" w:bidi="fr-FR"/>
        </w:rPr>
        <w:t>-</w:t>
      </w:r>
      <w:r w:rsidRPr="00F0379B">
        <w:rPr>
          <w:rFonts w:ascii="Cambria" w:eastAsia="MS Gothic" w:hAnsi="Cambria" w:cs="Times New Roman"/>
          <w:iCs/>
          <w:color w:val="000000"/>
          <w:kern w:val="2"/>
          <w:sz w:val="16"/>
          <w:szCs w:val="16"/>
          <w:lang w:eastAsia="fr-FR" w:bidi="fr-FR"/>
        </w:rPr>
        <w:t xml:space="preserve"> Cantidad total por granja traspasada del año anterior: 0 </w:t>
      </w:r>
    </w:p>
    <w:p w14:paraId="11017924" w14:textId="77777777" w:rsidR="002962EE" w:rsidRPr="00F0379B" w:rsidRDefault="002962EE" w:rsidP="002962EE">
      <w:pPr>
        <w:widowControl w:val="0"/>
        <w:tabs>
          <w:tab w:val="left" w:pos="1056"/>
        </w:tabs>
        <w:autoSpaceDE w:val="0"/>
        <w:autoSpaceDN w:val="0"/>
        <w:adjustRightInd w:val="0"/>
        <w:spacing w:after="0" w:line="240" w:lineRule="auto"/>
        <w:jc w:val="both"/>
        <w:rPr>
          <w:rFonts w:ascii="Cambria" w:eastAsia="MS Gothic" w:hAnsi="Cambria" w:cs="Times New Roman"/>
          <w:i/>
          <w:color w:val="000000"/>
          <w:kern w:val="2"/>
          <w:sz w:val="20"/>
          <w:szCs w:val="20"/>
          <w:lang w:eastAsia="fr-FR" w:bidi="fr-FR"/>
        </w:rPr>
      </w:pPr>
    </w:p>
    <w:p w14:paraId="00910A30" w14:textId="77777777" w:rsidR="002962EE" w:rsidRPr="00F0379B" w:rsidRDefault="002962EE" w:rsidP="002962EE">
      <w:pPr>
        <w:widowControl w:val="0"/>
        <w:tabs>
          <w:tab w:val="left" w:pos="1056"/>
        </w:tabs>
        <w:autoSpaceDE w:val="0"/>
        <w:autoSpaceDN w:val="0"/>
        <w:adjustRightInd w:val="0"/>
        <w:spacing w:after="0" w:line="240" w:lineRule="auto"/>
        <w:jc w:val="both"/>
        <w:rPr>
          <w:rFonts w:ascii="Cambria" w:eastAsia="MS Gothic" w:hAnsi="Cambria" w:cs="Times New Roman"/>
          <w:i/>
          <w:color w:val="000000"/>
          <w:kern w:val="2"/>
          <w:sz w:val="20"/>
          <w:szCs w:val="20"/>
          <w:lang w:eastAsia="fr-FR" w:bidi="fr-FR"/>
        </w:rPr>
      </w:pPr>
    </w:p>
    <w:p w14:paraId="57408394" w14:textId="77777777" w:rsidR="002962EE" w:rsidRPr="00F0379B" w:rsidRDefault="002962EE" w:rsidP="002962EE">
      <w:pPr>
        <w:widowControl w:val="0"/>
        <w:tabs>
          <w:tab w:val="left" w:pos="1056"/>
        </w:tabs>
        <w:autoSpaceDE w:val="0"/>
        <w:autoSpaceDN w:val="0"/>
        <w:adjustRightInd w:val="0"/>
        <w:spacing w:after="0" w:line="240" w:lineRule="auto"/>
        <w:jc w:val="both"/>
        <w:rPr>
          <w:rFonts w:ascii="Cambria" w:eastAsia="MS Gothic" w:hAnsi="Cambria" w:cs="Times New Roman"/>
          <w:b/>
          <w:bCs/>
          <w:i/>
          <w:color w:val="000000"/>
          <w:kern w:val="2"/>
          <w:sz w:val="20"/>
          <w:szCs w:val="20"/>
          <w:lang w:eastAsia="fr-FR" w:bidi="fr-FR"/>
        </w:rPr>
      </w:pPr>
      <w:r w:rsidRPr="00F0379B">
        <w:rPr>
          <w:rFonts w:ascii="Cambria" w:eastAsia="MS Gothic" w:hAnsi="Cambria" w:cs="Times New Roman"/>
          <w:b/>
          <w:bCs/>
          <w:i/>
          <w:color w:val="000000"/>
          <w:kern w:val="2"/>
          <w:sz w:val="20"/>
          <w:szCs w:val="20"/>
          <w:lang w:eastAsia="fr-FR" w:bidi="fr-FR"/>
        </w:rPr>
        <w:t>Seguimiento y control de las operaciones de introducción en jaulas del atún rojo</w:t>
      </w:r>
    </w:p>
    <w:p w14:paraId="6104A66F" w14:textId="77777777" w:rsidR="002962EE" w:rsidRPr="00F0379B" w:rsidRDefault="002962EE" w:rsidP="002962EE">
      <w:pPr>
        <w:widowControl w:val="0"/>
        <w:tabs>
          <w:tab w:val="left" w:pos="1056"/>
        </w:tabs>
        <w:autoSpaceDE w:val="0"/>
        <w:autoSpaceDN w:val="0"/>
        <w:adjustRightInd w:val="0"/>
        <w:spacing w:after="0" w:line="240" w:lineRule="auto"/>
        <w:jc w:val="both"/>
        <w:rPr>
          <w:rFonts w:ascii="Cambria" w:eastAsia="MS Gothic" w:hAnsi="Cambria" w:cs="Times New Roman"/>
          <w:iCs/>
          <w:color w:val="000000"/>
          <w:kern w:val="2"/>
          <w:sz w:val="20"/>
          <w:szCs w:val="20"/>
          <w:lang w:eastAsia="fr-FR" w:bidi="fr-FR"/>
        </w:rPr>
      </w:pPr>
    </w:p>
    <w:p w14:paraId="0A71DFF9" w14:textId="77777777" w:rsidR="002962EE" w:rsidRPr="00F0379B" w:rsidRDefault="002962EE" w:rsidP="002962EE">
      <w:pPr>
        <w:widowControl w:val="0"/>
        <w:tabs>
          <w:tab w:val="left" w:pos="1056"/>
        </w:tabs>
        <w:autoSpaceDE w:val="0"/>
        <w:autoSpaceDN w:val="0"/>
        <w:adjustRightInd w:val="0"/>
        <w:spacing w:after="0" w:line="240" w:lineRule="auto"/>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El seguimiento y el control de las operaciones de introducción en jaulas en las granjas de cría se apoyarán, entre otras cosas, en la presencia de agentes de control autorizados, observadores regionales y observadores nacionales y en la grabación en vídeo mediante cámaras convencionales y estereoscópicas, de acuerdo con las condiciones enumeradas en la Rec. 25-04.</w:t>
      </w:r>
    </w:p>
    <w:p w14:paraId="4DA9F94C" w14:textId="77777777" w:rsidR="002962EE" w:rsidRPr="00F0379B" w:rsidRDefault="002962EE" w:rsidP="002962EE">
      <w:pPr>
        <w:widowControl w:val="0"/>
        <w:autoSpaceDE w:val="0"/>
        <w:autoSpaceDN w:val="0"/>
        <w:adjustRightInd w:val="0"/>
        <w:spacing w:after="0" w:line="240" w:lineRule="auto"/>
        <w:jc w:val="both"/>
        <w:rPr>
          <w:rFonts w:ascii="Cambria" w:eastAsia="MS Gothic" w:hAnsi="Cambria" w:cs="Times New Roman"/>
          <w:b/>
          <w:bCs/>
          <w:i/>
          <w:color w:val="000000"/>
          <w:kern w:val="2"/>
          <w:sz w:val="20"/>
          <w:szCs w:val="20"/>
          <w:lang w:eastAsia="fr-FR" w:bidi="fr-FR"/>
        </w:rPr>
      </w:pPr>
    </w:p>
    <w:p w14:paraId="0CCDA809" w14:textId="77777777" w:rsidR="002962EE" w:rsidRPr="00F0379B" w:rsidRDefault="002962EE" w:rsidP="002962EE">
      <w:pPr>
        <w:widowControl w:val="0"/>
        <w:autoSpaceDE w:val="0"/>
        <w:autoSpaceDN w:val="0"/>
        <w:adjustRightInd w:val="0"/>
        <w:spacing w:after="0" w:line="240" w:lineRule="auto"/>
        <w:jc w:val="both"/>
        <w:rPr>
          <w:rFonts w:ascii="Cambria" w:eastAsia="MS Gothic" w:hAnsi="Cambria" w:cs="Times New Roman"/>
          <w:b/>
          <w:bCs/>
          <w:i/>
          <w:color w:val="000000"/>
          <w:kern w:val="2"/>
          <w:sz w:val="20"/>
          <w:szCs w:val="20"/>
          <w:lang w:eastAsia="fr-FR" w:bidi="fr-FR"/>
        </w:rPr>
      </w:pPr>
      <w:r w:rsidRPr="00F0379B">
        <w:rPr>
          <w:rFonts w:ascii="Cambria" w:eastAsia="MS Gothic" w:hAnsi="Cambria" w:cs="Times New Roman"/>
          <w:b/>
          <w:bCs/>
          <w:i/>
          <w:color w:val="000000"/>
          <w:kern w:val="2"/>
          <w:sz w:val="20"/>
          <w:szCs w:val="20"/>
          <w:lang w:eastAsia="fr-FR" w:bidi="fr-FR"/>
        </w:rPr>
        <w:t>Controles aleatorios en la granjas</w:t>
      </w:r>
    </w:p>
    <w:p w14:paraId="48B4296D" w14:textId="77777777" w:rsidR="002962EE" w:rsidRPr="00F0379B" w:rsidRDefault="002962EE" w:rsidP="002962EE">
      <w:pPr>
        <w:widowControl w:val="0"/>
        <w:autoSpaceDE w:val="0"/>
        <w:autoSpaceDN w:val="0"/>
        <w:adjustRightInd w:val="0"/>
        <w:spacing w:after="0" w:line="240" w:lineRule="auto"/>
        <w:jc w:val="both"/>
        <w:rPr>
          <w:rFonts w:ascii="Cambria" w:eastAsia="MS Gothic" w:hAnsi="Cambria" w:cs="Times New Roman"/>
          <w:i/>
          <w:color w:val="000000"/>
          <w:kern w:val="2"/>
          <w:sz w:val="20"/>
          <w:szCs w:val="20"/>
          <w:lang w:eastAsia="fr-FR" w:bidi="fr-FR"/>
        </w:rPr>
      </w:pPr>
    </w:p>
    <w:p w14:paraId="42A6115D" w14:textId="77777777" w:rsidR="002962EE" w:rsidRPr="00F0379B" w:rsidRDefault="002962EE" w:rsidP="002962EE">
      <w:pPr>
        <w:widowControl w:val="0"/>
        <w:autoSpaceDE w:val="0"/>
        <w:autoSpaceDN w:val="0"/>
        <w:adjustRightInd w:val="0"/>
        <w:spacing w:after="120" w:line="240" w:lineRule="auto"/>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Control aleatorio de al menos el 10 % de las jaulas en cada granja tras la finalización de las operaciones de introducción en jaulas Estos controles se realizan en el marco del sistema de trazabilidad interno establecido por la granja y también en las operaciones de transferencia controladas con ayuda de una cámara de control para la verificación del número de atunes rojos transferidos.</w:t>
      </w:r>
    </w:p>
    <w:p w14:paraId="77F503A9" w14:textId="77777777" w:rsidR="002962EE" w:rsidRPr="00F0379B" w:rsidRDefault="002962EE" w:rsidP="002962EE">
      <w:pPr>
        <w:widowControl w:val="0"/>
        <w:autoSpaceDE w:val="0"/>
        <w:autoSpaceDN w:val="0"/>
        <w:adjustRightInd w:val="0"/>
        <w:spacing w:after="120" w:line="240" w:lineRule="auto"/>
        <w:jc w:val="both"/>
        <w:rPr>
          <w:rFonts w:ascii="Cambria" w:eastAsia="MS Gothic" w:hAnsi="Cambria" w:cs="Times New Roman"/>
          <w:iCs/>
          <w:color w:val="000000"/>
          <w:kern w:val="2"/>
          <w:sz w:val="20"/>
          <w:szCs w:val="20"/>
          <w:lang w:eastAsia="fr-FR" w:bidi="fr-FR"/>
        </w:rPr>
      </w:pPr>
    </w:p>
    <w:p w14:paraId="0D9A534C" w14:textId="77777777" w:rsidR="002962EE" w:rsidRPr="00F0379B" w:rsidRDefault="002962EE" w:rsidP="002962EE">
      <w:pPr>
        <w:widowControl w:val="0"/>
        <w:tabs>
          <w:tab w:val="left" w:pos="426"/>
        </w:tabs>
        <w:spacing w:after="0" w:line="240" w:lineRule="auto"/>
        <w:ind w:left="426" w:hanging="426"/>
        <w:contextualSpacing/>
        <w:rPr>
          <w:rFonts w:ascii="Cambria" w:eastAsia="MS Gothic" w:hAnsi="Cambria" w:cs="Times New Roman"/>
          <w:b/>
          <w:bCs/>
          <w:sz w:val="20"/>
          <w:szCs w:val="24"/>
          <w:lang w:eastAsia="fr-FR" w:bidi="fr-FR"/>
        </w:rPr>
      </w:pPr>
      <w:r w:rsidRPr="00F0379B">
        <w:rPr>
          <w:rFonts w:ascii="Cambria" w:eastAsia="MS Gothic" w:hAnsi="Cambria" w:cs="Times New Roman"/>
          <w:b/>
          <w:bCs/>
          <w:sz w:val="20"/>
          <w:szCs w:val="24"/>
          <w:lang w:eastAsia="fr-FR" w:bidi="fr-FR"/>
        </w:rPr>
        <w:t>4.</w:t>
      </w:r>
      <w:r w:rsidRPr="00F0379B">
        <w:rPr>
          <w:rFonts w:ascii="Cambria" w:eastAsia="MS Gothic" w:hAnsi="Cambria" w:cs="Times New Roman"/>
          <w:b/>
          <w:bCs/>
          <w:sz w:val="20"/>
          <w:szCs w:val="24"/>
          <w:lang w:eastAsia="fr-FR" w:bidi="fr-FR"/>
        </w:rPr>
        <w:tab/>
        <w:t xml:space="preserve">Plan de acuicultura anual (párr. 10 e de la </w:t>
      </w:r>
      <w:hyperlink r:id="rId174" w:history="1">
        <w:r w:rsidRPr="00F0379B">
          <w:rPr>
            <w:rFonts w:ascii="Cambria" w:eastAsia="MS Gothic" w:hAnsi="Cambria" w:cs="Times New Roman"/>
            <w:b/>
            <w:bCs/>
            <w:color w:val="0563C1"/>
            <w:sz w:val="20"/>
            <w:szCs w:val="24"/>
            <w:lang w:eastAsia="fr-FR" w:bidi="fr-FR"/>
          </w:rPr>
          <w:t xml:space="preserve">Rec. 25-04 </w:t>
        </w:r>
      </w:hyperlink>
      <w:r w:rsidRPr="00F0379B">
        <w:rPr>
          <w:rFonts w:ascii="Cambria" w:eastAsia="MS Gothic" w:hAnsi="Cambria" w:cs="Times New Roman"/>
          <w:b/>
          <w:bCs/>
          <w:sz w:val="20"/>
          <w:szCs w:val="24"/>
          <w:lang w:eastAsia="fr-FR" w:bidi="fr-FR"/>
        </w:rPr>
        <w:t xml:space="preserve">de conformidad con la </w:t>
      </w:r>
      <w:hyperlink r:id="rId175" w:history="1">
        <w:r w:rsidRPr="00F0379B">
          <w:rPr>
            <w:rFonts w:ascii="Cambria" w:eastAsia="MS Gothic" w:hAnsi="Cambria" w:cs="Times New Roman"/>
            <w:b/>
            <w:bCs/>
            <w:color w:val="0563C1"/>
            <w:sz w:val="20"/>
            <w:szCs w:val="24"/>
            <w:lang w:eastAsia="fr-FR" w:bidi="fr-FR"/>
          </w:rPr>
          <w:t>Rec. 24-07</w:t>
        </w:r>
      </w:hyperlink>
      <w:r w:rsidRPr="00F0379B">
        <w:rPr>
          <w:rFonts w:ascii="Cambria" w:eastAsia="MS Gothic" w:hAnsi="Cambria" w:cs="Times New Roman"/>
          <w:b/>
          <w:bCs/>
          <w:sz w:val="20"/>
          <w:szCs w:val="24"/>
          <w:lang w:eastAsia="fr-FR" w:bidi="fr-FR"/>
        </w:rPr>
        <w:t>), si es aplicable</w:t>
      </w:r>
    </w:p>
    <w:p w14:paraId="747A4979" w14:textId="77777777" w:rsidR="002962EE" w:rsidRPr="00F0379B" w:rsidRDefault="002962EE" w:rsidP="002962EE">
      <w:pPr>
        <w:widowControl w:val="0"/>
        <w:autoSpaceDE w:val="0"/>
        <w:autoSpaceDN w:val="0"/>
        <w:adjustRightInd w:val="0"/>
        <w:snapToGrid w:val="0"/>
        <w:spacing w:after="0" w:line="240" w:lineRule="exact"/>
        <w:jc w:val="both"/>
        <w:rPr>
          <w:rFonts w:ascii="Cambria" w:eastAsia="MS Gothic" w:hAnsi="Cambria" w:cs="Times New Roman"/>
          <w:iCs/>
          <w:color w:val="000000"/>
          <w:kern w:val="2"/>
          <w:sz w:val="20"/>
          <w:szCs w:val="20"/>
          <w:lang w:eastAsia="fr-FR" w:bidi="fr-FR"/>
        </w:rPr>
      </w:pPr>
    </w:p>
    <w:p w14:paraId="12619002" w14:textId="77777777" w:rsidR="002962EE" w:rsidRPr="00F0379B" w:rsidRDefault="002962EE" w:rsidP="002962EE">
      <w:pPr>
        <w:widowControl w:val="0"/>
        <w:tabs>
          <w:tab w:val="left" w:pos="1056"/>
        </w:tabs>
        <w:autoSpaceDE w:val="0"/>
        <w:autoSpaceDN w:val="0"/>
        <w:adjustRightInd w:val="0"/>
        <w:snapToGrid w:val="0"/>
        <w:spacing w:after="0" w:line="240" w:lineRule="exact"/>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En 2026, Marruecos no tiene prevista la acuicultura de alevines de atún rojo.</w:t>
      </w:r>
    </w:p>
    <w:p w14:paraId="43DE69AE" w14:textId="77777777" w:rsidR="002962EE" w:rsidRPr="00F0379B" w:rsidRDefault="002962EE" w:rsidP="002962EE">
      <w:pPr>
        <w:widowControl w:val="0"/>
        <w:tabs>
          <w:tab w:val="left" w:pos="1056"/>
        </w:tabs>
        <w:autoSpaceDE w:val="0"/>
        <w:autoSpaceDN w:val="0"/>
        <w:adjustRightInd w:val="0"/>
        <w:spacing w:after="0" w:line="240" w:lineRule="auto"/>
        <w:jc w:val="both"/>
        <w:rPr>
          <w:rFonts w:ascii="Cambria" w:eastAsia="MS Gothic" w:hAnsi="Cambria" w:cs="Times New Roman"/>
          <w:iCs/>
          <w:color w:val="000000"/>
          <w:kern w:val="2"/>
          <w:sz w:val="20"/>
          <w:szCs w:val="20"/>
          <w:lang w:eastAsia="fr-FR" w:bidi="fr-FR"/>
        </w:rPr>
      </w:pPr>
    </w:p>
    <w:p w14:paraId="46890097" w14:textId="77777777" w:rsidR="002962EE" w:rsidRPr="00F0379B" w:rsidRDefault="002962EE" w:rsidP="002962EE">
      <w:pPr>
        <w:widowControl w:val="0"/>
        <w:tabs>
          <w:tab w:val="left" w:pos="1056"/>
        </w:tabs>
        <w:autoSpaceDE w:val="0"/>
        <w:autoSpaceDN w:val="0"/>
        <w:adjustRightInd w:val="0"/>
        <w:spacing w:after="0" w:line="240" w:lineRule="auto"/>
        <w:jc w:val="both"/>
        <w:rPr>
          <w:rFonts w:ascii="Cambria" w:eastAsia="MS Gothic" w:hAnsi="Cambria" w:cs="Times New Roman"/>
          <w:iCs/>
          <w:color w:val="000000"/>
          <w:kern w:val="2"/>
          <w:sz w:val="20"/>
          <w:szCs w:val="20"/>
          <w:lang w:eastAsia="fr-FR" w:bidi="fr-FR"/>
        </w:rPr>
      </w:pPr>
    </w:p>
    <w:p w14:paraId="10E88C88" w14:textId="77777777" w:rsidR="002962EE" w:rsidRPr="00F0379B" w:rsidRDefault="002962EE" w:rsidP="002962EE">
      <w:pPr>
        <w:spacing w:line="259" w:lineRule="auto"/>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br w:type="page"/>
      </w:r>
    </w:p>
    <w:p w14:paraId="4463F18E" w14:textId="77777777" w:rsidR="002962EE" w:rsidRPr="00F0379B" w:rsidRDefault="002962EE" w:rsidP="002962EE">
      <w:pPr>
        <w:widowControl w:val="0"/>
        <w:spacing w:after="0" w:line="240" w:lineRule="auto"/>
        <w:ind w:left="426" w:hanging="426"/>
        <w:jc w:val="both"/>
        <w:rPr>
          <w:rFonts w:ascii="Cambria" w:eastAsia="MS Gothic" w:hAnsi="Cambria" w:cs="Times New Roman"/>
          <w:b/>
          <w:kern w:val="2"/>
          <w:sz w:val="20"/>
          <w:szCs w:val="20"/>
          <w:lang w:eastAsia="fr-FR" w:bidi="fr-FR"/>
        </w:rPr>
      </w:pPr>
      <w:r w:rsidRPr="00F0379B">
        <w:rPr>
          <w:rFonts w:ascii="Cambria" w:eastAsia="MS Gothic" w:hAnsi="Cambria" w:cs="Times New Roman"/>
          <w:b/>
          <w:kern w:val="2"/>
          <w:sz w:val="20"/>
          <w:szCs w:val="20"/>
          <w:lang w:eastAsia="fr-FR" w:bidi="fr-FR"/>
        </w:rPr>
        <w:t xml:space="preserve">5. </w:t>
      </w:r>
      <w:r w:rsidRPr="00F0379B">
        <w:rPr>
          <w:rFonts w:ascii="Cambria" w:eastAsia="MS Gothic" w:hAnsi="Cambria" w:cs="Times New Roman"/>
          <w:b/>
          <w:kern w:val="2"/>
          <w:sz w:val="20"/>
          <w:szCs w:val="20"/>
          <w:lang w:eastAsia="fr-FR" w:bidi="fr-FR"/>
        </w:rPr>
        <w:tab/>
        <w:t>Plan de seguimiento, control e inspección</w:t>
      </w:r>
    </w:p>
    <w:p w14:paraId="4936BE9C" w14:textId="77777777" w:rsidR="002962EE" w:rsidRPr="00F0379B" w:rsidRDefault="002962EE" w:rsidP="002962EE">
      <w:pPr>
        <w:widowControl w:val="0"/>
        <w:spacing w:after="0" w:line="240" w:lineRule="auto"/>
        <w:jc w:val="both"/>
        <w:rPr>
          <w:rFonts w:ascii="Cambria" w:eastAsia="MS Gothic" w:hAnsi="Cambria" w:cs="Times New Roman"/>
          <w:b/>
          <w:kern w:val="2"/>
          <w:sz w:val="20"/>
          <w:szCs w:val="20"/>
          <w:lang w:eastAsia="fr-FR" w:bidi="fr-FR"/>
        </w:rPr>
      </w:pPr>
    </w:p>
    <w:p w14:paraId="543B4156" w14:textId="77777777" w:rsidR="002962EE" w:rsidRPr="00F0379B" w:rsidRDefault="002962EE" w:rsidP="002962EE">
      <w:pPr>
        <w:widowControl w:val="0"/>
        <w:spacing w:after="0" w:line="240" w:lineRule="auto"/>
        <w:jc w:val="both"/>
        <w:rPr>
          <w:rFonts w:ascii="Cambria" w:eastAsia="MS Gothic" w:hAnsi="Cambria" w:cs="Times New Roman"/>
          <w:b/>
          <w:i/>
          <w:kern w:val="2"/>
          <w:sz w:val="20"/>
          <w:szCs w:val="20"/>
          <w:lang w:eastAsia="fr-FR" w:bidi="fr-FR"/>
        </w:rPr>
      </w:pPr>
      <w:r w:rsidRPr="00F0379B">
        <w:rPr>
          <w:rFonts w:ascii="Cambria" w:eastAsia="MS Gothic" w:hAnsi="Cambria" w:cs="Times New Roman"/>
          <w:b/>
          <w:i/>
          <w:kern w:val="2"/>
          <w:sz w:val="20"/>
          <w:szCs w:val="20"/>
          <w:lang w:eastAsia="fr-FR" w:bidi="fr-FR"/>
        </w:rPr>
        <w:t>5 a) Inspección, control y seguimiento de la CPC (párrs. 10c)</w:t>
      </w:r>
    </w:p>
    <w:p w14:paraId="004651D8" w14:textId="77777777" w:rsidR="002962EE" w:rsidRPr="00F0379B" w:rsidRDefault="002962EE" w:rsidP="002962EE">
      <w:pPr>
        <w:widowControl w:val="0"/>
        <w:spacing w:after="0" w:line="240" w:lineRule="auto"/>
        <w:jc w:val="both"/>
        <w:rPr>
          <w:rFonts w:ascii="Cambria" w:eastAsia="MS Gothic" w:hAnsi="Cambria" w:cs="Times New Roman"/>
          <w:b/>
          <w:i/>
          <w:kern w:val="2"/>
          <w:sz w:val="20"/>
          <w:szCs w:val="20"/>
          <w:lang w:eastAsia="fr-FR" w:bidi="fr-FR"/>
        </w:rPr>
      </w:pPr>
    </w:p>
    <w:tbl>
      <w:tblPr>
        <w:tblStyle w:val="TableGrid"/>
        <w:tblW w:w="0" w:type="auto"/>
        <w:tblInd w:w="-5" w:type="dxa"/>
        <w:tblLook w:val="04A0" w:firstRow="1" w:lastRow="0" w:firstColumn="1" w:lastColumn="0" w:noHBand="0" w:noVBand="1"/>
      </w:tblPr>
      <w:tblGrid>
        <w:gridCol w:w="3738"/>
        <w:gridCol w:w="5327"/>
      </w:tblGrid>
      <w:tr w:rsidR="002962EE" w:rsidRPr="00F0379B" w14:paraId="39FC4864" w14:textId="77777777" w:rsidTr="00084782">
        <w:tc>
          <w:tcPr>
            <w:tcW w:w="9065" w:type="dxa"/>
            <w:gridSpan w:val="2"/>
          </w:tcPr>
          <w:p w14:paraId="24BE7787" w14:textId="77777777" w:rsidR="002962EE" w:rsidRPr="00F0379B" w:rsidRDefault="002962EE" w:rsidP="00084782">
            <w:pPr>
              <w:widowControl w:val="0"/>
              <w:spacing w:line="240" w:lineRule="auto"/>
              <w:contextualSpacing/>
              <w:jc w:val="center"/>
              <w:rPr>
                <w:rFonts w:ascii="Cambria" w:eastAsia="Times New Roman" w:hAnsi="Cambria" w:cs="Arial"/>
                <w:b/>
                <w:kern w:val="2"/>
                <w:sz w:val="20"/>
                <w:szCs w:val="20"/>
                <w:lang w:eastAsia="ja-JP"/>
                <w14:ligatures w14:val="standardContextual"/>
              </w:rPr>
            </w:pPr>
            <w:r w:rsidRPr="00F0379B">
              <w:rPr>
                <w:rFonts w:ascii="Cambria" w:eastAsia="Times New Roman" w:hAnsi="Cambria" w:cs="Arial"/>
                <w:b/>
                <w:kern w:val="2"/>
                <w:sz w:val="20"/>
                <w:szCs w:val="20"/>
                <w:lang w:eastAsia="ja-JP"/>
                <w14:ligatures w14:val="standardContextual"/>
              </w:rPr>
              <w:t>Autoridad de control competente del Reino de Marruecos, dependiente de</w:t>
            </w:r>
            <w:r w:rsidRPr="00F0379B">
              <w:rPr>
                <w:rFonts w:ascii="Cambria" w:eastAsia="Times New Roman" w:hAnsi="Cambria"/>
                <w:b/>
                <w:kern w:val="2"/>
                <w:sz w:val="20"/>
                <w:lang w:eastAsia="ja-JP"/>
                <w14:ligatures w14:val="standardContextual"/>
              </w:rPr>
              <w:t xml:space="preserve"> la Secretaría de Estado adjunta encargada </w:t>
            </w:r>
            <w:r w:rsidRPr="00F0379B">
              <w:rPr>
                <w:rFonts w:ascii="Cambria" w:eastAsia="Times New Roman" w:hAnsi="Cambria" w:cs="Arial"/>
                <w:b/>
                <w:kern w:val="2"/>
                <w:sz w:val="20"/>
                <w:szCs w:val="20"/>
                <w:lang w:eastAsia="ja-JP"/>
                <w14:ligatures w14:val="standardContextual"/>
              </w:rPr>
              <w:t>de la Pesca Marítima, responsable de la aplicación del presente plan de seguimiento, control e inspección</w:t>
            </w:r>
          </w:p>
        </w:tc>
      </w:tr>
      <w:tr w:rsidR="002962EE" w:rsidRPr="00F0379B" w14:paraId="162DA96D" w14:textId="77777777" w:rsidTr="00084782">
        <w:tc>
          <w:tcPr>
            <w:tcW w:w="9065" w:type="dxa"/>
            <w:gridSpan w:val="2"/>
          </w:tcPr>
          <w:p w14:paraId="1E71FE18" w14:textId="77777777" w:rsidR="002962EE" w:rsidRPr="00F0379B" w:rsidRDefault="002962EE" w:rsidP="00084782">
            <w:pPr>
              <w:autoSpaceDE w:val="0"/>
              <w:spacing w:line="240" w:lineRule="auto"/>
              <w:jc w:val="center"/>
              <w:rPr>
                <w:rFonts w:ascii="Cambria" w:eastAsia="Times New Roman" w:hAnsi="Cambria" w:cs="Calibri"/>
                <w:kern w:val="2"/>
                <w:sz w:val="20"/>
                <w:szCs w:val="20"/>
                <w:lang w:eastAsia="ar-SA"/>
                <w14:ligatures w14:val="standardContextual"/>
              </w:rPr>
            </w:pPr>
            <w:r w:rsidRPr="00F0379B">
              <w:rPr>
                <w:rFonts w:ascii="Cambria" w:eastAsia="Times New Roman" w:hAnsi="Cambria" w:cs="Calibri"/>
                <w:kern w:val="2"/>
                <w:sz w:val="20"/>
                <w:szCs w:val="20"/>
                <w:lang w:eastAsia="ar-SA"/>
                <w14:ligatures w14:val="standardContextual"/>
              </w:rPr>
              <w:t>Dirección de control de las actividades pesqueras marítimas</w:t>
            </w:r>
          </w:p>
        </w:tc>
      </w:tr>
      <w:tr w:rsidR="002962EE" w:rsidRPr="00F0379B" w14:paraId="7B1D7A3C" w14:textId="77777777" w:rsidTr="00084782">
        <w:tc>
          <w:tcPr>
            <w:tcW w:w="9065" w:type="dxa"/>
            <w:gridSpan w:val="2"/>
          </w:tcPr>
          <w:p w14:paraId="70C971BE" w14:textId="77777777" w:rsidR="002962EE" w:rsidRPr="00F0379B" w:rsidRDefault="002962EE" w:rsidP="00084782">
            <w:pPr>
              <w:widowControl w:val="0"/>
              <w:spacing w:line="240" w:lineRule="auto"/>
              <w:contextualSpacing/>
              <w:jc w:val="center"/>
              <w:rPr>
                <w:rFonts w:ascii="Cambria" w:eastAsia="Times New Roman" w:hAnsi="Cambria" w:cs="Arial"/>
                <w:b/>
                <w:bCs/>
                <w:kern w:val="2"/>
                <w:sz w:val="20"/>
                <w:szCs w:val="20"/>
                <w:lang w:val="en-US" w:eastAsia="ja-JP"/>
                <w14:ligatures w14:val="standardContextual"/>
              </w:rPr>
            </w:pPr>
            <w:r w:rsidRPr="00F0379B">
              <w:rPr>
                <w:rFonts w:ascii="Cambria" w:eastAsia="Times New Roman" w:hAnsi="Cambria" w:cs="Arial"/>
                <w:b/>
                <w:bCs/>
                <w:kern w:val="2"/>
                <w:sz w:val="20"/>
                <w:szCs w:val="20"/>
                <w:lang w:val="en-US" w:eastAsia="ja-JP"/>
                <w14:ligatures w14:val="standardContextual"/>
              </w:rPr>
              <w:t xml:space="preserve">Lista de puntos de </w:t>
            </w:r>
            <w:proofErr w:type="spellStart"/>
            <w:r w:rsidRPr="00F0379B">
              <w:rPr>
                <w:rFonts w:ascii="Cambria" w:eastAsia="Times New Roman" w:hAnsi="Cambria" w:cs="Arial"/>
                <w:b/>
                <w:bCs/>
                <w:kern w:val="2"/>
                <w:sz w:val="20"/>
                <w:szCs w:val="20"/>
                <w:lang w:val="en-US" w:eastAsia="ja-JP"/>
                <w14:ligatures w14:val="standardContextual"/>
              </w:rPr>
              <w:t>contacto</w:t>
            </w:r>
            <w:proofErr w:type="spellEnd"/>
          </w:p>
        </w:tc>
      </w:tr>
      <w:tr w:rsidR="002962EE" w:rsidRPr="00F0379B" w14:paraId="0703540E" w14:textId="77777777" w:rsidTr="00084782">
        <w:tc>
          <w:tcPr>
            <w:tcW w:w="3738" w:type="dxa"/>
          </w:tcPr>
          <w:p w14:paraId="34E74583" w14:textId="77777777" w:rsidR="002962EE" w:rsidRPr="00F0379B" w:rsidRDefault="002962EE" w:rsidP="00084782">
            <w:pPr>
              <w:widowControl w:val="0"/>
              <w:spacing w:line="240" w:lineRule="auto"/>
              <w:contextualSpacing/>
              <w:jc w:val="center"/>
              <w:rPr>
                <w:rFonts w:ascii="Cambria" w:eastAsia="Times New Roman" w:hAnsi="Cambria" w:cs="Arial"/>
                <w:kern w:val="2"/>
                <w:sz w:val="20"/>
                <w:szCs w:val="20"/>
                <w:lang w:val="en-US" w:eastAsia="ja-JP"/>
                <w14:ligatures w14:val="standardContextual"/>
              </w:rPr>
            </w:pPr>
            <w:r w:rsidRPr="00F0379B">
              <w:rPr>
                <w:rFonts w:ascii="Cambria" w:eastAsia="Times New Roman" w:hAnsi="Cambria" w:cs="Arial"/>
                <w:kern w:val="2"/>
                <w:sz w:val="20"/>
                <w:szCs w:val="20"/>
                <w:lang w:val="en-US" w:eastAsia="ja-JP"/>
                <w14:ligatures w14:val="standardContextual"/>
              </w:rPr>
              <w:t xml:space="preserve">Nombre y </w:t>
            </w:r>
            <w:proofErr w:type="spellStart"/>
            <w:r w:rsidRPr="00F0379B">
              <w:rPr>
                <w:rFonts w:ascii="Cambria" w:eastAsia="Times New Roman" w:hAnsi="Cambria" w:cs="Arial"/>
                <w:kern w:val="2"/>
                <w:sz w:val="20"/>
                <w:szCs w:val="20"/>
                <w:lang w:val="en-US" w:eastAsia="ja-JP"/>
                <w14:ligatures w14:val="standardContextual"/>
              </w:rPr>
              <w:t>apellido</w:t>
            </w:r>
            <w:proofErr w:type="spellEnd"/>
          </w:p>
        </w:tc>
        <w:tc>
          <w:tcPr>
            <w:tcW w:w="5327" w:type="dxa"/>
          </w:tcPr>
          <w:p w14:paraId="276273DB" w14:textId="77777777" w:rsidR="002962EE" w:rsidRPr="00F0379B" w:rsidRDefault="002962EE" w:rsidP="00084782">
            <w:pPr>
              <w:widowControl w:val="0"/>
              <w:spacing w:line="240" w:lineRule="auto"/>
              <w:contextualSpacing/>
              <w:jc w:val="center"/>
              <w:rPr>
                <w:rFonts w:ascii="Cambria" w:eastAsia="Times New Roman" w:hAnsi="Cambria" w:cs="Arial"/>
                <w:kern w:val="2"/>
                <w:sz w:val="20"/>
                <w:szCs w:val="20"/>
                <w:lang w:val="en-US" w:eastAsia="ja-JP"/>
                <w14:ligatures w14:val="standardContextual"/>
              </w:rPr>
            </w:pPr>
            <w:r w:rsidRPr="00F0379B">
              <w:rPr>
                <w:rFonts w:ascii="Cambria" w:eastAsia="Times New Roman" w:hAnsi="Cambria" w:cs="Arial"/>
                <w:kern w:val="2"/>
                <w:sz w:val="20"/>
                <w:szCs w:val="20"/>
                <w:lang w:val="en-US" w:eastAsia="ja-JP"/>
                <w14:ligatures w14:val="standardContextual"/>
              </w:rPr>
              <w:t xml:space="preserve">Correo </w:t>
            </w:r>
            <w:proofErr w:type="spellStart"/>
            <w:r w:rsidRPr="00F0379B">
              <w:rPr>
                <w:rFonts w:ascii="Cambria" w:eastAsia="Times New Roman" w:hAnsi="Cambria" w:cs="Arial"/>
                <w:kern w:val="2"/>
                <w:sz w:val="20"/>
                <w:szCs w:val="20"/>
                <w:lang w:val="en-US" w:eastAsia="ja-JP"/>
                <w14:ligatures w14:val="standardContextual"/>
              </w:rPr>
              <w:t>electrónico</w:t>
            </w:r>
            <w:proofErr w:type="spellEnd"/>
          </w:p>
        </w:tc>
      </w:tr>
      <w:tr w:rsidR="002962EE" w:rsidRPr="00F0379B" w14:paraId="04F5457A" w14:textId="77777777" w:rsidTr="00084782">
        <w:tc>
          <w:tcPr>
            <w:tcW w:w="3738" w:type="dxa"/>
          </w:tcPr>
          <w:p w14:paraId="25BC591B" w14:textId="77777777" w:rsidR="002962EE" w:rsidRPr="00F0379B" w:rsidRDefault="002962EE" w:rsidP="00084782">
            <w:pPr>
              <w:autoSpaceDE w:val="0"/>
              <w:spacing w:line="240" w:lineRule="auto"/>
              <w:jc w:val="center"/>
              <w:rPr>
                <w:rFonts w:ascii="Cambria" w:eastAsia="Times New Roman" w:hAnsi="Cambria" w:cs="Calibri"/>
                <w:kern w:val="2"/>
                <w:sz w:val="20"/>
                <w:szCs w:val="20"/>
                <w:lang w:val="en-US" w:eastAsia="ar-SA"/>
                <w14:ligatures w14:val="standardContextual"/>
              </w:rPr>
            </w:pPr>
            <w:r w:rsidRPr="00F0379B">
              <w:rPr>
                <w:rFonts w:ascii="Cambria" w:eastAsia="Times New Roman" w:hAnsi="Cambria" w:cs="Calibri"/>
                <w:kern w:val="2"/>
                <w:sz w:val="20"/>
                <w:szCs w:val="20"/>
                <w:lang w:val="en-US" w:eastAsia="ar-SA"/>
                <w14:ligatures w14:val="standardContextual"/>
              </w:rPr>
              <w:t>Abdellatif HMIDANE</w:t>
            </w:r>
          </w:p>
        </w:tc>
        <w:tc>
          <w:tcPr>
            <w:tcW w:w="5327" w:type="dxa"/>
          </w:tcPr>
          <w:p w14:paraId="45B3273E" w14:textId="77777777" w:rsidR="002962EE" w:rsidRPr="00F0379B" w:rsidRDefault="002962EE" w:rsidP="00084782">
            <w:pPr>
              <w:autoSpaceDE w:val="0"/>
              <w:spacing w:line="240" w:lineRule="auto"/>
              <w:jc w:val="center"/>
              <w:rPr>
                <w:rFonts w:ascii="Cambria" w:eastAsia="Times New Roman" w:hAnsi="Cambria" w:cs="Calibri"/>
                <w:kern w:val="2"/>
                <w:sz w:val="20"/>
                <w:szCs w:val="20"/>
                <w:lang w:val="en-US" w:eastAsia="ar-SA"/>
                <w14:ligatures w14:val="standardContextual"/>
              </w:rPr>
            </w:pPr>
            <w:r w:rsidRPr="00F0379B">
              <w:rPr>
                <w:rFonts w:ascii="Cambria" w:eastAsia="Times New Roman" w:hAnsi="Cambria" w:cs="Calibri"/>
                <w:kern w:val="2"/>
                <w:sz w:val="20"/>
                <w:szCs w:val="20"/>
                <w:lang w:val="en-US" w:eastAsia="ar-SA"/>
                <w14:ligatures w14:val="standardContextual"/>
              </w:rPr>
              <w:t>hmidane@mpm.gov.ma</w:t>
            </w:r>
          </w:p>
        </w:tc>
      </w:tr>
      <w:tr w:rsidR="002962EE" w:rsidRPr="00F0379B" w14:paraId="274615A7" w14:textId="77777777" w:rsidTr="00084782">
        <w:tc>
          <w:tcPr>
            <w:tcW w:w="3738" w:type="dxa"/>
          </w:tcPr>
          <w:p w14:paraId="50770587" w14:textId="77777777" w:rsidR="002962EE" w:rsidRPr="00F0379B" w:rsidRDefault="002962EE" w:rsidP="00084782">
            <w:pPr>
              <w:autoSpaceDE w:val="0"/>
              <w:spacing w:line="240" w:lineRule="auto"/>
              <w:jc w:val="center"/>
              <w:rPr>
                <w:rFonts w:ascii="Cambria" w:eastAsia="Times New Roman" w:hAnsi="Cambria" w:cs="Calibri"/>
                <w:kern w:val="2"/>
                <w:sz w:val="20"/>
                <w:szCs w:val="20"/>
                <w:lang w:val="en-US" w:eastAsia="ar-SA"/>
                <w14:ligatures w14:val="standardContextual"/>
              </w:rPr>
            </w:pPr>
            <w:r w:rsidRPr="00F0379B">
              <w:rPr>
                <w:rFonts w:ascii="Cambria" w:eastAsia="Times New Roman" w:hAnsi="Cambria" w:cs="Calibri"/>
                <w:kern w:val="2"/>
                <w:sz w:val="20"/>
                <w:szCs w:val="20"/>
                <w:lang w:val="en-US" w:eastAsia="ar-SA"/>
                <w14:ligatures w14:val="standardContextual"/>
              </w:rPr>
              <w:t>BOUAAMRI MOUNIR</w:t>
            </w:r>
          </w:p>
        </w:tc>
        <w:tc>
          <w:tcPr>
            <w:tcW w:w="5327" w:type="dxa"/>
          </w:tcPr>
          <w:p w14:paraId="011BEC54" w14:textId="77777777" w:rsidR="002962EE" w:rsidRPr="00F0379B" w:rsidRDefault="002962EE" w:rsidP="00084782">
            <w:pPr>
              <w:autoSpaceDE w:val="0"/>
              <w:spacing w:line="240" w:lineRule="auto"/>
              <w:jc w:val="center"/>
              <w:rPr>
                <w:rFonts w:ascii="Cambria" w:eastAsia="Times New Roman" w:hAnsi="Cambria" w:cs="Calibri"/>
                <w:kern w:val="2"/>
                <w:sz w:val="20"/>
                <w:szCs w:val="20"/>
                <w:lang w:val="en-US" w:eastAsia="ar-SA"/>
                <w14:ligatures w14:val="standardContextual"/>
              </w:rPr>
            </w:pPr>
            <w:hyperlink r:id="rId176" w:history="1">
              <w:r w:rsidRPr="00F0379B">
                <w:rPr>
                  <w:rFonts w:ascii="Cambria" w:eastAsia="Times New Roman" w:hAnsi="Cambria" w:cs="Calibri"/>
                  <w:kern w:val="2"/>
                  <w:sz w:val="20"/>
                  <w:szCs w:val="20"/>
                  <w:lang w:val="en-US" w:eastAsia="ar-SA"/>
                  <w14:ligatures w14:val="standardContextual"/>
                </w:rPr>
                <w:t>bouaamri@mpm.gov.ma</w:t>
              </w:r>
            </w:hyperlink>
          </w:p>
        </w:tc>
      </w:tr>
      <w:tr w:rsidR="002962EE" w:rsidRPr="000B5464" w14:paraId="5A9A800D" w14:textId="77777777" w:rsidTr="00084782">
        <w:tc>
          <w:tcPr>
            <w:tcW w:w="3738" w:type="dxa"/>
          </w:tcPr>
          <w:p w14:paraId="46B977EB" w14:textId="77777777" w:rsidR="002962EE" w:rsidRPr="00F0379B" w:rsidRDefault="002962EE" w:rsidP="00084782">
            <w:pPr>
              <w:autoSpaceDE w:val="0"/>
              <w:spacing w:line="240" w:lineRule="auto"/>
              <w:jc w:val="center"/>
              <w:rPr>
                <w:rFonts w:ascii="Cambria" w:eastAsia="Times New Roman" w:hAnsi="Cambria" w:cs="Calibri"/>
                <w:kern w:val="2"/>
                <w:sz w:val="20"/>
                <w:szCs w:val="20"/>
                <w:lang w:val="en-US" w:eastAsia="ar-SA"/>
                <w14:ligatures w14:val="standardContextual"/>
              </w:rPr>
            </w:pPr>
            <w:r w:rsidRPr="00F0379B">
              <w:rPr>
                <w:rFonts w:ascii="Cambria" w:eastAsia="Times New Roman" w:hAnsi="Cambria" w:cs="Calibri"/>
                <w:kern w:val="2"/>
                <w:sz w:val="20"/>
                <w:szCs w:val="20"/>
                <w:lang w:val="en-US" w:eastAsia="ar-SA"/>
                <w14:ligatures w14:val="standardContextual"/>
              </w:rPr>
              <w:t>KECHA YOUSSEF</w:t>
            </w:r>
          </w:p>
        </w:tc>
        <w:tc>
          <w:tcPr>
            <w:tcW w:w="5327" w:type="dxa"/>
          </w:tcPr>
          <w:p w14:paraId="543A45F4" w14:textId="77777777" w:rsidR="002962EE" w:rsidRPr="00F0379B" w:rsidRDefault="002962EE" w:rsidP="00084782">
            <w:pPr>
              <w:autoSpaceDE w:val="0"/>
              <w:spacing w:line="240" w:lineRule="auto"/>
              <w:jc w:val="center"/>
              <w:rPr>
                <w:rFonts w:ascii="Cambria" w:eastAsia="Times New Roman" w:hAnsi="Cambria" w:cs="Calibri"/>
                <w:kern w:val="2"/>
                <w:sz w:val="20"/>
                <w:szCs w:val="20"/>
                <w:lang w:val="en-US" w:eastAsia="ar-SA"/>
                <w14:ligatures w14:val="standardContextual"/>
              </w:rPr>
            </w:pPr>
            <w:r w:rsidRPr="00F0379B">
              <w:rPr>
                <w:rFonts w:ascii="Cambria" w:eastAsia="Times New Roman" w:hAnsi="Cambria" w:cs="Calibri"/>
                <w:kern w:val="2"/>
                <w:sz w:val="20"/>
                <w:szCs w:val="20"/>
                <w:lang w:val="en-US" w:eastAsia="ar-SA"/>
                <w14:ligatures w14:val="standardContextual"/>
              </w:rPr>
              <w:t>youssef.kecha@mpm.gov.ma</w:t>
            </w:r>
          </w:p>
        </w:tc>
      </w:tr>
    </w:tbl>
    <w:p w14:paraId="742F4777" w14:textId="77777777" w:rsidR="002962EE" w:rsidRPr="00F0379B" w:rsidRDefault="002962EE" w:rsidP="002962EE">
      <w:pPr>
        <w:widowControl w:val="0"/>
        <w:spacing w:after="0" w:line="240" w:lineRule="auto"/>
        <w:jc w:val="both"/>
        <w:rPr>
          <w:rFonts w:ascii="Cambria" w:eastAsia="MS Gothic" w:hAnsi="Cambria" w:cs="Times New Roman"/>
          <w:b/>
          <w:i/>
          <w:kern w:val="2"/>
          <w:sz w:val="20"/>
          <w:szCs w:val="20"/>
          <w:lang w:val="en-US" w:eastAsia="fr-FR" w:bidi="fr-FR"/>
        </w:rPr>
      </w:pPr>
    </w:p>
    <w:p w14:paraId="54D58AC7" w14:textId="77777777" w:rsidR="002962EE" w:rsidRPr="00F0379B" w:rsidRDefault="002962EE" w:rsidP="002962EE">
      <w:pPr>
        <w:widowControl w:val="0"/>
        <w:autoSpaceDE w:val="0"/>
        <w:spacing w:after="0" w:line="240" w:lineRule="auto"/>
        <w:contextualSpacing/>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Las modalidades de seguimiento, control y vigilancia de la pesca se aplicarán de un modo conforme con los reglamentos nacionales y las recomendaciones de ICCAT vigentes, y se materializarán en la metodología de control y vigilancia de las actividades de pesca y cría de atún rojo de 2026.</w:t>
      </w:r>
    </w:p>
    <w:p w14:paraId="1F39D986" w14:textId="77777777" w:rsidR="002962EE" w:rsidRPr="00F0379B" w:rsidRDefault="002962EE" w:rsidP="002962EE">
      <w:pPr>
        <w:widowControl w:val="0"/>
        <w:autoSpaceDE w:val="0"/>
        <w:spacing w:after="0" w:line="240" w:lineRule="auto"/>
        <w:contextualSpacing/>
        <w:jc w:val="both"/>
        <w:rPr>
          <w:rFonts w:ascii="Cambria" w:eastAsia="MS Gothic" w:hAnsi="Cambria" w:cs="Times New Roman"/>
          <w:iCs/>
          <w:color w:val="000000"/>
          <w:kern w:val="2"/>
          <w:sz w:val="20"/>
          <w:szCs w:val="20"/>
          <w:lang w:eastAsia="fr-FR" w:bidi="fr-FR"/>
        </w:rPr>
      </w:pPr>
    </w:p>
    <w:p w14:paraId="095AAC5F" w14:textId="77777777" w:rsidR="002962EE" w:rsidRPr="00F0379B" w:rsidRDefault="002962EE" w:rsidP="002962EE">
      <w:pPr>
        <w:widowControl w:val="0"/>
        <w:autoSpaceDE w:val="0"/>
        <w:autoSpaceDN w:val="0"/>
        <w:adjustRightInd w:val="0"/>
        <w:spacing w:after="0" w:line="240" w:lineRule="auto"/>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 xml:space="preserve">Esta metodología se enmarca en la aplicación del plan nacional de control de las actividades de la pesca marítima. Incluye medidas para cumplir las disposiciones de ICCAT en materia de control e inspección, especialmente a las de </w:t>
      </w:r>
      <w:r w:rsidRPr="00F0379B">
        <w:rPr>
          <w:rFonts w:ascii="Cambria" w:eastAsia="MS Gothic" w:hAnsi="Cambria" w:cs="Times New Roman"/>
          <w:kern w:val="2"/>
          <w:sz w:val="20"/>
          <w:szCs w:val="20"/>
          <w:lang w:eastAsia="fr-FR" w:bidi="fr-FR"/>
        </w:rPr>
        <w:t>la Recomendación 25-04</w:t>
      </w:r>
      <w:r w:rsidRPr="00F0379B">
        <w:rPr>
          <w:rFonts w:ascii="Cambria" w:eastAsia="MS Gothic" w:hAnsi="Cambria" w:cs="Times New Roman"/>
          <w:iCs/>
          <w:color w:val="000000"/>
          <w:kern w:val="2"/>
          <w:sz w:val="20"/>
          <w:szCs w:val="20"/>
          <w:lang w:eastAsia="fr-FR" w:bidi="fr-FR"/>
        </w:rPr>
        <w:t>. De esta forma, esta metodología incluye las medidas relativas a las siguientes acciones:</w:t>
      </w:r>
    </w:p>
    <w:p w14:paraId="76935EF2" w14:textId="77777777" w:rsidR="002962EE" w:rsidRPr="00F0379B" w:rsidRDefault="002962EE" w:rsidP="002962EE">
      <w:pPr>
        <w:widowControl w:val="0"/>
        <w:autoSpaceDE w:val="0"/>
        <w:autoSpaceDN w:val="0"/>
        <w:adjustRightInd w:val="0"/>
        <w:spacing w:after="0" w:line="240" w:lineRule="auto"/>
        <w:jc w:val="both"/>
        <w:rPr>
          <w:rFonts w:ascii="Cambria" w:eastAsia="MS Gothic" w:hAnsi="Cambria" w:cs="Times New Roman"/>
          <w:iCs/>
          <w:color w:val="000000"/>
          <w:kern w:val="2"/>
          <w:sz w:val="20"/>
          <w:szCs w:val="20"/>
          <w:lang w:eastAsia="fr-FR" w:bidi="fr-FR"/>
        </w:rPr>
      </w:pPr>
    </w:p>
    <w:p w14:paraId="0EAE7117" w14:textId="77777777" w:rsidR="002962EE" w:rsidRPr="00F0379B" w:rsidRDefault="002962EE" w:rsidP="002962EE">
      <w:pPr>
        <w:widowControl w:val="0"/>
        <w:autoSpaceDE w:val="0"/>
        <w:autoSpaceDN w:val="0"/>
        <w:adjustRightInd w:val="0"/>
        <w:spacing w:after="0" w:line="240" w:lineRule="auto"/>
        <w:jc w:val="both"/>
        <w:rPr>
          <w:rFonts w:ascii="Cambria" w:eastAsia="MS Gothic" w:hAnsi="Cambria" w:cs="Times New Roman"/>
          <w:i/>
          <w:color w:val="000000"/>
          <w:kern w:val="2"/>
          <w:sz w:val="20"/>
          <w:szCs w:val="20"/>
          <w:lang w:eastAsia="fr-FR" w:bidi="fr-FR"/>
        </w:rPr>
      </w:pPr>
      <w:r w:rsidRPr="00F0379B">
        <w:rPr>
          <w:rFonts w:ascii="Cambria" w:eastAsia="MS Gothic" w:hAnsi="Cambria" w:cs="Times New Roman"/>
          <w:i/>
          <w:color w:val="000000"/>
          <w:kern w:val="2"/>
          <w:sz w:val="20"/>
          <w:szCs w:val="20"/>
          <w:lang w:eastAsia="fr-FR" w:bidi="fr-FR"/>
        </w:rPr>
        <w:t>Notificación previa de desembarques</w:t>
      </w:r>
    </w:p>
    <w:p w14:paraId="5535268B" w14:textId="77777777" w:rsidR="002962EE" w:rsidRPr="00F0379B" w:rsidRDefault="002962EE" w:rsidP="002962EE">
      <w:pPr>
        <w:widowControl w:val="0"/>
        <w:spacing w:after="0" w:line="240" w:lineRule="auto"/>
        <w:jc w:val="both"/>
        <w:rPr>
          <w:rFonts w:ascii="Cambria" w:eastAsia="MS Gothic" w:hAnsi="Cambria" w:cs="Times New Roman"/>
          <w:iCs/>
          <w:color w:val="000000"/>
          <w:kern w:val="2"/>
          <w:sz w:val="20"/>
          <w:szCs w:val="20"/>
          <w:lang w:eastAsia="fr-FR" w:bidi="fr-FR"/>
        </w:rPr>
      </w:pPr>
    </w:p>
    <w:p w14:paraId="73147C42" w14:textId="77777777" w:rsidR="002962EE" w:rsidRPr="00F0379B" w:rsidRDefault="002962EE" w:rsidP="00CE0EC8">
      <w:pPr>
        <w:widowControl w:val="0"/>
        <w:numPr>
          <w:ilvl w:val="0"/>
          <w:numId w:val="22"/>
        </w:numPr>
        <w:autoSpaceDE w:val="0"/>
        <w:autoSpaceDN w:val="0"/>
        <w:adjustRightInd w:val="0"/>
        <w:spacing w:after="0" w:line="240" w:lineRule="auto"/>
        <w:ind w:left="426" w:hanging="426"/>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Mantenimiento de registros para el seguimiento de las notificaciones previas de entrada a puerto enviadas por todos los buques de captura, de transformación y de apoyo que lleven a bordo capturas equivalente o superiores a tres peces o una tonelada.</w:t>
      </w:r>
    </w:p>
    <w:p w14:paraId="73EFE10A" w14:textId="77777777" w:rsidR="002962EE" w:rsidRPr="00F0379B" w:rsidRDefault="002962EE" w:rsidP="002962EE">
      <w:pPr>
        <w:widowControl w:val="0"/>
        <w:autoSpaceDE w:val="0"/>
        <w:autoSpaceDN w:val="0"/>
        <w:adjustRightInd w:val="0"/>
        <w:spacing w:after="0" w:line="240" w:lineRule="auto"/>
        <w:ind w:left="426"/>
        <w:jc w:val="both"/>
        <w:rPr>
          <w:rFonts w:ascii="Cambria" w:eastAsia="MS Gothic" w:hAnsi="Cambria" w:cs="Times New Roman"/>
          <w:iCs/>
          <w:color w:val="000000"/>
          <w:kern w:val="2"/>
          <w:sz w:val="20"/>
          <w:szCs w:val="20"/>
          <w:lang w:eastAsia="fr-FR" w:bidi="fr-FR"/>
        </w:rPr>
      </w:pPr>
    </w:p>
    <w:p w14:paraId="54994095" w14:textId="77777777" w:rsidR="002962EE" w:rsidRPr="00F0379B" w:rsidRDefault="002962EE" w:rsidP="002962EE">
      <w:pPr>
        <w:widowControl w:val="0"/>
        <w:autoSpaceDE w:val="0"/>
        <w:autoSpaceDN w:val="0"/>
        <w:adjustRightInd w:val="0"/>
        <w:spacing w:after="0" w:line="240" w:lineRule="auto"/>
        <w:jc w:val="both"/>
        <w:rPr>
          <w:rFonts w:ascii="Cambria" w:eastAsia="MS Gothic" w:hAnsi="Cambria" w:cs="Times New Roman"/>
          <w:i/>
          <w:color w:val="000000"/>
          <w:kern w:val="2"/>
          <w:sz w:val="20"/>
          <w:szCs w:val="20"/>
          <w:lang w:eastAsia="fr-FR" w:bidi="fr-FR"/>
        </w:rPr>
      </w:pPr>
      <w:r w:rsidRPr="00F0379B">
        <w:rPr>
          <w:rFonts w:ascii="Cambria" w:eastAsia="MS Gothic" w:hAnsi="Cambria" w:cs="Times New Roman"/>
          <w:i/>
          <w:color w:val="000000"/>
          <w:kern w:val="2"/>
          <w:sz w:val="20"/>
          <w:szCs w:val="20"/>
          <w:lang w:eastAsia="fr-FR" w:bidi="fr-FR"/>
        </w:rPr>
        <w:t>Seguimiento y control de los desembarques</w:t>
      </w:r>
    </w:p>
    <w:p w14:paraId="164F6907" w14:textId="77777777" w:rsidR="002962EE" w:rsidRPr="00F0379B" w:rsidRDefault="002962EE" w:rsidP="002962EE">
      <w:pPr>
        <w:widowControl w:val="0"/>
        <w:autoSpaceDE w:val="0"/>
        <w:autoSpaceDN w:val="0"/>
        <w:adjustRightInd w:val="0"/>
        <w:spacing w:after="0" w:line="240" w:lineRule="auto"/>
        <w:jc w:val="both"/>
        <w:rPr>
          <w:rFonts w:ascii="Cambria" w:eastAsia="MS Gothic" w:hAnsi="Cambria" w:cs="Times New Roman"/>
          <w:i/>
          <w:color w:val="000000"/>
          <w:kern w:val="2"/>
          <w:sz w:val="20"/>
          <w:szCs w:val="20"/>
          <w:lang w:eastAsia="fr-FR" w:bidi="fr-FR"/>
        </w:rPr>
      </w:pPr>
    </w:p>
    <w:p w14:paraId="7F7CDD4C" w14:textId="77777777" w:rsidR="002962EE" w:rsidRPr="00F0379B" w:rsidRDefault="002962EE" w:rsidP="00CE0EC8">
      <w:pPr>
        <w:widowControl w:val="0"/>
        <w:numPr>
          <w:ilvl w:val="0"/>
          <w:numId w:val="22"/>
        </w:numPr>
        <w:autoSpaceDE w:val="0"/>
        <w:autoSpaceDN w:val="0"/>
        <w:adjustRightInd w:val="0"/>
        <w:spacing w:after="0" w:line="240" w:lineRule="auto"/>
        <w:ind w:left="426" w:hanging="426"/>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 xml:space="preserve">El seguimiento y el control sistemático de los desembarques de la flota costera y artesanal con obligación efectiva de pesada antes de la primera venta y el respeto del sistema de documentación de capturas implementado a nivel nacional. Este sistema de documentación nacional permite el control, mediante verificación cruzada sistemática directa entre la declaración de capturas en el momento del desembarque y los datos de la primera venta y </w:t>
      </w:r>
      <w:r w:rsidRPr="00F0379B">
        <w:rPr>
          <w:rFonts w:ascii="Cambria" w:eastAsia="MS Gothic" w:hAnsi="Cambria" w:cs="Times New Roman"/>
          <w:kern w:val="2"/>
          <w:sz w:val="20"/>
          <w:szCs w:val="20"/>
          <w:lang w:eastAsia="fr-FR" w:bidi="fr-FR"/>
        </w:rPr>
        <w:t>permite disponer de</w:t>
      </w:r>
      <w:r w:rsidRPr="00F0379B">
        <w:rPr>
          <w:rFonts w:ascii="Cambria" w:eastAsia="MS Gothic" w:hAnsi="Cambria" w:cs="Times New Roman"/>
          <w:iCs/>
          <w:color w:val="000000"/>
          <w:kern w:val="2"/>
          <w:sz w:val="20"/>
          <w:szCs w:val="20"/>
          <w:lang w:eastAsia="fr-FR" w:bidi="fr-FR"/>
        </w:rPr>
        <w:t xml:space="preserve"> una herramienta suplementaria para la validación de las actas del proceso eBCD.</w:t>
      </w:r>
    </w:p>
    <w:p w14:paraId="7442AFCE" w14:textId="77777777" w:rsidR="002962EE" w:rsidRPr="00F0379B" w:rsidRDefault="002962EE" w:rsidP="002962EE">
      <w:pPr>
        <w:widowControl w:val="0"/>
        <w:autoSpaceDE w:val="0"/>
        <w:autoSpaceDN w:val="0"/>
        <w:adjustRightInd w:val="0"/>
        <w:spacing w:after="0" w:line="240" w:lineRule="auto"/>
        <w:jc w:val="both"/>
        <w:rPr>
          <w:rFonts w:ascii="Cambria" w:eastAsia="MS Gothic" w:hAnsi="Cambria" w:cs="Times New Roman"/>
          <w:iCs/>
          <w:color w:val="000000"/>
          <w:kern w:val="2"/>
          <w:sz w:val="20"/>
          <w:szCs w:val="20"/>
          <w:lang w:eastAsia="fr-FR" w:bidi="fr-FR"/>
        </w:rPr>
      </w:pPr>
    </w:p>
    <w:p w14:paraId="3D5F7423" w14:textId="77777777" w:rsidR="002962EE" w:rsidRPr="00F0379B" w:rsidRDefault="002962EE" w:rsidP="002962EE">
      <w:pPr>
        <w:widowControl w:val="0"/>
        <w:autoSpaceDE w:val="0"/>
        <w:autoSpaceDN w:val="0"/>
        <w:adjustRightInd w:val="0"/>
        <w:spacing w:after="0" w:line="240" w:lineRule="auto"/>
        <w:jc w:val="both"/>
        <w:rPr>
          <w:rFonts w:ascii="Cambria" w:eastAsia="MS Gothic" w:hAnsi="Cambria" w:cs="Times New Roman"/>
          <w:i/>
          <w:color w:val="000000"/>
          <w:kern w:val="2"/>
          <w:sz w:val="20"/>
          <w:szCs w:val="20"/>
          <w:lang w:eastAsia="fr-FR" w:bidi="fr-FR"/>
        </w:rPr>
      </w:pPr>
      <w:r w:rsidRPr="00F0379B">
        <w:rPr>
          <w:rFonts w:ascii="Cambria" w:eastAsia="MS Gothic" w:hAnsi="Cambria" w:cs="Times New Roman"/>
          <w:i/>
          <w:color w:val="000000"/>
          <w:kern w:val="2"/>
          <w:sz w:val="20"/>
          <w:szCs w:val="20"/>
          <w:lang w:eastAsia="fr-FR" w:bidi="fr-FR"/>
        </w:rPr>
        <w:t>Seguimiento y control de las operaciones de sacrificio en las almadrabas y las granjas de cría</w:t>
      </w:r>
    </w:p>
    <w:p w14:paraId="11F737C3" w14:textId="77777777" w:rsidR="002962EE" w:rsidRPr="00F0379B" w:rsidRDefault="002962EE" w:rsidP="002962EE">
      <w:pPr>
        <w:widowControl w:val="0"/>
        <w:autoSpaceDE w:val="0"/>
        <w:autoSpaceDN w:val="0"/>
        <w:adjustRightInd w:val="0"/>
        <w:spacing w:after="0" w:line="240" w:lineRule="auto"/>
        <w:jc w:val="both"/>
        <w:rPr>
          <w:rFonts w:ascii="Cambria" w:eastAsia="MS Gothic" w:hAnsi="Cambria" w:cs="Times New Roman"/>
          <w:iCs/>
          <w:color w:val="000000"/>
          <w:kern w:val="2"/>
          <w:sz w:val="20"/>
          <w:szCs w:val="20"/>
          <w:lang w:eastAsia="fr-FR" w:bidi="fr-FR"/>
        </w:rPr>
      </w:pPr>
    </w:p>
    <w:p w14:paraId="5422ED89" w14:textId="77777777" w:rsidR="002962EE" w:rsidRPr="00F0379B" w:rsidRDefault="002962EE" w:rsidP="00CE0EC8">
      <w:pPr>
        <w:widowControl w:val="0"/>
        <w:numPr>
          <w:ilvl w:val="0"/>
          <w:numId w:val="22"/>
        </w:numPr>
        <w:autoSpaceDE w:val="0"/>
        <w:autoSpaceDN w:val="0"/>
        <w:adjustRightInd w:val="0"/>
        <w:spacing w:after="0" w:line="240" w:lineRule="auto"/>
        <w:ind w:left="426" w:hanging="426"/>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El seguimiento y control de las operaciones de sacrificio a nivel de las almadrabas y de las granjas de cría, en particular mediante la presencia de agentes de control autorizados, observadores regionales y/u observadores nacionales, se realiza de acuerdo con las disposiciones de la Recomendación 25-04.</w:t>
      </w:r>
    </w:p>
    <w:p w14:paraId="5AFF755D" w14:textId="77777777" w:rsidR="002962EE" w:rsidRPr="00F0379B" w:rsidRDefault="002962EE" w:rsidP="002962EE">
      <w:pPr>
        <w:widowControl w:val="0"/>
        <w:autoSpaceDE w:val="0"/>
        <w:autoSpaceDN w:val="0"/>
        <w:adjustRightInd w:val="0"/>
        <w:spacing w:after="0" w:line="240" w:lineRule="auto"/>
        <w:ind w:left="426"/>
        <w:jc w:val="both"/>
        <w:rPr>
          <w:rFonts w:ascii="Cambria" w:eastAsia="MS Gothic" w:hAnsi="Cambria" w:cs="Times New Roman"/>
          <w:iCs/>
          <w:color w:val="000000"/>
          <w:kern w:val="2"/>
          <w:sz w:val="20"/>
          <w:szCs w:val="20"/>
          <w:lang w:eastAsia="fr-FR" w:bidi="fr-FR"/>
        </w:rPr>
      </w:pPr>
    </w:p>
    <w:p w14:paraId="15464D66" w14:textId="77777777" w:rsidR="002962EE" w:rsidRPr="00F0379B" w:rsidRDefault="002962EE" w:rsidP="002962EE">
      <w:pPr>
        <w:widowControl w:val="0"/>
        <w:autoSpaceDE w:val="0"/>
        <w:autoSpaceDN w:val="0"/>
        <w:adjustRightInd w:val="0"/>
        <w:spacing w:after="0" w:line="240" w:lineRule="auto"/>
        <w:jc w:val="both"/>
        <w:rPr>
          <w:rFonts w:ascii="Cambria" w:eastAsia="MS Gothic" w:hAnsi="Cambria" w:cs="Times New Roman"/>
          <w:i/>
          <w:color w:val="000000"/>
          <w:kern w:val="2"/>
          <w:sz w:val="20"/>
          <w:szCs w:val="20"/>
          <w:lang w:eastAsia="fr-FR" w:bidi="fr-FR"/>
        </w:rPr>
      </w:pPr>
      <w:r w:rsidRPr="00F0379B">
        <w:rPr>
          <w:rFonts w:ascii="Cambria" w:eastAsia="MS Gothic" w:hAnsi="Cambria" w:cs="Times New Roman"/>
          <w:i/>
          <w:color w:val="000000"/>
          <w:kern w:val="2"/>
          <w:sz w:val="20"/>
          <w:szCs w:val="20"/>
          <w:lang w:eastAsia="fr-FR" w:bidi="fr-FR"/>
        </w:rPr>
        <w:t>Seguimiento y control de las operaciones de transferencia de atún rojo vivo</w:t>
      </w:r>
    </w:p>
    <w:p w14:paraId="45140903" w14:textId="77777777" w:rsidR="002962EE" w:rsidRPr="00F0379B" w:rsidRDefault="002962EE" w:rsidP="002962EE">
      <w:pPr>
        <w:widowControl w:val="0"/>
        <w:autoSpaceDE w:val="0"/>
        <w:autoSpaceDN w:val="0"/>
        <w:adjustRightInd w:val="0"/>
        <w:spacing w:after="0" w:line="240" w:lineRule="auto"/>
        <w:ind w:left="426"/>
        <w:jc w:val="both"/>
        <w:rPr>
          <w:rFonts w:ascii="Cambria" w:eastAsia="MS Gothic" w:hAnsi="Cambria" w:cs="Times New Roman"/>
          <w:iCs/>
          <w:color w:val="000000"/>
          <w:kern w:val="2"/>
          <w:sz w:val="20"/>
          <w:szCs w:val="20"/>
          <w:lang w:eastAsia="fr-FR" w:bidi="fr-FR"/>
        </w:rPr>
      </w:pPr>
    </w:p>
    <w:p w14:paraId="2CAA9274" w14:textId="77777777" w:rsidR="002962EE" w:rsidRPr="00F0379B" w:rsidRDefault="002962EE" w:rsidP="00CE0EC8">
      <w:pPr>
        <w:widowControl w:val="0"/>
        <w:numPr>
          <w:ilvl w:val="0"/>
          <w:numId w:val="22"/>
        </w:numPr>
        <w:autoSpaceDE w:val="0"/>
        <w:autoSpaceDN w:val="0"/>
        <w:adjustRightInd w:val="0"/>
        <w:spacing w:after="0" w:line="240" w:lineRule="auto"/>
        <w:ind w:left="426" w:hanging="426"/>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El seguimiento y el control de las operaciones de transferencia de atún rojo se realiza principalmente con ayuda de la presencia de agentes de control autorizados, observadores regionales y/u observadores nacionales, de las grabaciones de vídeo mediante la utilización de cámaras convencionales de conformidad con las condiciones enumeradas en la Recomendación 25-04.</w:t>
      </w:r>
    </w:p>
    <w:p w14:paraId="26C1483B" w14:textId="77777777" w:rsidR="002962EE" w:rsidRPr="00F0379B" w:rsidRDefault="002962EE" w:rsidP="002962EE">
      <w:pPr>
        <w:widowControl w:val="0"/>
        <w:autoSpaceDE w:val="0"/>
        <w:autoSpaceDN w:val="0"/>
        <w:adjustRightInd w:val="0"/>
        <w:spacing w:after="0" w:line="240" w:lineRule="auto"/>
        <w:ind w:left="426"/>
        <w:jc w:val="both"/>
        <w:rPr>
          <w:rFonts w:ascii="Cambria" w:eastAsia="MS Gothic" w:hAnsi="Cambria" w:cs="Times New Roman"/>
          <w:iCs/>
          <w:color w:val="000000"/>
          <w:kern w:val="2"/>
          <w:sz w:val="14"/>
          <w:szCs w:val="14"/>
          <w:lang w:eastAsia="fr-FR" w:bidi="fr-FR"/>
        </w:rPr>
      </w:pPr>
    </w:p>
    <w:p w14:paraId="5FFCBBF9" w14:textId="77777777" w:rsidR="002962EE" w:rsidRPr="00F0379B" w:rsidRDefault="002962EE" w:rsidP="002962EE">
      <w:pPr>
        <w:widowControl w:val="0"/>
        <w:autoSpaceDE w:val="0"/>
        <w:autoSpaceDN w:val="0"/>
        <w:adjustRightInd w:val="0"/>
        <w:spacing w:after="120" w:line="240" w:lineRule="auto"/>
        <w:jc w:val="both"/>
        <w:rPr>
          <w:rFonts w:ascii="Cambria" w:eastAsia="MS Gothic" w:hAnsi="Cambria" w:cs="Times New Roman"/>
          <w:i/>
          <w:color w:val="000000"/>
          <w:kern w:val="2"/>
          <w:sz w:val="20"/>
          <w:szCs w:val="20"/>
          <w:lang w:eastAsia="fr-FR" w:bidi="fr-FR"/>
        </w:rPr>
      </w:pPr>
      <w:r w:rsidRPr="00F0379B">
        <w:rPr>
          <w:rFonts w:ascii="Cambria" w:eastAsia="MS Gothic" w:hAnsi="Cambria" w:cs="Times New Roman"/>
          <w:i/>
          <w:color w:val="000000"/>
          <w:kern w:val="2"/>
          <w:sz w:val="20"/>
          <w:szCs w:val="20"/>
          <w:lang w:eastAsia="fr-FR" w:bidi="fr-FR"/>
        </w:rPr>
        <w:t>VMS</w:t>
      </w:r>
    </w:p>
    <w:p w14:paraId="7DC436AA" w14:textId="77777777" w:rsidR="002962EE" w:rsidRPr="00F0379B" w:rsidRDefault="002962EE" w:rsidP="00CE0EC8">
      <w:pPr>
        <w:widowControl w:val="0"/>
        <w:numPr>
          <w:ilvl w:val="0"/>
          <w:numId w:val="22"/>
        </w:numPr>
        <w:autoSpaceDE w:val="0"/>
        <w:autoSpaceDN w:val="0"/>
        <w:adjustRightInd w:val="0"/>
        <w:spacing w:after="0" w:line="240" w:lineRule="exact"/>
        <w:ind w:left="426" w:hanging="426"/>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La vigilancia por VMS de los buques de pesca la realiza el FMC de la Secretaría del Estado encargada de la pesca marítima con una disponibilidad en línea de los datos de posición en tiempo real para la administración regional de pesca marítima (Delegaciones de pesca marítima).</w:t>
      </w:r>
    </w:p>
    <w:p w14:paraId="6B721795" w14:textId="77777777" w:rsidR="002962EE" w:rsidRPr="00F0379B" w:rsidRDefault="002962EE" w:rsidP="002962EE">
      <w:pPr>
        <w:widowControl w:val="0"/>
        <w:autoSpaceDE w:val="0"/>
        <w:autoSpaceDN w:val="0"/>
        <w:adjustRightInd w:val="0"/>
        <w:spacing w:after="0" w:line="240" w:lineRule="exact"/>
        <w:jc w:val="both"/>
        <w:rPr>
          <w:rFonts w:ascii="Cambria" w:eastAsia="MS Gothic" w:hAnsi="Cambria" w:cs="Times New Roman"/>
          <w:i/>
          <w:color w:val="000000"/>
          <w:kern w:val="2"/>
          <w:sz w:val="20"/>
          <w:szCs w:val="20"/>
          <w:lang w:eastAsia="fr-FR" w:bidi="fr-FR"/>
        </w:rPr>
      </w:pPr>
    </w:p>
    <w:p w14:paraId="12FFAAD7" w14:textId="77777777" w:rsidR="002962EE" w:rsidRPr="00F0379B" w:rsidRDefault="002962EE" w:rsidP="002962EE">
      <w:pPr>
        <w:widowControl w:val="0"/>
        <w:autoSpaceDE w:val="0"/>
        <w:autoSpaceDN w:val="0"/>
        <w:adjustRightInd w:val="0"/>
        <w:spacing w:after="0" w:line="240" w:lineRule="exact"/>
        <w:jc w:val="both"/>
        <w:rPr>
          <w:rFonts w:ascii="Cambria" w:eastAsia="MS Gothic" w:hAnsi="Cambria" w:cs="Times New Roman"/>
          <w:i/>
          <w:color w:val="000000"/>
          <w:kern w:val="2"/>
          <w:sz w:val="20"/>
          <w:szCs w:val="20"/>
          <w:lang w:eastAsia="fr-FR" w:bidi="fr-FR"/>
        </w:rPr>
      </w:pPr>
    </w:p>
    <w:p w14:paraId="7549A962" w14:textId="77777777" w:rsidR="002962EE" w:rsidRPr="00F0379B" w:rsidRDefault="002962EE" w:rsidP="002962EE">
      <w:pPr>
        <w:widowControl w:val="0"/>
        <w:autoSpaceDE w:val="0"/>
        <w:autoSpaceDN w:val="0"/>
        <w:adjustRightInd w:val="0"/>
        <w:spacing w:after="0" w:line="240" w:lineRule="exact"/>
        <w:jc w:val="both"/>
        <w:rPr>
          <w:rFonts w:ascii="Cambria" w:eastAsia="MS Gothic" w:hAnsi="Cambria" w:cs="Times New Roman"/>
          <w:i/>
          <w:color w:val="000000"/>
          <w:kern w:val="2"/>
          <w:sz w:val="20"/>
          <w:szCs w:val="20"/>
          <w:lang w:eastAsia="fr-FR" w:bidi="fr-FR"/>
        </w:rPr>
      </w:pPr>
    </w:p>
    <w:p w14:paraId="25F4060C" w14:textId="77777777" w:rsidR="002962EE" w:rsidRPr="00F0379B" w:rsidRDefault="002962EE" w:rsidP="002962EE">
      <w:pPr>
        <w:widowControl w:val="0"/>
        <w:autoSpaceDE w:val="0"/>
        <w:autoSpaceDN w:val="0"/>
        <w:adjustRightInd w:val="0"/>
        <w:spacing w:after="0" w:line="240" w:lineRule="exact"/>
        <w:jc w:val="both"/>
        <w:rPr>
          <w:rFonts w:ascii="Cambria" w:eastAsia="MS Gothic" w:hAnsi="Cambria" w:cs="Times New Roman"/>
          <w:i/>
          <w:color w:val="000000"/>
          <w:kern w:val="2"/>
          <w:sz w:val="20"/>
          <w:szCs w:val="20"/>
          <w:lang w:eastAsia="fr-FR" w:bidi="fr-FR"/>
        </w:rPr>
      </w:pPr>
      <w:r w:rsidRPr="00F0379B">
        <w:rPr>
          <w:rFonts w:ascii="Cambria" w:eastAsia="MS Gothic" w:hAnsi="Cambria" w:cs="Times New Roman"/>
          <w:i/>
          <w:color w:val="000000"/>
          <w:kern w:val="2"/>
          <w:sz w:val="20"/>
          <w:szCs w:val="20"/>
          <w:lang w:eastAsia="fr-FR" w:bidi="fr-FR"/>
        </w:rPr>
        <w:t>Documentación de capturas de atún rojo</w:t>
      </w:r>
    </w:p>
    <w:p w14:paraId="1D98AE23" w14:textId="77777777" w:rsidR="002962EE" w:rsidRPr="00F0379B" w:rsidRDefault="002962EE" w:rsidP="002962EE">
      <w:pPr>
        <w:widowControl w:val="0"/>
        <w:autoSpaceDE w:val="0"/>
        <w:autoSpaceDN w:val="0"/>
        <w:adjustRightInd w:val="0"/>
        <w:spacing w:after="0" w:line="240" w:lineRule="exact"/>
        <w:ind w:left="426"/>
        <w:jc w:val="both"/>
        <w:rPr>
          <w:rFonts w:ascii="Cambria" w:eastAsia="MS Gothic" w:hAnsi="Cambria" w:cs="Times New Roman"/>
          <w:iCs/>
          <w:color w:val="000000"/>
          <w:kern w:val="2"/>
          <w:sz w:val="20"/>
          <w:szCs w:val="20"/>
          <w:lang w:eastAsia="fr-FR" w:bidi="fr-FR"/>
        </w:rPr>
      </w:pPr>
    </w:p>
    <w:p w14:paraId="055D3BE7" w14:textId="77777777" w:rsidR="002962EE" w:rsidRPr="00F0379B" w:rsidRDefault="002962EE" w:rsidP="00CE0EC8">
      <w:pPr>
        <w:widowControl w:val="0"/>
        <w:numPr>
          <w:ilvl w:val="0"/>
          <w:numId w:val="22"/>
        </w:numPr>
        <w:autoSpaceDE w:val="0"/>
        <w:autoSpaceDN w:val="0"/>
        <w:adjustRightInd w:val="0"/>
        <w:spacing w:after="0" w:line="240" w:lineRule="exact"/>
        <w:ind w:left="426" w:hanging="426"/>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La instauración de un proceso de comunicación y grabación de la información de captura, de transferencia, introducción en jaulas y sacrificio, principalmente mediante la aplicación del programa de documentación de capturas eBCD.</w:t>
      </w:r>
    </w:p>
    <w:p w14:paraId="64CFAF75" w14:textId="77777777" w:rsidR="002962EE" w:rsidRPr="00F0379B" w:rsidRDefault="002962EE" w:rsidP="002962EE">
      <w:pPr>
        <w:widowControl w:val="0"/>
        <w:autoSpaceDE w:val="0"/>
        <w:autoSpaceDN w:val="0"/>
        <w:adjustRightInd w:val="0"/>
        <w:spacing w:after="0" w:line="240" w:lineRule="exact"/>
        <w:ind w:left="426"/>
        <w:jc w:val="both"/>
        <w:rPr>
          <w:rFonts w:ascii="Cambria" w:eastAsia="MS Gothic" w:hAnsi="Cambria" w:cs="Times New Roman"/>
          <w:iCs/>
          <w:color w:val="000000"/>
          <w:kern w:val="2"/>
          <w:sz w:val="20"/>
          <w:szCs w:val="20"/>
          <w:lang w:eastAsia="fr-FR" w:bidi="fr-FR"/>
        </w:rPr>
      </w:pPr>
    </w:p>
    <w:p w14:paraId="0E8B1198" w14:textId="77777777" w:rsidR="002962EE" w:rsidRPr="00F0379B" w:rsidRDefault="002962EE" w:rsidP="002962EE">
      <w:pPr>
        <w:keepNext/>
        <w:widowControl w:val="0"/>
        <w:autoSpaceDE w:val="0"/>
        <w:autoSpaceDN w:val="0"/>
        <w:adjustRightInd w:val="0"/>
        <w:spacing w:after="0" w:line="240" w:lineRule="exact"/>
        <w:jc w:val="both"/>
        <w:outlineLvl w:val="6"/>
        <w:rPr>
          <w:rFonts w:ascii="Cambria" w:eastAsia="MS Gothic" w:hAnsi="Cambria" w:cs="Times New Roman"/>
          <w:i/>
          <w:color w:val="000000"/>
          <w:kern w:val="2"/>
          <w:sz w:val="20"/>
          <w:szCs w:val="20"/>
          <w:lang w:eastAsia="fr-FR" w:bidi="fr-FR"/>
        </w:rPr>
      </w:pPr>
      <w:r w:rsidRPr="00F0379B">
        <w:rPr>
          <w:rFonts w:ascii="Cambria" w:eastAsia="MS Gothic" w:hAnsi="Cambria" w:cs="Times New Roman"/>
          <w:i/>
          <w:color w:val="000000"/>
          <w:kern w:val="2"/>
          <w:sz w:val="20"/>
          <w:szCs w:val="20"/>
          <w:lang w:eastAsia="fr-FR" w:bidi="fr-FR"/>
        </w:rPr>
        <w:t>Inspección en puerto</w:t>
      </w:r>
    </w:p>
    <w:p w14:paraId="082EB1E3" w14:textId="77777777" w:rsidR="002962EE" w:rsidRPr="00F0379B" w:rsidRDefault="002962EE" w:rsidP="002962EE">
      <w:pPr>
        <w:widowControl w:val="0"/>
        <w:autoSpaceDE w:val="0"/>
        <w:autoSpaceDN w:val="0"/>
        <w:adjustRightInd w:val="0"/>
        <w:spacing w:after="0" w:line="240" w:lineRule="exact"/>
        <w:jc w:val="both"/>
        <w:rPr>
          <w:rFonts w:ascii="Cambria" w:eastAsia="MS Gothic" w:hAnsi="Cambria" w:cs="Times New Roman"/>
          <w:i/>
          <w:color w:val="000000"/>
          <w:kern w:val="2"/>
          <w:sz w:val="20"/>
          <w:szCs w:val="20"/>
          <w:lang w:eastAsia="fr-FR" w:bidi="fr-FR"/>
        </w:rPr>
      </w:pPr>
    </w:p>
    <w:p w14:paraId="026B17C0" w14:textId="77777777" w:rsidR="002962EE" w:rsidRPr="00F0379B" w:rsidRDefault="002962EE" w:rsidP="00CE0EC8">
      <w:pPr>
        <w:widowControl w:val="0"/>
        <w:numPr>
          <w:ilvl w:val="0"/>
          <w:numId w:val="22"/>
        </w:numPr>
        <w:autoSpaceDE w:val="0"/>
        <w:autoSpaceDN w:val="0"/>
        <w:adjustRightInd w:val="0"/>
        <w:spacing w:after="0" w:line="240" w:lineRule="exact"/>
        <w:ind w:left="426" w:hanging="426"/>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 xml:space="preserve">La aplicación de las disposiciones relativas a las medidas de inspección en puerto de buques extranjeros y el respeto de los compromisos internacionales contraídos por el Reino de Marruecos con respecto a la Comisión Internacional para la conservación del Atún Atlántico. </w:t>
      </w:r>
    </w:p>
    <w:p w14:paraId="617AE2C3" w14:textId="77777777" w:rsidR="002962EE" w:rsidRPr="00F0379B" w:rsidRDefault="002962EE" w:rsidP="002962EE">
      <w:pPr>
        <w:widowControl w:val="0"/>
        <w:autoSpaceDE w:val="0"/>
        <w:autoSpaceDN w:val="0"/>
        <w:adjustRightInd w:val="0"/>
        <w:spacing w:after="0" w:line="240" w:lineRule="exact"/>
        <w:jc w:val="both"/>
        <w:rPr>
          <w:rFonts w:ascii="Cambria" w:eastAsia="MS Gothic" w:hAnsi="Cambria" w:cs="Times New Roman"/>
          <w:i/>
          <w:color w:val="000000"/>
          <w:kern w:val="2"/>
          <w:sz w:val="20"/>
          <w:szCs w:val="20"/>
          <w:lang w:eastAsia="fr-FR" w:bidi="fr-FR"/>
        </w:rPr>
      </w:pPr>
    </w:p>
    <w:p w14:paraId="425A2DA8" w14:textId="77777777" w:rsidR="002962EE" w:rsidRPr="00F0379B" w:rsidRDefault="002962EE" w:rsidP="002962EE">
      <w:pPr>
        <w:widowControl w:val="0"/>
        <w:autoSpaceDE w:val="0"/>
        <w:autoSpaceDN w:val="0"/>
        <w:adjustRightInd w:val="0"/>
        <w:spacing w:after="0" w:line="240" w:lineRule="exact"/>
        <w:jc w:val="both"/>
        <w:rPr>
          <w:rFonts w:ascii="Cambria" w:eastAsia="MS Gothic" w:hAnsi="Cambria" w:cs="Times New Roman"/>
          <w:i/>
          <w:color w:val="000000"/>
          <w:kern w:val="2"/>
          <w:sz w:val="20"/>
          <w:szCs w:val="20"/>
          <w:lang w:eastAsia="fr-FR" w:bidi="fr-FR"/>
        </w:rPr>
      </w:pPr>
      <w:r w:rsidRPr="00F0379B">
        <w:rPr>
          <w:rFonts w:ascii="Cambria" w:eastAsia="MS Gothic" w:hAnsi="Cambria" w:cs="Times New Roman"/>
          <w:i/>
          <w:color w:val="000000"/>
          <w:kern w:val="2"/>
          <w:sz w:val="20"/>
          <w:szCs w:val="20"/>
          <w:lang w:eastAsia="fr-FR" w:bidi="fr-FR"/>
        </w:rPr>
        <w:t>Vigilancia en el mar</w:t>
      </w:r>
    </w:p>
    <w:p w14:paraId="18965635" w14:textId="77777777" w:rsidR="002962EE" w:rsidRPr="00F0379B" w:rsidRDefault="002962EE" w:rsidP="002962EE">
      <w:pPr>
        <w:widowControl w:val="0"/>
        <w:autoSpaceDE w:val="0"/>
        <w:autoSpaceDN w:val="0"/>
        <w:adjustRightInd w:val="0"/>
        <w:spacing w:after="0" w:line="240" w:lineRule="exact"/>
        <w:jc w:val="both"/>
        <w:rPr>
          <w:rFonts w:ascii="Cambria" w:eastAsia="MS Gothic" w:hAnsi="Cambria" w:cs="Times New Roman"/>
          <w:i/>
          <w:color w:val="000000"/>
          <w:kern w:val="2"/>
          <w:sz w:val="20"/>
          <w:szCs w:val="20"/>
          <w:lang w:eastAsia="fr-FR" w:bidi="fr-FR"/>
        </w:rPr>
      </w:pPr>
    </w:p>
    <w:p w14:paraId="5A75F05E" w14:textId="77777777" w:rsidR="002962EE" w:rsidRPr="00F0379B" w:rsidRDefault="002962EE" w:rsidP="00CE0EC8">
      <w:pPr>
        <w:widowControl w:val="0"/>
        <w:numPr>
          <w:ilvl w:val="0"/>
          <w:numId w:val="22"/>
        </w:numPr>
        <w:autoSpaceDE w:val="0"/>
        <w:autoSpaceDN w:val="0"/>
        <w:adjustRightInd w:val="0"/>
        <w:spacing w:after="0" w:line="240" w:lineRule="exact"/>
        <w:ind w:left="426" w:hanging="426"/>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La vigilancia en el mar está garantizada por las demás autoridades habilitadas en el marco de las atribuciones conferidas por la reglamentación nacional.</w:t>
      </w:r>
    </w:p>
    <w:p w14:paraId="79931A11" w14:textId="77777777" w:rsidR="002962EE" w:rsidRPr="00F0379B" w:rsidRDefault="002962EE" w:rsidP="002962EE">
      <w:pPr>
        <w:widowControl w:val="0"/>
        <w:tabs>
          <w:tab w:val="left" w:pos="0"/>
        </w:tabs>
        <w:autoSpaceDE w:val="0"/>
        <w:spacing w:after="0" w:line="240" w:lineRule="exact"/>
        <w:jc w:val="both"/>
        <w:rPr>
          <w:rFonts w:ascii="Cambria" w:eastAsia="MS Gothic" w:hAnsi="Cambria" w:cs="Times New Roman"/>
          <w:iCs/>
          <w:color w:val="000000"/>
          <w:kern w:val="2"/>
          <w:sz w:val="20"/>
          <w:szCs w:val="20"/>
          <w:lang w:eastAsia="fr-FR" w:bidi="fr-FR"/>
        </w:rPr>
      </w:pPr>
    </w:p>
    <w:p w14:paraId="1B5BE8CD" w14:textId="77777777" w:rsidR="002962EE" w:rsidRPr="00F0379B" w:rsidRDefault="002962EE" w:rsidP="002962EE">
      <w:pPr>
        <w:widowControl w:val="0"/>
        <w:spacing w:after="0" w:line="240" w:lineRule="exact"/>
        <w:jc w:val="both"/>
        <w:rPr>
          <w:rFonts w:ascii="Cambria" w:eastAsia="MS Gothic" w:hAnsi="Cambria" w:cs="Times New Roman"/>
          <w:i/>
          <w:color w:val="000000"/>
          <w:kern w:val="2"/>
          <w:sz w:val="20"/>
          <w:szCs w:val="20"/>
          <w:lang w:eastAsia="fr-FR" w:bidi="fr-FR"/>
        </w:rPr>
      </w:pPr>
      <w:r w:rsidRPr="00F0379B">
        <w:rPr>
          <w:rFonts w:ascii="Cambria" w:eastAsia="MS Gothic" w:hAnsi="Cambria" w:cs="Times New Roman"/>
          <w:i/>
          <w:color w:val="000000"/>
          <w:kern w:val="2"/>
          <w:sz w:val="20"/>
          <w:szCs w:val="20"/>
          <w:lang w:eastAsia="fr-FR" w:bidi="fr-FR"/>
        </w:rPr>
        <w:t>Medidas relacionadas con el precintado de las jaulas</w:t>
      </w:r>
    </w:p>
    <w:p w14:paraId="2FFEC63B" w14:textId="77777777" w:rsidR="002962EE" w:rsidRPr="00F0379B" w:rsidRDefault="002962EE" w:rsidP="002962EE">
      <w:pPr>
        <w:widowControl w:val="0"/>
        <w:spacing w:after="0" w:line="240" w:lineRule="exact"/>
        <w:jc w:val="both"/>
        <w:rPr>
          <w:rFonts w:ascii="Cambria" w:eastAsia="MS Gothic" w:hAnsi="Cambria" w:cs="Times New Roman"/>
          <w:iCs/>
          <w:color w:val="000000"/>
          <w:kern w:val="2"/>
          <w:sz w:val="20"/>
          <w:szCs w:val="20"/>
          <w:lang w:eastAsia="fr-FR" w:bidi="fr-FR"/>
        </w:rPr>
      </w:pPr>
    </w:p>
    <w:p w14:paraId="5C07A364" w14:textId="77777777" w:rsidR="002962EE" w:rsidRPr="00F0379B" w:rsidRDefault="002962EE" w:rsidP="00CE0EC8">
      <w:pPr>
        <w:widowControl w:val="0"/>
        <w:numPr>
          <w:ilvl w:val="0"/>
          <w:numId w:val="22"/>
        </w:numPr>
        <w:autoSpaceDE w:val="0"/>
        <w:autoSpaceDN w:val="0"/>
        <w:adjustRightInd w:val="0"/>
        <w:spacing w:after="0" w:line="240" w:lineRule="exact"/>
        <w:ind w:left="426" w:hanging="426"/>
        <w:jc w:val="both"/>
        <w:rPr>
          <w:rFonts w:ascii="Cambria" w:eastAsia="MS Gothic" w:hAnsi="Cambria" w:cs="Times New Roman"/>
          <w:iCs/>
          <w:kern w:val="2"/>
          <w:sz w:val="20"/>
          <w:szCs w:val="20"/>
          <w:lang w:eastAsia="fr-FR" w:bidi="fr-FR"/>
        </w:rPr>
      </w:pPr>
      <w:r w:rsidRPr="00F0379B">
        <w:rPr>
          <w:rFonts w:ascii="Cambria" w:eastAsia="MS Gothic" w:hAnsi="Cambria" w:cs="Times New Roman"/>
          <w:iCs/>
          <w:color w:val="000000"/>
          <w:kern w:val="2"/>
          <w:sz w:val="20"/>
          <w:szCs w:val="20"/>
          <w:lang w:eastAsia="fr-FR" w:bidi="fr-FR"/>
        </w:rPr>
        <w:t>El Reino de Marruecos aplicará las medidas relativas al precintado de las jaulas de atún rojo de acuerdo con las disposiciones de la Rec. 25-04.</w:t>
      </w:r>
    </w:p>
    <w:p w14:paraId="2C142AFD" w14:textId="77777777" w:rsidR="002962EE" w:rsidRPr="00F0379B" w:rsidRDefault="002962EE" w:rsidP="002962EE">
      <w:pPr>
        <w:widowControl w:val="0"/>
        <w:spacing w:after="0" w:line="240" w:lineRule="exact"/>
        <w:jc w:val="both"/>
        <w:rPr>
          <w:rFonts w:ascii="Cambria" w:eastAsia="MS Gothic" w:hAnsi="Cambria" w:cs="Times New Roman"/>
          <w:b/>
          <w:i/>
          <w:kern w:val="2"/>
          <w:sz w:val="20"/>
          <w:szCs w:val="20"/>
          <w:lang w:eastAsia="fr-FR" w:bidi="fr-FR"/>
        </w:rPr>
      </w:pPr>
    </w:p>
    <w:p w14:paraId="1CC208D3" w14:textId="77777777" w:rsidR="002962EE" w:rsidRPr="00F0379B" w:rsidRDefault="002962EE" w:rsidP="002962EE">
      <w:pPr>
        <w:widowControl w:val="0"/>
        <w:tabs>
          <w:tab w:val="left" w:pos="426"/>
        </w:tabs>
        <w:spacing w:after="0" w:line="240" w:lineRule="auto"/>
        <w:rPr>
          <w:rFonts w:ascii="Cambria" w:eastAsia="MS Gothic" w:hAnsi="Cambria" w:cs="Times New Roman"/>
          <w:b/>
          <w:i/>
          <w:iCs/>
          <w:sz w:val="20"/>
          <w:szCs w:val="20"/>
          <w:lang w:eastAsia="fr-FR" w:bidi="fr-FR"/>
        </w:rPr>
      </w:pPr>
      <w:r w:rsidRPr="00F0379B">
        <w:rPr>
          <w:rFonts w:ascii="Cambria" w:eastAsia="MS Gothic" w:hAnsi="Cambria" w:cs="Times New Roman"/>
          <w:b/>
          <w:i/>
          <w:iCs/>
          <w:sz w:val="20"/>
          <w:szCs w:val="24"/>
          <w:lang w:eastAsia="fr-FR" w:bidi="fr-FR"/>
        </w:rPr>
        <w:t>5 b)</w:t>
      </w:r>
      <w:r w:rsidRPr="00F0379B">
        <w:rPr>
          <w:rFonts w:ascii="Cambria" w:eastAsia="MS Gothic" w:hAnsi="Cambria" w:cs="Times New Roman"/>
          <w:b/>
          <w:i/>
          <w:iCs/>
          <w:sz w:val="20"/>
          <w:szCs w:val="24"/>
          <w:lang w:eastAsia="fr-FR" w:bidi="fr-FR"/>
        </w:rPr>
        <w:tab/>
        <w:t>Programa conjunto de Inspección internacional (párrs. 232-235)</w:t>
      </w:r>
    </w:p>
    <w:p w14:paraId="5AD9431E" w14:textId="77777777" w:rsidR="002962EE" w:rsidRPr="00F0379B" w:rsidRDefault="002962EE" w:rsidP="002962EE">
      <w:pPr>
        <w:widowControl w:val="0"/>
        <w:spacing w:after="0" w:line="240" w:lineRule="auto"/>
        <w:jc w:val="both"/>
        <w:rPr>
          <w:rFonts w:ascii="Cambria" w:eastAsia="MS Gothic" w:hAnsi="Cambria" w:cs="Times New Roman"/>
          <w:b/>
          <w:kern w:val="2"/>
          <w:sz w:val="20"/>
          <w:szCs w:val="20"/>
          <w:lang w:eastAsia="fr-FR" w:bidi="fr-FR"/>
        </w:rPr>
      </w:pPr>
    </w:p>
    <w:p w14:paraId="5BF0C624" w14:textId="77777777" w:rsidR="002962EE" w:rsidRPr="00F0379B" w:rsidRDefault="002962EE" w:rsidP="002962EE">
      <w:pPr>
        <w:widowControl w:val="0"/>
        <w:spacing w:after="0" w:line="240" w:lineRule="auto"/>
        <w:jc w:val="both"/>
        <w:rPr>
          <w:rFonts w:ascii="Cambria" w:eastAsia="MS Gothic" w:hAnsi="Cambria" w:cs="Times New Roman"/>
          <w:iCs/>
          <w:color w:val="000000"/>
          <w:kern w:val="2"/>
          <w:sz w:val="20"/>
          <w:szCs w:val="20"/>
          <w:lang w:eastAsia="fr-FR" w:bidi="fr-FR"/>
        </w:rPr>
      </w:pPr>
      <w:bookmarkStart w:id="18" w:name="_Hlk536200200"/>
      <w:r w:rsidRPr="00F0379B">
        <w:rPr>
          <w:rFonts w:ascii="Cambria" w:eastAsia="MS Gothic" w:hAnsi="Cambria" w:cs="Times New Roman"/>
          <w:iCs/>
          <w:color w:val="000000"/>
          <w:kern w:val="2"/>
          <w:sz w:val="20"/>
          <w:szCs w:val="20"/>
          <w:lang w:eastAsia="fr-FR" w:bidi="fr-FR"/>
        </w:rPr>
        <w:t xml:space="preserve">El Reino de Marruecos cuenta con ocho buques que podrían operar fuera de la ZEE nacional, y no dispone de buques de inspección. </w:t>
      </w:r>
    </w:p>
    <w:p w14:paraId="3EEE30AA" w14:textId="77777777" w:rsidR="002962EE" w:rsidRPr="00F0379B" w:rsidRDefault="002962EE" w:rsidP="002962EE">
      <w:pPr>
        <w:widowControl w:val="0"/>
        <w:spacing w:after="0" w:line="240" w:lineRule="auto"/>
        <w:jc w:val="both"/>
        <w:rPr>
          <w:rFonts w:ascii="Cambria" w:eastAsia="MS Gothic" w:hAnsi="Cambria" w:cs="Times New Roman"/>
          <w:iCs/>
          <w:color w:val="000000"/>
          <w:kern w:val="2"/>
          <w:sz w:val="20"/>
          <w:szCs w:val="20"/>
          <w:lang w:eastAsia="fr-FR" w:bidi="fr-FR"/>
        </w:rPr>
      </w:pPr>
    </w:p>
    <w:p w14:paraId="52CDBE93" w14:textId="77777777" w:rsidR="002962EE" w:rsidRPr="00F0379B" w:rsidRDefault="002962EE" w:rsidP="002962EE">
      <w:pPr>
        <w:widowControl w:val="0"/>
        <w:spacing w:after="0" w:line="240" w:lineRule="auto"/>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 xml:space="preserve">Cabe señalar que estos ocho buques llevan a bordo observadores </w:t>
      </w:r>
      <w:r w:rsidRPr="00F0379B">
        <w:rPr>
          <w:rFonts w:ascii="Cambria" w:eastAsia="MS Gothic" w:hAnsi="Cambria" w:cs="Times New Roman"/>
          <w:kern w:val="2"/>
          <w:sz w:val="20"/>
          <w:szCs w:val="20"/>
          <w:lang w:eastAsia="fr-FR" w:bidi="fr-FR"/>
        </w:rPr>
        <w:t xml:space="preserve">regionales </w:t>
      </w:r>
      <w:r w:rsidRPr="00F0379B">
        <w:rPr>
          <w:rFonts w:ascii="Cambria" w:eastAsia="MS Gothic" w:hAnsi="Cambria" w:cs="Times New Roman"/>
          <w:iCs/>
          <w:color w:val="000000"/>
          <w:kern w:val="2"/>
          <w:sz w:val="20"/>
          <w:szCs w:val="20"/>
          <w:lang w:eastAsia="fr-FR" w:bidi="fr-FR"/>
        </w:rPr>
        <w:t>de ICCAT de conformidad con las disposiciones de las recomendaciones de ICCAT.</w:t>
      </w:r>
      <w:bookmarkEnd w:id="18"/>
    </w:p>
    <w:p w14:paraId="3A14FEEB" w14:textId="77777777" w:rsidR="002962EE" w:rsidRPr="00F0379B" w:rsidRDefault="002962EE" w:rsidP="002962EE">
      <w:pPr>
        <w:widowControl w:val="0"/>
        <w:spacing w:after="0" w:line="240" w:lineRule="auto"/>
        <w:jc w:val="both"/>
        <w:rPr>
          <w:rFonts w:ascii="Cambria" w:eastAsia="MS Gothic" w:hAnsi="Cambria" w:cs="Times New Roman"/>
          <w:iCs/>
          <w:color w:val="000000"/>
          <w:kern w:val="2"/>
          <w:sz w:val="20"/>
          <w:szCs w:val="20"/>
          <w:lang w:eastAsia="fr-FR" w:bidi="fr-FR"/>
        </w:rPr>
      </w:pPr>
    </w:p>
    <w:p w14:paraId="52845E54" w14:textId="77777777" w:rsidR="002962EE" w:rsidRPr="00F0379B" w:rsidRDefault="002962EE" w:rsidP="002962EE">
      <w:pPr>
        <w:widowControl w:val="0"/>
        <w:spacing w:after="0" w:line="240" w:lineRule="auto"/>
        <w:jc w:val="both"/>
        <w:rPr>
          <w:rFonts w:ascii="Cambria" w:eastAsia="MS Gothic" w:hAnsi="Cambria" w:cs="Times New Roman"/>
          <w:iCs/>
          <w:color w:val="000000"/>
          <w:kern w:val="2"/>
          <w:sz w:val="20"/>
          <w:szCs w:val="20"/>
          <w:lang w:eastAsia="fr-FR" w:bidi="fr-FR"/>
        </w:rPr>
      </w:pPr>
    </w:p>
    <w:p w14:paraId="3B239801" w14:textId="77777777" w:rsidR="002962EE" w:rsidRPr="00F0379B" w:rsidRDefault="002962EE" w:rsidP="002962EE">
      <w:pPr>
        <w:widowControl w:val="0"/>
        <w:spacing w:after="0" w:line="240" w:lineRule="auto"/>
        <w:jc w:val="both"/>
        <w:rPr>
          <w:rFonts w:ascii="Cambria" w:eastAsia="MS Gothic" w:hAnsi="Cambria" w:cs="Times New Roman"/>
          <w:b/>
          <w:bCs/>
          <w:iCs/>
          <w:color w:val="000000"/>
          <w:kern w:val="2"/>
          <w:sz w:val="20"/>
          <w:szCs w:val="20"/>
          <w:lang w:eastAsia="fr-FR" w:bidi="fr-FR"/>
        </w:rPr>
      </w:pPr>
      <w:r w:rsidRPr="00F0379B">
        <w:rPr>
          <w:rFonts w:ascii="Cambria" w:eastAsia="MS Gothic" w:hAnsi="Cambria" w:cs="Times New Roman"/>
          <w:b/>
          <w:bCs/>
          <w:iCs/>
          <w:color w:val="000000"/>
          <w:kern w:val="2"/>
          <w:sz w:val="20"/>
          <w:szCs w:val="20"/>
          <w:lang w:eastAsia="fr-FR" w:bidi="fr-FR"/>
        </w:rPr>
        <w:t>6. Otros</w:t>
      </w:r>
    </w:p>
    <w:p w14:paraId="5F8B2FE2" w14:textId="77777777" w:rsidR="002962EE" w:rsidRPr="00F0379B" w:rsidRDefault="002962EE" w:rsidP="002962EE">
      <w:pPr>
        <w:widowControl w:val="0"/>
        <w:spacing w:after="0" w:line="240" w:lineRule="auto"/>
        <w:jc w:val="both"/>
        <w:rPr>
          <w:rFonts w:ascii="Cambria" w:eastAsia="MS Gothic" w:hAnsi="Cambria" w:cs="Times New Roman"/>
          <w:iCs/>
          <w:color w:val="000000"/>
          <w:kern w:val="2"/>
          <w:sz w:val="20"/>
          <w:szCs w:val="20"/>
          <w:lang w:eastAsia="fr-FR" w:bidi="fr-FR"/>
        </w:rPr>
      </w:pPr>
    </w:p>
    <w:p w14:paraId="79B8E2EA" w14:textId="77777777" w:rsidR="002962EE" w:rsidRPr="00F0379B" w:rsidRDefault="002962EE" w:rsidP="002962EE">
      <w:pPr>
        <w:widowControl w:val="0"/>
        <w:autoSpaceDE w:val="0"/>
        <w:autoSpaceDN w:val="0"/>
        <w:adjustRightInd w:val="0"/>
        <w:spacing w:after="0" w:line="240" w:lineRule="auto"/>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 xml:space="preserve">En lo que respecta a la investigación, y de conformidad con el párrafo 26 </w:t>
      </w:r>
      <w:r w:rsidRPr="00F0379B">
        <w:rPr>
          <w:rFonts w:ascii="Cambria" w:eastAsia="MS Gothic" w:hAnsi="Cambria" w:cs="Times New Roman"/>
          <w:kern w:val="2"/>
          <w:sz w:val="20"/>
          <w:szCs w:val="20"/>
          <w:lang w:eastAsia="fr-FR" w:bidi="fr-FR"/>
        </w:rPr>
        <w:t>de la Rec. 25-04</w:t>
      </w:r>
      <w:r w:rsidRPr="00F0379B">
        <w:rPr>
          <w:rFonts w:ascii="Cambria" w:eastAsia="MS Gothic" w:hAnsi="Cambria" w:cs="Times New Roman"/>
          <w:iCs/>
          <w:color w:val="000000"/>
          <w:kern w:val="2"/>
          <w:sz w:val="20"/>
          <w:szCs w:val="20"/>
          <w:lang w:eastAsia="fr-FR" w:bidi="fr-FR"/>
        </w:rPr>
        <w:t>, el Reino de Marruecos tiene previsto actualizar durante 2026 su estudio sobre las tasas de crecimiento del atún rojo engordado, basándose en las mediciones con cámaras estereoscópicas y muestreos de tallas tanto en el momento de introducción en jaula como durante el periodo de sacrificio al final de la temporada de engorde. Los resultados de este estudio se presentarán en la reunión del Grupo de especies de atún rojo de 2026.</w:t>
      </w:r>
    </w:p>
    <w:p w14:paraId="44E627D7" w14:textId="77777777" w:rsidR="002962EE" w:rsidRPr="00F0379B" w:rsidRDefault="002962EE" w:rsidP="002962EE">
      <w:pPr>
        <w:widowControl w:val="0"/>
        <w:spacing w:after="0" w:line="240" w:lineRule="auto"/>
        <w:jc w:val="both"/>
        <w:rPr>
          <w:rFonts w:ascii="Cambria" w:eastAsia="MS Gothic" w:hAnsi="Cambria" w:cs="Times New Roman"/>
          <w:iCs/>
          <w:color w:val="000000"/>
          <w:kern w:val="2"/>
          <w:sz w:val="20"/>
          <w:szCs w:val="20"/>
          <w:lang w:eastAsia="fr-FR" w:bidi="fr-FR"/>
        </w:rPr>
      </w:pPr>
    </w:p>
    <w:p w14:paraId="4C932E42" w14:textId="77777777" w:rsidR="002962EE" w:rsidRPr="00F0379B" w:rsidRDefault="002962EE" w:rsidP="002962EE">
      <w:pPr>
        <w:widowControl w:val="0"/>
        <w:spacing w:after="0" w:line="240" w:lineRule="auto"/>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Por otra parte, de conformidad con el párrafo 167 de la misma Recomendación, Marruecos está dispuesto a actualizar, si fuera necesario, durante 2026, el estudio piloto realizado en 2024. Este estudio tiene como objetivo estimar la talla de los ejemplares de atún rojo utilizando inteligencia artificial (IA), en colaboración con una empresa japonesa especializada, y necesitará el apoyo financiero del Proyecto ICCAT/Japón de asistencia a la creación de capacidad (JCAP).</w:t>
      </w:r>
    </w:p>
    <w:p w14:paraId="45627AEF" w14:textId="77777777" w:rsidR="002962EE" w:rsidRPr="00F0379B" w:rsidRDefault="002962EE" w:rsidP="002962EE">
      <w:pPr>
        <w:widowControl w:val="0"/>
        <w:spacing w:after="0" w:line="240" w:lineRule="auto"/>
        <w:jc w:val="both"/>
        <w:rPr>
          <w:rFonts w:ascii="Cambria" w:eastAsia="MS Gothic" w:hAnsi="Cambria" w:cs="Times New Roman"/>
          <w:iCs/>
          <w:color w:val="000000"/>
          <w:kern w:val="2"/>
          <w:sz w:val="20"/>
          <w:szCs w:val="20"/>
          <w:lang w:eastAsia="fr-FR" w:bidi="fr-FR"/>
        </w:rPr>
      </w:pPr>
    </w:p>
    <w:p w14:paraId="6E12FE4F" w14:textId="77777777" w:rsidR="002962EE" w:rsidRPr="00F0379B" w:rsidRDefault="002962EE" w:rsidP="002962EE">
      <w:pPr>
        <w:widowControl w:val="0"/>
        <w:spacing w:after="0" w:line="240" w:lineRule="auto"/>
        <w:jc w:val="both"/>
        <w:rPr>
          <w:rFonts w:ascii="Cambria" w:eastAsia="MS Gothic" w:hAnsi="Cambria" w:cs="Times New Roman"/>
          <w:iCs/>
          <w:color w:val="000000"/>
          <w:kern w:val="2"/>
          <w:sz w:val="20"/>
          <w:szCs w:val="20"/>
          <w:lang w:eastAsia="fr-FR" w:bidi="fr-FR"/>
        </w:rPr>
      </w:pPr>
      <w:r w:rsidRPr="00F0379B">
        <w:rPr>
          <w:rFonts w:ascii="Cambria" w:eastAsia="MS Gothic" w:hAnsi="Cambria" w:cs="Times New Roman"/>
          <w:iCs/>
          <w:color w:val="000000"/>
          <w:kern w:val="2"/>
          <w:sz w:val="20"/>
          <w:szCs w:val="20"/>
          <w:lang w:eastAsia="fr-FR" w:bidi="fr-FR"/>
        </w:rPr>
        <w:t>Este proyecto será coordinado conjuntamente por el Instituto Nacional de Investigación Pesquera y el proyecto JCAP.</w:t>
      </w:r>
    </w:p>
    <w:p w14:paraId="69B31495" w14:textId="77777777" w:rsidR="002962EE" w:rsidRPr="00F0379B" w:rsidRDefault="002962EE" w:rsidP="002962EE">
      <w:pPr>
        <w:widowControl w:val="0"/>
        <w:spacing w:after="0" w:line="240" w:lineRule="auto"/>
        <w:jc w:val="both"/>
        <w:rPr>
          <w:rFonts w:ascii="Cambria" w:eastAsia="MS Gothic" w:hAnsi="Cambria" w:cs="Calibri"/>
          <w:color w:val="000000"/>
          <w:kern w:val="2"/>
          <w:sz w:val="20"/>
          <w:szCs w:val="20"/>
          <w:lang w:eastAsia="fr-FR" w:bidi="fr-FR"/>
        </w:rPr>
        <w:sectPr w:rsidR="002962EE" w:rsidRPr="00F0379B" w:rsidSect="002962EE">
          <w:headerReference w:type="default" r:id="rId177"/>
          <w:footerReference w:type="default" r:id="rId178"/>
          <w:headerReference w:type="first" r:id="rId179"/>
          <w:footerReference w:type="first" r:id="rId180"/>
          <w:pgSz w:w="11906" w:h="16838" w:code="9"/>
          <w:pgMar w:top="1418" w:right="1418" w:bottom="1418" w:left="1418" w:header="851" w:footer="1134" w:gutter="0"/>
          <w:cols w:space="425"/>
          <w:docGrid w:linePitch="360"/>
        </w:sectPr>
      </w:pPr>
    </w:p>
    <w:p w14:paraId="162989F3" w14:textId="77777777" w:rsidR="002962EE" w:rsidRPr="00F0379B" w:rsidRDefault="002962EE" w:rsidP="002962EE">
      <w:pPr>
        <w:widowControl w:val="0"/>
        <w:spacing w:after="0" w:line="240" w:lineRule="auto"/>
        <w:jc w:val="both"/>
        <w:rPr>
          <w:rFonts w:ascii="Cambria" w:eastAsia="MS Gothic" w:hAnsi="Cambria" w:cs="Times New Roman"/>
          <w:kern w:val="2"/>
          <w:sz w:val="12"/>
          <w:szCs w:val="14"/>
          <w:lang w:eastAsia="fr-FR" w:bidi="fr-FR"/>
        </w:rPr>
      </w:pPr>
    </w:p>
    <w:p w14:paraId="529DDF61" w14:textId="77777777" w:rsidR="002962EE" w:rsidRPr="00F0379B" w:rsidRDefault="002962EE" w:rsidP="002962EE">
      <w:pPr>
        <w:spacing w:after="0" w:line="240" w:lineRule="auto"/>
        <w:rPr>
          <w:rFonts w:ascii="Cambria" w:eastAsia="Aptos" w:hAnsi="Cambria" w:cs="Times New Roman"/>
          <w:b/>
          <w:kern w:val="2"/>
          <w:sz w:val="20"/>
          <w:szCs w:val="24"/>
          <w14:ligatures w14:val="standardContextual"/>
        </w:rPr>
      </w:pPr>
      <w:r w:rsidRPr="00F0379B">
        <w:rPr>
          <w:rFonts w:ascii="Cambria" w:eastAsia="Aptos" w:hAnsi="Cambria" w:cs="Times New Roman"/>
          <w:b/>
          <w:kern w:val="2"/>
          <w:sz w:val="20"/>
          <w:szCs w:val="24"/>
          <w14:ligatures w14:val="standardContextual"/>
        </w:rPr>
        <w:t>Tabla de capacidad</w:t>
      </w:r>
    </w:p>
    <w:tbl>
      <w:tblPr>
        <w:tblW w:w="14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1396"/>
        <w:gridCol w:w="661"/>
        <w:gridCol w:w="571"/>
        <w:gridCol w:w="660"/>
        <w:gridCol w:w="663"/>
        <w:gridCol w:w="571"/>
        <w:gridCol w:w="571"/>
        <w:gridCol w:w="658"/>
        <w:gridCol w:w="248"/>
        <w:gridCol w:w="702"/>
        <w:gridCol w:w="604"/>
        <w:gridCol w:w="800"/>
        <w:gridCol w:w="709"/>
        <w:gridCol w:w="727"/>
        <w:gridCol w:w="822"/>
        <w:gridCol w:w="1026"/>
      </w:tblGrid>
      <w:tr w:rsidR="002962EE" w:rsidRPr="00F0379B" w14:paraId="066DD2FB" w14:textId="77777777" w:rsidTr="00084782">
        <w:trPr>
          <w:trHeight w:val="23"/>
        </w:trPr>
        <w:tc>
          <w:tcPr>
            <w:tcW w:w="3420" w:type="dxa"/>
            <w:noWrap/>
            <w:vAlign w:val="center"/>
            <w:hideMark/>
          </w:tcPr>
          <w:p w14:paraId="0D8F7D9C" w14:textId="77777777" w:rsidR="002962EE" w:rsidRPr="00F0379B" w:rsidRDefault="002962EE" w:rsidP="00084782">
            <w:pPr>
              <w:keepNext/>
              <w:spacing w:after="0" w:line="240" w:lineRule="auto"/>
              <w:jc w:val="center"/>
              <w:outlineLvl w:val="1"/>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Tipo de buque atunero</w:t>
            </w:r>
          </w:p>
        </w:tc>
        <w:tc>
          <w:tcPr>
            <w:tcW w:w="1396" w:type="dxa"/>
            <w:noWrap/>
            <w:vAlign w:val="center"/>
            <w:hideMark/>
          </w:tcPr>
          <w:p w14:paraId="54D27654"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p>
        </w:tc>
        <w:tc>
          <w:tcPr>
            <w:tcW w:w="1892" w:type="dxa"/>
            <w:gridSpan w:val="3"/>
          </w:tcPr>
          <w:p w14:paraId="2912583F" w14:textId="77777777" w:rsidR="002962EE" w:rsidRPr="00F0379B" w:rsidRDefault="002962EE" w:rsidP="00084782">
            <w:pPr>
              <w:spacing w:after="0" w:line="240" w:lineRule="auto"/>
              <w:jc w:val="center"/>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Años de referencia</w:t>
            </w:r>
          </w:p>
        </w:tc>
        <w:tc>
          <w:tcPr>
            <w:tcW w:w="2463" w:type="dxa"/>
            <w:gridSpan w:val="4"/>
            <w:vAlign w:val="center"/>
          </w:tcPr>
          <w:p w14:paraId="3FD039A9" w14:textId="77777777" w:rsidR="002962EE" w:rsidRPr="00F0379B" w:rsidRDefault="002962EE" w:rsidP="00084782">
            <w:pPr>
              <w:spacing w:after="0" w:line="240" w:lineRule="auto"/>
              <w:jc w:val="center"/>
              <w:rPr>
                <w:rFonts w:ascii="Cambria" w:eastAsia="Times New Roman" w:hAnsi="Cambria" w:cs="Times New Roman"/>
                <w:sz w:val="16"/>
                <w:szCs w:val="16"/>
                <w:lang w:eastAsia="fr-FR" w:bidi="fr-FR"/>
              </w:rPr>
            </w:pPr>
            <w:r w:rsidRPr="00F0379B">
              <w:rPr>
                <w:rFonts w:ascii="Cambria" w:eastAsia="MS Gothic" w:hAnsi="Cambria" w:cs="Times New Roman"/>
                <w:i/>
                <w:sz w:val="16"/>
                <w:szCs w:val="16"/>
                <w:lang w:eastAsia="fr-FR" w:bidi="fr-FR"/>
              </w:rPr>
              <w:t>N.º de buques</w:t>
            </w:r>
          </w:p>
        </w:tc>
        <w:tc>
          <w:tcPr>
            <w:tcW w:w="248" w:type="dxa"/>
            <w:shd w:val="clear" w:color="auto" w:fill="D9D9D9"/>
            <w:vAlign w:val="center"/>
            <w:hideMark/>
          </w:tcPr>
          <w:p w14:paraId="3240DAE4" w14:textId="77777777" w:rsidR="002962EE" w:rsidRPr="00F0379B" w:rsidRDefault="002962EE" w:rsidP="00084782">
            <w:pPr>
              <w:spacing w:after="0" w:line="240" w:lineRule="auto"/>
              <w:jc w:val="center"/>
              <w:rPr>
                <w:rFonts w:ascii="Cambria" w:eastAsia="Times New Roman" w:hAnsi="Cambria" w:cs="Times New Roman"/>
                <w:sz w:val="16"/>
                <w:szCs w:val="16"/>
                <w:lang w:val="en-US" w:eastAsia="ja-JP"/>
              </w:rPr>
            </w:pPr>
          </w:p>
        </w:tc>
        <w:tc>
          <w:tcPr>
            <w:tcW w:w="2106" w:type="dxa"/>
            <w:gridSpan w:val="3"/>
          </w:tcPr>
          <w:p w14:paraId="7D1A3624" w14:textId="77777777" w:rsidR="002962EE" w:rsidRPr="00F0379B" w:rsidRDefault="002962EE" w:rsidP="00084782">
            <w:pPr>
              <w:spacing w:after="0" w:line="240" w:lineRule="auto"/>
              <w:jc w:val="center"/>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Años de referencia</w:t>
            </w:r>
          </w:p>
        </w:tc>
        <w:tc>
          <w:tcPr>
            <w:tcW w:w="3284" w:type="dxa"/>
            <w:gridSpan w:val="4"/>
          </w:tcPr>
          <w:p w14:paraId="719BF0B2" w14:textId="77777777" w:rsidR="002962EE" w:rsidRPr="00F0379B" w:rsidRDefault="002962EE" w:rsidP="00084782">
            <w:pPr>
              <w:spacing w:after="0" w:line="240" w:lineRule="auto"/>
              <w:jc w:val="center"/>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Capacidad de pesca</w:t>
            </w:r>
          </w:p>
        </w:tc>
      </w:tr>
      <w:tr w:rsidR="002962EE" w:rsidRPr="00F0379B" w14:paraId="3EA0BC2A" w14:textId="77777777" w:rsidTr="00084782">
        <w:trPr>
          <w:trHeight w:val="23"/>
        </w:trPr>
        <w:tc>
          <w:tcPr>
            <w:tcW w:w="3420" w:type="dxa"/>
            <w:tcBorders>
              <w:bottom w:val="single" w:sz="12" w:space="0" w:color="000000"/>
            </w:tcBorders>
            <w:noWrap/>
            <w:vAlign w:val="center"/>
            <w:hideMark/>
          </w:tcPr>
          <w:p w14:paraId="3E439377" w14:textId="77777777" w:rsidR="002962EE" w:rsidRPr="00F0379B" w:rsidRDefault="002962EE" w:rsidP="00084782">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Tipo</w:t>
            </w:r>
          </w:p>
        </w:tc>
        <w:tc>
          <w:tcPr>
            <w:tcW w:w="1396" w:type="dxa"/>
            <w:tcBorders>
              <w:bottom w:val="single" w:sz="12" w:space="0" w:color="000000"/>
            </w:tcBorders>
            <w:vAlign w:val="center"/>
            <w:hideMark/>
          </w:tcPr>
          <w:p w14:paraId="417D237B"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Mejores tasas de captura definidas por el SCRS en 2009 (t)</w:t>
            </w:r>
          </w:p>
        </w:tc>
        <w:tc>
          <w:tcPr>
            <w:tcW w:w="661" w:type="dxa"/>
            <w:tcBorders>
              <w:bottom w:val="single" w:sz="12" w:space="0" w:color="000000"/>
            </w:tcBorders>
            <w:vAlign w:val="center"/>
          </w:tcPr>
          <w:p w14:paraId="78C70B0F"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2006</w:t>
            </w:r>
          </w:p>
        </w:tc>
        <w:tc>
          <w:tcPr>
            <w:tcW w:w="571" w:type="dxa"/>
            <w:tcBorders>
              <w:bottom w:val="single" w:sz="12" w:space="0" w:color="000000"/>
            </w:tcBorders>
            <w:noWrap/>
            <w:vAlign w:val="center"/>
            <w:hideMark/>
          </w:tcPr>
          <w:p w14:paraId="07003570"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2008</w:t>
            </w:r>
          </w:p>
        </w:tc>
        <w:tc>
          <w:tcPr>
            <w:tcW w:w="660" w:type="dxa"/>
            <w:tcBorders>
              <w:bottom w:val="single" w:sz="12" w:space="0" w:color="000000"/>
            </w:tcBorders>
            <w:vAlign w:val="center"/>
            <w:hideMark/>
          </w:tcPr>
          <w:p w14:paraId="2E0ECE40"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2018</w:t>
            </w:r>
          </w:p>
        </w:tc>
        <w:tc>
          <w:tcPr>
            <w:tcW w:w="663" w:type="dxa"/>
            <w:tcBorders>
              <w:bottom w:val="single" w:sz="12" w:space="0" w:color="000000"/>
            </w:tcBorders>
            <w:vAlign w:val="center"/>
            <w:hideMark/>
          </w:tcPr>
          <w:p w14:paraId="090B2872"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2023</w:t>
            </w:r>
          </w:p>
        </w:tc>
        <w:tc>
          <w:tcPr>
            <w:tcW w:w="571" w:type="dxa"/>
            <w:tcBorders>
              <w:bottom w:val="single" w:sz="12" w:space="0" w:color="000000"/>
            </w:tcBorders>
            <w:vAlign w:val="center"/>
            <w:hideMark/>
          </w:tcPr>
          <w:p w14:paraId="0C1B63ED"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2024</w:t>
            </w:r>
          </w:p>
        </w:tc>
        <w:tc>
          <w:tcPr>
            <w:tcW w:w="571" w:type="dxa"/>
            <w:tcBorders>
              <w:bottom w:val="single" w:sz="12" w:space="0" w:color="000000"/>
            </w:tcBorders>
            <w:vAlign w:val="center"/>
          </w:tcPr>
          <w:p w14:paraId="11D52BA8"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2025</w:t>
            </w:r>
          </w:p>
        </w:tc>
        <w:tc>
          <w:tcPr>
            <w:tcW w:w="658" w:type="dxa"/>
            <w:tcBorders>
              <w:bottom w:val="single" w:sz="12" w:space="0" w:color="000000"/>
            </w:tcBorders>
            <w:vAlign w:val="center"/>
          </w:tcPr>
          <w:p w14:paraId="39F8741E"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2026</w:t>
            </w:r>
          </w:p>
        </w:tc>
        <w:tc>
          <w:tcPr>
            <w:tcW w:w="248" w:type="dxa"/>
            <w:tcBorders>
              <w:bottom w:val="single" w:sz="12" w:space="0" w:color="000000"/>
            </w:tcBorders>
            <w:shd w:val="clear" w:color="000000" w:fill="D9D9D9"/>
            <w:vAlign w:val="center"/>
            <w:hideMark/>
          </w:tcPr>
          <w:p w14:paraId="0B8B838F"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p>
        </w:tc>
        <w:tc>
          <w:tcPr>
            <w:tcW w:w="702" w:type="dxa"/>
            <w:tcBorders>
              <w:bottom w:val="single" w:sz="12" w:space="0" w:color="000000"/>
            </w:tcBorders>
            <w:vAlign w:val="center"/>
          </w:tcPr>
          <w:p w14:paraId="0242C491"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2006</w:t>
            </w:r>
          </w:p>
        </w:tc>
        <w:tc>
          <w:tcPr>
            <w:tcW w:w="604" w:type="dxa"/>
            <w:tcBorders>
              <w:bottom w:val="single" w:sz="12" w:space="0" w:color="000000"/>
            </w:tcBorders>
            <w:vAlign w:val="center"/>
            <w:hideMark/>
          </w:tcPr>
          <w:p w14:paraId="567BAA51"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2008</w:t>
            </w:r>
          </w:p>
        </w:tc>
        <w:tc>
          <w:tcPr>
            <w:tcW w:w="800" w:type="dxa"/>
            <w:tcBorders>
              <w:bottom w:val="single" w:sz="12" w:space="0" w:color="000000"/>
            </w:tcBorders>
            <w:vAlign w:val="center"/>
            <w:hideMark/>
          </w:tcPr>
          <w:p w14:paraId="6141D5BE"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2018</w:t>
            </w:r>
          </w:p>
        </w:tc>
        <w:tc>
          <w:tcPr>
            <w:tcW w:w="709" w:type="dxa"/>
            <w:tcBorders>
              <w:bottom w:val="single" w:sz="12" w:space="0" w:color="000000"/>
            </w:tcBorders>
            <w:vAlign w:val="center"/>
            <w:hideMark/>
          </w:tcPr>
          <w:p w14:paraId="35B1D595"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2023</w:t>
            </w:r>
          </w:p>
        </w:tc>
        <w:tc>
          <w:tcPr>
            <w:tcW w:w="727" w:type="dxa"/>
            <w:tcBorders>
              <w:bottom w:val="single" w:sz="12" w:space="0" w:color="000000"/>
            </w:tcBorders>
            <w:vAlign w:val="center"/>
            <w:hideMark/>
          </w:tcPr>
          <w:p w14:paraId="025B7CC4"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2024</w:t>
            </w:r>
          </w:p>
        </w:tc>
        <w:tc>
          <w:tcPr>
            <w:tcW w:w="822" w:type="dxa"/>
            <w:tcBorders>
              <w:bottom w:val="single" w:sz="12" w:space="0" w:color="000000"/>
            </w:tcBorders>
            <w:vAlign w:val="center"/>
            <w:hideMark/>
          </w:tcPr>
          <w:p w14:paraId="0ACE1132"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2025</w:t>
            </w:r>
          </w:p>
        </w:tc>
        <w:tc>
          <w:tcPr>
            <w:tcW w:w="1026" w:type="dxa"/>
            <w:tcBorders>
              <w:bottom w:val="single" w:sz="12" w:space="0" w:color="000000"/>
            </w:tcBorders>
            <w:vAlign w:val="center"/>
          </w:tcPr>
          <w:p w14:paraId="1E76622B"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2026</w:t>
            </w:r>
          </w:p>
        </w:tc>
      </w:tr>
      <w:tr w:rsidR="002962EE" w:rsidRPr="00F0379B" w14:paraId="62E5C5F6" w14:textId="77777777" w:rsidTr="00084782">
        <w:trPr>
          <w:trHeight w:val="247"/>
        </w:trPr>
        <w:tc>
          <w:tcPr>
            <w:tcW w:w="3420" w:type="dxa"/>
            <w:tcBorders>
              <w:top w:val="single" w:sz="12" w:space="0" w:color="000000"/>
              <w:left w:val="single" w:sz="12" w:space="0" w:color="000000"/>
            </w:tcBorders>
            <w:noWrap/>
            <w:vAlign w:val="center"/>
            <w:hideMark/>
          </w:tcPr>
          <w:p w14:paraId="375F7CD3" w14:textId="77777777" w:rsidR="002962EE" w:rsidRPr="00F0379B" w:rsidRDefault="002962EE" w:rsidP="00084782">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Cerqueros de más de 40 m</w:t>
            </w:r>
          </w:p>
        </w:tc>
        <w:tc>
          <w:tcPr>
            <w:tcW w:w="1396" w:type="dxa"/>
            <w:tcBorders>
              <w:top w:val="single" w:sz="12" w:space="0" w:color="000000"/>
            </w:tcBorders>
            <w:noWrap/>
            <w:vAlign w:val="center"/>
            <w:hideMark/>
          </w:tcPr>
          <w:p w14:paraId="6544797A"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70,66</w:t>
            </w:r>
          </w:p>
        </w:tc>
        <w:tc>
          <w:tcPr>
            <w:tcW w:w="661" w:type="dxa"/>
            <w:tcBorders>
              <w:top w:val="single" w:sz="12" w:space="0" w:color="000000"/>
            </w:tcBorders>
            <w:vAlign w:val="center"/>
          </w:tcPr>
          <w:p w14:paraId="0EF51A76"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alibri"/>
                <w:kern w:val="2"/>
                <w:sz w:val="16"/>
                <w:szCs w:val="16"/>
                <w:lang w:val="en-US" w:eastAsia="ja-JP"/>
              </w:rPr>
              <w:t>1</w:t>
            </w:r>
          </w:p>
        </w:tc>
        <w:tc>
          <w:tcPr>
            <w:tcW w:w="571" w:type="dxa"/>
            <w:tcBorders>
              <w:top w:val="single" w:sz="12" w:space="0" w:color="000000"/>
            </w:tcBorders>
            <w:noWrap/>
            <w:vAlign w:val="center"/>
            <w:hideMark/>
          </w:tcPr>
          <w:p w14:paraId="6C04CBE0"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eastAsia="ja-JP"/>
              </w:rPr>
              <w:t>1</w:t>
            </w:r>
          </w:p>
        </w:tc>
        <w:tc>
          <w:tcPr>
            <w:tcW w:w="660" w:type="dxa"/>
            <w:tcBorders>
              <w:top w:val="single" w:sz="12" w:space="0" w:color="000000"/>
            </w:tcBorders>
            <w:vAlign w:val="center"/>
            <w:hideMark/>
          </w:tcPr>
          <w:p w14:paraId="0F0E3442"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val="en-US" w:eastAsia="ja-JP"/>
              </w:rPr>
              <w:t>2</w:t>
            </w:r>
          </w:p>
        </w:tc>
        <w:tc>
          <w:tcPr>
            <w:tcW w:w="663" w:type="dxa"/>
            <w:tcBorders>
              <w:top w:val="single" w:sz="12" w:space="0" w:color="000000"/>
            </w:tcBorders>
            <w:vAlign w:val="center"/>
            <w:hideMark/>
          </w:tcPr>
          <w:p w14:paraId="2EF78066"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4</w:t>
            </w:r>
          </w:p>
        </w:tc>
        <w:tc>
          <w:tcPr>
            <w:tcW w:w="571" w:type="dxa"/>
            <w:tcBorders>
              <w:top w:val="single" w:sz="12" w:space="0" w:color="000000"/>
            </w:tcBorders>
            <w:vAlign w:val="center"/>
            <w:hideMark/>
          </w:tcPr>
          <w:p w14:paraId="68059A46"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Arial"/>
                <w:kern w:val="2"/>
                <w:sz w:val="16"/>
                <w:szCs w:val="16"/>
                <w:lang w:val="en-US" w:eastAsia="ja-JP"/>
              </w:rPr>
              <w:t>4</w:t>
            </w:r>
          </w:p>
        </w:tc>
        <w:tc>
          <w:tcPr>
            <w:tcW w:w="571" w:type="dxa"/>
            <w:tcBorders>
              <w:top w:val="single" w:sz="12" w:space="0" w:color="000000"/>
            </w:tcBorders>
            <w:vAlign w:val="center"/>
          </w:tcPr>
          <w:p w14:paraId="39FC6BBD"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kern w:val="2"/>
                <w:sz w:val="16"/>
                <w:szCs w:val="16"/>
                <w:lang w:val="en-US" w:eastAsia="ja-JP"/>
              </w:rPr>
              <w:t>4</w:t>
            </w:r>
          </w:p>
        </w:tc>
        <w:tc>
          <w:tcPr>
            <w:tcW w:w="658" w:type="dxa"/>
            <w:tcBorders>
              <w:top w:val="single" w:sz="12" w:space="0" w:color="000000"/>
            </w:tcBorders>
            <w:vAlign w:val="center"/>
          </w:tcPr>
          <w:p w14:paraId="23BDF240"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kern w:val="2"/>
                <w:sz w:val="16"/>
                <w:szCs w:val="16"/>
                <w:lang w:val="en-US" w:eastAsia="ja-JP"/>
              </w:rPr>
              <w:t>4</w:t>
            </w:r>
          </w:p>
        </w:tc>
        <w:tc>
          <w:tcPr>
            <w:tcW w:w="248" w:type="dxa"/>
            <w:tcBorders>
              <w:top w:val="single" w:sz="12" w:space="0" w:color="000000"/>
            </w:tcBorders>
            <w:shd w:val="clear" w:color="000000" w:fill="D9D9D9"/>
            <w:vAlign w:val="center"/>
            <w:hideMark/>
          </w:tcPr>
          <w:p w14:paraId="49034AC1"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702" w:type="dxa"/>
            <w:tcBorders>
              <w:top w:val="single" w:sz="12" w:space="0" w:color="000000"/>
            </w:tcBorders>
            <w:vAlign w:val="center"/>
          </w:tcPr>
          <w:p w14:paraId="1E57AF39"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alibri"/>
                <w:kern w:val="2"/>
                <w:sz w:val="16"/>
                <w:szCs w:val="16"/>
                <w:lang w:eastAsia="ja-JP"/>
              </w:rPr>
              <w:t>70,66</w:t>
            </w:r>
          </w:p>
        </w:tc>
        <w:tc>
          <w:tcPr>
            <w:tcW w:w="604" w:type="dxa"/>
            <w:tcBorders>
              <w:top w:val="single" w:sz="12" w:space="0" w:color="000000"/>
            </w:tcBorders>
            <w:vAlign w:val="center"/>
            <w:hideMark/>
          </w:tcPr>
          <w:p w14:paraId="24E9E0C5"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ja-JP"/>
              </w:rPr>
              <w:t>70,66</w:t>
            </w:r>
          </w:p>
        </w:tc>
        <w:tc>
          <w:tcPr>
            <w:tcW w:w="800" w:type="dxa"/>
            <w:tcBorders>
              <w:top w:val="single" w:sz="12" w:space="0" w:color="000000"/>
            </w:tcBorders>
            <w:vAlign w:val="center"/>
            <w:hideMark/>
          </w:tcPr>
          <w:p w14:paraId="3B60AED9"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ja-JP"/>
              </w:rPr>
              <w:t>141,32</w:t>
            </w:r>
          </w:p>
        </w:tc>
        <w:tc>
          <w:tcPr>
            <w:tcW w:w="709" w:type="dxa"/>
            <w:tcBorders>
              <w:top w:val="single" w:sz="12" w:space="0" w:color="000000"/>
            </w:tcBorders>
            <w:vAlign w:val="center"/>
            <w:hideMark/>
          </w:tcPr>
          <w:p w14:paraId="0720870A"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val="en-US" w:eastAsia="ja-JP"/>
              </w:rPr>
              <w:t>282,64</w:t>
            </w:r>
          </w:p>
        </w:tc>
        <w:tc>
          <w:tcPr>
            <w:tcW w:w="727" w:type="dxa"/>
            <w:tcBorders>
              <w:top w:val="single" w:sz="12" w:space="0" w:color="000000"/>
            </w:tcBorders>
            <w:vAlign w:val="center"/>
            <w:hideMark/>
          </w:tcPr>
          <w:p w14:paraId="05E933B3"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val="en-US" w:eastAsia="ja-JP"/>
              </w:rPr>
              <w:t>282,64</w:t>
            </w:r>
          </w:p>
        </w:tc>
        <w:tc>
          <w:tcPr>
            <w:tcW w:w="822" w:type="dxa"/>
            <w:tcBorders>
              <w:top w:val="single" w:sz="12" w:space="0" w:color="000000"/>
            </w:tcBorders>
            <w:vAlign w:val="center"/>
            <w:hideMark/>
          </w:tcPr>
          <w:p w14:paraId="5E70FBD2"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Arial"/>
                <w:kern w:val="2"/>
                <w:sz w:val="16"/>
                <w:szCs w:val="16"/>
                <w:lang w:val="en-US" w:eastAsia="ja-JP"/>
              </w:rPr>
              <w:t>282,64</w:t>
            </w:r>
          </w:p>
        </w:tc>
        <w:tc>
          <w:tcPr>
            <w:tcW w:w="1026" w:type="dxa"/>
            <w:tcBorders>
              <w:top w:val="single" w:sz="12" w:space="0" w:color="000000"/>
              <w:right w:val="single" w:sz="12" w:space="0" w:color="000000"/>
            </w:tcBorders>
            <w:vAlign w:val="center"/>
          </w:tcPr>
          <w:p w14:paraId="2F797E0F"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kern w:val="2"/>
                <w:sz w:val="16"/>
                <w:szCs w:val="16"/>
                <w:lang w:val="en-US" w:eastAsia="ja-JP"/>
              </w:rPr>
              <w:t>282,64</w:t>
            </w:r>
          </w:p>
        </w:tc>
      </w:tr>
      <w:tr w:rsidR="002962EE" w:rsidRPr="00F0379B" w14:paraId="01104596" w14:textId="77777777" w:rsidTr="00084782">
        <w:trPr>
          <w:trHeight w:val="23"/>
        </w:trPr>
        <w:tc>
          <w:tcPr>
            <w:tcW w:w="3420" w:type="dxa"/>
            <w:tcBorders>
              <w:left w:val="single" w:sz="12" w:space="0" w:color="000000"/>
            </w:tcBorders>
            <w:noWrap/>
            <w:vAlign w:val="center"/>
            <w:hideMark/>
          </w:tcPr>
          <w:p w14:paraId="23E85745" w14:textId="77777777" w:rsidR="002962EE" w:rsidRPr="00F0379B" w:rsidRDefault="002962EE" w:rsidP="00084782">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Cerqueros entre 24 y 40 m</w:t>
            </w:r>
          </w:p>
        </w:tc>
        <w:tc>
          <w:tcPr>
            <w:tcW w:w="1396" w:type="dxa"/>
            <w:noWrap/>
            <w:vAlign w:val="center"/>
            <w:hideMark/>
          </w:tcPr>
          <w:p w14:paraId="2368B0EF"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49,78</w:t>
            </w:r>
          </w:p>
        </w:tc>
        <w:tc>
          <w:tcPr>
            <w:tcW w:w="661" w:type="dxa"/>
            <w:vAlign w:val="center"/>
          </w:tcPr>
          <w:p w14:paraId="02588384"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alibri"/>
                <w:kern w:val="2"/>
                <w:sz w:val="16"/>
                <w:szCs w:val="16"/>
                <w:lang w:val="en-US" w:eastAsia="ja-JP"/>
              </w:rPr>
              <w:t>3</w:t>
            </w:r>
          </w:p>
        </w:tc>
        <w:tc>
          <w:tcPr>
            <w:tcW w:w="571" w:type="dxa"/>
            <w:noWrap/>
            <w:vAlign w:val="center"/>
            <w:hideMark/>
          </w:tcPr>
          <w:p w14:paraId="18BA0565"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eastAsia="ja-JP"/>
              </w:rPr>
              <w:t>3</w:t>
            </w:r>
          </w:p>
        </w:tc>
        <w:tc>
          <w:tcPr>
            <w:tcW w:w="660" w:type="dxa"/>
            <w:vAlign w:val="center"/>
            <w:hideMark/>
          </w:tcPr>
          <w:p w14:paraId="336DAE24"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ja-JP"/>
              </w:rPr>
              <w:t>0</w:t>
            </w:r>
          </w:p>
        </w:tc>
        <w:tc>
          <w:tcPr>
            <w:tcW w:w="663" w:type="dxa"/>
            <w:vAlign w:val="center"/>
            <w:hideMark/>
          </w:tcPr>
          <w:p w14:paraId="11BE5946"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0</w:t>
            </w:r>
          </w:p>
        </w:tc>
        <w:tc>
          <w:tcPr>
            <w:tcW w:w="571" w:type="dxa"/>
            <w:vAlign w:val="center"/>
            <w:hideMark/>
          </w:tcPr>
          <w:p w14:paraId="4E737CC3"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Arial"/>
                <w:kern w:val="2"/>
                <w:sz w:val="16"/>
                <w:szCs w:val="16"/>
                <w:lang w:val="en-US" w:eastAsia="ja-JP"/>
              </w:rPr>
              <w:t>1</w:t>
            </w:r>
          </w:p>
        </w:tc>
        <w:tc>
          <w:tcPr>
            <w:tcW w:w="571" w:type="dxa"/>
            <w:vAlign w:val="center"/>
          </w:tcPr>
          <w:p w14:paraId="3F8636BB"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kern w:val="2"/>
                <w:sz w:val="16"/>
                <w:szCs w:val="16"/>
                <w:lang w:val="en-US" w:eastAsia="ja-JP"/>
              </w:rPr>
              <w:t>1</w:t>
            </w:r>
          </w:p>
        </w:tc>
        <w:tc>
          <w:tcPr>
            <w:tcW w:w="658" w:type="dxa"/>
            <w:vAlign w:val="center"/>
          </w:tcPr>
          <w:p w14:paraId="1AEE815F"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kern w:val="2"/>
                <w:sz w:val="16"/>
                <w:szCs w:val="16"/>
                <w:lang w:val="en-US" w:eastAsia="ja-JP"/>
              </w:rPr>
              <w:t>3</w:t>
            </w:r>
          </w:p>
        </w:tc>
        <w:tc>
          <w:tcPr>
            <w:tcW w:w="248" w:type="dxa"/>
            <w:shd w:val="clear" w:color="000000" w:fill="D9D9D9"/>
            <w:vAlign w:val="center"/>
            <w:hideMark/>
          </w:tcPr>
          <w:p w14:paraId="4AE5E065"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702" w:type="dxa"/>
            <w:vAlign w:val="center"/>
          </w:tcPr>
          <w:p w14:paraId="6FDE5616"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alibri"/>
                <w:kern w:val="2"/>
                <w:sz w:val="16"/>
                <w:szCs w:val="16"/>
                <w:lang w:eastAsia="ja-JP"/>
              </w:rPr>
              <w:t>149,34</w:t>
            </w:r>
          </w:p>
        </w:tc>
        <w:tc>
          <w:tcPr>
            <w:tcW w:w="604" w:type="dxa"/>
            <w:vAlign w:val="center"/>
            <w:hideMark/>
          </w:tcPr>
          <w:p w14:paraId="3F996A33"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ja-JP"/>
              </w:rPr>
              <w:t>149,3</w:t>
            </w:r>
          </w:p>
        </w:tc>
        <w:tc>
          <w:tcPr>
            <w:tcW w:w="800" w:type="dxa"/>
            <w:vAlign w:val="center"/>
            <w:hideMark/>
          </w:tcPr>
          <w:p w14:paraId="7B8C090E"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ja-JP"/>
              </w:rPr>
              <w:t>0</w:t>
            </w:r>
          </w:p>
        </w:tc>
        <w:tc>
          <w:tcPr>
            <w:tcW w:w="709" w:type="dxa"/>
            <w:vAlign w:val="center"/>
            <w:hideMark/>
          </w:tcPr>
          <w:p w14:paraId="464458D2"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val="en-US" w:eastAsia="ja-JP"/>
              </w:rPr>
              <w:t>0</w:t>
            </w:r>
          </w:p>
        </w:tc>
        <w:tc>
          <w:tcPr>
            <w:tcW w:w="727" w:type="dxa"/>
            <w:vAlign w:val="center"/>
            <w:hideMark/>
          </w:tcPr>
          <w:p w14:paraId="47103825"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val="en-US" w:eastAsia="ja-JP"/>
              </w:rPr>
              <w:t>49,78</w:t>
            </w:r>
          </w:p>
        </w:tc>
        <w:tc>
          <w:tcPr>
            <w:tcW w:w="822" w:type="dxa"/>
            <w:vAlign w:val="center"/>
            <w:hideMark/>
          </w:tcPr>
          <w:p w14:paraId="5446C4B3"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Arial"/>
                <w:kern w:val="2"/>
                <w:sz w:val="16"/>
                <w:szCs w:val="16"/>
                <w:lang w:val="en-US" w:eastAsia="ja-JP"/>
              </w:rPr>
              <w:t>49,78</w:t>
            </w:r>
          </w:p>
        </w:tc>
        <w:tc>
          <w:tcPr>
            <w:tcW w:w="1026" w:type="dxa"/>
            <w:tcBorders>
              <w:right w:val="single" w:sz="12" w:space="0" w:color="000000"/>
            </w:tcBorders>
            <w:vAlign w:val="center"/>
          </w:tcPr>
          <w:p w14:paraId="39F4D807"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kern w:val="2"/>
                <w:sz w:val="16"/>
                <w:szCs w:val="16"/>
                <w:lang w:val="en-US" w:eastAsia="ja-JP"/>
              </w:rPr>
              <w:t>149,34</w:t>
            </w:r>
          </w:p>
        </w:tc>
      </w:tr>
      <w:tr w:rsidR="002962EE" w:rsidRPr="00F0379B" w14:paraId="228BD2E7" w14:textId="77777777" w:rsidTr="00084782">
        <w:trPr>
          <w:trHeight w:val="23"/>
        </w:trPr>
        <w:tc>
          <w:tcPr>
            <w:tcW w:w="3420" w:type="dxa"/>
            <w:tcBorders>
              <w:left w:val="single" w:sz="12" w:space="0" w:color="000000"/>
            </w:tcBorders>
            <w:noWrap/>
            <w:vAlign w:val="center"/>
            <w:hideMark/>
          </w:tcPr>
          <w:p w14:paraId="684A3214" w14:textId="77777777" w:rsidR="002962EE" w:rsidRPr="00F0379B" w:rsidRDefault="002962EE" w:rsidP="00084782">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Cerqueros de menos de 24 m</w:t>
            </w:r>
          </w:p>
        </w:tc>
        <w:tc>
          <w:tcPr>
            <w:tcW w:w="1396" w:type="dxa"/>
            <w:noWrap/>
            <w:vAlign w:val="center"/>
            <w:hideMark/>
          </w:tcPr>
          <w:p w14:paraId="01701804"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33,68</w:t>
            </w:r>
          </w:p>
        </w:tc>
        <w:tc>
          <w:tcPr>
            <w:tcW w:w="661" w:type="dxa"/>
            <w:vAlign w:val="center"/>
          </w:tcPr>
          <w:p w14:paraId="4455FBDD"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entury"/>
                <w:kern w:val="2"/>
                <w:sz w:val="16"/>
                <w:szCs w:val="16"/>
                <w:lang w:eastAsia="ja-JP"/>
              </w:rPr>
              <w:t>0</w:t>
            </w:r>
          </w:p>
        </w:tc>
        <w:tc>
          <w:tcPr>
            <w:tcW w:w="571" w:type="dxa"/>
            <w:noWrap/>
            <w:vAlign w:val="center"/>
            <w:hideMark/>
          </w:tcPr>
          <w:p w14:paraId="31AC1FC9"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eastAsia="ja-JP"/>
              </w:rPr>
              <w:t>0</w:t>
            </w:r>
          </w:p>
        </w:tc>
        <w:tc>
          <w:tcPr>
            <w:tcW w:w="660" w:type="dxa"/>
            <w:vAlign w:val="center"/>
            <w:hideMark/>
          </w:tcPr>
          <w:p w14:paraId="334C2070"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ja-JP"/>
              </w:rPr>
              <w:t>0</w:t>
            </w:r>
          </w:p>
        </w:tc>
        <w:tc>
          <w:tcPr>
            <w:tcW w:w="663" w:type="dxa"/>
            <w:vAlign w:val="center"/>
            <w:hideMark/>
          </w:tcPr>
          <w:p w14:paraId="0A8527EE"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0</w:t>
            </w:r>
          </w:p>
        </w:tc>
        <w:tc>
          <w:tcPr>
            <w:tcW w:w="571" w:type="dxa"/>
            <w:vAlign w:val="center"/>
            <w:hideMark/>
          </w:tcPr>
          <w:p w14:paraId="315994A0"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Arial"/>
                <w:kern w:val="2"/>
                <w:sz w:val="16"/>
                <w:szCs w:val="16"/>
                <w:lang w:val="en-US" w:eastAsia="ja-JP"/>
              </w:rPr>
              <w:t>0</w:t>
            </w:r>
          </w:p>
        </w:tc>
        <w:tc>
          <w:tcPr>
            <w:tcW w:w="571" w:type="dxa"/>
            <w:vAlign w:val="center"/>
          </w:tcPr>
          <w:p w14:paraId="54A79CAF"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kern w:val="2"/>
                <w:sz w:val="16"/>
                <w:szCs w:val="16"/>
                <w:lang w:val="en-US" w:eastAsia="ja-JP"/>
              </w:rPr>
              <w:t>0</w:t>
            </w:r>
          </w:p>
        </w:tc>
        <w:tc>
          <w:tcPr>
            <w:tcW w:w="658" w:type="dxa"/>
            <w:vAlign w:val="center"/>
          </w:tcPr>
          <w:p w14:paraId="3D32C841"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kern w:val="2"/>
                <w:sz w:val="16"/>
                <w:szCs w:val="16"/>
                <w:lang w:val="en-US" w:eastAsia="ja-JP"/>
              </w:rPr>
              <w:t>0</w:t>
            </w:r>
          </w:p>
        </w:tc>
        <w:tc>
          <w:tcPr>
            <w:tcW w:w="248" w:type="dxa"/>
            <w:shd w:val="clear" w:color="000000" w:fill="D9D9D9"/>
            <w:vAlign w:val="center"/>
            <w:hideMark/>
          </w:tcPr>
          <w:p w14:paraId="603947EB"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702" w:type="dxa"/>
            <w:vAlign w:val="center"/>
          </w:tcPr>
          <w:p w14:paraId="1088E834"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alibri"/>
                <w:kern w:val="2"/>
                <w:sz w:val="16"/>
                <w:szCs w:val="16"/>
                <w:lang w:val="en-US" w:eastAsia="ja-JP"/>
              </w:rPr>
              <w:t>0</w:t>
            </w:r>
          </w:p>
        </w:tc>
        <w:tc>
          <w:tcPr>
            <w:tcW w:w="604" w:type="dxa"/>
            <w:vAlign w:val="center"/>
            <w:hideMark/>
          </w:tcPr>
          <w:p w14:paraId="6F40C098"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eastAsia="ja-JP"/>
              </w:rPr>
              <w:t>0</w:t>
            </w:r>
          </w:p>
        </w:tc>
        <w:tc>
          <w:tcPr>
            <w:tcW w:w="800" w:type="dxa"/>
            <w:vAlign w:val="center"/>
            <w:hideMark/>
          </w:tcPr>
          <w:p w14:paraId="22297FC8"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es-ES"/>
              </w:rPr>
              <w:t>0</w:t>
            </w:r>
          </w:p>
        </w:tc>
        <w:tc>
          <w:tcPr>
            <w:tcW w:w="709" w:type="dxa"/>
            <w:vAlign w:val="center"/>
            <w:hideMark/>
          </w:tcPr>
          <w:p w14:paraId="2D17D92D"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0</w:t>
            </w:r>
          </w:p>
        </w:tc>
        <w:tc>
          <w:tcPr>
            <w:tcW w:w="727" w:type="dxa"/>
            <w:vAlign w:val="center"/>
            <w:hideMark/>
          </w:tcPr>
          <w:p w14:paraId="06F34BB3"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0</w:t>
            </w:r>
          </w:p>
        </w:tc>
        <w:tc>
          <w:tcPr>
            <w:tcW w:w="822" w:type="dxa"/>
            <w:vAlign w:val="center"/>
            <w:hideMark/>
          </w:tcPr>
          <w:p w14:paraId="3EABB5EB"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Arial"/>
                <w:kern w:val="2"/>
                <w:sz w:val="16"/>
                <w:szCs w:val="16"/>
                <w:lang w:val="en-US" w:eastAsia="ja-JP"/>
              </w:rPr>
              <w:t>0</w:t>
            </w:r>
          </w:p>
        </w:tc>
        <w:tc>
          <w:tcPr>
            <w:tcW w:w="1026" w:type="dxa"/>
            <w:tcBorders>
              <w:right w:val="single" w:sz="12" w:space="0" w:color="000000"/>
            </w:tcBorders>
            <w:vAlign w:val="center"/>
          </w:tcPr>
          <w:p w14:paraId="5C6ED26F"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kern w:val="2"/>
                <w:sz w:val="16"/>
                <w:szCs w:val="16"/>
                <w:lang w:val="en-US" w:eastAsia="ja-JP"/>
              </w:rPr>
              <w:t>0</w:t>
            </w:r>
          </w:p>
        </w:tc>
      </w:tr>
      <w:tr w:rsidR="002962EE" w:rsidRPr="00F0379B" w14:paraId="697C4C4C" w14:textId="77777777" w:rsidTr="00084782">
        <w:trPr>
          <w:trHeight w:val="23"/>
        </w:trPr>
        <w:tc>
          <w:tcPr>
            <w:tcW w:w="3420" w:type="dxa"/>
            <w:tcBorders>
              <w:left w:val="single" w:sz="12" w:space="0" w:color="000000"/>
            </w:tcBorders>
            <w:noWrap/>
            <w:vAlign w:val="center"/>
            <w:hideMark/>
          </w:tcPr>
          <w:p w14:paraId="6926B4F1" w14:textId="77777777" w:rsidR="002962EE" w:rsidRPr="00F0379B" w:rsidRDefault="002962EE" w:rsidP="00084782">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Total flota de cerco</w:t>
            </w:r>
          </w:p>
        </w:tc>
        <w:tc>
          <w:tcPr>
            <w:tcW w:w="1396" w:type="dxa"/>
            <w:noWrap/>
            <w:vAlign w:val="center"/>
            <w:hideMark/>
          </w:tcPr>
          <w:p w14:paraId="0CF87744" w14:textId="77777777" w:rsidR="002962EE" w:rsidRPr="00F0379B" w:rsidRDefault="002962EE" w:rsidP="00084782">
            <w:pPr>
              <w:spacing w:after="0" w:line="240" w:lineRule="auto"/>
              <w:rPr>
                <w:rFonts w:ascii="Cambria" w:eastAsia="Times New Roman" w:hAnsi="Cambria" w:cs="Times New Roman"/>
                <w:sz w:val="16"/>
                <w:szCs w:val="16"/>
                <w:lang w:eastAsia="fr-FR" w:bidi="fr-FR"/>
              </w:rPr>
            </w:pPr>
            <w:r w:rsidRPr="00F0379B">
              <w:rPr>
                <w:rFonts w:ascii="Cambria" w:eastAsia="MS Gothic" w:hAnsi="Cambria" w:cs="Times New Roman"/>
                <w:sz w:val="16"/>
                <w:szCs w:val="16"/>
                <w:lang w:eastAsia="fr-FR" w:bidi="fr-FR"/>
              </w:rPr>
              <w:t> </w:t>
            </w:r>
          </w:p>
        </w:tc>
        <w:tc>
          <w:tcPr>
            <w:tcW w:w="661" w:type="dxa"/>
            <w:vAlign w:val="center"/>
          </w:tcPr>
          <w:p w14:paraId="33042CE4"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571" w:type="dxa"/>
            <w:noWrap/>
            <w:vAlign w:val="center"/>
            <w:hideMark/>
          </w:tcPr>
          <w:p w14:paraId="423B01B7"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b/>
                <w:bCs/>
                <w:kern w:val="2"/>
                <w:sz w:val="16"/>
                <w:szCs w:val="16"/>
                <w:lang w:eastAsia="ja-JP"/>
              </w:rPr>
              <w:t>4</w:t>
            </w:r>
          </w:p>
        </w:tc>
        <w:tc>
          <w:tcPr>
            <w:tcW w:w="660" w:type="dxa"/>
            <w:vAlign w:val="center"/>
            <w:hideMark/>
          </w:tcPr>
          <w:p w14:paraId="6CBDAFFB"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kern w:val="2"/>
                <w:sz w:val="16"/>
                <w:szCs w:val="16"/>
                <w:lang w:eastAsia="ja-JP"/>
              </w:rPr>
              <w:t>2</w:t>
            </w:r>
          </w:p>
        </w:tc>
        <w:tc>
          <w:tcPr>
            <w:tcW w:w="663" w:type="dxa"/>
            <w:vAlign w:val="center"/>
            <w:hideMark/>
          </w:tcPr>
          <w:p w14:paraId="44151C9B"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b/>
                <w:bCs/>
                <w:kern w:val="2"/>
                <w:sz w:val="16"/>
                <w:szCs w:val="16"/>
                <w:lang w:val="en-US" w:eastAsia="ja-JP"/>
              </w:rPr>
              <w:t>4</w:t>
            </w:r>
          </w:p>
        </w:tc>
        <w:tc>
          <w:tcPr>
            <w:tcW w:w="571" w:type="dxa"/>
            <w:vAlign w:val="center"/>
            <w:hideMark/>
          </w:tcPr>
          <w:p w14:paraId="78F739DA"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Arial"/>
                <w:b/>
                <w:bCs/>
                <w:kern w:val="2"/>
                <w:sz w:val="16"/>
                <w:szCs w:val="16"/>
                <w:lang w:val="en-US" w:eastAsia="ja-JP"/>
              </w:rPr>
              <w:t>5</w:t>
            </w:r>
          </w:p>
        </w:tc>
        <w:tc>
          <w:tcPr>
            <w:tcW w:w="571" w:type="dxa"/>
            <w:vAlign w:val="center"/>
          </w:tcPr>
          <w:p w14:paraId="3F734E57"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Arial"/>
                <w:b/>
                <w:bCs/>
                <w:kern w:val="2"/>
                <w:sz w:val="16"/>
                <w:szCs w:val="16"/>
                <w:lang w:val="en-US" w:eastAsia="ja-JP"/>
              </w:rPr>
              <w:t>5</w:t>
            </w:r>
          </w:p>
        </w:tc>
        <w:tc>
          <w:tcPr>
            <w:tcW w:w="658" w:type="dxa"/>
            <w:vAlign w:val="center"/>
          </w:tcPr>
          <w:p w14:paraId="45913A0B"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kern w:val="2"/>
                <w:sz w:val="16"/>
                <w:szCs w:val="16"/>
                <w:lang w:val="en-US" w:eastAsia="ja-JP"/>
              </w:rPr>
              <w:t>7</w:t>
            </w:r>
          </w:p>
        </w:tc>
        <w:tc>
          <w:tcPr>
            <w:tcW w:w="248" w:type="dxa"/>
            <w:shd w:val="clear" w:color="000000" w:fill="D9D9D9"/>
            <w:vAlign w:val="center"/>
            <w:hideMark/>
          </w:tcPr>
          <w:p w14:paraId="6F6C9B0C"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p>
        </w:tc>
        <w:tc>
          <w:tcPr>
            <w:tcW w:w="702" w:type="dxa"/>
            <w:vAlign w:val="center"/>
          </w:tcPr>
          <w:p w14:paraId="34852082"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b/>
                <w:bCs/>
                <w:kern w:val="2"/>
                <w:sz w:val="16"/>
                <w:szCs w:val="16"/>
                <w:lang w:eastAsia="ja-JP"/>
              </w:rPr>
              <w:t>220</w:t>
            </w:r>
          </w:p>
        </w:tc>
        <w:tc>
          <w:tcPr>
            <w:tcW w:w="604" w:type="dxa"/>
            <w:vAlign w:val="center"/>
            <w:hideMark/>
          </w:tcPr>
          <w:p w14:paraId="723CEC85"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bCs/>
                <w:kern w:val="2"/>
                <w:sz w:val="16"/>
                <w:szCs w:val="16"/>
                <w:lang w:eastAsia="ja-JP"/>
              </w:rPr>
              <w:t>220</w:t>
            </w:r>
          </w:p>
        </w:tc>
        <w:tc>
          <w:tcPr>
            <w:tcW w:w="800" w:type="dxa"/>
            <w:vAlign w:val="center"/>
            <w:hideMark/>
          </w:tcPr>
          <w:p w14:paraId="264AAD98"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bCs/>
                <w:kern w:val="2"/>
                <w:sz w:val="16"/>
                <w:szCs w:val="16"/>
                <w:lang w:eastAsia="ja-JP"/>
              </w:rPr>
              <w:t>141,32</w:t>
            </w:r>
          </w:p>
        </w:tc>
        <w:tc>
          <w:tcPr>
            <w:tcW w:w="709" w:type="dxa"/>
            <w:vAlign w:val="center"/>
            <w:hideMark/>
          </w:tcPr>
          <w:p w14:paraId="19F25CB0"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b/>
                <w:bCs/>
                <w:kern w:val="2"/>
                <w:sz w:val="16"/>
                <w:szCs w:val="16"/>
                <w:lang w:val="en-US" w:eastAsia="ja-JP"/>
              </w:rPr>
              <w:t>282,6</w:t>
            </w:r>
          </w:p>
        </w:tc>
        <w:tc>
          <w:tcPr>
            <w:tcW w:w="727" w:type="dxa"/>
            <w:vAlign w:val="center"/>
            <w:hideMark/>
          </w:tcPr>
          <w:p w14:paraId="01DA95D2"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bCs/>
                <w:kern w:val="2"/>
                <w:sz w:val="16"/>
                <w:szCs w:val="16"/>
                <w:lang w:val="en-US" w:eastAsia="ja-JP"/>
              </w:rPr>
              <w:t>332,42</w:t>
            </w:r>
          </w:p>
        </w:tc>
        <w:tc>
          <w:tcPr>
            <w:tcW w:w="822" w:type="dxa"/>
            <w:vAlign w:val="center"/>
            <w:hideMark/>
          </w:tcPr>
          <w:p w14:paraId="39B25083"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Arial"/>
                <w:b/>
                <w:bCs/>
                <w:kern w:val="2"/>
                <w:sz w:val="16"/>
                <w:szCs w:val="16"/>
                <w:lang w:val="en-US" w:eastAsia="ja-JP"/>
              </w:rPr>
              <w:t>332,42</w:t>
            </w:r>
          </w:p>
        </w:tc>
        <w:tc>
          <w:tcPr>
            <w:tcW w:w="1026" w:type="dxa"/>
            <w:tcBorders>
              <w:right w:val="single" w:sz="12" w:space="0" w:color="000000"/>
            </w:tcBorders>
            <w:vAlign w:val="center"/>
          </w:tcPr>
          <w:p w14:paraId="08C7866A"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Arial"/>
                <w:b/>
                <w:bCs/>
                <w:kern w:val="2"/>
                <w:sz w:val="16"/>
                <w:szCs w:val="16"/>
                <w:lang w:val="en-US" w:eastAsia="ja-JP"/>
              </w:rPr>
              <w:t>431,98</w:t>
            </w:r>
          </w:p>
        </w:tc>
      </w:tr>
      <w:tr w:rsidR="002962EE" w:rsidRPr="00F0379B" w14:paraId="4A3D806B" w14:textId="77777777" w:rsidTr="00084782">
        <w:trPr>
          <w:trHeight w:val="23"/>
        </w:trPr>
        <w:tc>
          <w:tcPr>
            <w:tcW w:w="3420" w:type="dxa"/>
            <w:tcBorders>
              <w:left w:val="single" w:sz="12" w:space="0" w:color="000000"/>
            </w:tcBorders>
            <w:noWrap/>
            <w:vAlign w:val="center"/>
            <w:hideMark/>
          </w:tcPr>
          <w:p w14:paraId="6087FDDD" w14:textId="77777777" w:rsidR="002962EE" w:rsidRPr="00F0379B" w:rsidRDefault="002962EE" w:rsidP="00084782">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Palangreros de más de 40 m</w:t>
            </w:r>
          </w:p>
        </w:tc>
        <w:tc>
          <w:tcPr>
            <w:tcW w:w="1396" w:type="dxa"/>
            <w:noWrap/>
            <w:vAlign w:val="center"/>
            <w:hideMark/>
          </w:tcPr>
          <w:p w14:paraId="5C22E398"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25</w:t>
            </w:r>
          </w:p>
        </w:tc>
        <w:tc>
          <w:tcPr>
            <w:tcW w:w="661" w:type="dxa"/>
            <w:vAlign w:val="center"/>
          </w:tcPr>
          <w:p w14:paraId="41823608"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entury"/>
                <w:kern w:val="2"/>
                <w:sz w:val="16"/>
                <w:szCs w:val="16"/>
                <w:lang w:eastAsia="ja-JP"/>
              </w:rPr>
              <w:t>0</w:t>
            </w:r>
          </w:p>
        </w:tc>
        <w:tc>
          <w:tcPr>
            <w:tcW w:w="571" w:type="dxa"/>
            <w:noWrap/>
            <w:vAlign w:val="center"/>
            <w:hideMark/>
          </w:tcPr>
          <w:p w14:paraId="3B5F9564"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eastAsia="ja-JP"/>
              </w:rPr>
              <w:t>0</w:t>
            </w:r>
          </w:p>
        </w:tc>
        <w:tc>
          <w:tcPr>
            <w:tcW w:w="660" w:type="dxa"/>
            <w:vAlign w:val="center"/>
            <w:hideMark/>
          </w:tcPr>
          <w:p w14:paraId="5CF2F7EA"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ja-JP"/>
              </w:rPr>
              <w:t>0</w:t>
            </w:r>
          </w:p>
        </w:tc>
        <w:tc>
          <w:tcPr>
            <w:tcW w:w="663" w:type="dxa"/>
            <w:vAlign w:val="center"/>
            <w:hideMark/>
          </w:tcPr>
          <w:p w14:paraId="701DBCFF"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0</w:t>
            </w:r>
          </w:p>
        </w:tc>
        <w:tc>
          <w:tcPr>
            <w:tcW w:w="571" w:type="dxa"/>
            <w:vAlign w:val="center"/>
            <w:hideMark/>
          </w:tcPr>
          <w:p w14:paraId="3FE87F8B"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0</w:t>
            </w:r>
          </w:p>
        </w:tc>
        <w:tc>
          <w:tcPr>
            <w:tcW w:w="571" w:type="dxa"/>
            <w:vAlign w:val="center"/>
          </w:tcPr>
          <w:p w14:paraId="5571C98B"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kern w:val="2"/>
                <w:sz w:val="16"/>
                <w:szCs w:val="16"/>
                <w:lang w:val="en-US" w:eastAsia="ja-JP"/>
              </w:rPr>
              <w:t>0</w:t>
            </w:r>
          </w:p>
        </w:tc>
        <w:tc>
          <w:tcPr>
            <w:tcW w:w="658" w:type="dxa"/>
            <w:vAlign w:val="center"/>
          </w:tcPr>
          <w:p w14:paraId="094DAF5E"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kern w:val="2"/>
                <w:sz w:val="16"/>
                <w:szCs w:val="16"/>
                <w:lang w:val="en-US" w:eastAsia="ja-JP"/>
              </w:rPr>
              <w:t>0</w:t>
            </w:r>
          </w:p>
        </w:tc>
        <w:tc>
          <w:tcPr>
            <w:tcW w:w="248" w:type="dxa"/>
            <w:shd w:val="clear" w:color="000000" w:fill="D9D9D9"/>
            <w:vAlign w:val="center"/>
            <w:hideMark/>
          </w:tcPr>
          <w:p w14:paraId="044D62C6"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702" w:type="dxa"/>
            <w:vAlign w:val="center"/>
          </w:tcPr>
          <w:p w14:paraId="27D2ED32"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entury"/>
                <w:kern w:val="2"/>
                <w:sz w:val="16"/>
                <w:szCs w:val="16"/>
                <w:lang w:eastAsia="ja-JP"/>
              </w:rPr>
              <w:t>0</w:t>
            </w:r>
          </w:p>
        </w:tc>
        <w:tc>
          <w:tcPr>
            <w:tcW w:w="604" w:type="dxa"/>
            <w:vAlign w:val="center"/>
            <w:hideMark/>
          </w:tcPr>
          <w:p w14:paraId="61E25188"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eastAsia="ja-JP"/>
              </w:rPr>
              <w:t>0</w:t>
            </w:r>
          </w:p>
        </w:tc>
        <w:tc>
          <w:tcPr>
            <w:tcW w:w="800" w:type="dxa"/>
            <w:vAlign w:val="center"/>
            <w:hideMark/>
          </w:tcPr>
          <w:p w14:paraId="425EBB5A"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ja-JP"/>
              </w:rPr>
              <w:t>0</w:t>
            </w:r>
          </w:p>
        </w:tc>
        <w:tc>
          <w:tcPr>
            <w:tcW w:w="709" w:type="dxa"/>
            <w:vAlign w:val="center"/>
            <w:hideMark/>
          </w:tcPr>
          <w:p w14:paraId="47464995"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0</w:t>
            </w:r>
          </w:p>
        </w:tc>
        <w:tc>
          <w:tcPr>
            <w:tcW w:w="727" w:type="dxa"/>
            <w:vAlign w:val="center"/>
            <w:hideMark/>
          </w:tcPr>
          <w:p w14:paraId="6E81A375"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0</w:t>
            </w:r>
          </w:p>
        </w:tc>
        <w:tc>
          <w:tcPr>
            <w:tcW w:w="822" w:type="dxa"/>
            <w:vAlign w:val="center"/>
            <w:hideMark/>
          </w:tcPr>
          <w:p w14:paraId="7E68A088"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Arial"/>
                <w:kern w:val="2"/>
                <w:sz w:val="16"/>
                <w:szCs w:val="16"/>
                <w:lang w:val="en-US" w:eastAsia="ja-JP"/>
              </w:rPr>
              <w:t>0</w:t>
            </w:r>
          </w:p>
        </w:tc>
        <w:tc>
          <w:tcPr>
            <w:tcW w:w="1026" w:type="dxa"/>
            <w:tcBorders>
              <w:right w:val="single" w:sz="12" w:space="0" w:color="000000"/>
            </w:tcBorders>
            <w:vAlign w:val="center"/>
          </w:tcPr>
          <w:p w14:paraId="0EE38A4E"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kern w:val="2"/>
                <w:sz w:val="16"/>
                <w:szCs w:val="16"/>
                <w:lang w:val="en-US" w:eastAsia="ja-JP"/>
              </w:rPr>
              <w:t>0</w:t>
            </w:r>
          </w:p>
        </w:tc>
      </w:tr>
      <w:tr w:rsidR="002962EE" w:rsidRPr="00F0379B" w14:paraId="7591BD56" w14:textId="77777777" w:rsidTr="00084782">
        <w:trPr>
          <w:trHeight w:val="23"/>
        </w:trPr>
        <w:tc>
          <w:tcPr>
            <w:tcW w:w="3420" w:type="dxa"/>
            <w:tcBorders>
              <w:left w:val="single" w:sz="12" w:space="0" w:color="000000"/>
            </w:tcBorders>
            <w:noWrap/>
            <w:vAlign w:val="center"/>
            <w:hideMark/>
          </w:tcPr>
          <w:p w14:paraId="3474578C" w14:textId="77777777" w:rsidR="002962EE" w:rsidRPr="00F0379B" w:rsidRDefault="002962EE" w:rsidP="00084782">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Palangreros entre 24 y 40 m</w:t>
            </w:r>
          </w:p>
        </w:tc>
        <w:tc>
          <w:tcPr>
            <w:tcW w:w="1396" w:type="dxa"/>
            <w:noWrap/>
            <w:vAlign w:val="center"/>
            <w:hideMark/>
          </w:tcPr>
          <w:p w14:paraId="6E4F650E"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5,68</w:t>
            </w:r>
          </w:p>
        </w:tc>
        <w:tc>
          <w:tcPr>
            <w:tcW w:w="661" w:type="dxa"/>
            <w:vAlign w:val="center"/>
          </w:tcPr>
          <w:p w14:paraId="76E4CA0F"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entury"/>
                <w:kern w:val="2"/>
                <w:sz w:val="16"/>
                <w:szCs w:val="16"/>
                <w:lang w:eastAsia="ja-JP"/>
              </w:rPr>
              <w:t>0</w:t>
            </w:r>
          </w:p>
        </w:tc>
        <w:tc>
          <w:tcPr>
            <w:tcW w:w="571" w:type="dxa"/>
            <w:noWrap/>
            <w:vAlign w:val="center"/>
            <w:hideMark/>
          </w:tcPr>
          <w:p w14:paraId="4228AAF1"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eastAsia="ja-JP"/>
              </w:rPr>
              <w:t>0</w:t>
            </w:r>
          </w:p>
        </w:tc>
        <w:tc>
          <w:tcPr>
            <w:tcW w:w="660" w:type="dxa"/>
            <w:vAlign w:val="center"/>
            <w:hideMark/>
          </w:tcPr>
          <w:p w14:paraId="2D32C561"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ja-JP"/>
              </w:rPr>
              <w:t>0</w:t>
            </w:r>
          </w:p>
        </w:tc>
        <w:tc>
          <w:tcPr>
            <w:tcW w:w="663" w:type="dxa"/>
            <w:vAlign w:val="center"/>
            <w:hideMark/>
          </w:tcPr>
          <w:p w14:paraId="0FCAEE50"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0</w:t>
            </w:r>
          </w:p>
        </w:tc>
        <w:tc>
          <w:tcPr>
            <w:tcW w:w="571" w:type="dxa"/>
            <w:vAlign w:val="center"/>
            <w:hideMark/>
          </w:tcPr>
          <w:p w14:paraId="77251EE4"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0</w:t>
            </w:r>
          </w:p>
        </w:tc>
        <w:tc>
          <w:tcPr>
            <w:tcW w:w="571" w:type="dxa"/>
            <w:vAlign w:val="center"/>
          </w:tcPr>
          <w:p w14:paraId="661F1AFE"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kern w:val="2"/>
                <w:sz w:val="16"/>
                <w:szCs w:val="16"/>
                <w:lang w:val="en-US" w:eastAsia="ja-JP"/>
              </w:rPr>
              <w:t>0</w:t>
            </w:r>
          </w:p>
        </w:tc>
        <w:tc>
          <w:tcPr>
            <w:tcW w:w="658" w:type="dxa"/>
            <w:vAlign w:val="center"/>
          </w:tcPr>
          <w:p w14:paraId="525B8061"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kern w:val="2"/>
                <w:sz w:val="16"/>
                <w:szCs w:val="16"/>
                <w:lang w:val="en-US" w:eastAsia="ja-JP"/>
              </w:rPr>
              <w:t>1</w:t>
            </w:r>
          </w:p>
        </w:tc>
        <w:tc>
          <w:tcPr>
            <w:tcW w:w="248" w:type="dxa"/>
            <w:shd w:val="clear" w:color="000000" w:fill="D9D9D9"/>
            <w:vAlign w:val="center"/>
            <w:hideMark/>
          </w:tcPr>
          <w:p w14:paraId="1B58D79E"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702" w:type="dxa"/>
            <w:vAlign w:val="center"/>
          </w:tcPr>
          <w:p w14:paraId="3A547BBA"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entury"/>
                <w:kern w:val="2"/>
                <w:sz w:val="16"/>
                <w:szCs w:val="16"/>
                <w:lang w:eastAsia="ja-JP"/>
              </w:rPr>
              <w:t>0</w:t>
            </w:r>
          </w:p>
        </w:tc>
        <w:tc>
          <w:tcPr>
            <w:tcW w:w="604" w:type="dxa"/>
            <w:vAlign w:val="center"/>
            <w:hideMark/>
          </w:tcPr>
          <w:p w14:paraId="561B524E"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eastAsia="ja-JP"/>
              </w:rPr>
              <w:t>0</w:t>
            </w:r>
          </w:p>
        </w:tc>
        <w:tc>
          <w:tcPr>
            <w:tcW w:w="800" w:type="dxa"/>
            <w:vAlign w:val="center"/>
            <w:hideMark/>
          </w:tcPr>
          <w:p w14:paraId="71315BF7"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ja-JP"/>
              </w:rPr>
              <w:t>0</w:t>
            </w:r>
          </w:p>
        </w:tc>
        <w:tc>
          <w:tcPr>
            <w:tcW w:w="709" w:type="dxa"/>
            <w:vAlign w:val="center"/>
            <w:hideMark/>
          </w:tcPr>
          <w:p w14:paraId="0DA20693"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0</w:t>
            </w:r>
          </w:p>
        </w:tc>
        <w:tc>
          <w:tcPr>
            <w:tcW w:w="727" w:type="dxa"/>
            <w:vAlign w:val="center"/>
            <w:hideMark/>
          </w:tcPr>
          <w:p w14:paraId="1BE2E1FD"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0</w:t>
            </w:r>
          </w:p>
        </w:tc>
        <w:tc>
          <w:tcPr>
            <w:tcW w:w="822" w:type="dxa"/>
            <w:vAlign w:val="center"/>
            <w:hideMark/>
          </w:tcPr>
          <w:p w14:paraId="6A045D4E"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Arial"/>
                <w:kern w:val="2"/>
                <w:sz w:val="16"/>
                <w:szCs w:val="16"/>
                <w:lang w:val="en-US" w:eastAsia="ja-JP"/>
              </w:rPr>
              <w:t>0</w:t>
            </w:r>
          </w:p>
        </w:tc>
        <w:tc>
          <w:tcPr>
            <w:tcW w:w="1026" w:type="dxa"/>
            <w:tcBorders>
              <w:right w:val="single" w:sz="12" w:space="0" w:color="000000"/>
            </w:tcBorders>
            <w:vAlign w:val="center"/>
          </w:tcPr>
          <w:p w14:paraId="447C7498"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kern w:val="2"/>
                <w:sz w:val="16"/>
                <w:szCs w:val="16"/>
                <w:lang w:val="en-US" w:eastAsia="ja-JP"/>
              </w:rPr>
              <w:t>5,68</w:t>
            </w:r>
          </w:p>
        </w:tc>
      </w:tr>
      <w:tr w:rsidR="002962EE" w:rsidRPr="00F0379B" w14:paraId="28E259BA" w14:textId="77777777" w:rsidTr="00084782">
        <w:trPr>
          <w:trHeight w:val="23"/>
        </w:trPr>
        <w:tc>
          <w:tcPr>
            <w:tcW w:w="3420" w:type="dxa"/>
            <w:tcBorders>
              <w:left w:val="single" w:sz="12" w:space="0" w:color="000000"/>
            </w:tcBorders>
            <w:noWrap/>
            <w:vAlign w:val="center"/>
            <w:hideMark/>
          </w:tcPr>
          <w:p w14:paraId="73198F70" w14:textId="77777777" w:rsidR="002962EE" w:rsidRPr="00F0379B" w:rsidRDefault="002962EE" w:rsidP="00084782">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Palangreros de menos de 24 m</w:t>
            </w:r>
          </w:p>
        </w:tc>
        <w:tc>
          <w:tcPr>
            <w:tcW w:w="1396" w:type="dxa"/>
            <w:noWrap/>
            <w:vAlign w:val="center"/>
            <w:hideMark/>
          </w:tcPr>
          <w:p w14:paraId="36A0BDFD"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w:t>
            </w:r>
          </w:p>
        </w:tc>
        <w:tc>
          <w:tcPr>
            <w:tcW w:w="661" w:type="dxa"/>
            <w:vAlign w:val="center"/>
          </w:tcPr>
          <w:p w14:paraId="4FA567F4"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entury"/>
                <w:kern w:val="2"/>
                <w:sz w:val="16"/>
                <w:szCs w:val="16"/>
                <w:lang w:eastAsia="ja-JP"/>
              </w:rPr>
              <w:t>0</w:t>
            </w:r>
          </w:p>
        </w:tc>
        <w:tc>
          <w:tcPr>
            <w:tcW w:w="571" w:type="dxa"/>
            <w:noWrap/>
            <w:vAlign w:val="center"/>
            <w:hideMark/>
          </w:tcPr>
          <w:p w14:paraId="1791DBB4"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eastAsia="ja-JP"/>
              </w:rPr>
              <w:t>0</w:t>
            </w:r>
          </w:p>
        </w:tc>
        <w:tc>
          <w:tcPr>
            <w:tcW w:w="660" w:type="dxa"/>
            <w:vAlign w:val="center"/>
            <w:hideMark/>
          </w:tcPr>
          <w:p w14:paraId="51A6369F"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ja-JP"/>
              </w:rPr>
              <w:t>0</w:t>
            </w:r>
          </w:p>
        </w:tc>
        <w:tc>
          <w:tcPr>
            <w:tcW w:w="663" w:type="dxa"/>
            <w:vAlign w:val="center"/>
            <w:hideMark/>
          </w:tcPr>
          <w:p w14:paraId="708A4E5F"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0</w:t>
            </w:r>
          </w:p>
        </w:tc>
        <w:tc>
          <w:tcPr>
            <w:tcW w:w="571" w:type="dxa"/>
            <w:vAlign w:val="center"/>
            <w:hideMark/>
          </w:tcPr>
          <w:p w14:paraId="04ED7FD6"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0</w:t>
            </w:r>
          </w:p>
        </w:tc>
        <w:tc>
          <w:tcPr>
            <w:tcW w:w="571" w:type="dxa"/>
            <w:vAlign w:val="center"/>
          </w:tcPr>
          <w:p w14:paraId="264DE8D2"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kern w:val="2"/>
                <w:sz w:val="16"/>
                <w:szCs w:val="16"/>
                <w:lang w:val="en-US" w:eastAsia="ja-JP"/>
              </w:rPr>
              <w:t>0</w:t>
            </w:r>
          </w:p>
        </w:tc>
        <w:tc>
          <w:tcPr>
            <w:tcW w:w="658" w:type="dxa"/>
            <w:vAlign w:val="center"/>
          </w:tcPr>
          <w:p w14:paraId="15E97CFC"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kern w:val="2"/>
                <w:sz w:val="16"/>
                <w:szCs w:val="16"/>
                <w:lang w:val="en-US" w:eastAsia="ja-JP"/>
              </w:rPr>
              <w:t>0</w:t>
            </w:r>
          </w:p>
        </w:tc>
        <w:tc>
          <w:tcPr>
            <w:tcW w:w="248" w:type="dxa"/>
            <w:shd w:val="clear" w:color="000000" w:fill="D9D9D9"/>
            <w:vAlign w:val="center"/>
            <w:hideMark/>
          </w:tcPr>
          <w:p w14:paraId="396C87F8"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702" w:type="dxa"/>
            <w:vAlign w:val="center"/>
          </w:tcPr>
          <w:p w14:paraId="13A90652"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entury"/>
                <w:kern w:val="2"/>
                <w:sz w:val="16"/>
                <w:szCs w:val="16"/>
                <w:lang w:eastAsia="ja-JP"/>
              </w:rPr>
              <w:t>0</w:t>
            </w:r>
          </w:p>
        </w:tc>
        <w:tc>
          <w:tcPr>
            <w:tcW w:w="604" w:type="dxa"/>
            <w:vAlign w:val="center"/>
            <w:hideMark/>
          </w:tcPr>
          <w:p w14:paraId="5664275E"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eastAsia="ja-JP"/>
              </w:rPr>
              <w:t>0</w:t>
            </w:r>
          </w:p>
        </w:tc>
        <w:tc>
          <w:tcPr>
            <w:tcW w:w="800" w:type="dxa"/>
            <w:vAlign w:val="center"/>
            <w:hideMark/>
          </w:tcPr>
          <w:p w14:paraId="5B472819"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ja-JP"/>
              </w:rPr>
              <w:t>0</w:t>
            </w:r>
          </w:p>
        </w:tc>
        <w:tc>
          <w:tcPr>
            <w:tcW w:w="709" w:type="dxa"/>
            <w:vAlign w:val="center"/>
            <w:hideMark/>
          </w:tcPr>
          <w:p w14:paraId="53DA36F3"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0</w:t>
            </w:r>
          </w:p>
        </w:tc>
        <w:tc>
          <w:tcPr>
            <w:tcW w:w="727" w:type="dxa"/>
            <w:vAlign w:val="center"/>
            <w:hideMark/>
          </w:tcPr>
          <w:p w14:paraId="757AE962"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bCs/>
                <w:kern w:val="2"/>
                <w:sz w:val="16"/>
                <w:szCs w:val="16"/>
                <w:lang w:val="en-US" w:eastAsia="ja-JP"/>
              </w:rPr>
              <w:t>0</w:t>
            </w:r>
          </w:p>
        </w:tc>
        <w:tc>
          <w:tcPr>
            <w:tcW w:w="822" w:type="dxa"/>
            <w:vAlign w:val="center"/>
            <w:hideMark/>
          </w:tcPr>
          <w:p w14:paraId="07583E08"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Arial"/>
                <w:kern w:val="2"/>
                <w:sz w:val="16"/>
                <w:szCs w:val="16"/>
                <w:lang w:val="en-US" w:eastAsia="ja-JP"/>
              </w:rPr>
              <w:t>0</w:t>
            </w:r>
          </w:p>
        </w:tc>
        <w:tc>
          <w:tcPr>
            <w:tcW w:w="1026" w:type="dxa"/>
            <w:tcBorders>
              <w:right w:val="single" w:sz="12" w:space="0" w:color="000000"/>
            </w:tcBorders>
            <w:vAlign w:val="center"/>
          </w:tcPr>
          <w:p w14:paraId="5F505BE5"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kern w:val="2"/>
                <w:sz w:val="16"/>
                <w:szCs w:val="16"/>
                <w:lang w:val="en-US" w:eastAsia="ja-JP"/>
              </w:rPr>
              <w:t>0</w:t>
            </w:r>
          </w:p>
        </w:tc>
      </w:tr>
      <w:tr w:rsidR="002962EE" w:rsidRPr="00F0379B" w14:paraId="64850C93" w14:textId="77777777" w:rsidTr="00084782">
        <w:trPr>
          <w:trHeight w:val="23"/>
        </w:trPr>
        <w:tc>
          <w:tcPr>
            <w:tcW w:w="3420" w:type="dxa"/>
            <w:tcBorders>
              <w:left w:val="single" w:sz="12" w:space="0" w:color="000000"/>
            </w:tcBorders>
            <w:noWrap/>
            <w:vAlign w:val="center"/>
            <w:hideMark/>
          </w:tcPr>
          <w:p w14:paraId="0E98FFE0" w14:textId="77777777" w:rsidR="002962EE" w:rsidRPr="00F0379B" w:rsidRDefault="002962EE" w:rsidP="00084782">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Total flota de palangre</w:t>
            </w:r>
          </w:p>
        </w:tc>
        <w:tc>
          <w:tcPr>
            <w:tcW w:w="1396" w:type="dxa"/>
            <w:noWrap/>
            <w:vAlign w:val="center"/>
            <w:hideMark/>
          </w:tcPr>
          <w:p w14:paraId="1E9CFCE8" w14:textId="77777777" w:rsidR="002962EE" w:rsidRPr="00F0379B" w:rsidRDefault="002962EE" w:rsidP="00084782">
            <w:pPr>
              <w:spacing w:after="0" w:line="240" w:lineRule="auto"/>
              <w:rPr>
                <w:rFonts w:ascii="Cambria" w:eastAsia="Times New Roman" w:hAnsi="Cambria" w:cs="Times New Roman"/>
                <w:sz w:val="16"/>
                <w:szCs w:val="16"/>
                <w:lang w:eastAsia="fr-FR" w:bidi="fr-FR"/>
              </w:rPr>
            </w:pPr>
            <w:r w:rsidRPr="00F0379B">
              <w:rPr>
                <w:rFonts w:ascii="Cambria" w:eastAsia="MS Gothic" w:hAnsi="Cambria" w:cs="Times New Roman"/>
                <w:sz w:val="16"/>
                <w:szCs w:val="16"/>
                <w:lang w:eastAsia="fr-FR" w:bidi="fr-FR"/>
              </w:rPr>
              <w:t> </w:t>
            </w:r>
          </w:p>
        </w:tc>
        <w:tc>
          <w:tcPr>
            <w:tcW w:w="661" w:type="dxa"/>
            <w:vAlign w:val="center"/>
          </w:tcPr>
          <w:p w14:paraId="079F2388"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entury"/>
                <w:b/>
                <w:kern w:val="2"/>
                <w:sz w:val="16"/>
                <w:szCs w:val="16"/>
                <w:lang w:eastAsia="ja-JP"/>
              </w:rPr>
              <w:t>0</w:t>
            </w:r>
          </w:p>
        </w:tc>
        <w:tc>
          <w:tcPr>
            <w:tcW w:w="571" w:type="dxa"/>
            <w:noWrap/>
            <w:vAlign w:val="center"/>
            <w:hideMark/>
          </w:tcPr>
          <w:p w14:paraId="7F22C450"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b/>
                <w:kern w:val="2"/>
                <w:sz w:val="16"/>
                <w:szCs w:val="16"/>
                <w:lang w:eastAsia="ja-JP"/>
              </w:rPr>
              <w:t>0</w:t>
            </w:r>
          </w:p>
        </w:tc>
        <w:tc>
          <w:tcPr>
            <w:tcW w:w="660" w:type="dxa"/>
            <w:vAlign w:val="center"/>
            <w:hideMark/>
          </w:tcPr>
          <w:p w14:paraId="73D21BD5"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kern w:val="2"/>
                <w:sz w:val="16"/>
                <w:szCs w:val="16"/>
                <w:lang w:eastAsia="ja-JP"/>
              </w:rPr>
              <w:t>0</w:t>
            </w:r>
          </w:p>
        </w:tc>
        <w:tc>
          <w:tcPr>
            <w:tcW w:w="663" w:type="dxa"/>
            <w:vAlign w:val="center"/>
            <w:hideMark/>
          </w:tcPr>
          <w:p w14:paraId="5E82B470"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b/>
                <w:kern w:val="2"/>
                <w:sz w:val="16"/>
                <w:szCs w:val="16"/>
                <w:lang w:val="en-US" w:eastAsia="ja-JP"/>
              </w:rPr>
              <w:t>0</w:t>
            </w:r>
          </w:p>
        </w:tc>
        <w:tc>
          <w:tcPr>
            <w:tcW w:w="571" w:type="dxa"/>
            <w:vAlign w:val="center"/>
            <w:hideMark/>
          </w:tcPr>
          <w:p w14:paraId="5751027B"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b/>
                <w:kern w:val="2"/>
                <w:sz w:val="16"/>
                <w:szCs w:val="16"/>
                <w:lang w:val="en-US" w:eastAsia="ja-JP"/>
              </w:rPr>
              <w:t>0</w:t>
            </w:r>
          </w:p>
        </w:tc>
        <w:tc>
          <w:tcPr>
            <w:tcW w:w="571" w:type="dxa"/>
            <w:vAlign w:val="center"/>
          </w:tcPr>
          <w:p w14:paraId="59D901B2"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Arial"/>
                <w:b/>
                <w:kern w:val="2"/>
                <w:sz w:val="16"/>
                <w:szCs w:val="16"/>
                <w:lang w:val="en-US" w:eastAsia="ja-JP"/>
              </w:rPr>
              <w:t>0</w:t>
            </w:r>
          </w:p>
        </w:tc>
        <w:tc>
          <w:tcPr>
            <w:tcW w:w="658" w:type="dxa"/>
            <w:vAlign w:val="center"/>
          </w:tcPr>
          <w:p w14:paraId="752301C5"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kern w:val="2"/>
                <w:sz w:val="16"/>
                <w:szCs w:val="16"/>
                <w:lang w:val="en-US" w:eastAsia="ja-JP"/>
              </w:rPr>
              <w:t>1</w:t>
            </w:r>
          </w:p>
        </w:tc>
        <w:tc>
          <w:tcPr>
            <w:tcW w:w="248" w:type="dxa"/>
            <w:shd w:val="clear" w:color="000000" w:fill="D9D9D9"/>
            <w:vAlign w:val="center"/>
            <w:hideMark/>
          </w:tcPr>
          <w:p w14:paraId="5B07E949"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p>
        </w:tc>
        <w:tc>
          <w:tcPr>
            <w:tcW w:w="702" w:type="dxa"/>
            <w:vAlign w:val="center"/>
          </w:tcPr>
          <w:p w14:paraId="598D8623"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entury"/>
                <w:b/>
                <w:kern w:val="2"/>
                <w:sz w:val="16"/>
                <w:szCs w:val="16"/>
                <w:lang w:eastAsia="ja-JP"/>
              </w:rPr>
              <w:t>0</w:t>
            </w:r>
          </w:p>
        </w:tc>
        <w:tc>
          <w:tcPr>
            <w:tcW w:w="604" w:type="dxa"/>
            <w:vAlign w:val="center"/>
            <w:hideMark/>
          </w:tcPr>
          <w:p w14:paraId="255FC6C8"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b/>
                <w:kern w:val="2"/>
                <w:sz w:val="16"/>
                <w:szCs w:val="16"/>
                <w:lang w:eastAsia="ja-JP"/>
              </w:rPr>
              <w:t>0</w:t>
            </w:r>
          </w:p>
        </w:tc>
        <w:tc>
          <w:tcPr>
            <w:tcW w:w="800" w:type="dxa"/>
            <w:vAlign w:val="center"/>
            <w:hideMark/>
          </w:tcPr>
          <w:p w14:paraId="6659A6DE"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kern w:val="2"/>
                <w:sz w:val="16"/>
                <w:szCs w:val="16"/>
                <w:lang w:eastAsia="ja-JP"/>
              </w:rPr>
              <w:t>0</w:t>
            </w:r>
          </w:p>
        </w:tc>
        <w:tc>
          <w:tcPr>
            <w:tcW w:w="709" w:type="dxa"/>
            <w:vAlign w:val="center"/>
            <w:hideMark/>
          </w:tcPr>
          <w:p w14:paraId="1863860A"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b/>
                <w:kern w:val="2"/>
                <w:sz w:val="16"/>
                <w:szCs w:val="16"/>
                <w:lang w:val="en-US" w:eastAsia="ja-JP"/>
              </w:rPr>
              <w:t>0</w:t>
            </w:r>
          </w:p>
        </w:tc>
        <w:tc>
          <w:tcPr>
            <w:tcW w:w="727" w:type="dxa"/>
            <w:vAlign w:val="center"/>
            <w:hideMark/>
          </w:tcPr>
          <w:p w14:paraId="3D19FCFB"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b/>
                <w:kern w:val="2"/>
                <w:sz w:val="16"/>
                <w:szCs w:val="16"/>
                <w:lang w:val="en-US" w:eastAsia="ja-JP"/>
              </w:rPr>
              <w:t>0</w:t>
            </w:r>
          </w:p>
        </w:tc>
        <w:tc>
          <w:tcPr>
            <w:tcW w:w="822" w:type="dxa"/>
            <w:vAlign w:val="center"/>
            <w:hideMark/>
          </w:tcPr>
          <w:p w14:paraId="290B10BC"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Arial"/>
                <w:b/>
                <w:bCs/>
                <w:kern w:val="2"/>
                <w:sz w:val="16"/>
                <w:szCs w:val="16"/>
                <w:lang w:val="en-US" w:eastAsia="ja-JP"/>
              </w:rPr>
              <w:t>0</w:t>
            </w:r>
          </w:p>
        </w:tc>
        <w:tc>
          <w:tcPr>
            <w:tcW w:w="1026" w:type="dxa"/>
            <w:tcBorders>
              <w:right w:val="single" w:sz="12" w:space="0" w:color="000000"/>
            </w:tcBorders>
            <w:vAlign w:val="center"/>
          </w:tcPr>
          <w:p w14:paraId="288DD730"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Arial"/>
                <w:b/>
                <w:kern w:val="2"/>
                <w:sz w:val="16"/>
                <w:szCs w:val="16"/>
                <w:lang w:val="en-US" w:eastAsia="ja-JP"/>
              </w:rPr>
              <w:t>5,68</w:t>
            </w:r>
          </w:p>
        </w:tc>
      </w:tr>
      <w:tr w:rsidR="002962EE" w:rsidRPr="00F0379B" w14:paraId="49A29C7F" w14:textId="77777777" w:rsidTr="00084782">
        <w:trPr>
          <w:trHeight w:val="221"/>
        </w:trPr>
        <w:tc>
          <w:tcPr>
            <w:tcW w:w="3420" w:type="dxa"/>
            <w:tcBorders>
              <w:left w:val="single" w:sz="12" w:space="0" w:color="000000"/>
            </w:tcBorders>
            <w:noWrap/>
            <w:vAlign w:val="center"/>
            <w:hideMark/>
          </w:tcPr>
          <w:p w14:paraId="5F404FD2" w14:textId="77777777" w:rsidR="002962EE" w:rsidRPr="00F0379B" w:rsidRDefault="002962EE" w:rsidP="00084782">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Cebo vivo</w:t>
            </w:r>
          </w:p>
        </w:tc>
        <w:tc>
          <w:tcPr>
            <w:tcW w:w="1396" w:type="dxa"/>
            <w:noWrap/>
            <w:vAlign w:val="center"/>
            <w:hideMark/>
          </w:tcPr>
          <w:p w14:paraId="4143251F"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19,75</w:t>
            </w:r>
          </w:p>
        </w:tc>
        <w:tc>
          <w:tcPr>
            <w:tcW w:w="661" w:type="dxa"/>
            <w:vAlign w:val="center"/>
          </w:tcPr>
          <w:p w14:paraId="47F3FD70"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entury"/>
                <w:kern w:val="2"/>
                <w:sz w:val="16"/>
                <w:szCs w:val="16"/>
                <w:lang w:eastAsia="ja-JP"/>
              </w:rPr>
              <w:t>0</w:t>
            </w:r>
          </w:p>
        </w:tc>
        <w:tc>
          <w:tcPr>
            <w:tcW w:w="571" w:type="dxa"/>
            <w:noWrap/>
            <w:vAlign w:val="center"/>
            <w:hideMark/>
          </w:tcPr>
          <w:p w14:paraId="764E9018"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kern w:val="2"/>
                <w:sz w:val="16"/>
                <w:szCs w:val="16"/>
                <w:lang w:eastAsia="ja-JP"/>
              </w:rPr>
              <w:t>0</w:t>
            </w:r>
          </w:p>
        </w:tc>
        <w:tc>
          <w:tcPr>
            <w:tcW w:w="660" w:type="dxa"/>
            <w:vAlign w:val="center"/>
            <w:hideMark/>
          </w:tcPr>
          <w:p w14:paraId="3EFAE3D4"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kern w:val="2"/>
                <w:sz w:val="16"/>
                <w:szCs w:val="16"/>
                <w:lang w:eastAsia="ja-JP"/>
              </w:rPr>
              <w:t>0</w:t>
            </w:r>
          </w:p>
        </w:tc>
        <w:tc>
          <w:tcPr>
            <w:tcW w:w="663" w:type="dxa"/>
            <w:vAlign w:val="center"/>
            <w:hideMark/>
          </w:tcPr>
          <w:p w14:paraId="3A030047"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kern w:val="2"/>
                <w:sz w:val="16"/>
                <w:szCs w:val="16"/>
                <w:lang w:val="en-US" w:eastAsia="ja-JP"/>
              </w:rPr>
              <w:t>0</w:t>
            </w:r>
          </w:p>
        </w:tc>
        <w:tc>
          <w:tcPr>
            <w:tcW w:w="571" w:type="dxa"/>
            <w:vAlign w:val="center"/>
            <w:hideMark/>
          </w:tcPr>
          <w:p w14:paraId="202E697B"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kern w:val="2"/>
                <w:sz w:val="16"/>
                <w:szCs w:val="16"/>
                <w:lang w:val="en-US" w:eastAsia="ja-JP"/>
              </w:rPr>
              <w:t>0</w:t>
            </w:r>
          </w:p>
        </w:tc>
        <w:tc>
          <w:tcPr>
            <w:tcW w:w="571" w:type="dxa"/>
            <w:vAlign w:val="center"/>
          </w:tcPr>
          <w:p w14:paraId="2F914450"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Arial"/>
                <w:kern w:val="2"/>
                <w:sz w:val="16"/>
                <w:szCs w:val="16"/>
                <w:lang w:val="en-US" w:eastAsia="ja-JP"/>
              </w:rPr>
              <w:t>0</w:t>
            </w:r>
          </w:p>
        </w:tc>
        <w:tc>
          <w:tcPr>
            <w:tcW w:w="658" w:type="dxa"/>
            <w:vAlign w:val="center"/>
          </w:tcPr>
          <w:p w14:paraId="72F6867A"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kern w:val="2"/>
                <w:sz w:val="16"/>
                <w:szCs w:val="16"/>
                <w:lang w:val="en-US" w:eastAsia="ja-JP"/>
              </w:rPr>
              <w:t>0</w:t>
            </w:r>
          </w:p>
        </w:tc>
        <w:tc>
          <w:tcPr>
            <w:tcW w:w="248" w:type="dxa"/>
            <w:shd w:val="clear" w:color="000000" w:fill="D9D9D9"/>
            <w:vAlign w:val="center"/>
            <w:hideMark/>
          </w:tcPr>
          <w:p w14:paraId="7691F938"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p>
        </w:tc>
        <w:tc>
          <w:tcPr>
            <w:tcW w:w="702" w:type="dxa"/>
            <w:vAlign w:val="center"/>
          </w:tcPr>
          <w:p w14:paraId="5912BFC5"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entury"/>
                <w:kern w:val="2"/>
                <w:sz w:val="16"/>
                <w:szCs w:val="16"/>
                <w:lang w:eastAsia="ja-JP"/>
              </w:rPr>
              <w:t>0</w:t>
            </w:r>
          </w:p>
        </w:tc>
        <w:tc>
          <w:tcPr>
            <w:tcW w:w="604" w:type="dxa"/>
            <w:vAlign w:val="center"/>
            <w:hideMark/>
          </w:tcPr>
          <w:p w14:paraId="3F53CE18"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kern w:val="2"/>
                <w:sz w:val="16"/>
                <w:szCs w:val="16"/>
                <w:lang w:eastAsia="ja-JP"/>
              </w:rPr>
              <w:t>0</w:t>
            </w:r>
          </w:p>
        </w:tc>
        <w:tc>
          <w:tcPr>
            <w:tcW w:w="800" w:type="dxa"/>
            <w:vAlign w:val="center"/>
            <w:hideMark/>
          </w:tcPr>
          <w:p w14:paraId="0D164D48"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kern w:val="2"/>
                <w:sz w:val="16"/>
                <w:szCs w:val="16"/>
                <w:lang w:eastAsia="ja-JP"/>
              </w:rPr>
              <w:t>0</w:t>
            </w:r>
          </w:p>
        </w:tc>
        <w:tc>
          <w:tcPr>
            <w:tcW w:w="709" w:type="dxa"/>
            <w:vAlign w:val="center"/>
            <w:hideMark/>
          </w:tcPr>
          <w:p w14:paraId="2B9F7F7A"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kern w:val="2"/>
                <w:sz w:val="16"/>
                <w:szCs w:val="16"/>
                <w:lang w:val="en-US" w:eastAsia="ja-JP"/>
              </w:rPr>
              <w:t>0</w:t>
            </w:r>
          </w:p>
        </w:tc>
        <w:tc>
          <w:tcPr>
            <w:tcW w:w="727" w:type="dxa"/>
            <w:vAlign w:val="center"/>
            <w:hideMark/>
          </w:tcPr>
          <w:p w14:paraId="20EA2744"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kern w:val="2"/>
                <w:sz w:val="16"/>
                <w:szCs w:val="16"/>
                <w:lang w:val="en-US" w:eastAsia="ja-JP"/>
              </w:rPr>
              <w:t>0</w:t>
            </w:r>
          </w:p>
        </w:tc>
        <w:tc>
          <w:tcPr>
            <w:tcW w:w="822" w:type="dxa"/>
            <w:vAlign w:val="center"/>
            <w:hideMark/>
          </w:tcPr>
          <w:p w14:paraId="51F11B2B"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Arial"/>
                <w:kern w:val="2"/>
                <w:sz w:val="16"/>
                <w:szCs w:val="16"/>
                <w:lang w:val="en-US" w:eastAsia="ja-JP"/>
              </w:rPr>
              <w:t>0</w:t>
            </w:r>
          </w:p>
        </w:tc>
        <w:tc>
          <w:tcPr>
            <w:tcW w:w="1026" w:type="dxa"/>
            <w:tcBorders>
              <w:right w:val="single" w:sz="12" w:space="0" w:color="000000"/>
            </w:tcBorders>
            <w:vAlign w:val="center"/>
          </w:tcPr>
          <w:p w14:paraId="29AC14B1"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Arial"/>
                <w:kern w:val="2"/>
                <w:sz w:val="16"/>
                <w:szCs w:val="16"/>
                <w:lang w:val="en-US" w:eastAsia="ja-JP"/>
              </w:rPr>
              <w:t>0</w:t>
            </w:r>
          </w:p>
        </w:tc>
      </w:tr>
      <w:tr w:rsidR="002962EE" w:rsidRPr="00F0379B" w14:paraId="51370A3A" w14:textId="77777777" w:rsidTr="00084782">
        <w:trPr>
          <w:trHeight w:val="23"/>
        </w:trPr>
        <w:tc>
          <w:tcPr>
            <w:tcW w:w="3420" w:type="dxa"/>
            <w:tcBorders>
              <w:left w:val="single" w:sz="12" w:space="0" w:color="000000"/>
            </w:tcBorders>
            <w:noWrap/>
            <w:vAlign w:val="center"/>
            <w:hideMark/>
          </w:tcPr>
          <w:p w14:paraId="7E5A97F0" w14:textId="77777777" w:rsidR="002962EE" w:rsidRPr="00F0379B" w:rsidRDefault="002962EE" w:rsidP="00084782">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Liña de mano</w:t>
            </w:r>
          </w:p>
        </w:tc>
        <w:tc>
          <w:tcPr>
            <w:tcW w:w="1396" w:type="dxa"/>
            <w:noWrap/>
            <w:vAlign w:val="center"/>
            <w:hideMark/>
          </w:tcPr>
          <w:p w14:paraId="7483D04A"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w:t>
            </w:r>
          </w:p>
        </w:tc>
        <w:tc>
          <w:tcPr>
            <w:tcW w:w="661" w:type="dxa"/>
            <w:vAlign w:val="center"/>
          </w:tcPr>
          <w:p w14:paraId="7FDA9BB1"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entury"/>
                <w:kern w:val="2"/>
                <w:sz w:val="16"/>
                <w:szCs w:val="16"/>
                <w:lang w:eastAsia="ja-JP"/>
              </w:rPr>
              <w:t>0</w:t>
            </w:r>
          </w:p>
        </w:tc>
        <w:tc>
          <w:tcPr>
            <w:tcW w:w="571" w:type="dxa"/>
            <w:noWrap/>
            <w:vAlign w:val="center"/>
            <w:hideMark/>
          </w:tcPr>
          <w:p w14:paraId="0093DC67"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eastAsia="ja-JP"/>
              </w:rPr>
              <w:t>0</w:t>
            </w:r>
          </w:p>
        </w:tc>
        <w:tc>
          <w:tcPr>
            <w:tcW w:w="660" w:type="dxa"/>
            <w:vAlign w:val="center"/>
            <w:hideMark/>
          </w:tcPr>
          <w:p w14:paraId="437AFBB6"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ja-JP"/>
              </w:rPr>
              <w:t>0</w:t>
            </w:r>
          </w:p>
        </w:tc>
        <w:tc>
          <w:tcPr>
            <w:tcW w:w="663" w:type="dxa"/>
            <w:vAlign w:val="center"/>
            <w:hideMark/>
          </w:tcPr>
          <w:p w14:paraId="601759F8"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val="en-US" w:eastAsia="ja-JP"/>
              </w:rPr>
              <w:t>0</w:t>
            </w:r>
          </w:p>
        </w:tc>
        <w:tc>
          <w:tcPr>
            <w:tcW w:w="571" w:type="dxa"/>
            <w:vAlign w:val="center"/>
            <w:hideMark/>
          </w:tcPr>
          <w:p w14:paraId="7AE37720"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val="en-US" w:eastAsia="ja-JP"/>
              </w:rPr>
              <w:t>0</w:t>
            </w:r>
          </w:p>
        </w:tc>
        <w:tc>
          <w:tcPr>
            <w:tcW w:w="571" w:type="dxa"/>
            <w:vAlign w:val="center"/>
          </w:tcPr>
          <w:p w14:paraId="035E0662"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kern w:val="2"/>
                <w:sz w:val="16"/>
                <w:szCs w:val="16"/>
                <w:lang w:val="en-US" w:eastAsia="ja-JP"/>
              </w:rPr>
              <w:t>0</w:t>
            </w:r>
          </w:p>
        </w:tc>
        <w:tc>
          <w:tcPr>
            <w:tcW w:w="658" w:type="dxa"/>
            <w:vAlign w:val="center"/>
          </w:tcPr>
          <w:p w14:paraId="4927858A"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kern w:val="2"/>
                <w:sz w:val="16"/>
                <w:szCs w:val="16"/>
                <w:lang w:val="en-US" w:eastAsia="ja-JP"/>
              </w:rPr>
              <w:t>0</w:t>
            </w:r>
          </w:p>
        </w:tc>
        <w:tc>
          <w:tcPr>
            <w:tcW w:w="248" w:type="dxa"/>
            <w:shd w:val="clear" w:color="000000" w:fill="D9D9D9"/>
            <w:vAlign w:val="center"/>
            <w:hideMark/>
          </w:tcPr>
          <w:p w14:paraId="0C3AD1DB"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702" w:type="dxa"/>
            <w:vAlign w:val="center"/>
          </w:tcPr>
          <w:p w14:paraId="4791866A"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entury"/>
                <w:kern w:val="2"/>
                <w:sz w:val="16"/>
                <w:szCs w:val="16"/>
                <w:lang w:eastAsia="ja-JP"/>
              </w:rPr>
              <w:t>0</w:t>
            </w:r>
          </w:p>
        </w:tc>
        <w:tc>
          <w:tcPr>
            <w:tcW w:w="604" w:type="dxa"/>
            <w:vAlign w:val="center"/>
            <w:hideMark/>
          </w:tcPr>
          <w:p w14:paraId="34DE71C4"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eastAsia="ja-JP"/>
              </w:rPr>
              <w:t>0</w:t>
            </w:r>
          </w:p>
        </w:tc>
        <w:tc>
          <w:tcPr>
            <w:tcW w:w="800" w:type="dxa"/>
            <w:vAlign w:val="center"/>
            <w:hideMark/>
          </w:tcPr>
          <w:p w14:paraId="54BF3D33"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ja-JP"/>
              </w:rPr>
              <w:t>0</w:t>
            </w:r>
          </w:p>
        </w:tc>
        <w:tc>
          <w:tcPr>
            <w:tcW w:w="709" w:type="dxa"/>
            <w:vAlign w:val="center"/>
            <w:hideMark/>
          </w:tcPr>
          <w:p w14:paraId="479BB4EE"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val="en-US" w:eastAsia="ja-JP"/>
              </w:rPr>
              <w:t>0</w:t>
            </w:r>
          </w:p>
        </w:tc>
        <w:tc>
          <w:tcPr>
            <w:tcW w:w="727" w:type="dxa"/>
            <w:vAlign w:val="center"/>
            <w:hideMark/>
          </w:tcPr>
          <w:p w14:paraId="3B78DB6A"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val="en-US" w:eastAsia="ja-JP"/>
              </w:rPr>
              <w:t>0</w:t>
            </w:r>
          </w:p>
        </w:tc>
        <w:tc>
          <w:tcPr>
            <w:tcW w:w="822" w:type="dxa"/>
            <w:vAlign w:val="center"/>
            <w:hideMark/>
          </w:tcPr>
          <w:p w14:paraId="268639E4"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Arial"/>
                <w:kern w:val="2"/>
                <w:sz w:val="16"/>
                <w:szCs w:val="16"/>
                <w:lang w:val="en-US" w:eastAsia="ja-JP"/>
              </w:rPr>
              <w:t>0</w:t>
            </w:r>
          </w:p>
        </w:tc>
        <w:tc>
          <w:tcPr>
            <w:tcW w:w="1026" w:type="dxa"/>
            <w:tcBorders>
              <w:right w:val="single" w:sz="12" w:space="0" w:color="000000"/>
            </w:tcBorders>
            <w:vAlign w:val="center"/>
          </w:tcPr>
          <w:p w14:paraId="0667A524"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kern w:val="2"/>
                <w:sz w:val="16"/>
                <w:szCs w:val="16"/>
                <w:lang w:val="en-US" w:eastAsia="ja-JP"/>
              </w:rPr>
              <w:t>0</w:t>
            </w:r>
          </w:p>
        </w:tc>
      </w:tr>
      <w:tr w:rsidR="002962EE" w:rsidRPr="00F0379B" w14:paraId="519CBA52" w14:textId="77777777" w:rsidTr="00084782">
        <w:trPr>
          <w:trHeight w:val="23"/>
        </w:trPr>
        <w:tc>
          <w:tcPr>
            <w:tcW w:w="3420" w:type="dxa"/>
            <w:tcBorders>
              <w:left w:val="single" w:sz="12" w:space="0" w:color="000000"/>
            </w:tcBorders>
            <w:noWrap/>
            <w:vAlign w:val="center"/>
            <w:hideMark/>
          </w:tcPr>
          <w:p w14:paraId="47903D18" w14:textId="77777777" w:rsidR="002962EE" w:rsidRPr="00F0379B" w:rsidRDefault="002962EE" w:rsidP="00084782">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Arrastreros</w:t>
            </w:r>
          </w:p>
        </w:tc>
        <w:tc>
          <w:tcPr>
            <w:tcW w:w="1396" w:type="dxa"/>
            <w:noWrap/>
            <w:vAlign w:val="center"/>
            <w:hideMark/>
          </w:tcPr>
          <w:p w14:paraId="03849C63"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10</w:t>
            </w:r>
          </w:p>
        </w:tc>
        <w:tc>
          <w:tcPr>
            <w:tcW w:w="661" w:type="dxa"/>
            <w:vAlign w:val="center"/>
          </w:tcPr>
          <w:p w14:paraId="11702D34"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entury"/>
                <w:kern w:val="2"/>
                <w:sz w:val="16"/>
                <w:szCs w:val="16"/>
                <w:lang w:eastAsia="ja-JP"/>
              </w:rPr>
              <w:t>0</w:t>
            </w:r>
          </w:p>
        </w:tc>
        <w:tc>
          <w:tcPr>
            <w:tcW w:w="571" w:type="dxa"/>
            <w:noWrap/>
            <w:vAlign w:val="center"/>
            <w:hideMark/>
          </w:tcPr>
          <w:p w14:paraId="1782CFF4"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eastAsia="ja-JP"/>
              </w:rPr>
              <w:t>0</w:t>
            </w:r>
          </w:p>
        </w:tc>
        <w:tc>
          <w:tcPr>
            <w:tcW w:w="660" w:type="dxa"/>
            <w:vAlign w:val="center"/>
            <w:hideMark/>
          </w:tcPr>
          <w:p w14:paraId="10706FA0"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ja-JP"/>
              </w:rPr>
              <w:t>0</w:t>
            </w:r>
          </w:p>
        </w:tc>
        <w:tc>
          <w:tcPr>
            <w:tcW w:w="663" w:type="dxa"/>
            <w:vAlign w:val="center"/>
            <w:hideMark/>
          </w:tcPr>
          <w:p w14:paraId="44771881"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val="en-US" w:eastAsia="ja-JP"/>
              </w:rPr>
              <w:t>0</w:t>
            </w:r>
          </w:p>
        </w:tc>
        <w:tc>
          <w:tcPr>
            <w:tcW w:w="571" w:type="dxa"/>
            <w:vAlign w:val="center"/>
            <w:hideMark/>
          </w:tcPr>
          <w:p w14:paraId="27F3DC5D"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val="en-US" w:eastAsia="ja-JP"/>
              </w:rPr>
              <w:t>0</w:t>
            </w:r>
          </w:p>
        </w:tc>
        <w:tc>
          <w:tcPr>
            <w:tcW w:w="571" w:type="dxa"/>
            <w:vAlign w:val="center"/>
          </w:tcPr>
          <w:p w14:paraId="5159AAE9"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kern w:val="2"/>
                <w:sz w:val="16"/>
                <w:szCs w:val="16"/>
                <w:lang w:val="en-US" w:eastAsia="ja-JP"/>
              </w:rPr>
              <w:t>0</w:t>
            </w:r>
          </w:p>
        </w:tc>
        <w:tc>
          <w:tcPr>
            <w:tcW w:w="658" w:type="dxa"/>
            <w:vAlign w:val="center"/>
          </w:tcPr>
          <w:p w14:paraId="77FE7F4A"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kern w:val="2"/>
                <w:sz w:val="16"/>
                <w:szCs w:val="16"/>
                <w:lang w:val="en-US" w:eastAsia="ja-JP"/>
              </w:rPr>
              <w:t>0</w:t>
            </w:r>
          </w:p>
        </w:tc>
        <w:tc>
          <w:tcPr>
            <w:tcW w:w="248" w:type="dxa"/>
            <w:shd w:val="clear" w:color="000000" w:fill="D9D9D9"/>
            <w:vAlign w:val="center"/>
            <w:hideMark/>
          </w:tcPr>
          <w:p w14:paraId="79662121"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702" w:type="dxa"/>
            <w:vAlign w:val="center"/>
          </w:tcPr>
          <w:p w14:paraId="5E11FAE1"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entury"/>
                <w:kern w:val="2"/>
                <w:sz w:val="16"/>
                <w:szCs w:val="16"/>
                <w:lang w:eastAsia="ja-JP"/>
              </w:rPr>
              <w:t>0</w:t>
            </w:r>
          </w:p>
        </w:tc>
        <w:tc>
          <w:tcPr>
            <w:tcW w:w="604" w:type="dxa"/>
            <w:vAlign w:val="center"/>
            <w:hideMark/>
          </w:tcPr>
          <w:p w14:paraId="72D2685F"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eastAsia="ja-JP"/>
              </w:rPr>
              <w:t>0</w:t>
            </w:r>
          </w:p>
        </w:tc>
        <w:tc>
          <w:tcPr>
            <w:tcW w:w="800" w:type="dxa"/>
            <w:vAlign w:val="center"/>
            <w:hideMark/>
          </w:tcPr>
          <w:p w14:paraId="0CFAEE2A"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kern w:val="2"/>
                <w:sz w:val="16"/>
                <w:szCs w:val="16"/>
                <w:lang w:eastAsia="ja-JP"/>
              </w:rPr>
              <w:t>0</w:t>
            </w:r>
          </w:p>
        </w:tc>
        <w:tc>
          <w:tcPr>
            <w:tcW w:w="709" w:type="dxa"/>
            <w:vAlign w:val="center"/>
            <w:hideMark/>
          </w:tcPr>
          <w:p w14:paraId="118F793B"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val="en-US" w:eastAsia="ja-JP"/>
              </w:rPr>
              <w:t>0</w:t>
            </w:r>
          </w:p>
        </w:tc>
        <w:tc>
          <w:tcPr>
            <w:tcW w:w="727" w:type="dxa"/>
            <w:vAlign w:val="center"/>
            <w:hideMark/>
          </w:tcPr>
          <w:p w14:paraId="482A9A36"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entury"/>
                <w:kern w:val="2"/>
                <w:sz w:val="16"/>
                <w:szCs w:val="16"/>
                <w:lang w:val="en-US" w:eastAsia="ja-JP"/>
              </w:rPr>
              <w:t>0</w:t>
            </w:r>
          </w:p>
        </w:tc>
        <w:tc>
          <w:tcPr>
            <w:tcW w:w="822" w:type="dxa"/>
            <w:vAlign w:val="center"/>
            <w:hideMark/>
          </w:tcPr>
          <w:p w14:paraId="256AD1ED"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Arial"/>
                <w:kern w:val="2"/>
                <w:sz w:val="16"/>
                <w:szCs w:val="16"/>
                <w:lang w:val="en-US" w:eastAsia="ja-JP"/>
              </w:rPr>
              <w:t>0</w:t>
            </w:r>
          </w:p>
        </w:tc>
        <w:tc>
          <w:tcPr>
            <w:tcW w:w="1026" w:type="dxa"/>
            <w:tcBorders>
              <w:right w:val="single" w:sz="12" w:space="0" w:color="000000"/>
            </w:tcBorders>
            <w:vAlign w:val="center"/>
          </w:tcPr>
          <w:p w14:paraId="0E042F71"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kern w:val="2"/>
                <w:sz w:val="16"/>
                <w:szCs w:val="16"/>
                <w:lang w:val="en-US" w:eastAsia="ja-JP"/>
              </w:rPr>
              <w:t>0</w:t>
            </w:r>
          </w:p>
        </w:tc>
      </w:tr>
      <w:tr w:rsidR="002962EE" w:rsidRPr="00F0379B" w14:paraId="60C6ABBC" w14:textId="77777777" w:rsidTr="00084782">
        <w:trPr>
          <w:trHeight w:val="23"/>
        </w:trPr>
        <w:tc>
          <w:tcPr>
            <w:tcW w:w="3420" w:type="dxa"/>
            <w:tcBorders>
              <w:left w:val="single" w:sz="12" w:space="0" w:color="000000"/>
            </w:tcBorders>
            <w:noWrap/>
            <w:vAlign w:val="center"/>
            <w:hideMark/>
          </w:tcPr>
          <w:p w14:paraId="04A4C571" w14:textId="77777777" w:rsidR="002962EE" w:rsidRPr="00F0379B" w:rsidRDefault="002962EE" w:rsidP="00084782">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Almadrabas</w:t>
            </w:r>
          </w:p>
        </w:tc>
        <w:tc>
          <w:tcPr>
            <w:tcW w:w="1396" w:type="dxa"/>
            <w:noWrap/>
            <w:vAlign w:val="center"/>
            <w:hideMark/>
          </w:tcPr>
          <w:p w14:paraId="403737DF"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130</w:t>
            </w:r>
          </w:p>
        </w:tc>
        <w:tc>
          <w:tcPr>
            <w:tcW w:w="661" w:type="dxa"/>
            <w:vAlign w:val="center"/>
          </w:tcPr>
          <w:p w14:paraId="21674C37"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kern w:val="2"/>
                <w:sz w:val="16"/>
                <w:szCs w:val="16"/>
                <w:lang w:val="en-US" w:eastAsia="ja-JP"/>
              </w:rPr>
              <w:t>15</w:t>
            </w:r>
          </w:p>
        </w:tc>
        <w:tc>
          <w:tcPr>
            <w:tcW w:w="571" w:type="dxa"/>
            <w:noWrap/>
            <w:vAlign w:val="center"/>
            <w:hideMark/>
          </w:tcPr>
          <w:p w14:paraId="12E3AA88"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kern w:val="2"/>
                <w:sz w:val="16"/>
                <w:szCs w:val="16"/>
                <w:lang w:eastAsia="ja-JP"/>
              </w:rPr>
              <w:t>15</w:t>
            </w:r>
          </w:p>
        </w:tc>
        <w:tc>
          <w:tcPr>
            <w:tcW w:w="660" w:type="dxa"/>
            <w:vAlign w:val="center"/>
            <w:hideMark/>
          </w:tcPr>
          <w:p w14:paraId="4311E0FF"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kern w:val="2"/>
                <w:sz w:val="16"/>
                <w:szCs w:val="16"/>
                <w:lang w:eastAsia="ja-JP"/>
              </w:rPr>
              <w:t>15</w:t>
            </w:r>
          </w:p>
        </w:tc>
        <w:tc>
          <w:tcPr>
            <w:tcW w:w="663" w:type="dxa"/>
            <w:vAlign w:val="center"/>
            <w:hideMark/>
          </w:tcPr>
          <w:p w14:paraId="1FF17C51"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kern w:val="2"/>
                <w:sz w:val="16"/>
                <w:szCs w:val="16"/>
                <w:lang w:val="en-US" w:eastAsia="ja-JP"/>
              </w:rPr>
              <w:t>18</w:t>
            </w:r>
          </w:p>
        </w:tc>
        <w:tc>
          <w:tcPr>
            <w:tcW w:w="571" w:type="dxa"/>
            <w:vAlign w:val="center"/>
            <w:hideMark/>
          </w:tcPr>
          <w:p w14:paraId="0E3AF590"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kern w:val="2"/>
                <w:sz w:val="16"/>
                <w:szCs w:val="16"/>
                <w:lang w:val="en-US" w:eastAsia="ja-JP"/>
              </w:rPr>
              <w:t>18</w:t>
            </w:r>
          </w:p>
        </w:tc>
        <w:tc>
          <w:tcPr>
            <w:tcW w:w="571" w:type="dxa"/>
            <w:vAlign w:val="center"/>
          </w:tcPr>
          <w:p w14:paraId="06EB4964"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Arial"/>
                <w:kern w:val="2"/>
                <w:sz w:val="16"/>
                <w:szCs w:val="16"/>
                <w:lang w:val="en-US" w:eastAsia="ja-JP"/>
              </w:rPr>
              <w:t>18</w:t>
            </w:r>
          </w:p>
        </w:tc>
        <w:tc>
          <w:tcPr>
            <w:tcW w:w="658" w:type="dxa"/>
            <w:vAlign w:val="center"/>
          </w:tcPr>
          <w:p w14:paraId="0B6B3E06"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kern w:val="2"/>
                <w:sz w:val="16"/>
                <w:szCs w:val="16"/>
                <w:lang w:val="en-US" w:eastAsia="ja-JP"/>
              </w:rPr>
              <w:t>18</w:t>
            </w:r>
          </w:p>
        </w:tc>
        <w:tc>
          <w:tcPr>
            <w:tcW w:w="248" w:type="dxa"/>
            <w:shd w:val="clear" w:color="000000" w:fill="D9D9D9"/>
            <w:vAlign w:val="center"/>
            <w:hideMark/>
          </w:tcPr>
          <w:p w14:paraId="2C37249A"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p>
        </w:tc>
        <w:tc>
          <w:tcPr>
            <w:tcW w:w="702" w:type="dxa"/>
            <w:vAlign w:val="center"/>
          </w:tcPr>
          <w:p w14:paraId="5A83F92B"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kern w:val="2"/>
                <w:sz w:val="16"/>
                <w:szCs w:val="16"/>
                <w:lang w:val="en-US" w:eastAsia="ja-JP"/>
              </w:rPr>
              <w:t>1950</w:t>
            </w:r>
          </w:p>
        </w:tc>
        <w:tc>
          <w:tcPr>
            <w:tcW w:w="604" w:type="dxa"/>
            <w:vAlign w:val="center"/>
            <w:hideMark/>
          </w:tcPr>
          <w:p w14:paraId="13FABC91"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kern w:val="2"/>
                <w:sz w:val="16"/>
                <w:szCs w:val="16"/>
                <w:lang w:eastAsia="ja-JP"/>
              </w:rPr>
              <w:t>1950</w:t>
            </w:r>
          </w:p>
        </w:tc>
        <w:tc>
          <w:tcPr>
            <w:tcW w:w="800" w:type="dxa"/>
            <w:vAlign w:val="center"/>
            <w:hideMark/>
          </w:tcPr>
          <w:p w14:paraId="1520C744"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kern w:val="2"/>
                <w:sz w:val="16"/>
                <w:szCs w:val="16"/>
                <w:lang w:eastAsia="ja-JP"/>
              </w:rPr>
              <w:t>1950</w:t>
            </w:r>
          </w:p>
        </w:tc>
        <w:tc>
          <w:tcPr>
            <w:tcW w:w="709" w:type="dxa"/>
            <w:vAlign w:val="center"/>
            <w:hideMark/>
          </w:tcPr>
          <w:p w14:paraId="25894536"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kern w:val="2"/>
                <w:sz w:val="16"/>
                <w:szCs w:val="16"/>
                <w:lang w:val="en-US" w:eastAsia="ja-JP"/>
              </w:rPr>
              <w:t>2340</w:t>
            </w:r>
          </w:p>
        </w:tc>
        <w:tc>
          <w:tcPr>
            <w:tcW w:w="727" w:type="dxa"/>
            <w:vAlign w:val="center"/>
            <w:hideMark/>
          </w:tcPr>
          <w:p w14:paraId="1E30E35D"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kern w:val="2"/>
                <w:sz w:val="16"/>
                <w:szCs w:val="16"/>
                <w:lang w:val="en-US" w:eastAsia="ja-JP"/>
              </w:rPr>
              <w:t>2340</w:t>
            </w:r>
          </w:p>
        </w:tc>
        <w:tc>
          <w:tcPr>
            <w:tcW w:w="822" w:type="dxa"/>
            <w:vAlign w:val="center"/>
            <w:hideMark/>
          </w:tcPr>
          <w:p w14:paraId="548F29D8"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Arial"/>
                <w:kern w:val="2"/>
                <w:sz w:val="16"/>
                <w:szCs w:val="16"/>
                <w:lang w:val="en-US" w:eastAsia="ja-JP"/>
              </w:rPr>
              <w:t>2340</w:t>
            </w:r>
          </w:p>
        </w:tc>
        <w:tc>
          <w:tcPr>
            <w:tcW w:w="1026" w:type="dxa"/>
            <w:tcBorders>
              <w:right w:val="single" w:sz="12" w:space="0" w:color="000000"/>
            </w:tcBorders>
            <w:vAlign w:val="center"/>
          </w:tcPr>
          <w:p w14:paraId="1345331D"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Arial"/>
                <w:kern w:val="2"/>
                <w:sz w:val="16"/>
                <w:szCs w:val="16"/>
                <w:lang w:val="en-US" w:eastAsia="ja-JP"/>
              </w:rPr>
              <w:t>2340</w:t>
            </w:r>
          </w:p>
        </w:tc>
      </w:tr>
      <w:tr w:rsidR="002962EE" w:rsidRPr="00F0379B" w14:paraId="0D1D8134" w14:textId="77777777" w:rsidTr="00084782">
        <w:trPr>
          <w:trHeight w:val="23"/>
        </w:trPr>
        <w:tc>
          <w:tcPr>
            <w:tcW w:w="3420" w:type="dxa"/>
            <w:tcBorders>
              <w:left w:val="single" w:sz="12" w:space="0" w:color="000000"/>
            </w:tcBorders>
            <w:vAlign w:val="center"/>
            <w:hideMark/>
          </w:tcPr>
          <w:p w14:paraId="40B74116" w14:textId="77777777" w:rsidR="002962EE" w:rsidRPr="00F0379B" w:rsidRDefault="002962EE" w:rsidP="00084782">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Pequeños barcos costeros</w:t>
            </w:r>
          </w:p>
        </w:tc>
        <w:tc>
          <w:tcPr>
            <w:tcW w:w="1396" w:type="dxa"/>
            <w:noWrap/>
            <w:vAlign w:val="center"/>
            <w:hideMark/>
          </w:tcPr>
          <w:p w14:paraId="5148B126"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N/A</w:t>
            </w:r>
          </w:p>
        </w:tc>
        <w:tc>
          <w:tcPr>
            <w:tcW w:w="661" w:type="dxa"/>
            <w:vAlign w:val="center"/>
          </w:tcPr>
          <w:p w14:paraId="6CC0D592"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kern w:val="2"/>
                <w:sz w:val="16"/>
                <w:szCs w:val="16"/>
                <w:lang w:eastAsia="ja-JP"/>
              </w:rPr>
              <w:t>0</w:t>
            </w:r>
          </w:p>
        </w:tc>
        <w:tc>
          <w:tcPr>
            <w:tcW w:w="571" w:type="dxa"/>
            <w:noWrap/>
            <w:vAlign w:val="center"/>
            <w:hideMark/>
          </w:tcPr>
          <w:p w14:paraId="3CCE28EB"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kern w:val="2"/>
                <w:sz w:val="16"/>
                <w:szCs w:val="16"/>
                <w:lang w:eastAsia="ja-JP"/>
              </w:rPr>
              <w:t>0</w:t>
            </w:r>
          </w:p>
        </w:tc>
        <w:tc>
          <w:tcPr>
            <w:tcW w:w="660" w:type="dxa"/>
            <w:vAlign w:val="center"/>
            <w:hideMark/>
          </w:tcPr>
          <w:p w14:paraId="4C0481FB"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kern w:val="2"/>
                <w:sz w:val="16"/>
                <w:szCs w:val="16"/>
                <w:lang w:eastAsia="ja-JP"/>
              </w:rPr>
              <w:t>0</w:t>
            </w:r>
          </w:p>
        </w:tc>
        <w:tc>
          <w:tcPr>
            <w:tcW w:w="663" w:type="dxa"/>
            <w:vAlign w:val="center"/>
            <w:hideMark/>
          </w:tcPr>
          <w:p w14:paraId="63FB6661"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kern w:val="2"/>
                <w:sz w:val="16"/>
                <w:szCs w:val="16"/>
                <w:lang w:val="en-US" w:eastAsia="ja-JP"/>
              </w:rPr>
              <w:t>0</w:t>
            </w:r>
          </w:p>
        </w:tc>
        <w:tc>
          <w:tcPr>
            <w:tcW w:w="571" w:type="dxa"/>
            <w:vAlign w:val="center"/>
            <w:hideMark/>
          </w:tcPr>
          <w:p w14:paraId="3E937C2B"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Arial"/>
                <w:kern w:val="2"/>
                <w:sz w:val="16"/>
                <w:szCs w:val="16"/>
                <w:lang w:val="en-US" w:eastAsia="ja-JP"/>
              </w:rPr>
              <w:t>0</w:t>
            </w:r>
          </w:p>
        </w:tc>
        <w:tc>
          <w:tcPr>
            <w:tcW w:w="571" w:type="dxa"/>
            <w:vAlign w:val="center"/>
          </w:tcPr>
          <w:p w14:paraId="3B0F4ACC"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Arial"/>
                <w:kern w:val="2"/>
                <w:sz w:val="16"/>
                <w:szCs w:val="16"/>
                <w:lang w:val="en-US" w:eastAsia="ja-JP"/>
              </w:rPr>
              <w:t>0</w:t>
            </w:r>
          </w:p>
        </w:tc>
        <w:tc>
          <w:tcPr>
            <w:tcW w:w="658" w:type="dxa"/>
            <w:vAlign w:val="center"/>
          </w:tcPr>
          <w:p w14:paraId="54B55165"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kern w:val="2"/>
                <w:sz w:val="16"/>
                <w:szCs w:val="16"/>
                <w:lang w:val="en-US" w:eastAsia="ja-JP"/>
              </w:rPr>
              <w:t>0</w:t>
            </w:r>
          </w:p>
        </w:tc>
        <w:tc>
          <w:tcPr>
            <w:tcW w:w="248" w:type="dxa"/>
            <w:shd w:val="clear" w:color="000000" w:fill="D9D9D9"/>
            <w:vAlign w:val="center"/>
            <w:hideMark/>
          </w:tcPr>
          <w:p w14:paraId="4B006F00"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p>
        </w:tc>
        <w:tc>
          <w:tcPr>
            <w:tcW w:w="702" w:type="dxa"/>
            <w:vAlign w:val="center"/>
          </w:tcPr>
          <w:p w14:paraId="6AAF2EA3"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kern w:val="2"/>
                <w:sz w:val="16"/>
                <w:szCs w:val="16"/>
                <w:lang w:eastAsia="ja-JP"/>
              </w:rPr>
              <w:t>0</w:t>
            </w:r>
          </w:p>
        </w:tc>
        <w:tc>
          <w:tcPr>
            <w:tcW w:w="604" w:type="dxa"/>
            <w:vAlign w:val="center"/>
            <w:hideMark/>
          </w:tcPr>
          <w:p w14:paraId="5D9D02AC"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kern w:val="2"/>
                <w:sz w:val="16"/>
                <w:szCs w:val="16"/>
                <w:lang w:eastAsia="ja-JP"/>
              </w:rPr>
              <w:t>0</w:t>
            </w:r>
          </w:p>
        </w:tc>
        <w:tc>
          <w:tcPr>
            <w:tcW w:w="800" w:type="dxa"/>
            <w:vAlign w:val="center"/>
            <w:hideMark/>
          </w:tcPr>
          <w:p w14:paraId="6B7C6A0E"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kern w:val="2"/>
                <w:sz w:val="16"/>
                <w:szCs w:val="16"/>
                <w:lang w:eastAsia="ja-JP"/>
              </w:rPr>
              <w:t>0</w:t>
            </w:r>
          </w:p>
        </w:tc>
        <w:tc>
          <w:tcPr>
            <w:tcW w:w="709" w:type="dxa"/>
            <w:vAlign w:val="center"/>
            <w:hideMark/>
          </w:tcPr>
          <w:p w14:paraId="1EFD98AB"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kern w:val="2"/>
                <w:sz w:val="16"/>
                <w:szCs w:val="16"/>
                <w:lang w:val="en-US" w:eastAsia="ja-JP"/>
              </w:rPr>
              <w:t>0</w:t>
            </w:r>
          </w:p>
        </w:tc>
        <w:tc>
          <w:tcPr>
            <w:tcW w:w="727" w:type="dxa"/>
            <w:vAlign w:val="center"/>
            <w:hideMark/>
          </w:tcPr>
          <w:p w14:paraId="01D69C16"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Arial"/>
                <w:kern w:val="2"/>
                <w:sz w:val="16"/>
                <w:szCs w:val="16"/>
                <w:lang w:val="en-US" w:eastAsia="ja-JP"/>
              </w:rPr>
              <w:t>0</w:t>
            </w:r>
          </w:p>
        </w:tc>
        <w:tc>
          <w:tcPr>
            <w:tcW w:w="822" w:type="dxa"/>
            <w:vAlign w:val="center"/>
            <w:hideMark/>
          </w:tcPr>
          <w:p w14:paraId="212EA1CE"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Arial"/>
                <w:kern w:val="2"/>
                <w:sz w:val="16"/>
                <w:szCs w:val="16"/>
                <w:lang w:val="en-US" w:eastAsia="ja-JP"/>
              </w:rPr>
              <w:t>0</w:t>
            </w:r>
          </w:p>
        </w:tc>
        <w:tc>
          <w:tcPr>
            <w:tcW w:w="1026" w:type="dxa"/>
            <w:tcBorders>
              <w:right w:val="single" w:sz="12" w:space="0" w:color="000000"/>
            </w:tcBorders>
            <w:vAlign w:val="center"/>
          </w:tcPr>
          <w:p w14:paraId="15021CF4"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Arial"/>
                <w:kern w:val="2"/>
                <w:sz w:val="16"/>
                <w:szCs w:val="16"/>
                <w:lang w:val="en-US" w:eastAsia="ja-JP"/>
              </w:rPr>
              <w:t>0</w:t>
            </w:r>
          </w:p>
        </w:tc>
      </w:tr>
      <w:tr w:rsidR="002962EE" w:rsidRPr="00F0379B" w14:paraId="498A8B7F" w14:textId="77777777" w:rsidTr="00084782">
        <w:trPr>
          <w:trHeight w:val="23"/>
        </w:trPr>
        <w:tc>
          <w:tcPr>
            <w:tcW w:w="3420" w:type="dxa"/>
            <w:tcBorders>
              <w:left w:val="single" w:sz="12" w:space="0" w:color="000000"/>
            </w:tcBorders>
            <w:vAlign w:val="center"/>
            <w:hideMark/>
          </w:tcPr>
          <w:p w14:paraId="3FF26316" w14:textId="77777777" w:rsidR="002962EE" w:rsidRPr="00F0379B" w:rsidRDefault="002962EE" w:rsidP="00084782">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Otros (especificar)</w:t>
            </w:r>
          </w:p>
        </w:tc>
        <w:tc>
          <w:tcPr>
            <w:tcW w:w="1396" w:type="dxa"/>
            <w:noWrap/>
            <w:vAlign w:val="center"/>
            <w:hideMark/>
          </w:tcPr>
          <w:p w14:paraId="50D00980"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w:t>
            </w:r>
          </w:p>
        </w:tc>
        <w:tc>
          <w:tcPr>
            <w:tcW w:w="661" w:type="dxa"/>
            <w:vAlign w:val="center"/>
          </w:tcPr>
          <w:p w14:paraId="58094A6A"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571" w:type="dxa"/>
            <w:noWrap/>
            <w:vAlign w:val="center"/>
          </w:tcPr>
          <w:p w14:paraId="7778B951"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p>
        </w:tc>
        <w:tc>
          <w:tcPr>
            <w:tcW w:w="660" w:type="dxa"/>
            <w:vAlign w:val="center"/>
          </w:tcPr>
          <w:p w14:paraId="6D6A5F72"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p>
        </w:tc>
        <w:tc>
          <w:tcPr>
            <w:tcW w:w="663" w:type="dxa"/>
            <w:vAlign w:val="center"/>
          </w:tcPr>
          <w:p w14:paraId="24DC7E8B"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p>
        </w:tc>
        <w:tc>
          <w:tcPr>
            <w:tcW w:w="571" w:type="dxa"/>
            <w:vAlign w:val="center"/>
          </w:tcPr>
          <w:p w14:paraId="39EF6427"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p>
        </w:tc>
        <w:tc>
          <w:tcPr>
            <w:tcW w:w="571" w:type="dxa"/>
            <w:vAlign w:val="center"/>
          </w:tcPr>
          <w:p w14:paraId="2FE1F4DA"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p>
        </w:tc>
        <w:tc>
          <w:tcPr>
            <w:tcW w:w="658" w:type="dxa"/>
            <w:vAlign w:val="center"/>
          </w:tcPr>
          <w:p w14:paraId="0A7B0A05"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p>
        </w:tc>
        <w:tc>
          <w:tcPr>
            <w:tcW w:w="248" w:type="dxa"/>
            <w:shd w:val="clear" w:color="000000" w:fill="D9D9D9"/>
            <w:vAlign w:val="center"/>
            <w:hideMark/>
          </w:tcPr>
          <w:p w14:paraId="2D3C057C"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p>
        </w:tc>
        <w:tc>
          <w:tcPr>
            <w:tcW w:w="702" w:type="dxa"/>
            <w:vAlign w:val="center"/>
          </w:tcPr>
          <w:p w14:paraId="72AB2B34"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entury"/>
                <w:kern w:val="2"/>
                <w:sz w:val="16"/>
                <w:szCs w:val="16"/>
                <w:lang w:val="en-US" w:eastAsia="ja-JP"/>
              </w:rPr>
              <w:t>80</w:t>
            </w:r>
          </w:p>
        </w:tc>
        <w:tc>
          <w:tcPr>
            <w:tcW w:w="604" w:type="dxa"/>
            <w:vAlign w:val="center"/>
            <w:hideMark/>
          </w:tcPr>
          <w:p w14:paraId="2BA55CD5"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kern w:val="2"/>
                <w:sz w:val="16"/>
                <w:szCs w:val="16"/>
                <w:lang w:val="en-US" w:eastAsia="ja-JP"/>
              </w:rPr>
              <w:t>80</w:t>
            </w:r>
          </w:p>
        </w:tc>
        <w:tc>
          <w:tcPr>
            <w:tcW w:w="800" w:type="dxa"/>
            <w:vAlign w:val="center"/>
            <w:hideMark/>
          </w:tcPr>
          <w:p w14:paraId="01E7236F"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kern w:val="2"/>
                <w:sz w:val="16"/>
                <w:szCs w:val="16"/>
                <w:lang w:val="en-US" w:eastAsia="ja-JP"/>
              </w:rPr>
              <w:t>309</w:t>
            </w:r>
          </w:p>
        </w:tc>
        <w:tc>
          <w:tcPr>
            <w:tcW w:w="709" w:type="dxa"/>
            <w:vAlign w:val="center"/>
            <w:hideMark/>
          </w:tcPr>
          <w:p w14:paraId="1B471AD0"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kern w:val="2"/>
                <w:sz w:val="16"/>
                <w:szCs w:val="16"/>
                <w:lang w:val="en-US" w:eastAsia="ja-JP"/>
              </w:rPr>
              <w:t>524</w:t>
            </w:r>
          </w:p>
        </w:tc>
        <w:tc>
          <w:tcPr>
            <w:tcW w:w="727" w:type="dxa"/>
            <w:vAlign w:val="center"/>
            <w:hideMark/>
          </w:tcPr>
          <w:p w14:paraId="11DC6DF7"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kern w:val="2"/>
                <w:sz w:val="16"/>
                <w:szCs w:val="16"/>
                <w:lang w:val="en-US" w:eastAsia="ja-JP"/>
              </w:rPr>
              <w:t>490</w:t>
            </w:r>
          </w:p>
        </w:tc>
        <w:tc>
          <w:tcPr>
            <w:tcW w:w="822" w:type="dxa"/>
            <w:vAlign w:val="center"/>
            <w:hideMark/>
          </w:tcPr>
          <w:p w14:paraId="50736363"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Arial"/>
                <w:kern w:val="2"/>
                <w:sz w:val="16"/>
                <w:szCs w:val="16"/>
                <w:lang w:val="en-US" w:eastAsia="ja-JP"/>
              </w:rPr>
              <w:t>510</w:t>
            </w:r>
          </w:p>
        </w:tc>
        <w:tc>
          <w:tcPr>
            <w:tcW w:w="1026" w:type="dxa"/>
            <w:tcBorders>
              <w:right w:val="single" w:sz="12" w:space="0" w:color="000000"/>
            </w:tcBorders>
            <w:vAlign w:val="center"/>
          </w:tcPr>
          <w:p w14:paraId="75B8B1D1"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Arial"/>
                <w:kern w:val="2"/>
                <w:sz w:val="16"/>
                <w:szCs w:val="16"/>
                <w:lang w:val="en-US" w:eastAsia="ja-JP"/>
              </w:rPr>
              <w:t>632,09</w:t>
            </w:r>
          </w:p>
        </w:tc>
      </w:tr>
      <w:tr w:rsidR="002962EE" w:rsidRPr="00F0379B" w14:paraId="4A36B505" w14:textId="77777777" w:rsidTr="00084782">
        <w:trPr>
          <w:trHeight w:val="23"/>
        </w:trPr>
        <w:tc>
          <w:tcPr>
            <w:tcW w:w="3420" w:type="dxa"/>
            <w:tcBorders>
              <w:left w:val="single" w:sz="12" w:space="0" w:color="000000"/>
              <w:bottom w:val="single" w:sz="12" w:space="0" w:color="000000"/>
            </w:tcBorders>
            <w:noWrap/>
            <w:vAlign w:val="center"/>
            <w:hideMark/>
          </w:tcPr>
          <w:p w14:paraId="6316689E" w14:textId="77777777" w:rsidR="002962EE" w:rsidRPr="00F0379B" w:rsidRDefault="002962EE" w:rsidP="00084782">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Capacidad pesquera/flota total</w:t>
            </w:r>
          </w:p>
        </w:tc>
        <w:tc>
          <w:tcPr>
            <w:tcW w:w="1396" w:type="dxa"/>
            <w:tcBorders>
              <w:bottom w:val="single" w:sz="12" w:space="0" w:color="000000"/>
            </w:tcBorders>
            <w:noWrap/>
            <w:vAlign w:val="center"/>
            <w:hideMark/>
          </w:tcPr>
          <w:p w14:paraId="6DB85B4C" w14:textId="77777777" w:rsidR="002962EE" w:rsidRPr="00F0379B" w:rsidRDefault="002962EE" w:rsidP="00084782">
            <w:pPr>
              <w:spacing w:after="0" w:line="240" w:lineRule="auto"/>
              <w:jc w:val="right"/>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 </w:t>
            </w:r>
          </w:p>
        </w:tc>
        <w:tc>
          <w:tcPr>
            <w:tcW w:w="661" w:type="dxa"/>
            <w:tcBorders>
              <w:bottom w:val="single" w:sz="12" w:space="0" w:color="000000"/>
            </w:tcBorders>
            <w:vAlign w:val="center"/>
          </w:tcPr>
          <w:p w14:paraId="54937402"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entury"/>
                <w:b/>
                <w:kern w:val="2"/>
                <w:sz w:val="16"/>
                <w:szCs w:val="16"/>
                <w:lang w:val="en-US" w:eastAsia="ja-JP"/>
              </w:rPr>
              <w:t>19</w:t>
            </w:r>
          </w:p>
        </w:tc>
        <w:tc>
          <w:tcPr>
            <w:tcW w:w="571" w:type="dxa"/>
            <w:tcBorders>
              <w:bottom w:val="single" w:sz="12" w:space="0" w:color="000000"/>
            </w:tcBorders>
            <w:noWrap/>
            <w:vAlign w:val="center"/>
            <w:hideMark/>
          </w:tcPr>
          <w:p w14:paraId="37D6653E"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b/>
                <w:kern w:val="2"/>
                <w:sz w:val="16"/>
                <w:szCs w:val="16"/>
                <w:lang w:val="en-US" w:eastAsia="ja-JP"/>
              </w:rPr>
              <w:t>19</w:t>
            </w:r>
          </w:p>
        </w:tc>
        <w:tc>
          <w:tcPr>
            <w:tcW w:w="660" w:type="dxa"/>
            <w:tcBorders>
              <w:bottom w:val="single" w:sz="12" w:space="0" w:color="000000"/>
            </w:tcBorders>
            <w:vAlign w:val="center"/>
            <w:hideMark/>
          </w:tcPr>
          <w:p w14:paraId="36F6C04F"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kern w:val="2"/>
                <w:sz w:val="16"/>
                <w:szCs w:val="16"/>
                <w:lang w:val="en-US" w:eastAsia="ja-JP"/>
              </w:rPr>
              <w:t>17</w:t>
            </w:r>
          </w:p>
        </w:tc>
        <w:tc>
          <w:tcPr>
            <w:tcW w:w="663" w:type="dxa"/>
            <w:tcBorders>
              <w:bottom w:val="single" w:sz="12" w:space="0" w:color="000000"/>
            </w:tcBorders>
            <w:vAlign w:val="center"/>
            <w:hideMark/>
          </w:tcPr>
          <w:p w14:paraId="333C66CC"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b/>
                <w:kern w:val="2"/>
                <w:sz w:val="16"/>
                <w:szCs w:val="16"/>
                <w:lang w:val="en-US" w:eastAsia="ja-JP"/>
              </w:rPr>
              <w:t>22</w:t>
            </w:r>
          </w:p>
        </w:tc>
        <w:tc>
          <w:tcPr>
            <w:tcW w:w="571" w:type="dxa"/>
            <w:tcBorders>
              <w:bottom w:val="single" w:sz="12" w:space="0" w:color="000000"/>
            </w:tcBorders>
            <w:vAlign w:val="center"/>
            <w:hideMark/>
          </w:tcPr>
          <w:p w14:paraId="2F40809E"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Arial"/>
                <w:b/>
                <w:kern w:val="2"/>
                <w:sz w:val="16"/>
                <w:szCs w:val="16"/>
                <w:lang w:val="en-US" w:eastAsia="ja-JP"/>
              </w:rPr>
              <w:t>23</w:t>
            </w:r>
          </w:p>
        </w:tc>
        <w:tc>
          <w:tcPr>
            <w:tcW w:w="571" w:type="dxa"/>
            <w:tcBorders>
              <w:bottom w:val="single" w:sz="12" w:space="0" w:color="000000"/>
            </w:tcBorders>
            <w:vAlign w:val="center"/>
          </w:tcPr>
          <w:p w14:paraId="58930570"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Arial"/>
                <w:b/>
                <w:kern w:val="2"/>
                <w:sz w:val="16"/>
                <w:szCs w:val="16"/>
                <w:lang w:val="en-US" w:eastAsia="ja-JP"/>
              </w:rPr>
              <w:t>23</w:t>
            </w:r>
          </w:p>
        </w:tc>
        <w:tc>
          <w:tcPr>
            <w:tcW w:w="658" w:type="dxa"/>
            <w:tcBorders>
              <w:bottom w:val="single" w:sz="12" w:space="0" w:color="000000"/>
            </w:tcBorders>
            <w:vAlign w:val="center"/>
          </w:tcPr>
          <w:p w14:paraId="1B4483F0"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kern w:val="2"/>
                <w:sz w:val="16"/>
                <w:szCs w:val="16"/>
                <w:lang w:val="en-US" w:eastAsia="ja-JP"/>
              </w:rPr>
              <w:t>26</w:t>
            </w:r>
          </w:p>
        </w:tc>
        <w:tc>
          <w:tcPr>
            <w:tcW w:w="248" w:type="dxa"/>
            <w:tcBorders>
              <w:bottom w:val="single" w:sz="12" w:space="0" w:color="000000"/>
            </w:tcBorders>
            <w:shd w:val="clear" w:color="000000" w:fill="D9D9D9"/>
            <w:vAlign w:val="center"/>
            <w:hideMark/>
          </w:tcPr>
          <w:p w14:paraId="2E865765"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p>
        </w:tc>
        <w:tc>
          <w:tcPr>
            <w:tcW w:w="702" w:type="dxa"/>
            <w:tcBorders>
              <w:bottom w:val="single" w:sz="12" w:space="0" w:color="000000"/>
            </w:tcBorders>
            <w:vAlign w:val="center"/>
          </w:tcPr>
          <w:p w14:paraId="72D382EC"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entury"/>
                <w:b/>
                <w:bCs/>
                <w:kern w:val="2"/>
                <w:sz w:val="16"/>
                <w:szCs w:val="16"/>
                <w:lang w:val="en-US" w:eastAsia="ja-JP"/>
              </w:rPr>
              <w:t>2250</w:t>
            </w:r>
          </w:p>
        </w:tc>
        <w:tc>
          <w:tcPr>
            <w:tcW w:w="604" w:type="dxa"/>
            <w:tcBorders>
              <w:bottom w:val="single" w:sz="12" w:space="0" w:color="000000"/>
            </w:tcBorders>
            <w:vAlign w:val="center"/>
            <w:hideMark/>
          </w:tcPr>
          <w:p w14:paraId="375291A5"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b/>
                <w:bCs/>
                <w:kern w:val="2"/>
                <w:sz w:val="16"/>
                <w:szCs w:val="16"/>
                <w:lang w:val="en-US" w:eastAsia="ja-JP"/>
              </w:rPr>
              <w:t>2250</w:t>
            </w:r>
          </w:p>
        </w:tc>
        <w:tc>
          <w:tcPr>
            <w:tcW w:w="800" w:type="dxa"/>
            <w:tcBorders>
              <w:bottom w:val="single" w:sz="12" w:space="0" w:color="000000"/>
            </w:tcBorders>
            <w:vAlign w:val="center"/>
            <w:hideMark/>
          </w:tcPr>
          <w:p w14:paraId="75AA2ECB"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bCs/>
                <w:kern w:val="2"/>
                <w:sz w:val="16"/>
                <w:szCs w:val="16"/>
                <w:lang w:val="en-US" w:eastAsia="ja-JP"/>
              </w:rPr>
              <w:t>2400,3</w:t>
            </w:r>
          </w:p>
        </w:tc>
        <w:tc>
          <w:tcPr>
            <w:tcW w:w="709" w:type="dxa"/>
            <w:tcBorders>
              <w:bottom w:val="single" w:sz="12" w:space="0" w:color="000000"/>
            </w:tcBorders>
            <w:noWrap/>
            <w:vAlign w:val="center"/>
            <w:hideMark/>
          </w:tcPr>
          <w:p w14:paraId="1CD2295E"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bCs/>
                <w:kern w:val="2"/>
                <w:sz w:val="16"/>
                <w:szCs w:val="16"/>
                <w:lang w:val="en-US" w:eastAsia="ja-JP"/>
              </w:rPr>
              <w:t>3147</w:t>
            </w:r>
          </w:p>
        </w:tc>
        <w:tc>
          <w:tcPr>
            <w:tcW w:w="727" w:type="dxa"/>
            <w:tcBorders>
              <w:bottom w:val="single" w:sz="12" w:space="0" w:color="000000"/>
            </w:tcBorders>
            <w:noWrap/>
            <w:vAlign w:val="center"/>
            <w:hideMark/>
          </w:tcPr>
          <w:p w14:paraId="4589CC4C"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bCs/>
                <w:kern w:val="2"/>
                <w:sz w:val="16"/>
                <w:szCs w:val="16"/>
                <w:lang w:val="en-US" w:eastAsia="ja-JP"/>
              </w:rPr>
              <w:t>3162,4</w:t>
            </w:r>
          </w:p>
        </w:tc>
        <w:tc>
          <w:tcPr>
            <w:tcW w:w="822" w:type="dxa"/>
            <w:tcBorders>
              <w:bottom w:val="single" w:sz="12" w:space="0" w:color="000000"/>
            </w:tcBorders>
            <w:noWrap/>
            <w:vAlign w:val="center"/>
            <w:hideMark/>
          </w:tcPr>
          <w:p w14:paraId="526F4E95"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entury"/>
                <w:b/>
                <w:kern w:val="2"/>
                <w:sz w:val="16"/>
                <w:szCs w:val="16"/>
                <w:lang w:val="en-US" w:eastAsia="ja-JP"/>
              </w:rPr>
              <w:t>3182,42</w:t>
            </w:r>
          </w:p>
        </w:tc>
        <w:tc>
          <w:tcPr>
            <w:tcW w:w="1026" w:type="dxa"/>
            <w:tcBorders>
              <w:bottom w:val="single" w:sz="12" w:space="0" w:color="000000"/>
              <w:right w:val="single" w:sz="12" w:space="0" w:color="000000"/>
            </w:tcBorders>
            <w:vAlign w:val="center"/>
          </w:tcPr>
          <w:p w14:paraId="13269534"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entury"/>
                <w:b/>
                <w:kern w:val="2"/>
                <w:sz w:val="16"/>
                <w:szCs w:val="16"/>
                <w:lang w:val="en-US" w:eastAsia="ja-JP"/>
              </w:rPr>
              <w:t>3409,75</w:t>
            </w:r>
          </w:p>
        </w:tc>
      </w:tr>
      <w:tr w:rsidR="002962EE" w:rsidRPr="00F0379B" w14:paraId="591119BB" w14:textId="77777777" w:rsidTr="00084782">
        <w:trPr>
          <w:trHeight w:val="23"/>
        </w:trPr>
        <w:tc>
          <w:tcPr>
            <w:tcW w:w="3420" w:type="dxa"/>
            <w:tcBorders>
              <w:top w:val="single" w:sz="12" w:space="0" w:color="000000"/>
              <w:left w:val="single" w:sz="12" w:space="0" w:color="000000"/>
            </w:tcBorders>
            <w:shd w:val="clear" w:color="auto" w:fill="D9D9D9"/>
            <w:noWrap/>
            <w:vAlign w:val="center"/>
            <w:hideMark/>
          </w:tcPr>
          <w:p w14:paraId="2FCB6572" w14:textId="77777777" w:rsidR="002962EE" w:rsidRPr="00F0379B" w:rsidRDefault="002962EE" w:rsidP="00084782">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inicial</w:t>
            </w:r>
          </w:p>
        </w:tc>
        <w:tc>
          <w:tcPr>
            <w:tcW w:w="1396" w:type="dxa"/>
            <w:tcBorders>
              <w:top w:val="single" w:sz="12" w:space="0" w:color="000000"/>
            </w:tcBorders>
            <w:shd w:val="clear" w:color="auto" w:fill="D9D9D9"/>
            <w:noWrap/>
            <w:vAlign w:val="center"/>
            <w:hideMark/>
          </w:tcPr>
          <w:p w14:paraId="28FF9E15" w14:textId="77777777" w:rsidR="002962EE" w:rsidRPr="00F0379B" w:rsidRDefault="002962EE" w:rsidP="00084782">
            <w:pPr>
              <w:spacing w:after="0" w:line="240" w:lineRule="auto"/>
              <w:jc w:val="right"/>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 </w:t>
            </w:r>
          </w:p>
        </w:tc>
        <w:tc>
          <w:tcPr>
            <w:tcW w:w="661" w:type="dxa"/>
            <w:tcBorders>
              <w:top w:val="single" w:sz="12" w:space="0" w:color="000000"/>
            </w:tcBorders>
            <w:shd w:val="clear" w:color="auto" w:fill="D9D9D9"/>
            <w:vAlign w:val="center"/>
          </w:tcPr>
          <w:p w14:paraId="71605308"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571" w:type="dxa"/>
            <w:tcBorders>
              <w:top w:val="single" w:sz="12" w:space="0" w:color="000000"/>
            </w:tcBorders>
            <w:shd w:val="clear" w:color="auto" w:fill="D9D9D9"/>
            <w:noWrap/>
            <w:vAlign w:val="center"/>
            <w:hideMark/>
          </w:tcPr>
          <w:p w14:paraId="175E5E15"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660" w:type="dxa"/>
            <w:tcBorders>
              <w:top w:val="single" w:sz="12" w:space="0" w:color="000000"/>
            </w:tcBorders>
            <w:shd w:val="clear" w:color="auto" w:fill="D9D9D9"/>
            <w:vAlign w:val="center"/>
            <w:hideMark/>
          </w:tcPr>
          <w:p w14:paraId="1A4C0EFE"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663" w:type="dxa"/>
            <w:tcBorders>
              <w:top w:val="single" w:sz="12" w:space="0" w:color="000000"/>
            </w:tcBorders>
            <w:shd w:val="clear" w:color="auto" w:fill="D9D9D9"/>
            <w:vAlign w:val="center"/>
            <w:hideMark/>
          </w:tcPr>
          <w:p w14:paraId="72E7E510"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571" w:type="dxa"/>
            <w:tcBorders>
              <w:top w:val="single" w:sz="12" w:space="0" w:color="000000"/>
            </w:tcBorders>
            <w:shd w:val="clear" w:color="auto" w:fill="D9D9D9"/>
            <w:vAlign w:val="center"/>
            <w:hideMark/>
          </w:tcPr>
          <w:p w14:paraId="454B78E5"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571" w:type="dxa"/>
            <w:tcBorders>
              <w:top w:val="single" w:sz="12" w:space="0" w:color="000000"/>
            </w:tcBorders>
            <w:shd w:val="clear" w:color="auto" w:fill="D9D9D9"/>
            <w:vAlign w:val="center"/>
          </w:tcPr>
          <w:p w14:paraId="7B69BA30"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p>
        </w:tc>
        <w:tc>
          <w:tcPr>
            <w:tcW w:w="658" w:type="dxa"/>
            <w:tcBorders>
              <w:top w:val="single" w:sz="12" w:space="0" w:color="000000"/>
            </w:tcBorders>
            <w:shd w:val="clear" w:color="auto" w:fill="D9D9D9"/>
            <w:vAlign w:val="center"/>
          </w:tcPr>
          <w:p w14:paraId="2218AAD7"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p>
        </w:tc>
        <w:tc>
          <w:tcPr>
            <w:tcW w:w="248" w:type="dxa"/>
            <w:tcBorders>
              <w:top w:val="single" w:sz="12" w:space="0" w:color="000000"/>
            </w:tcBorders>
            <w:shd w:val="clear" w:color="auto" w:fill="D9D9D9"/>
            <w:vAlign w:val="center"/>
            <w:hideMark/>
          </w:tcPr>
          <w:p w14:paraId="275EC70F"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702" w:type="dxa"/>
            <w:tcBorders>
              <w:top w:val="single" w:sz="12" w:space="0" w:color="000000"/>
            </w:tcBorders>
            <w:shd w:val="clear" w:color="auto" w:fill="D9D9D9"/>
            <w:vAlign w:val="center"/>
          </w:tcPr>
          <w:p w14:paraId="7A0752D4"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alibri"/>
                <w:b/>
                <w:bCs/>
                <w:kern w:val="2"/>
                <w:sz w:val="16"/>
                <w:szCs w:val="16"/>
                <w:lang w:eastAsia="ja-JP"/>
              </w:rPr>
              <w:t>3177</w:t>
            </w:r>
          </w:p>
        </w:tc>
        <w:tc>
          <w:tcPr>
            <w:tcW w:w="604" w:type="dxa"/>
            <w:tcBorders>
              <w:top w:val="single" w:sz="12" w:space="0" w:color="000000"/>
            </w:tcBorders>
            <w:shd w:val="clear" w:color="auto" w:fill="D9D9D9"/>
            <w:vAlign w:val="center"/>
            <w:hideMark/>
          </w:tcPr>
          <w:p w14:paraId="06017AB1"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b/>
                <w:bCs/>
                <w:kern w:val="2"/>
                <w:sz w:val="16"/>
                <w:szCs w:val="16"/>
                <w:lang w:eastAsia="ja-JP"/>
              </w:rPr>
              <w:t>2729</w:t>
            </w:r>
          </w:p>
        </w:tc>
        <w:tc>
          <w:tcPr>
            <w:tcW w:w="800" w:type="dxa"/>
            <w:tcBorders>
              <w:top w:val="single" w:sz="12" w:space="0" w:color="000000"/>
            </w:tcBorders>
            <w:shd w:val="clear" w:color="auto" w:fill="D9D9D9"/>
            <w:vAlign w:val="center"/>
            <w:hideMark/>
          </w:tcPr>
          <w:p w14:paraId="01CC8C88"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b/>
                <w:bCs/>
                <w:kern w:val="2"/>
                <w:sz w:val="16"/>
                <w:szCs w:val="16"/>
                <w:lang w:eastAsia="ja-JP"/>
              </w:rPr>
              <w:t>2578</w:t>
            </w:r>
          </w:p>
        </w:tc>
        <w:tc>
          <w:tcPr>
            <w:tcW w:w="709" w:type="dxa"/>
            <w:tcBorders>
              <w:top w:val="single" w:sz="12" w:space="0" w:color="000000"/>
            </w:tcBorders>
            <w:shd w:val="clear" w:color="auto" w:fill="D9D9D9"/>
            <w:vAlign w:val="center"/>
            <w:hideMark/>
          </w:tcPr>
          <w:p w14:paraId="1F37E1AD"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b/>
                <w:bCs/>
                <w:kern w:val="2"/>
                <w:sz w:val="16"/>
                <w:szCs w:val="16"/>
                <w:lang w:val="en-US" w:eastAsia="ja-JP"/>
              </w:rPr>
              <w:t>3700</w:t>
            </w:r>
          </w:p>
        </w:tc>
        <w:tc>
          <w:tcPr>
            <w:tcW w:w="727" w:type="dxa"/>
            <w:tcBorders>
              <w:top w:val="single" w:sz="12" w:space="0" w:color="000000"/>
            </w:tcBorders>
            <w:shd w:val="clear" w:color="auto" w:fill="D9D9D9"/>
            <w:vAlign w:val="center"/>
            <w:hideMark/>
          </w:tcPr>
          <w:p w14:paraId="3DD95A08"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b/>
                <w:bCs/>
                <w:kern w:val="2"/>
                <w:sz w:val="16"/>
                <w:szCs w:val="16"/>
                <w:lang w:val="en-US" w:eastAsia="ja-JP"/>
              </w:rPr>
              <w:t>3700</w:t>
            </w:r>
          </w:p>
        </w:tc>
        <w:tc>
          <w:tcPr>
            <w:tcW w:w="822" w:type="dxa"/>
            <w:tcBorders>
              <w:top w:val="single" w:sz="12" w:space="0" w:color="000000"/>
            </w:tcBorders>
            <w:shd w:val="clear" w:color="auto" w:fill="D9D9D9"/>
            <w:vAlign w:val="center"/>
            <w:hideMark/>
          </w:tcPr>
          <w:p w14:paraId="565FA784"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Arial"/>
                <w:b/>
                <w:bCs/>
                <w:kern w:val="2"/>
                <w:sz w:val="16"/>
                <w:szCs w:val="16"/>
                <w:lang w:val="en-US" w:eastAsia="ja-JP"/>
              </w:rPr>
              <w:t>3700</w:t>
            </w:r>
          </w:p>
        </w:tc>
        <w:tc>
          <w:tcPr>
            <w:tcW w:w="1026" w:type="dxa"/>
            <w:tcBorders>
              <w:top w:val="single" w:sz="12" w:space="0" w:color="000000"/>
              <w:right w:val="single" w:sz="12" w:space="0" w:color="000000"/>
            </w:tcBorders>
            <w:shd w:val="clear" w:color="auto" w:fill="D9D9D9"/>
            <w:vAlign w:val="center"/>
          </w:tcPr>
          <w:p w14:paraId="2EAA5F27"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b/>
                <w:bCs/>
                <w:kern w:val="2"/>
                <w:sz w:val="16"/>
                <w:szCs w:val="16"/>
                <w:lang w:val="en-US" w:eastAsia="ja-JP"/>
              </w:rPr>
              <w:t>4379,47</w:t>
            </w:r>
          </w:p>
        </w:tc>
      </w:tr>
      <w:tr w:rsidR="002962EE" w:rsidRPr="00F0379B" w14:paraId="165D5D5A" w14:textId="77777777" w:rsidTr="00084782">
        <w:trPr>
          <w:trHeight w:val="23"/>
        </w:trPr>
        <w:tc>
          <w:tcPr>
            <w:tcW w:w="3420" w:type="dxa"/>
            <w:tcBorders>
              <w:left w:val="single" w:sz="12" w:space="0" w:color="000000"/>
              <w:bottom w:val="single" w:sz="12" w:space="0" w:color="000000"/>
            </w:tcBorders>
            <w:shd w:val="clear" w:color="auto" w:fill="D9D9D9"/>
            <w:noWrap/>
            <w:vAlign w:val="center"/>
          </w:tcPr>
          <w:p w14:paraId="00150E7A" w14:textId="77777777" w:rsidR="002962EE" w:rsidRPr="00F0379B" w:rsidRDefault="002962EE" w:rsidP="00084782">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ajustada (si procede)</w:t>
            </w:r>
          </w:p>
        </w:tc>
        <w:tc>
          <w:tcPr>
            <w:tcW w:w="1396" w:type="dxa"/>
            <w:tcBorders>
              <w:bottom w:val="single" w:sz="12" w:space="0" w:color="000000"/>
            </w:tcBorders>
            <w:shd w:val="clear" w:color="auto" w:fill="D9D9D9"/>
            <w:noWrap/>
            <w:vAlign w:val="center"/>
          </w:tcPr>
          <w:p w14:paraId="42D9153E" w14:textId="77777777" w:rsidR="002962EE" w:rsidRPr="00F0379B" w:rsidRDefault="002962EE" w:rsidP="00084782">
            <w:pPr>
              <w:spacing w:after="0" w:line="240" w:lineRule="auto"/>
              <w:jc w:val="right"/>
              <w:rPr>
                <w:rFonts w:ascii="Cambria" w:eastAsia="Times New Roman" w:hAnsi="Cambria" w:cs="Calibri"/>
                <w:sz w:val="16"/>
                <w:szCs w:val="16"/>
                <w:lang w:eastAsia="ja-JP"/>
              </w:rPr>
            </w:pPr>
          </w:p>
        </w:tc>
        <w:tc>
          <w:tcPr>
            <w:tcW w:w="661" w:type="dxa"/>
            <w:tcBorders>
              <w:bottom w:val="single" w:sz="12" w:space="0" w:color="000000"/>
            </w:tcBorders>
            <w:shd w:val="clear" w:color="auto" w:fill="D9D9D9"/>
            <w:vAlign w:val="center"/>
          </w:tcPr>
          <w:p w14:paraId="1D10CAD6"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571" w:type="dxa"/>
            <w:tcBorders>
              <w:bottom w:val="single" w:sz="12" w:space="0" w:color="000000"/>
            </w:tcBorders>
            <w:shd w:val="clear" w:color="auto" w:fill="D9D9D9"/>
            <w:noWrap/>
            <w:vAlign w:val="center"/>
          </w:tcPr>
          <w:p w14:paraId="284236A8"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660" w:type="dxa"/>
            <w:tcBorders>
              <w:bottom w:val="single" w:sz="12" w:space="0" w:color="000000"/>
            </w:tcBorders>
            <w:shd w:val="clear" w:color="auto" w:fill="D9D9D9"/>
            <w:vAlign w:val="center"/>
          </w:tcPr>
          <w:p w14:paraId="0F378661"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663" w:type="dxa"/>
            <w:tcBorders>
              <w:bottom w:val="single" w:sz="12" w:space="0" w:color="000000"/>
            </w:tcBorders>
            <w:shd w:val="clear" w:color="auto" w:fill="D9D9D9"/>
            <w:vAlign w:val="center"/>
          </w:tcPr>
          <w:p w14:paraId="602AE551"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p>
        </w:tc>
        <w:tc>
          <w:tcPr>
            <w:tcW w:w="571" w:type="dxa"/>
            <w:tcBorders>
              <w:bottom w:val="single" w:sz="12" w:space="0" w:color="000000"/>
            </w:tcBorders>
            <w:shd w:val="clear" w:color="auto" w:fill="D9D9D9"/>
            <w:vAlign w:val="center"/>
          </w:tcPr>
          <w:p w14:paraId="68AC4976"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p>
        </w:tc>
        <w:tc>
          <w:tcPr>
            <w:tcW w:w="571" w:type="dxa"/>
            <w:tcBorders>
              <w:bottom w:val="single" w:sz="12" w:space="0" w:color="000000"/>
            </w:tcBorders>
            <w:shd w:val="clear" w:color="auto" w:fill="D9D9D9"/>
            <w:vAlign w:val="center"/>
          </w:tcPr>
          <w:p w14:paraId="348B296E"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p>
        </w:tc>
        <w:tc>
          <w:tcPr>
            <w:tcW w:w="658" w:type="dxa"/>
            <w:tcBorders>
              <w:bottom w:val="single" w:sz="12" w:space="0" w:color="000000"/>
            </w:tcBorders>
            <w:shd w:val="clear" w:color="auto" w:fill="D9D9D9"/>
            <w:vAlign w:val="center"/>
          </w:tcPr>
          <w:p w14:paraId="59C13A93"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p>
        </w:tc>
        <w:tc>
          <w:tcPr>
            <w:tcW w:w="248" w:type="dxa"/>
            <w:tcBorders>
              <w:bottom w:val="single" w:sz="12" w:space="0" w:color="000000"/>
            </w:tcBorders>
            <w:shd w:val="clear" w:color="auto" w:fill="D9D9D9"/>
            <w:vAlign w:val="center"/>
          </w:tcPr>
          <w:p w14:paraId="64F0FC88"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p>
        </w:tc>
        <w:tc>
          <w:tcPr>
            <w:tcW w:w="702" w:type="dxa"/>
            <w:tcBorders>
              <w:bottom w:val="single" w:sz="12" w:space="0" w:color="000000"/>
            </w:tcBorders>
            <w:shd w:val="clear" w:color="auto" w:fill="D9D9D9"/>
            <w:vAlign w:val="center"/>
          </w:tcPr>
          <w:p w14:paraId="0C14D32A"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alibri"/>
                <w:b/>
                <w:bCs/>
                <w:kern w:val="2"/>
                <w:sz w:val="16"/>
                <w:szCs w:val="16"/>
                <w:lang w:eastAsia="ja-JP"/>
              </w:rPr>
              <w:t>3177</w:t>
            </w:r>
          </w:p>
        </w:tc>
        <w:tc>
          <w:tcPr>
            <w:tcW w:w="604" w:type="dxa"/>
            <w:tcBorders>
              <w:bottom w:val="single" w:sz="12" w:space="0" w:color="000000"/>
            </w:tcBorders>
            <w:shd w:val="clear" w:color="auto" w:fill="D9D9D9"/>
            <w:vAlign w:val="center"/>
          </w:tcPr>
          <w:p w14:paraId="15F59900"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alibri"/>
                <w:b/>
                <w:bCs/>
                <w:kern w:val="2"/>
                <w:sz w:val="16"/>
                <w:szCs w:val="16"/>
                <w:lang w:val="en-US" w:eastAsia="ja-JP"/>
              </w:rPr>
              <w:t>2729</w:t>
            </w:r>
          </w:p>
        </w:tc>
        <w:tc>
          <w:tcPr>
            <w:tcW w:w="800" w:type="dxa"/>
            <w:tcBorders>
              <w:bottom w:val="single" w:sz="12" w:space="0" w:color="000000"/>
            </w:tcBorders>
            <w:shd w:val="clear" w:color="auto" w:fill="D9D9D9"/>
            <w:vAlign w:val="center"/>
          </w:tcPr>
          <w:p w14:paraId="09FB44F5"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b/>
                <w:bCs/>
                <w:kern w:val="2"/>
                <w:sz w:val="16"/>
                <w:szCs w:val="16"/>
                <w:lang w:val="en-US" w:eastAsia="ja-JP"/>
              </w:rPr>
              <w:t>2578</w:t>
            </w:r>
          </w:p>
        </w:tc>
        <w:tc>
          <w:tcPr>
            <w:tcW w:w="709" w:type="dxa"/>
            <w:tcBorders>
              <w:bottom w:val="single" w:sz="12" w:space="0" w:color="000000"/>
            </w:tcBorders>
            <w:shd w:val="clear" w:color="auto" w:fill="D9D9D9"/>
            <w:vAlign w:val="center"/>
          </w:tcPr>
          <w:p w14:paraId="07912813"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b/>
                <w:bCs/>
                <w:kern w:val="2"/>
                <w:sz w:val="16"/>
                <w:szCs w:val="16"/>
                <w:lang w:val="en-US" w:eastAsia="ja-JP"/>
              </w:rPr>
              <w:t>3703</w:t>
            </w:r>
          </w:p>
        </w:tc>
        <w:tc>
          <w:tcPr>
            <w:tcW w:w="727" w:type="dxa"/>
            <w:tcBorders>
              <w:bottom w:val="single" w:sz="12" w:space="0" w:color="000000"/>
            </w:tcBorders>
            <w:shd w:val="clear" w:color="auto" w:fill="D9D9D9"/>
            <w:vAlign w:val="center"/>
          </w:tcPr>
          <w:p w14:paraId="66BB15CD"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b/>
                <w:bCs/>
                <w:kern w:val="2"/>
                <w:sz w:val="16"/>
                <w:szCs w:val="16"/>
                <w:lang w:val="en-US" w:eastAsia="ja-JP"/>
              </w:rPr>
              <w:t>3739</w:t>
            </w:r>
          </w:p>
        </w:tc>
        <w:tc>
          <w:tcPr>
            <w:tcW w:w="822" w:type="dxa"/>
            <w:tcBorders>
              <w:bottom w:val="single" w:sz="12" w:space="0" w:color="000000"/>
            </w:tcBorders>
            <w:shd w:val="clear" w:color="auto" w:fill="D9D9D9"/>
            <w:vAlign w:val="center"/>
          </w:tcPr>
          <w:p w14:paraId="32403C74"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b/>
                <w:bCs/>
                <w:kern w:val="2"/>
                <w:sz w:val="16"/>
                <w:szCs w:val="16"/>
                <w:lang w:val="en-US" w:eastAsia="ja-JP"/>
              </w:rPr>
              <w:t>3870</w:t>
            </w:r>
          </w:p>
        </w:tc>
        <w:tc>
          <w:tcPr>
            <w:tcW w:w="1026" w:type="dxa"/>
            <w:tcBorders>
              <w:bottom w:val="single" w:sz="12" w:space="0" w:color="000000"/>
              <w:right w:val="single" w:sz="12" w:space="0" w:color="000000"/>
            </w:tcBorders>
            <w:shd w:val="clear" w:color="auto" w:fill="D9D9D9"/>
            <w:vAlign w:val="center"/>
          </w:tcPr>
          <w:p w14:paraId="655C05F4"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Arial"/>
                <w:b/>
                <w:bCs/>
                <w:kern w:val="2"/>
                <w:sz w:val="16"/>
                <w:szCs w:val="16"/>
                <w:lang w:val="en-US" w:eastAsia="ja-JP"/>
              </w:rPr>
              <w:t>4633,09</w:t>
            </w:r>
          </w:p>
        </w:tc>
      </w:tr>
      <w:tr w:rsidR="002962EE" w:rsidRPr="00F0379B" w14:paraId="7F7DC7E8" w14:textId="77777777" w:rsidTr="00084782">
        <w:trPr>
          <w:trHeight w:val="23"/>
        </w:trPr>
        <w:tc>
          <w:tcPr>
            <w:tcW w:w="3420" w:type="dxa"/>
            <w:tcBorders>
              <w:top w:val="single" w:sz="12" w:space="0" w:color="000000"/>
              <w:left w:val="single" w:sz="12" w:space="0" w:color="000000"/>
            </w:tcBorders>
            <w:noWrap/>
            <w:vAlign w:val="center"/>
            <w:hideMark/>
          </w:tcPr>
          <w:p w14:paraId="16D2F4E7" w14:textId="77777777" w:rsidR="002962EE" w:rsidRPr="00F0379B" w:rsidRDefault="002962EE" w:rsidP="00084782">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Porcentaje asignado a captura fortuita</w:t>
            </w:r>
          </w:p>
        </w:tc>
        <w:tc>
          <w:tcPr>
            <w:tcW w:w="1396" w:type="dxa"/>
            <w:tcBorders>
              <w:top w:val="single" w:sz="12" w:space="0" w:color="000000"/>
            </w:tcBorders>
            <w:noWrap/>
            <w:vAlign w:val="center"/>
            <w:hideMark/>
          </w:tcPr>
          <w:p w14:paraId="360A0607" w14:textId="77777777" w:rsidR="002962EE" w:rsidRPr="00F0379B" w:rsidRDefault="002962EE" w:rsidP="00084782">
            <w:pPr>
              <w:spacing w:after="0" w:line="240" w:lineRule="auto"/>
              <w:jc w:val="right"/>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 </w:t>
            </w:r>
          </w:p>
        </w:tc>
        <w:tc>
          <w:tcPr>
            <w:tcW w:w="661" w:type="dxa"/>
            <w:tcBorders>
              <w:top w:val="single" w:sz="12" w:space="0" w:color="000000"/>
            </w:tcBorders>
            <w:vAlign w:val="center"/>
          </w:tcPr>
          <w:p w14:paraId="399618A7"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571" w:type="dxa"/>
            <w:tcBorders>
              <w:top w:val="single" w:sz="12" w:space="0" w:color="000000"/>
            </w:tcBorders>
            <w:noWrap/>
            <w:vAlign w:val="center"/>
            <w:hideMark/>
          </w:tcPr>
          <w:p w14:paraId="4E3C9DE7"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660" w:type="dxa"/>
            <w:tcBorders>
              <w:top w:val="single" w:sz="12" w:space="0" w:color="000000"/>
            </w:tcBorders>
            <w:vAlign w:val="center"/>
            <w:hideMark/>
          </w:tcPr>
          <w:p w14:paraId="06827B97"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663" w:type="dxa"/>
            <w:tcBorders>
              <w:top w:val="single" w:sz="12" w:space="0" w:color="000000"/>
            </w:tcBorders>
            <w:vAlign w:val="center"/>
            <w:hideMark/>
          </w:tcPr>
          <w:p w14:paraId="56CC0D12"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571" w:type="dxa"/>
            <w:tcBorders>
              <w:top w:val="single" w:sz="12" w:space="0" w:color="000000"/>
            </w:tcBorders>
            <w:vAlign w:val="center"/>
            <w:hideMark/>
          </w:tcPr>
          <w:p w14:paraId="6D1E54BC"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571" w:type="dxa"/>
            <w:tcBorders>
              <w:top w:val="single" w:sz="12" w:space="0" w:color="000000"/>
            </w:tcBorders>
            <w:vAlign w:val="center"/>
          </w:tcPr>
          <w:p w14:paraId="3FA5B166"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658" w:type="dxa"/>
            <w:tcBorders>
              <w:top w:val="single" w:sz="12" w:space="0" w:color="000000"/>
            </w:tcBorders>
            <w:vAlign w:val="center"/>
          </w:tcPr>
          <w:p w14:paraId="52936EB2"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248" w:type="dxa"/>
            <w:tcBorders>
              <w:top w:val="single" w:sz="12" w:space="0" w:color="000000"/>
            </w:tcBorders>
            <w:shd w:val="clear" w:color="000000" w:fill="D9D9D9"/>
            <w:vAlign w:val="center"/>
            <w:hideMark/>
          </w:tcPr>
          <w:p w14:paraId="7D0A77EE"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702" w:type="dxa"/>
            <w:tcBorders>
              <w:top w:val="single" w:sz="12" w:space="0" w:color="000000"/>
            </w:tcBorders>
            <w:vAlign w:val="center"/>
          </w:tcPr>
          <w:p w14:paraId="15A7DA6D"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b/>
                <w:bCs/>
                <w:kern w:val="2"/>
                <w:sz w:val="16"/>
                <w:szCs w:val="16"/>
                <w:lang w:val="en-US" w:eastAsia="ja-JP"/>
              </w:rPr>
              <w:t>2,99</w:t>
            </w:r>
          </w:p>
        </w:tc>
        <w:tc>
          <w:tcPr>
            <w:tcW w:w="604" w:type="dxa"/>
            <w:tcBorders>
              <w:top w:val="single" w:sz="12" w:space="0" w:color="000000"/>
            </w:tcBorders>
            <w:vAlign w:val="center"/>
            <w:hideMark/>
          </w:tcPr>
          <w:p w14:paraId="63734FE7"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bCs/>
                <w:kern w:val="2"/>
                <w:sz w:val="16"/>
                <w:szCs w:val="16"/>
                <w:lang w:val="en-US" w:eastAsia="ja-JP"/>
              </w:rPr>
              <w:t>3,00</w:t>
            </w:r>
          </w:p>
        </w:tc>
        <w:tc>
          <w:tcPr>
            <w:tcW w:w="800" w:type="dxa"/>
            <w:tcBorders>
              <w:top w:val="single" w:sz="12" w:space="0" w:color="000000"/>
            </w:tcBorders>
            <w:vAlign w:val="center"/>
            <w:hideMark/>
          </w:tcPr>
          <w:p w14:paraId="59CD359F"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bCs/>
                <w:kern w:val="2"/>
                <w:sz w:val="16"/>
                <w:szCs w:val="16"/>
                <w:lang w:val="en-US" w:eastAsia="ja-JP"/>
              </w:rPr>
              <w:t>11,99</w:t>
            </w:r>
          </w:p>
        </w:tc>
        <w:tc>
          <w:tcPr>
            <w:tcW w:w="709" w:type="dxa"/>
            <w:tcBorders>
              <w:top w:val="single" w:sz="12" w:space="0" w:color="000000"/>
            </w:tcBorders>
            <w:vAlign w:val="center"/>
            <w:hideMark/>
          </w:tcPr>
          <w:p w14:paraId="308EF366"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bCs/>
                <w:kern w:val="2"/>
                <w:sz w:val="16"/>
                <w:szCs w:val="16"/>
                <w:lang w:val="en-US" w:eastAsia="ja-JP"/>
              </w:rPr>
              <w:t>14,15</w:t>
            </w:r>
          </w:p>
        </w:tc>
        <w:tc>
          <w:tcPr>
            <w:tcW w:w="727" w:type="dxa"/>
            <w:tcBorders>
              <w:top w:val="single" w:sz="12" w:space="0" w:color="000000"/>
            </w:tcBorders>
            <w:vAlign w:val="center"/>
            <w:hideMark/>
          </w:tcPr>
          <w:p w14:paraId="771C5356"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bCs/>
                <w:kern w:val="2"/>
                <w:sz w:val="16"/>
                <w:szCs w:val="16"/>
                <w:lang w:val="en-US" w:eastAsia="ja-JP"/>
              </w:rPr>
              <w:t>13,11</w:t>
            </w:r>
          </w:p>
        </w:tc>
        <w:tc>
          <w:tcPr>
            <w:tcW w:w="822" w:type="dxa"/>
            <w:tcBorders>
              <w:top w:val="single" w:sz="12" w:space="0" w:color="000000"/>
            </w:tcBorders>
            <w:vAlign w:val="center"/>
            <w:hideMark/>
          </w:tcPr>
          <w:p w14:paraId="14B60ECB" w14:textId="77777777" w:rsidR="002962EE" w:rsidRPr="00F0379B" w:rsidRDefault="002962EE" w:rsidP="00084782">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Arial"/>
                <w:b/>
                <w:bCs/>
                <w:kern w:val="2"/>
                <w:sz w:val="16"/>
                <w:szCs w:val="16"/>
                <w:lang w:val="en-US" w:eastAsia="ja-JP"/>
              </w:rPr>
              <w:t>13,18</w:t>
            </w:r>
          </w:p>
        </w:tc>
        <w:tc>
          <w:tcPr>
            <w:tcW w:w="1026" w:type="dxa"/>
            <w:tcBorders>
              <w:top w:val="single" w:sz="12" w:space="0" w:color="000000"/>
              <w:right w:val="single" w:sz="12" w:space="0" w:color="000000"/>
            </w:tcBorders>
            <w:vAlign w:val="center"/>
          </w:tcPr>
          <w:p w14:paraId="276241A9"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Arial"/>
                <w:b/>
                <w:bCs/>
                <w:kern w:val="2"/>
                <w:sz w:val="16"/>
                <w:szCs w:val="16"/>
                <w:lang w:val="en-US" w:eastAsia="ja-JP"/>
              </w:rPr>
              <w:t>13,64</w:t>
            </w:r>
          </w:p>
        </w:tc>
      </w:tr>
      <w:tr w:rsidR="002962EE" w:rsidRPr="00F0379B" w14:paraId="7B284762" w14:textId="77777777" w:rsidTr="00084782">
        <w:trPr>
          <w:trHeight w:val="23"/>
        </w:trPr>
        <w:tc>
          <w:tcPr>
            <w:tcW w:w="3420" w:type="dxa"/>
            <w:tcBorders>
              <w:left w:val="single" w:sz="12" w:space="0" w:color="000000"/>
            </w:tcBorders>
            <w:noWrap/>
            <w:vAlign w:val="center"/>
          </w:tcPr>
          <w:p w14:paraId="176B157B" w14:textId="77777777" w:rsidR="002962EE" w:rsidRPr="00F0379B" w:rsidRDefault="002962EE" w:rsidP="00084782">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Asignación a la captura fortuita</w:t>
            </w:r>
          </w:p>
        </w:tc>
        <w:tc>
          <w:tcPr>
            <w:tcW w:w="1396" w:type="dxa"/>
            <w:noWrap/>
            <w:vAlign w:val="center"/>
          </w:tcPr>
          <w:p w14:paraId="0223CF74" w14:textId="77777777" w:rsidR="002962EE" w:rsidRPr="00F0379B" w:rsidRDefault="002962EE" w:rsidP="00084782">
            <w:pPr>
              <w:spacing w:after="0" w:line="240" w:lineRule="auto"/>
              <w:jc w:val="right"/>
              <w:rPr>
                <w:rFonts w:ascii="Cambria" w:eastAsia="Times New Roman" w:hAnsi="Cambria" w:cs="Calibri"/>
                <w:sz w:val="16"/>
                <w:szCs w:val="16"/>
                <w:lang w:eastAsia="ja-JP"/>
              </w:rPr>
            </w:pPr>
          </w:p>
        </w:tc>
        <w:tc>
          <w:tcPr>
            <w:tcW w:w="661" w:type="dxa"/>
            <w:vAlign w:val="center"/>
          </w:tcPr>
          <w:p w14:paraId="32DA385C"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571" w:type="dxa"/>
            <w:noWrap/>
            <w:vAlign w:val="center"/>
          </w:tcPr>
          <w:p w14:paraId="78B0E322"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660" w:type="dxa"/>
            <w:vAlign w:val="center"/>
          </w:tcPr>
          <w:p w14:paraId="35068BA9"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663" w:type="dxa"/>
            <w:vAlign w:val="center"/>
          </w:tcPr>
          <w:p w14:paraId="5728930E"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571" w:type="dxa"/>
            <w:vAlign w:val="center"/>
          </w:tcPr>
          <w:p w14:paraId="4A9E76EC"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571" w:type="dxa"/>
            <w:vAlign w:val="center"/>
          </w:tcPr>
          <w:p w14:paraId="3C4518B9"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658" w:type="dxa"/>
            <w:vAlign w:val="center"/>
          </w:tcPr>
          <w:p w14:paraId="41D234A5"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248" w:type="dxa"/>
            <w:shd w:val="clear" w:color="000000" w:fill="D9D9D9"/>
            <w:vAlign w:val="center"/>
          </w:tcPr>
          <w:p w14:paraId="383A63B3"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702" w:type="dxa"/>
            <w:vAlign w:val="center"/>
          </w:tcPr>
          <w:p w14:paraId="330FA7FD"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b/>
                <w:bCs/>
                <w:kern w:val="2"/>
                <w:sz w:val="16"/>
                <w:szCs w:val="16"/>
                <w:lang w:val="en-US" w:eastAsia="ja-JP"/>
              </w:rPr>
              <w:t>95</w:t>
            </w:r>
          </w:p>
        </w:tc>
        <w:tc>
          <w:tcPr>
            <w:tcW w:w="604" w:type="dxa"/>
            <w:vAlign w:val="center"/>
          </w:tcPr>
          <w:p w14:paraId="7AAC6634"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b/>
                <w:bCs/>
                <w:kern w:val="2"/>
                <w:sz w:val="16"/>
                <w:szCs w:val="16"/>
                <w:lang w:val="en-US" w:eastAsia="ja-JP"/>
              </w:rPr>
              <w:t>82</w:t>
            </w:r>
          </w:p>
        </w:tc>
        <w:tc>
          <w:tcPr>
            <w:tcW w:w="800" w:type="dxa"/>
            <w:vAlign w:val="center"/>
          </w:tcPr>
          <w:p w14:paraId="42D9DC2A"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b/>
                <w:bCs/>
                <w:kern w:val="2"/>
                <w:sz w:val="16"/>
                <w:szCs w:val="16"/>
                <w:lang w:val="en-US" w:eastAsia="ja-JP"/>
              </w:rPr>
              <w:t>309</w:t>
            </w:r>
          </w:p>
        </w:tc>
        <w:tc>
          <w:tcPr>
            <w:tcW w:w="709" w:type="dxa"/>
            <w:vAlign w:val="center"/>
          </w:tcPr>
          <w:p w14:paraId="3AE01A17"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b/>
                <w:bCs/>
                <w:kern w:val="2"/>
                <w:sz w:val="16"/>
                <w:szCs w:val="16"/>
                <w:lang w:val="en-US" w:eastAsia="ja-JP"/>
              </w:rPr>
              <w:t>524</w:t>
            </w:r>
          </w:p>
        </w:tc>
        <w:tc>
          <w:tcPr>
            <w:tcW w:w="727" w:type="dxa"/>
            <w:vAlign w:val="center"/>
          </w:tcPr>
          <w:p w14:paraId="4255AE3C"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b/>
                <w:bCs/>
                <w:kern w:val="2"/>
                <w:sz w:val="16"/>
                <w:szCs w:val="16"/>
                <w:lang w:val="en-US" w:eastAsia="ja-JP"/>
              </w:rPr>
              <w:t>490</w:t>
            </w:r>
          </w:p>
        </w:tc>
        <w:tc>
          <w:tcPr>
            <w:tcW w:w="822" w:type="dxa"/>
            <w:vAlign w:val="center"/>
          </w:tcPr>
          <w:p w14:paraId="6C0A1161"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Arial"/>
                <w:b/>
                <w:bCs/>
                <w:kern w:val="2"/>
                <w:sz w:val="16"/>
                <w:szCs w:val="16"/>
                <w:lang w:val="en-US" w:eastAsia="ja-JP"/>
              </w:rPr>
              <w:t>510</w:t>
            </w:r>
          </w:p>
        </w:tc>
        <w:tc>
          <w:tcPr>
            <w:tcW w:w="1026" w:type="dxa"/>
            <w:tcBorders>
              <w:right w:val="single" w:sz="12" w:space="0" w:color="000000"/>
            </w:tcBorders>
            <w:vAlign w:val="center"/>
          </w:tcPr>
          <w:p w14:paraId="5949B16B"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Arial"/>
                <w:b/>
                <w:bCs/>
                <w:kern w:val="2"/>
                <w:sz w:val="16"/>
                <w:szCs w:val="16"/>
                <w:lang w:val="en-US" w:eastAsia="ja-JP"/>
              </w:rPr>
              <w:t>632,09</w:t>
            </w:r>
          </w:p>
        </w:tc>
      </w:tr>
      <w:tr w:rsidR="002962EE" w:rsidRPr="00F0379B" w14:paraId="3492E576" w14:textId="77777777" w:rsidTr="00084782">
        <w:trPr>
          <w:trHeight w:val="23"/>
        </w:trPr>
        <w:tc>
          <w:tcPr>
            <w:tcW w:w="3420" w:type="dxa"/>
            <w:tcBorders>
              <w:left w:val="single" w:sz="12" w:space="0" w:color="000000"/>
            </w:tcBorders>
            <w:vAlign w:val="center"/>
          </w:tcPr>
          <w:p w14:paraId="534781EC" w14:textId="77777777" w:rsidR="002962EE" w:rsidRPr="00F0379B" w:rsidRDefault="002962EE" w:rsidP="00084782">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para investigación científica (si procede)</w:t>
            </w:r>
          </w:p>
        </w:tc>
        <w:tc>
          <w:tcPr>
            <w:tcW w:w="1396" w:type="dxa"/>
            <w:noWrap/>
            <w:vAlign w:val="center"/>
          </w:tcPr>
          <w:p w14:paraId="7950165E" w14:textId="77777777" w:rsidR="002962EE" w:rsidRPr="00F0379B" w:rsidRDefault="002962EE" w:rsidP="00084782">
            <w:pPr>
              <w:spacing w:after="0" w:line="240" w:lineRule="auto"/>
              <w:jc w:val="right"/>
              <w:rPr>
                <w:rFonts w:ascii="Cambria" w:eastAsia="Times New Roman" w:hAnsi="Cambria" w:cs="Calibri"/>
                <w:b/>
                <w:bCs/>
                <w:sz w:val="16"/>
                <w:szCs w:val="16"/>
                <w:lang w:eastAsia="ja-JP"/>
              </w:rPr>
            </w:pPr>
          </w:p>
        </w:tc>
        <w:tc>
          <w:tcPr>
            <w:tcW w:w="661" w:type="dxa"/>
            <w:vAlign w:val="center"/>
          </w:tcPr>
          <w:p w14:paraId="107719F9"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571" w:type="dxa"/>
            <w:noWrap/>
            <w:vAlign w:val="center"/>
          </w:tcPr>
          <w:p w14:paraId="442C28D1"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660" w:type="dxa"/>
            <w:vAlign w:val="center"/>
          </w:tcPr>
          <w:p w14:paraId="6D26BF14"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663" w:type="dxa"/>
            <w:vAlign w:val="center"/>
          </w:tcPr>
          <w:p w14:paraId="027D445A"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571" w:type="dxa"/>
            <w:vAlign w:val="center"/>
          </w:tcPr>
          <w:p w14:paraId="1AB3DB55"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571" w:type="dxa"/>
            <w:vAlign w:val="center"/>
          </w:tcPr>
          <w:p w14:paraId="00F20CEC"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658" w:type="dxa"/>
            <w:vAlign w:val="center"/>
          </w:tcPr>
          <w:p w14:paraId="60E67753"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248" w:type="dxa"/>
            <w:shd w:val="clear" w:color="000000" w:fill="D9D9D9"/>
            <w:vAlign w:val="center"/>
          </w:tcPr>
          <w:p w14:paraId="047C90D6"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702" w:type="dxa"/>
            <w:vAlign w:val="center"/>
          </w:tcPr>
          <w:p w14:paraId="39CD0CFA"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604" w:type="dxa"/>
            <w:vAlign w:val="center"/>
          </w:tcPr>
          <w:p w14:paraId="0A77A53F"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800" w:type="dxa"/>
            <w:vAlign w:val="center"/>
          </w:tcPr>
          <w:p w14:paraId="2B0B0DDF"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709" w:type="dxa"/>
            <w:noWrap/>
            <w:vAlign w:val="center"/>
          </w:tcPr>
          <w:p w14:paraId="621FEF63"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727" w:type="dxa"/>
            <w:noWrap/>
            <w:vAlign w:val="center"/>
          </w:tcPr>
          <w:p w14:paraId="7E2F9ED3"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822" w:type="dxa"/>
            <w:noWrap/>
            <w:vAlign w:val="center"/>
          </w:tcPr>
          <w:p w14:paraId="03ECFA25"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1026" w:type="dxa"/>
            <w:tcBorders>
              <w:right w:val="single" w:sz="12" w:space="0" w:color="000000"/>
            </w:tcBorders>
            <w:vAlign w:val="center"/>
          </w:tcPr>
          <w:p w14:paraId="354509BA"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r>
      <w:tr w:rsidR="002962EE" w:rsidRPr="00F0379B" w14:paraId="75B5094E" w14:textId="77777777" w:rsidTr="00084782">
        <w:trPr>
          <w:trHeight w:val="23"/>
        </w:trPr>
        <w:tc>
          <w:tcPr>
            <w:tcW w:w="3420" w:type="dxa"/>
            <w:tcBorders>
              <w:left w:val="single" w:sz="12" w:space="0" w:color="000000"/>
            </w:tcBorders>
            <w:vAlign w:val="center"/>
          </w:tcPr>
          <w:p w14:paraId="02799EE3" w14:textId="77777777" w:rsidR="002962EE" w:rsidRPr="00F0379B" w:rsidRDefault="002962EE" w:rsidP="00084782">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Tolerancia para pesca deportiva/de recreo (si procede)</w:t>
            </w:r>
          </w:p>
        </w:tc>
        <w:tc>
          <w:tcPr>
            <w:tcW w:w="1396" w:type="dxa"/>
            <w:noWrap/>
            <w:vAlign w:val="center"/>
          </w:tcPr>
          <w:p w14:paraId="0ED114BA" w14:textId="77777777" w:rsidR="002962EE" w:rsidRPr="00F0379B" w:rsidRDefault="002962EE" w:rsidP="00084782">
            <w:pPr>
              <w:spacing w:after="0" w:line="240" w:lineRule="auto"/>
              <w:jc w:val="right"/>
              <w:rPr>
                <w:rFonts w:ascii="Cambria" w:eastAsia="Times New Roman" w:hAnsi="Cambria" w:cs="Calibri"/>
                <w:b/>
                <w:bCs/>
                <w:sz w:val="16"/>
                <w:szCs w:val="16"/>
                <w:lang w:eastAsia="ja-JP"/>
              </w:rPr>
            </w:pPr>
          </w:p>
        </w:tc>
        <w:tc>
          <w:tcPr>
            <w:tcW w:w="661" w:type="dxa"/>
            <w:vAlign w:val="center"/>
          </w:tcPr>
          <w:p w14:paraId="0614E823"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571" w:type="dxa"/>
            <w:noWrap/>
            <w:vAlign w:val="center"/>
          </w:tcPr>
          <w:p w14:paraId="6B1A328C"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660" w:type="dxa"/>
            <w:vAlign w:val="center"/>
          </w:tcPr>
          <w:p w14:paraId="671208A9"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663" w:type="dxa"/>
            <w:vAlign w:val="center"/>
          </w:tcPr>
          <w:p w14:paraId="39E33980"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571" w:type="dxa"/>
            <w:vAlign w:val="center"/>
          </w:tcPr>
          <w:p w14:paraId="5D21B1E0"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571" w:type="dxa"/>
            <w:vAlign w:val="center"/>
          </w:tcPr>
          <w:p w14:paraId="70B1B810"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658" w:type="dxa"/>
            <w:vAlign w:val="center"/>
          </w:tcPr>
          <w:p w14:paraId="6CEF27E9"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248" w:type="dxa"/>
            <w:shd w:val="clear" w:color="000000" w:fill="D9D9D9"/>
            <w:vAlign w:val="center"/>
          </w:tcPr>
          <w:p w14:paraId="2DDAF747"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702" w:type="dxa"/>
            <w:vAlign w:val="center"/>
          </w:tcPr>
          <w:p w14:paraId="444D2C58"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b/>
                <w:bCs/>
                <w:kern w:val="2"/>
                <w:sz w:val="16"/>
                <w:szCs w:val="16"/>
                <w:lang w:val="en-US" w:eastAsia="ja-JP"/>
              </w:rPr>
              <w:t>0</w:t>
            </w:r>
          </w:p>
        </w:tc>
        <w:tc>
          <w:tcPr>
            <w:tcW w:w="604" w:type="dxa"/>
            <w:vAlign w:val="center"/>
          </w:tcPr>
          <w:p w14:paraId="5FAB05BB"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b/>
                <w:bCs/>
                <w:kern w:val="2"/>
                <w:sz w:val="16"/>
                <w:szCs w:val="16"/>
                <w:lang w:val="en-US" w:eastAsia="ja-JP"/>
              </w:rPr>
              <w:t>0</w:t>
            </w:r>
          </w:p>
        </w:tc>
        <w:tc>
          <w:tcPr>
            <w:tcW w:w="800" w:type="dxa"/>
            <w:vAlign w:val="center"/>
          </w:tcPr>
          <w:p w14:paraId="3F07C800"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b/>
                <w:bCs/>
                <w:kern w:val="2"/>
                <w:sz w:val="16"/>
                <w:szCs w:val="16"/>
                <w:lang w:val="en-US" w:eastAsia="ja-JP"/>
              </w:rPr>
              <w:t>0</w:t>
            </w:r>
          </w:p>
        </w:tc>
        <w:tc>
          <w:tcPr>
            <w:tcW w:w="709" w:type="dxa"/>
            <w:noWrap/>
            <w:vAlign w:val="center"/>
          </w:tcPr>
          <w:p w14:paraId="28908583"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b/>
                <w:bCs/>
                <w:kern w:val="2"/>
                <w:sz w:val="16"/>
                <w:szCs w:val="16"/>
                <w:lang w:val="en-US" w:eastAsia="ja-JP"/>
              </w:rPr>
              <w:t>0</w:t>
            </w:r>
          </w:p>
        </w:tc>
        <w:tc>
          <w:tcPr>
            <w:tcW w:w="727" w:type="dxa"/>
            <w:noWrap/>
            <w:vAlign w:val="center"/>
          </w:tcPr>
          <w:p w14:paraId="4B5EC071"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b/>
                <w:bCs/>
                <w:kern w:val="2"/>
                <w:sz w:val="16"/>
                <w:szCs w:val="16"/>
                <w:lang w:val="en-US" w:eastAsia="ja-JP"/>
              </w:rPr>
              <w:t>0</w:t>
            </w:r>
          </w:p>
        </w:tc>
        <w:tc>
          <w:tcPr>
            <w:tcW w:w="822" w:type="dxa"/>
            <w:noWrap/>
            <w:vAlign w:val="center"/>
          </w:tcPr>
          <w:p w14:paraId="0D097E54"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Arial"/>
                <w:kern w:val="2"/>
                <w:sz w:val="16"/>
                <w:szCs w:val="16"/>
                <w:lang w:val="en-US" w:eastAsia="ja-JP"/>
              </w:rPr>
              <w:t>0</w:t>
            </w:r>
          </w:p>
        </w:tc>
        <w:tc>
          <w:tcPr>
            <w:tcW w:w="1026" w:type="dxa"/>
            <w:tcBorders>
              <w:right w:val="single" w:sz="12" w:space="0" w:color="000000"/>
            </w:tcBorders>
            <w:vAlign w:val="center"/>
          </w:tcPr>
          <w:p w14:paraId="404016BC"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Arial"/>
                <w:kern w:val="2"/>
                <w:sz w:val="16"/>
                <w:szCs w:val="16"/>
                <w:lang w:val="en-US" w:eastAsia="ja-JP"/>
              </w:rPr>
              <w:t>0</w:t>
            </w:r>
          </w:p>
        </w:tc>
      </w:tr>
      <w:tr w:rsidR="002962EE" w:rsidRPr="00F0379B" w14:paraId="26615EAA" w14:textId="77777777" w:rsidTr="00084782">
        <w:trPr>
          <w:trHeight w:val="23"/>
        </w:trPr>
        <w:tc>
          <w:tcPr>
            <w:tcW w:w="3420" w:type="dxa"/>
            <w:tcBorders>
              <w:left w:val="single" w:sz="12" w:space="0" w:color="000000"/>
              <w:bottom w:val="single" w:sz="12" w:space="0" w:color="000000"/>
            </w:tcBorders>
            <w:vAlign w:val="center"/>
          </w:tcPr>
          <w:p w14:paraId="3D32DB77" w14:textId="77777777" w:rsidR="002962EE" w:rsidRPr="00F0379B" w:rsidRDefault="002962EE" w:rsidP="00084782">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disponible</w:t>
            </w:r>
          </w:p>
        </w:tc>
        <w:tc>
          <w:tcPr>
            <w:tcW w:w="1396" w:type="dxa"/>
            <w:tcBorders>
              <w:bottom w:val="single" w:sz="12" w:space="0" w:color="000000"/>
            </w:tcBorders>
            <w:noWrap/>
            <w:vAlign w:val="center"/>
          </w:tcPr>
          <w:p w14:paraId="631A2DE2" w14:textId="77777777" w:rsidR="002962EE" w:rsidRPr="00F0379B" w:rsidRDefault="002962EE" w:rsidP="00084782">
            <w:pPr>
              <w:spacing w:after="0" w:line="240" w:lineRule="auto"/>
              <w:jc w:val="right"/>
              <w:rPr>
                <w:rFonts w:ascii="Cambria" w:eastAsia="Times New Roman" w:hAnsi="Cambria" w:cs="Calibri"/>
                <w:b/>
                <w:bCs/>
                <w:sz w:val="16"/>
                <w:szCs w:val="16"/>
                <w:lang w:eastAsia="ja-JP"/>
              </w:rPr>
            </w:pPr>
          </w:p>
        </w:tc>
        <w:tc>
          <w:tcPr>
            <w:tcW w:w="661" w:type="dxa"/>
            <w:tcBorders>
              <w:bottom w:val="single" w:sz="12" w:space="0" w:color="000000"/>
            </w:tcBorders>
            <w:vAlign w:val="center"/>
          </w:tcPr>
          <w:p w14:paraId="7E5F2624"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571" w:type="dxa"/>
            <w:tcBorders>
              <w:bottom w:val="single" w:sz="12" w:space="0" w:color="000000"/>
            </w:tcBorders>
            <w:noWrap/>
            <w:vAlign w:val="center"/>
          </w:tcPr>
          <w:p w14:paraId="23473AA0"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660" w:type="dxa"/>
            <w:tcBorders>
              <w:bottom w:val="single" w:sz="12" w:space="0" w:color="000000"/>
            </w:tcBorders>
            <w:vAlign w:val="center"/>
          </w:tcPr>
          <w:p w14:paraId="7EA0D63A"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p>
        </w:tc>
        <w:tc>
          <w:tcPr>
            <w:tcW w:w="663" w:type="dxa"/>
            <w:tcBorders>
              <w:bottom w:val="single" w:sz="12" w:space="0" w:color="000000"/>
            </w:tcBorders>
            <w:vAlign w:val="center"/>
          </w:tcPr>
          <w:p w14:paraId="7B47618F"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p>
        </w:tc>
        <w:tc>
          <w:tcPr>
            <w:tcW w:w="571" w:type="dxa"/>
            <w:tcBorders>
              <w:bottom w:val="single" w:sz="12" w:space="0" w:color="000000"/>
            </w:tcBorders>
            <w:vAlign w:val="center"/>
          </w:tcPr>
          <w:p w14:paraId="7C7699C4"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p>
        </w:tc>
        <w:tc>
          <w:tcPr>
            <w:tcW w:w="571" w:type="dxa"/>
            <w:tcBorders>
              <w:bottom w:val="single" w:sz="12" w:space="0" w:color="000000"/>
            </w:tcBorders>
            <w:vAlign w:val="center"/>
          </w:tcPr>
          <w:p w14:paraId="6CF5E6EA"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p>
        </w:tc>
        <w:tc>
          <w:tcPr>
            <w:tcW w:w="658" w:type="dxa"/>
            <w:tcBorders>
              <w:bottom w:val="single" w:sz="12" w:space="0" w:color="000000"/>
            </w:tcBorders>
            <w:vAlign w:val="center"/>
          </w:tcPr>
          <w:p w14:paraId="30A8A2CF"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p>
        </w:tc>
        <w:tc>
          <w:tcPr>
            <w:tcW w:w="248" w:type="dxa"/>
            <w:tcBorders>
              <w:bottom w:val="single" w:sz="12" w:space="0" w:color="000000"/>
            </w:tcBorders>
            <w:shd w:val="clear" w:color="000000" w:fill="D9D9D9"/>
            <w:vAlign w:val="center"/>
          </w:tcPr>
          <w:p w14:paraId="507AA628"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p>
        </w:tc>
        <w:tc>
          <w:tcPr>
            <w:tcW w:w="702" w:type="dxa"/>
            <w:tcBorders>
              <w:bottom w:val="single" w:sz="12" w:space="0" w:color="000000"/>
            </w:tcBorders>
            <w:vAlign w:val="center"/>
          </w:tcPr>
          <w:p w14:paraId="0C4526E6"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b/>
                <w:bCs/>
                <w:kern w:val="2"/>
                <w:sz w:val="16"/>
                <w:szCs w:val="16"/>
                <w:lang w:val="en-US" w:eastAsia="ja-JP"/>
              </w:rPr>
              <w:t>3082</w:t>
            </w:r>
          </w:p>
        </w:tc>
        <w:tc>
          <w:tcPr>
            <w:tcW w:w="604" w:type="dxa"/>
            <w:tcBorders>
              <w:bottom w:val="single" w:sz="12" w:space="0" w:color="000000"/>
            </w:tcBorders>
            <w:vAlign w:val="center"/>
          </w:tcPr>
          <w:p w14:paraId="53F1FB47" w14:textId="77777777" w:rsidR="002962EE" w:rsidRPr="00F0379B" w:rsidRDefault="002962EE" w:rsidP="00084782">
            <w:pPr>
              <w:spacing w:after="0" w:line="240" w:lineRule="auto"/>
              <w:jc w:val="center"/>
              <w:rPr>
                <w:rFonts w:ascii="Cambria" w:eastAsia="Times New Roman" w:hAnsi="Cambria" w:cs="Calibri"/>
                <w:b/>
                <w:bCs/>
                <w:sz w:val="16"/>
                <w:szCs w:val="16"/>
                <w:lang w:eastAsia="ja-JP"/>
              </w:rPr>
            </w:pPr>
            <w:r w:rsidRPr="00F0379B">
              <w:rPr>
                <w:rFonts w:ascii="Cambria" w:eastAsia="Times New Roman" w:hAnsi="Cambria" w:cs="Calibri"/>
                <w:b/>
                <w:bCs/>
                <w:kern w:val="2"/>
                <w:sz w:val="16"/>
                <w:szCs w:val="16"/>
                <w:lang w:val="en-US" w:eastAsia="ja-JP"/>
              </w:rPr>
              <w:t>2647</w:t>
            </w:r>
          </w:p>
        </w:tc>
        <w:tc>
          <w:tcPr>
            <w:tcW w:w="800" w:type="dxa"/>
            <w:tcBorders>
              <w:bottom w:val="single" w:sz="12" w:space="0" w:color="000000"/>
            </w:tcBorders>
            <w:vAlign w:val="center"/>
          </w:tcPr>
          <w:p w14:paraId="0541B5B4"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kern w:val="2"/>
                <w:sz w:val="16"/>
                <w:szCs w:val="16"/>
                <w:lang w:val="en-US" w:eastAsia="ja-JP"/>
              </w:rPr>
              <w:t>2269</w:t>
            </w:r>
          </w:p>
        </w:tc>
        <w:tc>
          <w:tcPr>
            <w:tcW w:w="709" w:type="dxa"/>
            <w:tcBorders>
              <w:bottom w:val="single" w:sz="12" w:space="0" w:color="000000"/>
            </w:tcBorders>
            <w:noWrap/>
            <w:vAlign w:val="center"/>
          </w:tcPr>
          <w:p w14:paraId="44E464E0"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kern w:val="2"/>
                <w:sz w:val="16"/>
                <w:szCs w:val="16"/>
                <w:lang w:val="en-US" w:eastAsia="ja-JP"/>
              </w:rPr>
              <w:t>3179</w:t>
            </w:r>
          </w:p>
        </w:tc>
        <w:tc>
          <w:tcPr>
            <w:tcW w:w="727" w:type="dxa"/>
            <w:tcBorders>
              <w:bottom w:val="single" w:sz="12" w:space="0" w:color="000000"/>
            </w:tcBorders>
            <w:noWrap/>
            <w:vAlign w:val="center"/>
          </w:tcPr>
          <w:p w14:paraId="08FEBED8"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kern w:val="2"/>
                <w:sz w:val="16"/>
                <w:szCs w:val="16"/>
                <w:lang w:val="en-US" w:eastAsia="ja-JP"/>
              </w:rPr>
              <w:t>3249</w:t>
            </w:r>
          </w:p>
        </w:tc>
        <w:tc>
          <w:tcPr>
            <w:tcW w:w="822" w:type="dxa"/>
            <w:tcBorders>
              <w:bottom w:val="single" w:sz="12" w:space="0" w:color="000000"/>
            </w:tcBorders>
            <w:noWrap/>
            <w:vAlign w:val="center"/>
          </w:tcPr>
          <w:p w14:paraId="2FEC134D"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kern w:val="2"/>
                <w:sz w:val="16"/>
                <w:szCs w:val="16"/>
                <w:lang w:val="en-US" w:eastAsia="ja-JP"/>
              </w:rPr>
              <w:t>3360</w:t>
            </w:r>
          </w:p>
        </w:tc>
        <w:tc>
          <w:tcPr>
            <w:tcW w:w="1026" w:type="dxa"/>
            <w:tcBorders>
              <w:bottom w:val="single" w:sz="12" w:space="0" w:color="000000"/>
              <w:right w:val="single" w:sz="12" w:space="0" w:color="000000"/>
            </w:tcBorders>
            <w:vAlign w:val="center"/>
          </w:tcPr>
          <w:p w14:paraId="0EAD389C" w14:textId="77777777" w:rsidR="002962EE" w:rsidRPr="00F0379B" w:rsidRDefault="002962EE" w:rsidP="00084782">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kern w:val="2"/>
                <w:sz w:val="16"/>
                <w:szCs w:val="16"/>
                <w:lang w:val="en-US" w:eastAsia="ja-JP"/>
              </w:rPr>
              <w:t>4001</w:t>
            </w:r>
          </w:p>
        </w:tc>
      </w:tr>
      <w:tr w:rsidR="002962EE" w:rsidRPr="00F0379B" w14:paraId="35B6C9B7" w14:textId="77777777" w:rsidTr="00084782">
        <w:trPr>
          <w:trHeight w:val="23"/>
        </w:trPr>
        <w:tc>
          <w:tcPr>
            <w:tcW w:w="3420" w:type="dxa"/>
            <w:tcBorders>
              <w:top w:val="single" w:sz="12" w:space="0" w:color="000000"/>
              <w:left w:val="single" w:sz="12" w:space="0" w:color="000000"/>
              <w:bottom w:val="single" w:sz="12" w:space="0" w:color="000000"/>
            </w:tcBorders>
            <w:shd w:val="clear" w:color="auto" w:fill="D9D9D9"/>
            <w:noWrap/>
            <w:vAlign w:val="center"/>
            <w:hideMark/>
          </w:tcPr>
          <w:p w14:paraId="007956C2" w14:textId="77777777" w:rsidR="002962EE" w:rsidRPr="00F0379B" w:rsidRDefault="002962EE" w:rsidP="00084782">
            <w:pPr>
              <w:spacing w:after="0" w:line="240" w:lineRule="auto"/>
              <w:rPr>
                <w:rFonts w:ascii="Cambria" w:eastAsia="Times New Roman" w:hAnsi="Cambria" w:cs="Calibri"/>
                <w:b/>
                <w:bCs/>
                <w:sz w:val="16"/>
                <w:szCs w:val="16"/>
                <w:lang w:eastAsia="fr-FR" w:bidi="fr-FR"/>
              </w:rPr>
            </w:pPr>
            <w:proofErr w:type="spellStart"/>
            <w:r w:rsidRPr="00F0379B">
              <w:rPr>
                <w:rFonts w:ascii="Cambria" w:eastAsia="MS Gothic" w:hAnsi="Cambria" w:cs="Times New Roman"/>
                <w:b/>
                <w:sz w:val="16"/>
                <w:szCs w:val="16"/>
                <w:lang w:eastAsia="fr-FR" w:bidi="fr-FR"/>
              </w:rPr>
              <w:t>Subcapacidad</w:t>
            </w:r>
            <w:proofErr w:type="spellEnd"/>
            <w:r w:rsidRPr="00F0379B">
              <w:rPr>
                <w:rFonts w:ascii="Cambria" w:eastAsia="MS Gothic" w:hAnsi="Cambria" w:cs="Times New Roman"/>
                <w:b/>
                <w:sz w:val="16"/>
                <w:szCs w:val="16"/>
                <w:lang w:eastAsia="fr-FR" w:bidi="fr-FR"/>
              </w:rPr>
              <w:t>/exceso de capacidad</w:t>
            </w:r>
          </w:p>
        </w:tc>
        <w:tc>
          <w:tcPr>
            <w:tcW w:w="1396" w:type="dxa"/>
            <w:tcBorders>
              <w:top w:val="single" w:sz="12" w:space="0" w:color="000000"/>
              <w:bottom w:val="single" w:sz="12" w:space="0" w:color="000000"/>
            </w:tcBorders>
            <w:shd w:val="clear" w:color="auto" w:fill="D9D9D9"/>
            <w:noWrap/>
            <w:vAlign w:val="center"/>
            <w:hideMark/>
          </w:tcPr>
          <w:p w14:paraId="4A021064" w14:textId="77777777" w:rsidR="002962EE" w:rsidRPr="00F0379B" w:rsidRDefault="002962EE" w:rsidP="00084782">
            <w:pPr>
              <w:spacing w:after="0" w:line="240" w:lineRule="auto"/>
              <w:jc w:val="right"/>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 </w:t>
            </w:r>
          </w:p>
        </w:tc>
        <w:tc>
          <w:tcPr>
            <w:tcW w:w="661" w:type="dxa"/>
            <w:tcBorders>
              <w:top w:val="single" w:sz="12" w:space="0" w:color="000000"/>
              <w:bottom w:val="single" w:sz="12" w:space="0" w:color="000000"/>
            </w:tcBorders>
            <w:shd w:val="clear" w:color="auto" w:fill="D9D9D9"/>
            <w:vAlign w:val="center"/>
          </w:tcPr>
          <w:p w14:paraId="4C3BA3D8"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p>
        </w:tc>
        <w:tc>
          <w:tcPr>
            <w:tcW w:w="571" w:type="dxa"/>
            <w:tcBorders>
              <w:top w:val="single" w:sz="12" w:space="0" w:color="000000"/>
              <w:bottom w:val="single" w:sz="12" w:space="0" w:color="000000"/>
            </w:tcBorders>
            <w:shd w:val="clear" w:color="auto" w:fill="D9D9D9"/>
            <w:noWrap/>
            <w:vAlign w:val="center"/>
            <w:hideMark/>
          </w:tcPr>
          <w:p w14:paraId="270980C5"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660" w:type="dxa"/>
            <w:tcBorders>
              <w:top w:val="single" w:sz="12" w:space="0" w:color="000000"/>
              <w:bottom w:val="single" w:sz="12" w:space="0" w:color="000000"/>
            </w:tcBorders>
            <w:shd w:val="clear" w:color="auto" w:fill="D9D9D9"/>
            <w:vAlign w:val="center"/>
            <w:hideMark/>
          </w:tcPr>
          <w:p w14:paraId="329DBD3D"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663" w:type="dxa"/>
            <w:tcBorders>
              <w:top w:val="single" w:sz="12" w:space="0" w:color="000000"/>
              <w:bottom w:val="single" w:sz="12" w:space="0" w:color="000000"/>
            </w:tcBorders>
            <w:shd w:val="clear" w:color="auto" w:fill="D9D9D9"/>
            <w:vAlign w:val="center"/>
            <w:hideMark/>
          </w:tcPr>
          <w:p w14:paraId="6871A56C"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571" w:type="dxa"/>
            <w:tcBorders>
              <w:top w:val="single" w:sz="12" w:space="0" w:color="000000"/>
              <w:bottom w:val="single" w:sz="12" w:space="0" w:color="000000"/>
            </w:tcBorders>
            <w:shd w:val="clear" w:color="auto" w:fill="D9D9D9"/>
            <w:vAlign w:val="center"/>
            <w:hideMark/>
          </w:tcPr>
          <w:p w14:paraId="6AE41F63"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571" w:type="dxa"/>
            <w:tcBorders>
              <w:top w:val="single" w:sz="12" w:space="0" w:color="000000"/>
              <w:bottom w:val="single" w:sz="12" w:space="0" w:color="000000"/>
            </w:tcBorders>
            <w:shd w:val="clear" w:color="auto" w:fill="D9D9D9"/>
            <w:vAlign w:val="center"/>
          </w:tcPr>
          <w:p w14:paraId="4C94FC2B"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p>
        </w:tc>
        <w:tc>
          <w:tcPr>
            <w:tcW w:w="658" w:type="dxa"/>
            <w:tcBorders>
              <w:top w:val="single" w:sz="12" w:space="0" w:color="000000"/>
              <w:bottom w:val="single" w:sz="12" w:space="0" w:color="000000"/>
            </w:tcBorders>
            <w:shd w:val="clear" w:color="auto" w:fill="D9D9D9"/>
            <w:vAlign w:val="center"/>
          </w:tcPr>
          <w:p w14:paraId="0A9AEA58"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p>
        </w:tc>
        <w:tc>
          <w:tcPr>
            <w:tcW w:w="248" w:type="dxa"/>
            <w:tcBorders>
              <w:top w:val="single" w:sz="12" w:space="0" w:color="000000"/>
              <w:bottom w:val="single" w:sz="12" w:space="0" w:color="000000"/>
            </w:tcBorders>
            <w:shd w:val="clear" w:color="auto" w:fill="D9D9D9"/>
            <w:vAlign w:val="center"/>
            <w:hideMark/>
          </w:tcPr>
          <w:p w14:paraId="741CFAF2"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p>
        </w:tc>
        <w:tc>
          <w:tcPr>
            <w:tcW w:w="702" w:type="dxa"/>
            <w:tcBorders>
              <w:top w:val="single" w:sz="12" w:space="0" w:color="000000"/>
              <w:bottom w:val="single" w:sz="12" w:space="0" w:color="000000"/>
            </w:tcBorders>
            <w:shd w:val="clear" w:color="auto" w:fill="D9D9D9"/>
            <w:vAlign w:val="center"/>
          </w:tcPr>
          <w:p w14:paraId="16D412F9" w14:textId="77777777" w:rsidR="002962EE" w:rsidRPr="00F0379B" w:rsidRDefault="002962EE" w:rsidP="00084782">
            <w:pPr>
              <w:spacing w:after="0" w:line="240" w:lineRule="auto"/>
              <w:jc w:val="center"/>
              <w:rPr>
                <w:rFonts w:ascii="Cambria" w:eastAsia="Times New Roman" w:hAnsi="Cambria" w:cs="Calibri"/>
                <w:sz w:val="16"/>
                <w:szCs w:val="16"/>
                <w:lang w:eastAsia="ja-JP"/>
              </w:rPr>
            </w:pPr>
            <w:r w:rsidRPr="00F0379B">
              <w:rPr>
                <w:rFonts w:ascii="Cambria" w:eastAsia="Times New Roman" w:hAnsi="Cambria" w:cs="Calibri"/>
                <w:b/>
                <w:bCs/>
                <w:kern w:val="2"/>
                <w:sz w:val="16"/>
                <w:szCs w:val="16"/>
                <w:lang w:val="en-US" w:eastAsia="ja-JP"/>
              </w:rPr>
              <w:t>-832</w:t>
            </w:r>
          </w:p>
        </w:tc>
        <w:tc>
          <w:tcPr>
            <w:tcW w:w="604" w:type="dxa"/>
            <w:tcBorders>
              <w:top w:val="single" w:sz="12" w:space="0" w:color="000000"/>
              <w:bottom w:val="single" w:sz="12" w:space="0" w:color="000000"/>
            </w:tcBorders>
            <w:shd w:val="clear" w:color="auto" w:fill="D9D9D9"/>
            <w:vAlign w:val="center"/>
            <w:hideMark/>
          </w:tcPr>
          <w:p w14:paraId="60E89413"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b/>
                <w:bCs/>
                <w:kern w:val="2"/>
                <w:sz w:val="16"/>
                <w:szCs w:val="16"/>
                <w:lang w:val="en-US" w:eastAsia="ja-JP"/>
              </w:rPr>
              <w:t>-397</w:t>
            </w:r>
          </w:p>
        </w:tc>
        <w:tc>
          <w:tcPr>
            <w:tcW w:w="800" w:type="dxa"/>
            <w:tcBorders>
              <w:top w:val="single" w:sz="12" w:space="0" w:color="000000"/>
              <w:bottom w:val="single" w:sz="12" w:space="0" w:color="000000"/>
            </w:tcBorders>
            <w:shd w:val="clear" w:color="auto" w:fill="D9D9D9"/>
            <w:vAlign w:val="center"/>
            <w:hideMark/>
          </w:tcPr>
          <w:p w14:paraId="558590E4"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b/>
                <w:bCs/>
                <w:kern w:val="2"/>
                <w:sz w:val="16"/>
                <w:szCs w:val="16"/>
                <w:lang w:val="en-US" w:eastAsia="ja-JP"/>
              </w:rPr>
              <w:t>131,32</w:t>
            </w:r>
          </w:p>
        </w:tc>
        <w:tc>
          <w:tcPr>
            <w:tcW w:w="709" w:type="dxa"/>
            <w:tcBorders>
              <w:top w:val="single" w:sz="12" w:space="0" w:color="000000"/>
              <w:bottom w:val="single" w:sz="12" w:space="0" w:color="000000"/>
            </w:tcBorders>
            <w:shd w:val="clear" w:color="auto" w:fill="D9D9D9"/>
            <w:vAlign w:val="center"/>
            <w:hideMark/>
          </w:tcPr>
          <w:p w14:paraId="00145B91"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b/>
                <w:bCs/>
                <w:kern w:val="2"/>
                <w:sz w:val="16"/>
                <w:szCs w:val="16"/>
                <w:lang w:val="en-US" w:eastAsia="ja-JP"/>
              </w:rPr>
              <w:t>-32,4</w:t>
            </w:r>
          </w:p>
        </w:tc>
        <w:tc>
          <w:tcPr>
            <w:tcW w:w="727" w:type="dxa"/>
            <w:tcBorders>
              <w:top w:val="single" w:sz="12" w:space="0" w:color="000000"/>
              <w:bottom w:val="single" w:sz="12" w:space="0" w:color="000000"/>
            </w:tcBorders>
            <w:shd w:val="clear" w:color="auto" w:fill="D9D9D9"/>
            <w:vAlign w:val="center"/>
            <w:hideMark/>
          </w:tcPr>
          <w:p w14:paraId="280969E6"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b/>
                <w:bCs/>
                <w:kern w:val="2"/>
                <w:sz w:val="16"/>
                <w:szCs w:val="16"/>
                <w:lang w:val="en-US" w:eastAsia="ja-JP"/>
              </w:rPr>
              <w:t>-86,58</w:t>
            </w:r>
          </w:p>
        </w:tc>
        <w:tc>
          <w:tcPr>
            <w:tcW w:w="822" w:type="dxa"/>
            <w:tcBorders>
              <w:top w:val="single" w:sz="12" w:space="0" w:color="000000"/>
              <w:bottom w:val="single" w:sz="12" w:space="0" w:color="000000"/>
            </w:tcBorders>
            <w:shd w:val="clear" w:color="auto" w:fill="D9D9D9"/>
            <w:vAlign w:val="center"/>
            <w:hideMark/>
          </w:tcPr>
          <w:p w14:paraId="0C305415" w14:textId="77777777" w:rsidR="002962EE" w:rsidRPr="00F0379B" w:rsidRDefault="002962EE" w:rsidP="00084782">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b/>
                <w:bCs/>
                <w:kern w:val="2"/>
                <w:sz w:val="16"/>
                <w:szCs w:val="16"/>
                <w:lang w:val="en-US" w:eastAsia="ja-JP"/>
              </w:rPr>
              <w:t>-177,6</w:t>
            </w:r>
          </w:p>
        </w:tc>
        <w:tc>
          <w:tcPr>
            <w:tcW w:w="1026" w:type="dxa"/>
            <w:tcBorders>
              <w:top w:val="single" w:sz="12" w:space="0" w:color="000000"/>
              <w:bottom w:val="single" w:sz="12" w:space="0" w:color="000000"/>
              <w:right w:val="single" w:sz="12" w:space="0" w:color="000000"/>
            </w:tcBorders>
            <w:shd w:val="clear" w:color="auto" w:fill="D9D9D9"/>
            <w:vAlign w:val="center"/>
          </w:tcPr>
          <w:p w14:paraId="35165B3C" w14:textId="77777777" w:rsidR="002962EE" w:rsidRPr="00F0379B" w:rsidRDefault="002962EE" w:rsidP="00084782">
            <w:pPr>
              <w:spacing w:after="0" w:line="240" w:lineRule="auto"/>
              <w:jc w:val="center"/>
              <w:rPr>
                <w:rFonts w:ascii="Cambria" w:eastAsia="Times New Roman" w:hAnsi="Cambria" w:cs="Calibri"/>
                <w:sz w:val="16"/>
                <w:szCs w:val="16"/>
                <w:lang w:val="en-US" w:eastAsia="ja-JP"/>
              </w:rPr>
            </w:pPr>
            <w:r w:rsidRPr="00F0379B">
              <w:rPr>
                <w:rFonts w:ascii="Cambria" w:eastAsia="Malgun Gothic" w:hAnsi="Cambria" w:cs="Cambria"/>
                <w:b/>
                <w:bCs/>
                <w:kern w:val="2"/>
                <w:sz w:val="16"/>
                <w:szCs w:val="16"/>
                <w:lang w:val="en-US" w:eastAsia="ko-KR"/>
              </w:rPr>
              <w:t>-591,25</w:t>
            </w:r>
          </w:p>
        </w:tc>
      </w:tr>
    </w:tbl>
    <w:p w14:paraId="40653ECF" w14:textId="77777777" w:rsidR="002962EE" w:rsidRPr="00F0379B" w:rsidRDefault="002962EE" w:rsidP="002962EE">
      <w:pPr>
        <w:spacing w:after="0" w:line="240" w:lineRule="auto"/>
        <w:ind w:left="1440" w:hanging="1440"/>
        <w:rPr>
          <w:rFonts w:ascii="Cambria" w:eastAsia="MS Gothic" w:hAnsi="Cambria" w:cs="Times New Roman"/>
          <w:b/>
          <w:bCs/>
          <w:sz w:val="20"/>
          <w:szCs w:val="20"/>
        </w:rPr>
      </w:pPr>
    </w:p>
    <w:p w14:paraId="3CC7AEB7" w14:textId="77777777" w:rsidR="00D80B6F" w:rsidRPr="00F0379B" w:rsidRDefault="00D80B6F" w:rsidP="009123AC">
      <w:pPr>
        <w:spacing w:after="0" w:line="240" w:lineRule="auto"/>
        <w:rPr>
          <w:rFonts w:ascii="Cambria" w:eastAsia="MS Gothic" w:hAnsi="Cambria" w:cs="Times New Roman"/>
          <w:b/>
          <w:bCs/>
          <w:sz w:val="20"/>
          <w:szCs w:val="20"/>
          <w:lang w:eastAsia="fr-FR" w:bidi="fr-FR"/>
        </w:rPr>
        <w:sectPr w:rsidR="00D80B6F" w:rsidRPr="00F0379B" w:rsidSect="0038144A">
          <w:headerReference w:type="default" r:id="rId181"/>
          <w:footerReference w:type="default" r:id="rId182"/>
          <w:headerReference w:type="first" r:id="rId183"/>
          <w:footerReference w:type="first" r:id="rId184"/>
          <w:pgSz w:w="16838" w:h="11906" w:orient="landscape" w:code="9"/>
          <w:pgMar w:top="1418" w:right="1418" w:bottom="1418" w:left="1418" w:header="851" w:footer="1134" w:gutter="0"/>
          <w:cols w:space="425"/>
          <w:docGrid w:linePitch="360"/>
        </w:sectPr>
      </w:pPr>
    </w:p>
    <w:p w14:paraId="54EB78E4" w14:textId="72F02883" w:rsidR="009123AC" w:rsidRPr="00F0379B" w:rsidRDefault="009123AC" w:rsidP="009123AC">
      <w:pPr>
        <w:spacing w:after="0" w:line="240" w:lineRule="auto"/>
        <w:rPr>
          <w:rFonts w:ascii="Cambria" w:eastAsia="Aptos" w:hAnsi="Cambria" w:cs="Aptos"/>
          <w:kern w:val="2"/>
          <w:sz w:val="20"/>
          <w:szCs w:val="20"/>
          <w:lang w:eastAsia="en-GB"/>
          <w14:ligatures w14:val="standardContextual"/>
        </w:rPr>
      </w:pPr>
      <w:r w:rsidRPr="00F0379B">
        <w:rPr>
          <w:rFonts w:ascii="Cambria" w:eastAsia="MS Gothic" w:hAnsi="Cambria" w:cs="Times New Roman"/>
          <w:b/>
          <w:bCs/>
          <w:sz w:val="20"/>
          <w:szCs w:val="20"/>
          <w:lang w:eastAsia="fr-FR" w:bidi="fr-FR"/>
        </w:rPr>
        <w:t>Noruega</w:t>
      </w:r>
    </w:p>
    <w:p w14:paraId="6889970C"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0174877F"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r w:rsidRPr="00F0379B">
        <w:rPr>
          <w:rFonts w:ascii="Cambria" w:eastAsia="MS Gothic" w:hAnsi="Cambria" w:cs="Times New Roman"/>
          <w:b/>
          <w:bCs/>
          <w:sz w:val="20"/>
          <w:szCs w:val="20"/>
          <w:lang w:eastAsia="fr-FR" w:bidi="fr-FR"/>
        </w:rPr>
        <w:t>Año del plan de pesca:</w:t>
      </w:r>
      <w:r w:rsidRPr="00F0379B">
        <w:rPr>
          <w:rFonts w:ascii="Cambria" w:eastAsia="MS Gothic" w:hAnsi="Cambria" w:cs="Times New Roman"/>
          <w:b/>
          <w:sz w:val="20"/>
          <w:szCs w:val="20"/>
          <w:lang w:eastAsia="fr-FR" w:bidi="fr-FR"/>
        </w:rPr>
        <w:t xml:space="preserve"> 2026</w:t>
      </w:r>
    </w:p>
    <w:p w14:paraId="6E7EC855"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10D863BD"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0"/>
          <w:lang w:eastAsia="fr-FR" w:bidi="fr-FR"/>
        </w:rPr>
        <w:t xml:space="preserve">1. Detalles del plan anual de pesca para los buques de captura y las almadrabas </w:t>
      </w:r>
    </w:p>
    <w:p w14:paraId="5876F63E"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66D18548" w14:textId="77777777" w:rsidR="009123AC" w:rsidRPr="00F0379B" w:rsidRDefault="009123AC" w:rsidP="009123AC">
      <w:pPr>
        <w:widowControl w:val="0"/>
        <w:spacing w:after="0" w:line="240" w:lineRule="auto"/>
        <w:jc w:val="both"/>
        <w:rPr>
          <w:rFonts w:ascii="Cambria" w:eastAsia="MS Gothic" w:hAnsi="Cambria" w:cs="Times New Roman"/>
          <w:b/>
          <w:bCs/>
          <w:i/>
          <w:iCs/>
          <w:color w:val="000000"/>
          <w:sz w:val="20"/>
          <w:szCs w:val="20"/>
          <w:lang w:eastAsia="fr-FR" w:bidi="fr-FR"/>
        </w:rPr>
      </w:pPr>
      <w:r w:rsidRPr="00F0379B">
        <w:rPr>
          <w:rFonts w:ascii="Cambria" w:eastAsia="MS Gothic" w:hAnsi="Cambria" w:cs="Times New Roman"/>
          <w:b/>
          <w:bCs/>
          <w:i/>
          <w:iCs/>
          <w:color w:val="000000"/>
          <w:sz w:val="20"/>
          <w:szCs w:val="20"/>
          <w:lang w:eastAsia="fr-FR" w:bidi="fr-FR"/>
        </w:rPr>
        <w:t>1 a) Presentación (párr. 12)</w:t>
      </w:r>
    </w:p>
    <w:p w14:paraId="0EF3166B" w14:textId="77777777" w:rsidR="009123AC" w:rsidRPr="00F0379B" w:rsidRDefault="009123AC" w:rsidP="009123AC">
      <w:pPr>
        <w:widowControl w:val="0"/>
        <w:spacing w:after="0" w:line="240" w:lineRule="auto"/>
        <w:jc w:val="both"/>
        <w:rPr>
          <w:rFonts w:ascii="Cambria" w:eastAsia="MS Gothic" w:hAnsi="Cambria" w:cs="Times New Roman"/>
          <w:i/>
          <w:iCs/>
          <w:sz w:val="20"/>
          <w:szCs w:val="20"/>
          <w:lang w:eastAsia="fr-FR" w:bidi="fr-FR"/>
        </w:rPr>
      </w:pPr>
    </w:p>
    <w:p w14:paraId="1EAFB2A2"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De conformidad con la Recomendación 25-04, párrafo 4, Noruega ha recibido una asignación de cuota de 461,38 t en 2026. En relación con Recomendación 25-04, párrafo 6, Noruega solicita transferir el 20 % de su cuota de 2025 a 2026. En 2025 se utilizó un total de 99,7 t de la cuota de captura noruega y 73,6 t (20 % de 368 t) pueden, según el párrafo 6, transferirse a 2026. Si la solicitud es aceptada, la cuota ajustada para 2026 será de 534,98 t. </w:t>
      </w:r>
    </w:p>
    <w:p w14:paraId="5564A753"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1173F705"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Noruega ha reservado una cuota grupal de 440 t para los cerqueros y palangreros y una cuota grupal de 40 t para las embarcaciones costeras de pequeña escala. Además, ha asignado una cuota grupal de 8 t para la pesquería de recreo. Asimismo, se reservarán 2 t con fines de marcado y liberación. Noruega asignará también una cuota de 10 t para la captura fortuita y de 34,98 t para actividades de investigación. De la cuota para actividades de investigación, 30 t se destinarán al proyecto piloto sobre el almacenamiento de atún rojo vivo de corta duración, de conformidad con la Res. 22-07/25-03.</w:t>
      </w:r>
    </w:p>
    <w:p w14:paraId="28D82275"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06AE995B"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La pesquería noruega dirigida al atún rojo de 2026 se regulará mediante el Reglamento nacional sobre pesquerías de atún rojo, que entrará en vigor tras la aprobación del plan de pesca, cría, inspección y ordenación de la capacidad de Noruega por parte de ICCAT. Además de los requisitos nacionales, estas reglamentaciones cubrirán los requisitos especificados en la Recomendación 25-04 de ICCAT e incluyen un requisito general de cumplir las recomendaciones pertinentes de ICCAT. </w:t>
      </w:r>
    </w:p>
    <w:p w14:paraId="733DEA08"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29483B08"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Noruega autorizará a 10 cerqueros a pescar atún rojo en 2026, cuatro de estos buques autorizados tienen una eslora total de más de 40 m. Se asignará a los cerqueros cuotas máximas. Además, Noruega autorizará a 20 palangreros que participarán con la misma cuota asignada individualmente que la de los cerqueros. Las cuotas máximas exactas podrán ajustarse a lo largo de la temporada de pesca, pero en ningún caso se excederá la cuota total de Noruega. </w:t>
      </w:r>
    </w:p>
    <w:p w14:paraId="530D5AC7"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426058F6"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Un número limitado de buques podrá participar en la pesca costera artesanal en 2026. En 2025, 30 embarcaciones costeras de pequeña escala fueron autorizadas a participar en la pesquería noruega de atún rojo. Para 2026 autorizaremos a 40 embarcaciones costeras de pequeña escala a participar en esta pesquería.</w:t>
      </w:r>
    </w:p>
    <w:p w14:paraId="0541B8F3"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4561051D"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Noruega autorizará un número de buques para una pesquería de recreo. Algunos de estos buques también obtendrán permisos para participar en una pesquería de marcado y liberación de atún rojo. En la sección 2 se presentan más detalles. </w:t>
      </w:r>
    </w:p>
    <w:p w14:paraId="360E0446"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52C6C9FE"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Se han reservado 10 t de la cuota de Noruega para la captura fortuita no intencionada de atún rojo. La captura fortuita de atún rojo en la pesquería noruega tiene lugar en relación con pesquerías no reguladas por ICCAT como las de caballa y bacaladilla. Las variaciones anuales en estas pesquerías se reflejan en el número de capturas fortuitas. El nivel más alto de captura fortuita de atún rojo registrado en la zona económica de Noruega en los pasados años es de 8,4 t en 2015, y en 2025 la captura fortuita total fue de 3,4 t. Por lo tanto, las 10 t reservadas para la captura fortuita deberían ser más que suficientes para cubrir la captura fortuita de 2026. </w:t>
      </w:r>
    </w:p>
    <w:p w14:paraId="2F4009F0"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46CA0EE9"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Toda la captura fortuita de atún rojo se comunicará inmediatamente al FMC noruego. El FMC alertará a los inspectores de la Dirección de Pesca, quienes iniciarán las acciones apropiadas de seguimiento. El FMC está abierto 24 horas al día, 7 días a la semana, y cualquier interrupción de la transmisión de los cuadernos de pesca electrónicos será inmediatamente investigada por el FMC. Los guardacostas noruegos también tienen acceso a los cuadernos de pesca electrónicos en tiempo real.</w:t>
      </w:r>
    </w:p>
    <w:p w14:paraId="50AAC880"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42DAB7C2"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Los cerqueros, los palangreros y las embarcaciones costeras de pequeña escala deberán comunicar información de su cuaderno de pesca electrónico al FMC noruego diariamente, lo que incluye información sobre la fecha, hora, localización (latitud y longitud) y peso y número de atunes rojos capturados.</w:t>
      </w:r>
    </w:p>
    <w:p w14:paraId="5BC85E79"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30DD2F5C"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Los buques que participen en la pesquería de recreo y en la pesquería de marcado y liberación deben comunicar la misma información que los buques comerciales. También tienen que estar en estrecho contacto con el Instituto de Investigación Marina. </w:t>
      </w:r>
    </w:p>
    <w:p w14:paraId="306EA960"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20649042"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Todos los buques de captura noruegos con una eslora total que supere los 8 metros deben enviar informes de posición (VMS) e informes diarios de captura al FMC.</w:t>
      </w:r>
    </w:p>
    <w:p w14:paraId="4CFEF949"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6CAE4008"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En la siguiente tabla se incluye más información sobre el seguimiento y control de la cuota noruega.</w:t>
      </w:r>
    </w:p>
    <w:p w14:paraId="73DB5CED"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4188F133"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De conformidad con el párrafo 52 de la Recomendación 25-04 de ICCAT, Noruega presentará al secretario ejecutivo de ICCAT, a más tardar 15 días antes del comienzo de la actividad de pesca, la información relativa a los buques autorizados para llevar a cabo esta pesquería. Cualquier modificación posterior del plan de pesca anual se transmitirá al secretario ejecutivo de ICCAT de conformidad con el párrafo 15 de la Recomendación 25-04 de ICCAT.</w:t>
      </w:r>
    </w:p>
    <w:p w14:paraId="3D9A0A2B"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 </w:t>
      </w:r>
    </w:p>
    <w:p w14:paraId="5984E8E3" w14:textId="77777777" w:rsidR="009123AC" w:rsidRPr="00F0379B" w:rsidRDefault="009123AC" w:rsidP="009123AC">
      <w:pPr>
        <w:widowControl w:val="0"/>
        <w:spacing w:after="0" w:line="240" w:lineRule="auto"/>
        <w:jc w:val="both"/>
        <w:rPr>
          <w:rFonts w:ascii="Cambria" w:eastAsia="MS Gothic" w:hAnsi="Cambria" w:cs="Times New Roman"/>
          <w:b/>
          <w:bCs/>
          <w:i/>
          <w:iCs/>
          <w:color w:val="000000"/>
          <w:sz w:val="20"/>
          <w:szCs w:val="20"/>
          <w:lang w:eastAsia="fr-FR" w:bidi="fr-FR"/>
        </w:rPr>
      </w:pPr>
      <w:r w:rsidRPr="00F0379B">
        <w:rPr>
          <w:rFonts w:ascii="Cambria" w:eastAsia="MS Gothic" w:hAnsi="Cambria" w:cs="Times New Roman"/>
          <w:b/>
          <w:bCs/>
          <w:i/>
          <w:iCs/>
          <w:color w:val="000000"/>
          <w:sz w:val="20"/>
          <w:szCs w:val="20"/>
          <w:lang w:eastAsia="fr-FR" w:bidi="fr-FR"/>
        </w:rPr>
        <w:t>1b) Traspaso (párrafo 6)</w:t>
      </w:r>
    </w:p>
    <w:p w14:paraId="5AE7416D"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74C5E130"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Noruega solicita un traspaso de 73,6 t de 2025 a 2026.</w:t>
      </w:r>
    </w:p>
    <w:p w14:paraId="665CF289"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16D1549A" w14:textId="77777777" w:rsidR="009123AC" w:rsidRPr="00F0379B" w:rsidRDefault="009123AC" w:rsidP="009123AC">
      <w:pPr>
        <w:widowControl w:val="0"/>
        <w:spacing w:after="0" w:line="240" w:lineRule="auto"/>
        <w:jc w:val="both"/>
        <w:rPr>
          <w:rFonts w:ascii="Cambria" w:eastAsia="MS Gothic" w:hAnsi="Cambria" w:cs="Times New Roman"/>
          <w:b/>
          <w:bCs/>
          <w:i/>
          <w:iCs/>
          <w:color w:val="000000"/>
          <w:sz w:val="20"/>
          <w:szCs w:val="20"/>
          <w:lang w:eastAsia="fr-FR" w:bidi="fr-FR"/>
        </w:rPr>
      </w:pPr>
      <w:r w:rsidRPr="00F0379B">
        <w:rPr>
          <w:rFonts w:ascii="Cambria" w:eastAsia="MS Gothic" w:hAnsi="Cambria" w:cs="Times New Roman"/>
          <w:b/>
          <w:bCs/>
          <w:i/>
          <w:iCs/>
          <w:color w:val="000000"/>
          <w:sz w:val="20"/>
          <w:szCs w:val="20"/>
          <w:lang w:eastAsia="fr-FR" w:bidi="fr-FR"/>
        </w:rPr>
        <w:t>1 c) Destino de la captura</w:t>
      </w:r>
    </w:p>
    <w:p w14:paraId="77A761D2"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6B60B93C"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Todo el atún rojo capturado por los buques noruegos será desembarcado, excepto el utilizado para el estudio piloto sobre almacenamiento de corta duración de ejemplares vivos. Se almacenarán durante un periodo de tiempo limitado antes de prepararlos para la venta. </w:t>
      </w:r>
    </w:p>
    <w:p w14:paraId="78AF2E0D"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7386A148" w14:textId="77777777" w:rsidR="009123AC" w:rsidRPr="00F0379B" w:rsidRDefault="009123AC" w:rsidP="009123AC">
      <w:pPr>
        <w:widowControl w:val="0"/>
        <w:spacing w:after="0" w:line="240" w:lineRule="auto"/>
        <w:jc w:val="both"/>
        <w:rPr>
          <w:rFonts w:ascii="Cambria" w:eastAsia="MS Gothic" w:hAnsi="Cambria" w:cs="Times New Roman"/>
          <w:b/>
          <w:bCs/>
          <w:i/>
          <w:sz w:val="20"/>
          <w:szCs w:val="20"/>
          <w:lang w:eastAsia="fr-FR" w:bidi="fr-FR"/>
        </w:rPr>
      </w:pPr>
      <w:r w:rsidRPr="00F0379B">
        <w:rPr>
          <w:rFonts w:ascii="Cambria" w:eastAsia="MS Gothic" w:hAnsi="Cambria" w:cs="Times New Roman"/>
          <w:b/>
          <w:bCs/>
          <w:i/>
          <w:sz w:val="20"/>
          <w:szCs w:val="20"/>
          <w:lang w:eastAsia="fr-FR" w:bidi="fr-FR"/>
        </w:rPr>
        <w:t>1) d</w:t>
      </w:r>
    </w:p>
    <w:p w14:paraId="0EE62B0A" w14:textId="77777777" w:rsidR="009123AC" w:rsidRPr="00F0379B" w:rsidRDefault="009123AC" w:rsidP="009123AC">
      <w:pPr>
        <w:widowControl w:val="0"/>
        <w:spacing w:after="0" w:line="240" w:lineRule="auto"/>
        <w:jc w:val="both"/>
        <w:rPr>
          <w:rFonts w:ascii="Cambria" w:eastAsia="MS Gothic" w:hAnsi="Cambria" w:cs="Times New Roman"/>
          <w:b/>
          <w:bCs/>
          <w:i/>
          <w:sz w:val="20"/>
          <w:szCs w:val="20"/>
          <w:lang w:eastAsia="fr-FR" w:bidi="fr-FR"/>
        </w:rPr>
      </w:pPr>
    </w:p>
    <w:tbl>
      <w:tblPr>
        <w:tblStyle w:val="TableGrid"/>
        <w:tblW w:w="0" w:type="auto"/>
        <w:tblLook w:val="04A0" w:firstRow="1" w:lastRow="0" w:firstColumn="1" w:lastColumn="0" w:noHBand="0" w:noVBand="1"/>
      </w:tblPr>
      <w:tblGrid>
        <w:gridCol w:w="453"/>
        <w:gridCol w:w="1972"/>
        <w:gridCol w:w="3420"/>
        <w:gridCol w:w="2160"/>
        <w:gridCol w:w="1055"/>
      </w:tblGrid>
      <w:tr w:rsidR="009123AC" w:rsidRPr="00F0379B" w14:paraId="5DF3A2A0" w14:textId="77777777" w:rsidTr="00CA749B">
        <w:trPr>
          <w:tblHeader/>
        </w:trPr>
        <w:tc>
          <w:tcPr>
            <w:tcW w:w="453" w:type="dxa"/>
          </w:tcPr>
          <w:p w14:paraId="2F0DD70E"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972" w:type="dxa"/>
            <w:vAlign w:val="center"/>
          </w:tcPr>
          <w:p w14:paraId="4100054F" w14:textId="77777777" w:rsidR="009123AC" w:rsidRPr="00F0379B" w:rsidRDefault="009123AC" w:rsidP="009123AC">
            <w:pPr>
              <w:widowControl w:val="0"/>
              <w:spacing w:line="240" w:lineRule="auto"/>
              <w:jc w:val="center"/>
              <w:rPr>
                <w:rFonts w:ascii="Cambria" w:eastAsiaTheme="minorEastAsia" w:hAnsi="Cambria"/>
                <w:i/>
                <w:kern w:val="2"/>
                <w:sz w:val="20"/>
                <w:lang w:eastAsia="ja-JP"/>
                <w14:ligatures w14:val="standardContextual"/>
              </w:rPr>
            </w:pPr>
            <w:r w:rsidRPr="00F0379B">
              <w:rPr>
                <w:rFonts w:ascii="Cambria" w:eastAsiaTheme="minorEastAsia" w:hAnsi="Cambria"/>
                <w:i/>
                <w:kern w:val="2"/>
                <w:sz w:val="20"/>
                <w:lang w:eastAsia="ja-JP"/>
                <w14:ligatures w14:val="standardContextual"/>
              </w:rPr>
              <w:t>Requisito ICCAT</w:t>
            </w:r>
          </w:p>
          <w:p w14:paraId="38D87DA5"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 xml:space="preserve">(según </w:t>
            </w:r>
            <w:hyperlink r:id="rId185" w:history="1">
              <w:r w:rsidRPr="00F0379B">
                <w:rPr>
                  <w:rFonts w:ascii="Cambria" w:eastAsiaTheme="minorEastAsia" w:hAnsi="Cambria"/>
                  <w:i/>
                  <w:color w:val="0563C1"/>
                  <w:kern w:val="2"/>
                  <w:sz w:val="20"/>
                  <w:lang w:eastAsia="ja-JP"/>
                  <w14:ligatures w14:val="standardContextual"/>
                </w:rPr>
                <w:t>Rec. 25-04</w:t>
              </w:r>
            </w:hyperlink>
            <w:r w:rsidRPr="00F0379B">
              <w:rPr>
                <w:rFonts w:ascii="Cambria" w:eastAsiaTheme="minorEastAsia" w:hAnsi="Cambria"/>
                <w:i/>
                <w:kern w:val="2"/>
                <w:sz w:val="20"/>
                <w:lang w:eastAsia="ja-JP"/>
                <w14:ligatures w14:val="standardContextual"/>
              </w:rPr>
              <w:t>)</w:t>
            </w:r>
          </w:p>
        </w:tc>
        <w:tc>
          <w:tcPr>
            <w:tcW w:w="3420" w:type="dxa"/>
            <w:vAlign w:val="center"/>
          </w:tcPr>
          <w:p w14:paraId="6458E387"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Explicación de las acciones emprendidas por la CPC con fines de implementación</w:t>
            </w:r>
          </w:p>
        </w:tc>
        <w:tc>
          <w:tcPr>
            <w:tcW w:w="2160" w:type="dxa"/>
            <w:vAlign w:val="center"/>
          </w:tcPr>
          <w:p w14:paraId="411DA1E9" w14:textId="77777777" w:rsidR="009123AC" w:rsidRPr="00F0379B" w:rsidRDefault="009123AC" w:rsidP="009123AC">
            <w:pPr>
              <w:widowControl w:val="0"/>
              <w:spacing w:line="240" w:lineRule="auto"/>
              <w:jc w:val="center"/>
              <w:rPr>
                <w:rFonts w:ascii="Cambria" w:eastAsiaTheme="minorEastAsia" w:hAnsi="Cambria"/>
                <w:i/>
                <w:kern w:val="2"/>
                <w:sz w:val="20"/>
                <w:lang w:eastAsia="ja-JP"/>
                <w14:ligatures w14:val="standardContextual"/>
              </w:rPr>
            </w:pPr>
            <w:r w:rsidRPr="00F0379B">
              <w:rPr>
                <w:rFonts w:ascii="Cambria" w:eastAsiaTheme="minorEastAsia" w:hAnsi="Cambria"/>
                <w:i/>
                <w:kern w:val="2"/>
                <w:sz w:val="20"/>
                <w:lang w:eastAsia="ja-JP"/>
                <w14:ligatures w14:val="standardContextual"/>
              </w:rPr>
              <w:t>Leyes o reglamentos internos pertinentes</w:t>
            </w:r>
          </w:p>
          <w:p w14:paraId="28D948C1"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(si procede)</w:t>
            </w:r>
          </w:p>
        </w:tc>
        <w:tc>
          <w:tcPr>
            <w:tcW w:w="1055" w:type="dxa"/>
            <w:vAlign w:val="center"/>
          </w:tcPr>
          <w:p w14:paraId="32C8D72D"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Nota</w:t>
            </w:r>
          </w:p>
        </w:tc>
      </w:tr>
      <w:tr w:rsidR="009123AC" w:rsidRPr="00F0379B" w14:paraId="353CA073" w14:textId="77777777" w:rsidTr="00CA749B">
        <w:tc>
          <w:tcPr>
            <w:tcW w:w="453" w:type="dxa"/>
          </w:tcPr>
          <w:p w14:paraId="66B2C6B0"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w:t>
            </w:r>
          </w:p>
        </w:tc>
        <w:tc>
          <w:tcPr>
            <w:tcW w:w="1972" w:type="dxa"/>
          </w:tcPr>
          <w:p w14:paraId="737D43B9"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Consignación y comunicación de la captura</w:t>
            </w:r>
          </w:p>
          <w:p w14:paraId="279BFEBA"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74-88)</w:t>
            </w:r>
          </w:p>
        </w:tc>
        <w:tc>
          <w:tcPr>
            <w:tcW w:w="3420" w:type="dxa"/>
          </w:tcPr>
          <w:p w14:paraId="2687FC6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74. Los buques autorizados a dirigirse al atún rojo deberán llevar un cuaderno de pesca electrónico. </w:t>
            </w:r>
          </w:p>
          <w:p w14:paraId="49EB35F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5F830FB0"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75. No aplicable. No hay buques remolcadores, auxiliares o de transformación noruegos que participen en la pesquería de atún rojo. </w:t>
            </w:r>
          </w:p>
          <w:p w14:paraId="41FDB88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3D9D6BA9"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Sin embargo, en el marco del proyecto piloto de almacenamiento de peces vivos, la operación de remolque la realizará el mismo cerquero que captura el pescado. Este buque comunicará la información requerida a través de su cuaderno de pesca electrónico.</w:t>
            </w:r>
          </w:p>
          <w:p w14:paraId="5B3810F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0EF4353"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76. Los buques noruegos que pescan atún rojo deberán comunicar información de su cuaderno de pesca electrónico al FMC noruego diariamente, lo que incluye información sobre la fecha, hora, localización (latitud y longitud) y peso y número de atunes rojos capturados. </w:t>
            </w:r>
          </w:p>
          <w:p w14:paraId="45F68318"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D10158C"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legislación noruega requiere que todos los peces muertos, incluidos los peces por debajo de la talla mínima, sean desembarcados y deducidos de la cuota del buque.  </w:t>
            </w:r>
          </w:p>
          <w:p w14:paraId="0D176FE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572DCFA8"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El FMC está abierto 24 horas al día, 7 días a la semana, y cualquier interrupción de la transmisión de los cuadernos de pesca electrónicos, será inmediatamente investigada por el FMC. </w:t>
            </w:r>
          </w:p>
          <w:p w14:paraId="138443D7"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542B407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Guardia Costera noruega tendrá acceso a los cuadernos de pesca electrónicos en tiempo real. </w:t>
            </w:r>
          </w:p>
          <w:p w14:paraId="1A55A36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626B3FEC"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77. Los cerqueros deberán comunicar los informes diarios sobre una operación de pesca por operación de pesca, lo que incluye la cuando la captura es cero. El operador transmitirá los informes a las autoridades de Noruega antes de las 9.00 GMT para el día anterior. </w:t>
            </w:r>
          </w:p>
          <w:p w14:paraId="47802AD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AF80F03"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78. No aplicable. No hay almadrabas noruegas que pesquen atún rojo. </w:t>
            </w:r>
          </w:p>
          <w:p w14:paraId="3964B39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67499478"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79. Los buques de captura que no sean cerqueros deberán transmitir al FMC de Noruega como muy tarde el mediodía del martes para la semana precedente que termina en domingo.</w:t>
            </w:r>
          </w:p>
          <w:p w14:paraId="0CD1B4C9"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641139CA" w14:textId="77777777" w:rsidR="009123AC" w:rsidRPr="00F0379B" w:rsidRDefault="009123AC" w:rsidP="009123AC">
            <w:pPr>
              <w:widowControl w:val="0"/>
              <w:spacing w:line="240" w:lineRule="auto"/>
              <w:jc w:val="both"/>
              <w:rPr>
                <w:rFonts w:ascii="Cambria" w:eastAsiaTheme="minorEastAsia" w:hAnsi="Cambria"/>
                <w:kern w:val="2"/>
                <w:sz w:val="20"/>
                <w:szCs w:val="20"/>
                <w:lang w:val="es-ES_tradnl" w:eastAsia="ja-JP"/>
                <w14:ligatures w14:val="standardContextual"/>
              </w:rPr>
            </w:pPr>
            <w:r w:rsidRPr="00F0379B">
              <w:rPr>
                <w:rFonts w:ascii="Cambria" w:eastAsiaTheme="minorEastAsia" w:hAnsi="Cambria"/>
                <w:kern w:val="2"/>
                <w:sz w:val="20"/>
                <w:szCs w:val="20"/>
                <w:lang w:eastAsia="ja-JP"/>
                <w14:ligatures w14:val="standardContextual"/>
              </w:rPr>
              <w:t>Desde el 1 de enero de 2026 todos los buques de captura noruegos con una eslora total que supere los 8 metros deben enviar informes de posición (VMS) e informes diarios de captura al FMC. Todos los buques de captura deben enviar una nota de venta o de desembarque en el momento del desembarque.</w:t>
            </w:r>
          </w:p>
        </w:tc>
        <w:tc>
          <w:tcPr>
            <w:tcW w:w="2160" w:type="dxa"/>
          </w:tcPr>
          <w:p w14:paraId="03E2F21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Reglamentos sobre pesca de atún rojo en 2026, párrafo 17 y Reglamentos sobre un sistema de comunicación electrónica (requisito de cuaderno de pesca). </w:t>
            </w:r>
          </w:p>
          <w:p w14:paraId="346F4CC7"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2CE14D0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5A53E99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Reglamentos sobre pesca de atún rojo en 2026, párrafo 17 y Reglamentos sobre un sistema de comunicación electrónica (requisito de cuaderno de pesca). </w:t>
            </w:r>
          </w:p>
          <w:p w14:paraId="60362C76"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954917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Ley de Recursos Marinos y el Reglamento relativo a la explotación de los recursos marinos vivos silvestres</w:t>
            </w:r>
          </w:p>
          <w:p w14:paraId="5C5C8F70"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65F7B166"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Reglamento sobre un sistema de comunicación electrónica (requisitos de cuaderno de pesca). </w:t>
            </w:r>
          </w:p>
          <w:p w14:paraId="6A5D7D9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FA87E33"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DFE2AA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 sobre un sistema de comunicación electrónica (requisitos de cuaderno de pesca).</w:t>
            </w:r>
          </w:p>
          <w:p w14:paraId="3AB7A82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32BBC02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 sobre la aplicación telefónica para las pesquerías costeras.</w:t>
            </w:r>
          </w:p>
          <w:p w14:paraId="67C88BE3"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3AB61E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Reglamento sobre el desembarque de la captura. </w:t>
            </w:r>
          </w:p>
        </w:tc>
        <w:tc>
          <w:tcPr>
            <w:tcW w:w="1055" w:type="dxa"/>
          </w:tcPr>
          <w:p w14:paraId="30D6A31F"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40083C40" w14:textId="77777777" w:rsidTr="00CA749B">
        <w:tc>
          <w:tcPr>
            <w:tcW w:w="453" w:type="dxa"/>
          </w:tcPr>
          <w:p w14:paraId="71E41A7D"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2</w:t>
            </w:r>
          </w:p>
        </w:tc>
        <w:tc>
          <w:tcPr>
            <w:tcW w:w="1972" w:type="dxa"/>
          </w:tcPr>
          <w:p w14:paraId="56D92EE3"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Temporadas de pesca abiertas (párrs. 28-32</w:t>
            </w:r>
            <w:r w:rsidRPr="00F0379B">
              <w:rPr>
                <w:rFonts w:ascii="Cambria" w:eastAsiaTheme="minorEastAsia" w:hAnsi="Cambria"/>
                <w:b/>
                <w:bCs/>
                <w:kern w:val="2"/>
                <w:sz w:val="20"/>
                <w:szCs w:val="20"/>
                <w:lang w:eastAsia="ja-JP"/>
                <w14:ligatures w14:val="standardContextual"/>
              </w:rPr>
              <w:t>)</w:t>
            </w:r>
          </w:p>
        </w:tc>
        <w:tc>
          <w:tcPr>
            <w:tcW w:w="3420" w:type="dxa"/>
          </w:tcPr>
          <w:p w14:paraId="64E88F8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pesca de atún rojo con cerco está permitida en la Zona Económica noruega desde el 25 de junio hasta el 15 de noviembre, de conformidad con el párrafo 28 de la Rec. 25-04.</w:t>
            </w:r>
          </w:p>
          <w:p w14:paraId="48D64E49"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60861B1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3CB0426"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pesca con palangreros estará permitida en la zona económica Noruega del 1 de agosto al 31 de diciembre.  </w:t>
            </w:r>
          </w:p>
          <w:p w14:paraId="6E6AECC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709CF3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Si las condiciones meteorológicas impiden las operaciones de pesca con cerco durante el periodo de pesca autorizado, Noruega podría, de conformidad con la Rec. 25-04, párrafo 29, ampliar el periodo de pesca para los buques afectados en un número equivalente de días perdidos hasta un máximo de 10 días. Las condiciones meteorológicas que podrían provocar una ampliación del periodo de pesca se corresponderán con vientos de 4 o más en la escala de Beaufort. </w:t>
            </w:r>
          </w:p>
          <w:p w14:paraId="6E5EDA20"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47E2EE78"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Noruega ha establecido una</w:t>
            </w:r>
          </w:p>
          <w:p w14:paraId="67E33A59"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temporada de pesca para los barcos costeros de pequeña escala en la zona económica noruega desde el 13 de mayo al 31 de diciembre de 2026.</w:t>
            </w:r>
          </w:p>
          <w:p w14:paraId="1342507C"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72166AF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temporada de pesca para la pesquería de recreo será del 13</w:t>
            </w:r>
          </w:p>
          <w:p w14:paraId="6111FE89"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 mayo al 31 de diciembre de 2026.</w:t>
            </w:r>
          </w:p>
          <w:p w14:paraId="0A5EBD3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c>
          <w:tcPr>
            <w:tcW w:w="2160" w:type="dxa"/>
          </w:tcPr>
          <w:p w14:paraId="6F8CB818"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Reglamentos sobre pesca de atún rojo en 2026, párrafo 3. </w:t>
            </w:r>
          </w:p>
          <w:p w14:paraId="047F72E0"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28669C1F"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0380133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636D5F5F" w14:textId="77777777" w:rsidR="009123AC" w:rsidRPr="00F0379B" w:rsidRDefault="009123AC" w:rsidP="009123AC">
            <w:pPr>
              <w:widowControl w:val="0"/>
              <w:spacing w:line="240" w:lineRule="auto"/>
              <w:rPr>
                <w:rFonts w:ascii="Cambria" w:eastAsiaTheme="minorEastAsia" w:hAnsi="Cambria"/>
                <w:strike/>
                <w:color w:val="FF0000"/>
                <w:kern w:val="2"/>
                <w:sz w:val="20"/>
                <w:szCs w:val="20"/>
                <w:lang w:eastAsia="ja-JP"/>
                <w14:ligatures w14:val="standardContextual"/>
              </w:rPr>
            </w:pPr>
          </w:p>
          <w:p w14:paraId="75F0A32A"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2BB0726D"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2B22964B"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68EC74CA"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52495667"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62849245"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12EC4DA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0E6B47A0"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44A77DB2"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688DF4D2"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28F6105B"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02DE3466"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218CEF85"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36CD7937"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03B010CB"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1480FF1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33C793F6"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0A84267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0AC3DAB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16A9E577"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0ED4B0F1"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1094D58F"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38D197C8"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5BB89C69"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5455504B"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67F6398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055" w:type="dxa"/>
          </w:tcPr>
          <w:p w14:paraId="6C0968D9"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30602A2E" w14:textId="77777777" w:rsidTr="00CA749B">
        <w:tc>
          <w:tcPr>
            <w:tcW w:w="453" w:type="dxa"/>
          </w:tcPr>
          <w:p w14:paraId="16FC40FD"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3</w:t>
            </w:r>
          </w:p>
        </w:tc>
        <w:tc>
          <w:tcPr>
            <w:tcW w:w="1972" w:type="dxa"/>
          </w:tcPr>
          <w:p w14:paraId="6655E64D"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Talla mínima (párrs. 33-35)</w:t>
            </w:r>
          </w:p>
        </w:tc>
        <w:tc>
          <w:tcPr>
            <w:tcW w:w="3420" w:type="dxa"/>
          </w:tcPr>
          <w:p w14:paraId="08710140"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buques noruegos autorizados a pescar atún rojo solo estarán autorizados a pescarlo en aguas noruegas. No se ha registrado atún rojo con una talla individual tan baja en las pesquerías de noruega. No obstante, se aplica una talla mínima de 30 kilos o 115 cm.</w:t>
            </w:r>
          </w:p>
          <w:p w14:paraId="7249AF97"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0FE22EA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Para los buques de captura </w:t>
            </w:r>
          </w:p>
          <w:p w14:paraId="7324FE8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que pescan activamente atún rojo, podría autorizarse una captura incidental de un máximo del 5 % de atún rojo con un peso de entre 8 y 30 kg o con una longitud a la horquilla de entre 75 y 115 cm, de conformidad con el párrafo 36 de la Rec. 25-04.</w:t>
            </w:r>
          </w:p>
          <w:p w14:paraId="6D44976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7B70D35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aplicable. No hay</w:t>
            </w:r>
          </w:p>
          <w:p w14:paraId="3268556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cañeros o </w:t>
            </w:r>
            <w:proofErr w:type="spellStart"/>
            <w:r w:rsidRPr="00F0379B">
              <w:rPr>
                <w:rFonts w:ascii="Cambria" w:eastAsiaTheme="minorEastAsia" w:hAnsi="Cambria"/>
                <w:kern w:val="2"/>
                <w:sz w:val="20"/>
                <w:szCs w:val="20"/>
                <w:lang w:eastAsia="ja-JP"/>
                <w14:ligatures w14:val="standardContextual"/>
              </w:rPr>
              <w:t>curricaneros</w:t>
            </w:r>
            <w:proofErr w:type="spellEnd"/>
            <w:r w:rsidRPr="00F0379B">
              <w:rPr>
                <w:rFonts w:ascii="Cambria" w:eastAsiaTheme="minorEastAsia" w:hAnsi="Cambria"/>
                <w:kern w:val="2"/>
                <w:sz w:val="20"/>
                <w:szCs w:val="20"/>
                <w:lang w:eastAsia="ja-JP"/>
                <w14:ligatures w14:val="standardContextual"/>
              </w:rPr>
              <w:t xml:space="preserve"> noruegos autorizado a pescar atún rojo en el Atlántico este, ni ningún buque noruego está autorizado a pescar atún rojo en el Mediterráneo o en el Adriático.</w:t>
            </w:r>
          </w:p>
          <w:p w14:paraId="67A0E4B9"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22736FA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aplicable. Véase el párrafo 34 anterior.</w:t>
            </w:r>
          </w:p>
          <w:p w14:paraId="418F9A29"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3D19E2B9"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c>
          <w:tcPr>
            <w:tcW w:w="2160" w:type="dxa"/>
          </w:tcPr>
          <w:p w14:paraId="251BA628" w14:textId="0F5E64B4"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Reglamentos sobre captura de recursos marinos vivos en estado </w:t>
            </w:r>
            <w:r w:rsidR="0033577B" w:rsidRPr="00F0379B">
              <w:rPr>
                <w:rFonts w:ascii="Cambria" w:eastAsiaTheme="minorEastAsia" w:hAnsi="Cambria"/>
                <w:kern w:val="2"/>
                <w:sz w:val="20"/>
                <w:szCs w:val="20"/>
                <w:lang w:eastAsia="ja-JP"/>
                <w14:ligatures w14:val="standardContextual"/>
              </w:rPr>
              <w:t>salvaje, párrafo</w:t>
            </w:r>
            <w:r w:rsidRPr="00F0379B">
              <w:rPr>
                <w:rFonts w:ascii="Cambria" w:eastAsiaTheme="minorEastAsia" w:hAnsi="Cambria"/>
                <w:kern w:val="2"/>
                <w:sz w:val="20"/>
                <w:szCs w:val="20"/>
                <w:lang w:eastAsia="ja-JP"/>
                <w14:ligatures w14:val="standardContextual"/>
              </w:rPr>
              <w:t xml:space="preserve"> 47 y Reglamentos sobre pesca de atún rojo en 2026, párrafo 2.</w:t>
            </w:r>
          </w:p>
          <w:p w14:paraId="30C202E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c>
          <w:tcPr>
            <w:tcW w:w="1055" w:type="dxa"/>
          </w:tcPr>
          <w:p w14:paraId="1DF7395B"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111638BB" w14:textId="77777777" w:rsidTr="00CA749B">
        <w:tc>
          <w:tcPr>
            <w:tcW w:w="453" w:type="dxa"/>
          </w:tcPr>
          <w:p w14:paraId="743F038B"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4</w:t>
            </w:r>
          </w:p>
        </w:tc>
        <w:tc>
          <w:tcPr>
            <w:tcW w:w="1972" w:type="dxa"/>
          </w:tcPr>
          <w:p w14:paraId="3077EDB9"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Captura fortuita (párr. 37, </w:t>
            </w:r>
            <w:r w:rsidRPr="00F0379B">
              <w:rPr>
                <w:rFonts w:ascii="Cambria" w:eastAsiaTheme="minorEastAsia" w:hAnsi="Cambria"/>
                <w:b/>
                <w:kern w:val="2"/>
                <w:sz w:val="20"/>
                <w:lang w:eastAsia="ja-JP"/>
                <w14:ligatures w14:val="standardContextual"/>
              </w:rPr>
              <w:t xml:space="preserve">incluyendo % de reserva) </w:t>
            </w:r>
            <w:r w:rsidRPr="00F0379B">
              <w:rPr>
                <w:rFonts w:ascii="Cambria" w:eastAsiaTheme="minorEastAsia" w:hAnsi="Cambria"/>
                <w:b/>
                <w:kern w:val="2"/>
                <w:sz w:val="20"/>
                <w:szCs w:val="20"/>
                <w:lang w:eastAsia="ja-JP"/>
                <w14:ligatures w14:val="standardContextual"/>
              </w:rPr>
              <w:t xml:space="preserve"> </w:t>
            </w:r>
          </w:p>
        </w:tc>
        <w:tc>
          <w:tcPr>
            <w:tcW w:w="3420" w:type="dxa"/>
          </w:tcPr>
          <w:p w14:paraId="03E7A05C"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Noruega ha reservado una cuota de 10 t para la captura fortuita de atún rojo en otras pesquerías en 2026.  En comparación, la captura fortuita fue de 3,4 t en 2025.</w:t>
            </w:r>
          </w:p>
          <w:p w14:paraId="67FFAE3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56CAF75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captura fortuita de atún rojo en la pesquería noruega tiene lugar en relación con pesquerías no reguladas por ICCAT como las de caballa y bacaladilla, además de los atunes rojos que nadan hasta las granjas. Las variaciones anuales en estas pesquerías se reflejan en el número de capturas fortuitas. </w:t>
            </w:r>
          </w:p>
          <w:p w14:paraId="4380183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242D5AE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Todas las capturas fortuitas de atún rojo muerto serán desembarcadas y deducidas de la cuota noruega y se comunicarán anualmente a ICCAT. </w:t>
            </w:r>
          </w:p>
          <w:p w14:paraId="7B0646B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3AD37D53"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Si no se ha asignado una cuota al buque pesquero afectado o si la cuota se ha agotado, el buque de captura deberá adoptar las medidas necesarias para asegurar la liberación del atún rojo vivo. Si dicho atún rojo está muerto, se desembarcará y se emprenderán las acciones de seguimiento adecuadas, de conformidad con la legislación nacional. </w:t>
            </w:r>
          </w:p>
          <w:p w14:paraId="5E7B9E76"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477AEF6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Para los buques que no pescan activamente</w:t>
            </w:r>
          </w:p>
          <w:p w14:paraId="523E4643"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atún rojo, cualquier cantidad de atún rojo que se lleve a bordo será claramente separada de otras especies de peces para permitir a las autoridades de control hacer un seguimiento del respeto de esta norma.</w:t>
            </w:r>
          </w:p>
        </w:tc>
        <w:tc>
          <w:tcPr>
            <w:tcW w:w="2160" w:type="dxa"/>
          </w:tcPr>
          <w:p w14:paraId="3A1A530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Reglamentos sobre pesca de atún rojo en 2026, párrafos 2 y 7.</w:t>
            </w:r>
          </w:p>
          <w:p w14:paraId="1EEF1EF6"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c>
          <w:tcPr>
            <w:tcW w:w="1055" w:type="dxa"/>
          </w:tcPr>
          <w:p w14:paraId="568395CA"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6DE28404" w14:textId="77777777" w:rsidTr="00CA749B">
        <w:tc>
          <w:tcPr>
            <w:tcW w:w="453" w:type="dxa"/>
          </w:tcPr>
          <w:p w14:paraId="1C8B2950"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5</w:t>
            </w:r>
          </w:p>
        </w:tc>
        <w:tc>
          <w:tcPr>
            <w:tcW w:w="1972" w:type="dxa"/>
          </w:tcPr>
          <w:p w14:paraId="21BCB190"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Pesquerías deportivas y de recreo (párrs. 38-46)</w:t>
            </w:r>
          </w:p>
        </w:tc>
        <w:tc>
          <w:tcPr>
            <w:tcW w:w="3420" w:type="dxa"/>
          </w:tcPr>
          <w:p w14:paraId="5EF4B06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En 2025, Noruega expidió autorizaciones de pesca a 94 equipos que participan en una pesquería de recreo. 43 de esos equipos también recibieron autorización para una pesquería de marcado y liberación. Esperamos que el número de buques en 2026 aumente ligeramente.</w:t>
            </w:r>
          </w:p>
          <w:p w14:paraId="6C218B5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5DEB232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pesquerías de marcado y liberación siguen los requisitos del párrafo 44 de la Rec. 25-04.</w:t>
            </w:r>
          </w:p>
          <w:p w14:paraId="20AF8E8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09FB3C8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064D5046"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legislación noruega requiere que todos los peces muertos, incluidos los ejemplares capturados en la pesquería de recreo y de marcado y liberación, deben ser desembarcados. El Reglamento noruego sobre pesca de atún rojo incluye medidas que prohíben a los buques de la pesquería de recreo y de marcado y liberación desembarcar más de un atún rojo por buque y por día.</w:t>
            </w:r>
          </w:p>
          <w:p w14:paraId="5F0D495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BC4A758"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Noruega ha prohibido la comercialización de atún rojo capturado en la pesquería de recreo y de marcado y liberación.</w:t>
            </w:r>
          </w:p>
          <w:p w14:paraId="625488AC"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600C270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datos, incluido el peso de cada atún rojo capturado durante la pesquería de recreo y de marcado y liberación, se comunicará a la Secretaría de ICCAT para el año anterior antes del 31 de julio de cada año. </w:t>
            </w:r>
          </w:p>
          <w:p w14:paraId="4D42B4C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31EF437"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capturas muertas procedentes de la pesquería de recreo y de liberación se descontarán de la cuota noruega. 8 t de la cuota noruega se han reservado para cubrir las capturas en la pesquería recreativa y 2 t de la cuota noruega se han reservado para cubrir cualquier atún rojo que pueda morir durante la pesquería de marcado y liberación.</w:t>
            </w:r>
          </w:p>
          <w:p w14:paraId="258BB05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7AF96CB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Noruega adoptará medidas para garantizar, en la mayor medida posible, la liberación del atún rojo capturado vivo en las pesquerías de recreo si no se ha asignado cuota al barco o si la cuota ha sido agotada.  </w:t>
            </w:r>
          </w:p>
          <w:p w14:paraId="4DCDC57C"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6A1E07A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D196BB0"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Solo los barcos con una licencia expedida por la Dirección de Pesca de Noruega están autorizados a participar en la pesquería de marcado y liberación. Los barcos deberán estar autorizados por las autoridades competentes para llevar a cabo el proceso de marcado. La licencia para participar en la pesquería de marcado y liberación y la autorización para llevar a cabo el proceso de marcado serán retiradas si el barco no cumple los términos de la licencia/autorización. </w:t>
            </w:r>
          </w:p>
          <w:p w14:paraId="734511B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3BC6281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Todos los barcos que participan en la pesquería de marcado y liberación serán estrechamente controlados por la Dirección de Pesca. </w:t>
            </w:r>
          </w:p>
          <w:p w14:paraId="3BFE0A66"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BE1BC6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Noruega informará sobre las actividades de marcado y liberación de conformidad con la Rec. 11-06. </w:t>
            </w:r>
          </w:p>
          <w:p w14:paraId="3E06857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B3B7808"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Noruega presentará en 2023 un informe sobre las actividades científicas realizadas en 2022. El informe se presentará al menos 60 días antes de la reunión del SCRS de 2023. </w:t>
            </w:r>
          </w:p>
          <w:p w14:paraId="53789529"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53FF1FF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Cualquier atún rojo que muera durante las actividades de marcado y liberación será comunicado y deducido de la cuota de Noruega</w:t>
            </w:r>
          </w:p>
          <w:p w14:paraId="7D79E09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47A98128"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4CCCAAE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Noruega, a petición de ICCAT, difundirá la lista de los barcos deportivos y de recreo que hayan recibido una autorización.</w:t>
            </w:r>
          </w:p>
          <w:p w14:paraId="62C4614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22D52EC6"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lista de buques deportivos y de recreo incluirá la información especificada en el párrafo 46 de la Rec. 25-04.</w:t>
            </w:r>
          </w:p>
        </w:tc>
        <w:tc>
          <w:tcPr>
            <w:tcW w:w="2160" w:type="dxa"/>
          </w:tcPr>
          <w:p w14:paraId="6770221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Reglamentos sobre pesca de atún rojo en 2026, párrafo 5.</w:t>
            </w:r>
          </w:p>
          <w:p w14:paraId="53D7D299"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9B70B0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E2FD8E7"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2CA0CDF7"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300A517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6E4798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56162EF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2C13AEA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0A2084C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C938C89"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63831200"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3656669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Reglamentos sobre captura de recursos marinos vivos en estado salvaje, párrafo 47 y Reglamentos sobre pesca de atún rojo en 2026, párrafo 13.</w:t>
            </w:r>
          </w:p>
          <w:p w14:paraId="2BAB5BF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67F4F9A3"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3C19BE4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42A672E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0691F297"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28143DF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2B99B533"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42C92D29"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3AD64A3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49EB303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Reglamentos sobre pesca de atún rojo en 2026, párrafo 13.</w:t>
            </w:r>
          </w:p>
          <w:p w14:paraId="5EA6C72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3F336DC6"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330724C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341A32E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6C1F3DC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0592CDAC"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Reglamentos sobre pesca de atún rojo en 2026, párrafo 2.</w:t>
            </w:r>
          </w:p>
          <w:p w14:paraId="6BE8FE0C"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646705E6"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5F5A25F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20704828"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0E8CF9E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515CD94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c>
          <w:tcPr>
            <w:tcW w:w="1055" w:type="dxa"/>
          </w:tcPr>
          <w:p w14:paraId="720967DD"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5BA86B24" w14:textId="77777777" w:rsidTr="00CA749B">
        <w:tc>
          <w:tcPr>
            <w:tcW w:w="453" w:type="dxa"/>
          </w:tcPr>
          <w:p w14:paraId="25EF7BAD"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6</w:t>
            </w:r>
          </w:p>
        </w:tc>
        <w:tc>
          <w:tcPr>
            <w:tcW w:w="1972" w:type="dxa"/>
          </w:tcPr>
          <w:p w14:paraId="6F6856D0"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Transbordo (párrs. 89-94) </w:t>
            </w:r>
          </w:p>
        </w:tc>
        <w:tc>
          <w:tcPr>
            <w:tcW w:w="3420" w:type="dxa"/>
          </w:tcPr>
          <w:p w14:paraId="10D767E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aplicable. Están prohibidos todos los transbordos de atún rojo en el mar.</w:t>
            </w:r>
          </w:p>
        </w:tc>
        <w:tc>
          <w:tcPr>
            <w:tcW w:w="2160" w:type="dxa"/>
          </w:tcPr>
          <w:p w14:paraId="32B9794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Reglamentos sobre pesca de atún rojo en 2026, párrafo 18.</w:t>
            </w:r>
          </w:p>
        </w:tc>
        <w:tc>
          <w:tcPr>
            <w:tcW w:w="1055" w:type="dxa"/>
          </w:tcPr>
          <w:p w14:paraId="106DB43E"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2E99ABE5" w14:textId="77777777" w:rsidTr="00CA749B">
        <w:tc>
          <w:tcPr>
            <w:tcW w:w="453" w:type="dxa"/>
          </w:tcPr>
          <w:p w14:paraId="67231BE4"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7</w:t>
            </w:r>
          </w:p>
        </w:tc>
        <w:tc>
          <w:tcPr>
            <w:tcW w:w="1972" w:type="dxa"/>
          </w:tcPr>
          <w:p w14:paraId="48F1F589"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VMS (</w:t>
            </w:r>
            <w:r w:rsidRPr="00F0379B">
              <w:rPr>
                <w:rFonts w:ascii="Cambria" w:eastAsiaTheme="minorEastAsia" w:hAnsi="Cambria"/>
                <w:b/>
                <w:kern w:val="2"/>
                <w:sz w:val="20"/>
                <w:lang w:val="fr-BE" w:eastAsia="ja-JP"/>
                <w14:ligatures w14:val="standardContextual"/>
              </w:rPr>
              <w:t>párrs. </w:t>
            </w:r>
            <w:r w:rsidRPr="00F0379B">
              <w:rPr>
                <w:rFonts w:ascii="Cambria" w:eastAsiaTheme="minorEastAsia" w:hAnsi="Cambria"/>
                <w:b/>
                <w:kern w:val="2"/>
                <w:sz w:val="20"/>
                <w:szCs w:val="20"/>
                <w:lang w:eastAsia="ja-JP"/>
                <w14:ligatures w14:val="standardContextual"/>
              </w:rPr>
              <w:t>222-228</w:t>
            </w:r>
            <w:r w:rsidRPr="00F0379B">
              <w:rPr>
                <w:rFonts w:ascii="Cambria" w:eastAsiaTheme="minorEastAsia" w:hAnsi="Cambria"/>
                <w:b/>
                <w:kern w:val="2"/>
                <w:sz w:val="20"/>
                <w:lang w:eastAsia="ja-JP"/>
                <w14:ligatures w14:val="standardContextual"/>
              </w:rPr>
              <w:t>)</w:t>
            </w:r>
          </w:p>
        </w:tc>
        <w:tc>
          <w:tcPr>
            <w:tcW w:w="3420" w:type="dxa"/>
          </w:tcPr>
          <w:p w14:paraId="05655E57"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cerqueros, los palangreros y las embarcaciones costeras de pequeña escala de más de 8 m autorizados a dirigirse al atún rojo deberán enviar informes de posición (VMS) cada diez minutos al FMC en la Dirección de pesca. El FMC está abierto 24 horas al día, 7 días a la semana, y cualquier interrupción de la transmisión de las señales de VMS será inmediatamente investigada por el FMC.</w:t>
            </w:r>
          </w:p>
          <w:p w14:paraId="1CE0F3B8"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7CF29196"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VMS se transmitirá a la Secretaría de ICCAT, cada dos horas para los palangreros y cada hora para los cerqueros.</w:t>
            </w:r>
          </w:p>
          <w:p w14:paraId="00C82D18"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A76A01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buques de captura noruegos con una eslora total que supere los 8 metros deben enviar informes de posición (VMS) e informes diarios de captura al FMC.</w:t>
            </w:r>
          </w:p>
          <w:p w14:paraId="53E8C9A1" w14:textId="77777777" w:rsidR="009123AC" w:rsidRPr="00F0379B" w:rsidRDefault="009123AC" w:rsidP="009123AC">
            <w:pPr>
              <w:widowControl w:val="0"/>
              <w:spacing w:line="240" w:lineRule="auto"/>
              <w:jc w:val="both"/>
              <w:rPr>
                <w:rFonts w:ascii="Cambria" w:eastAsiaTheme="minorEastAsia" w:hAnsi="Cambria"/>
                <w:kern w:val="2"/>
                <w:sz w:val="20"/>
                <w:szCs w:val="20"/>
                <w:lang w:val="es-ES_tradnl" w:eastAsia="ja-JP"/>
                <w14:ligatures w14:val="standardContextual"/>
              </w:rPr>
            </w:pPr>
          </w:p>
          <w:p w14:paraId="248C161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Noruega no usa remolcadores en la pesquería comercial Si fuera necesario utilizar remolcadores durante la investigación sobre el almacenaje de corta duración de atún rojo vivo, el remolcador deberá instalar y utilizar un VMS de conformidad con la Rec. 18-10 y transmitir mensajes al menos cada 10 minutos. </w:t>
            </w:r>
          </w:p>
          <w:p w14:paraId="2D3773FA" w14:textId="77777777" w:rsidR="009123AC" w:rsidRPr="00F0379B" w:rsidRDefault="009123AC" w:rsidP="009123AC">
            <w:pPr>
              <w:widowControl w:val="0"/>
              <w:spacing w:line="240" w:lineRule="auto"/>
              <w:jc w:val="both"/>
              <w:rPr>
                <w:rFonts w:ascii="Cambria" w:eastAsiaTheme="minorEastAsia" w:hAnsi="Cambria"/>
                <w:kern w:val="2"/>
                <w:sz w:val="20"/>
                <w:szCs w:val="20"/>
                <w:lang w:val="es-ES_tradnl" w:eastAsia="ja-JP"/>
                <w14:ligatures w14:val="standardContextual"/>
              </w:rPr>
            </w:pPr>
          </w:p>
          <w:p w14:paraId="4369039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Guardia Costera noruega tendrá acceso tanto a las señales de VMS como a los cuadernos de pesca electrónicos en tiempo real.</w:t>
            </w:r>
          </w:p>
          <w:p w14:paraId="2EBB22B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5C300AD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señales del VMS se remitirán a la Secretaría de ICCAT al menos 5 días antes del periodo de autorización y deberán continuar al menos 5 días después de su periodo de autorización.</w:t>
            </w:r>
          </w:p>
        </w:tc>
        <w:tc>
          <w:tcPr>
            <w:tcW w:w="2160" w:type="dxa"/>
          </w:tcPr>
          <w:p w14:paraId="3A1DC38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Reglamentos sobre pesca de atún rojo en 2026, párrafo 17 </w:t>
            </w:r>
          </w:p>
          <w:p w14:paraId="22E427C8"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25D6ED8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41637E5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 sobre un sistema de comunicación electrónica (requisitos de cuaderno de pesca).</w:t>
            </w:r>
          </w:p>
        </w:tc>
        <w:tc>
          <w:tcPr>
            <w:tcW w:w="1055" w:type="dxa"/>
          </w:tcPr>
          <w:p w14:paraId="20F33DE1" w14:textId="77777777" w:rsidR="009123AC" w:rsidRPr="00F0379B" w:rsidRDefault="009123AC" w:rsidP="009123AC">
            <w:pPr>
              <w:widowControl w:val="0"/>
              <w:spacing w:line="240" w:lineRule="auto"/>
              <w:jc w:val="center"/>
              <w:rPr>
                <w:rFonts w:ascii="Cambria" w:eastAsiaTheme="minorEastAsia" w:hAnsi="Cambria"/>
                <w:kern w:val="2"/>
                <w:sz w:val="20"/>
                <w:szCs w:val="20"/>
                <w:lang w:eastAsia="ja-JP"/>
                <w14:ligatures w14:val="standardContextual"/>
              </w:rPr>
            </w:pPr>
          </w:p>
        </w:tc>
      </w:tr>
      <w:tr w:rsidR="009123AC" w:rsidRPr="00F0379B" w14:paraId="6FB11403" w14:textId="77777777" w:rsidTr="00CA749B">
        <w:tc>
          <w:tcPr>
            <w:tcW w:w="453" w:type="dxa"/>
          </w:tcPr>
          <w:p w14:paraId="58642AC9"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8</w:t>
            </w:r>
          </w:p>
        </w:tc>
        <w:tc>
          <w:tcPr>
            <w:tcW w:w="1972" w:type="dxa"/>
          </w:tcPr>
          <w:p w14:paraId="15CA3C83"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Programa de observadores de las CPC </w:t>
            </w:r>
          </w:p>
          <w:p w14:paraId="0A8018C1"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(párrs. 95-100)</w:t>
            </w:r>
          </w:p>
        </w:tc>
        <w:tc>
          <w:tcPr>
            <w:tcW w:w="3420" w:type="dxa"/>
          </w:tcPr>
          <w:p w14:paraId="6F424933"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En 2026, Noruega contará con 20 palangreros de más de 15 m que participará en la pesquería. No tendrá ningún arrastrero pelágico o barco de cebo vivo activo de más de 15 metros.</w:t>
            </w:r>
          </w:p>
          <w:p w14:paraId="5CFF265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436F6293"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El Instituto de Investigación Marina tendrá una cobertura de observadores de los cerqueros autorizados de al menos el 5 %, medida en número de mareas como se requiere en el párrafo 4 a) de la Rec. 16-14. Además, la unidad operativa de la Dirección de Pesca proporcionará una cobertura de observadores del 20 % en los buques palangreros, de conformidad con los párrafos 95-100 de la Recomendación 25-04. </w:t>
            </w:r>
          </w:p>
          <w:p w14:paraId="2325825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 </w:t>
            </w:r>
          </w:p>
          <w:p w14:paraId="7106DEE8"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palangreros y los cerqueros en las que incluirán información sobre la fecha prevista de inicio, la zona y el periodo de la pesquería dirigida al atún rojo. Basándose en este plan, los Servicios de vigilancia noruegos y el Instituto de Investigación Marina organizarán su cobertura de observadores asegurando una cobertura espacial y temporal representativa para recopilar datos adecuados y apropiados, así como información sobre captura y esfuerzo y otros aspectos científicos y de ordenación, en línea con la Rec. 25-04 y la Rec. 16-14.</w:t>
            </w:r>
          </w:p>
          <w:p w14:paraId="2FA2622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039CD71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Además, se requerirá que todos los buques noruegos estén en estrecho contacto con los Servicios de vigilancia noruegos cuando estén pescando atún rojo, con el fin de garantizar que se cumplen los requisitos mencionados en relación con la cobertura de observadores.</w:t>
            </w:r>
          </w:p>
          <w:p w14:paraId="32F3CA5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4DA7698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buques autorizados a dirigirse al atún rojo deberán enviar informes de posición (VMS) al menos cada diez minutos, así como informes diarios de los cuadernos de pesca electrónicos, al FMC en la Dirección de pesca. Los Servicios de vigilancia tienen acceso a esta información en tiempo real.</w:t>
            </w:r>
          </w:p>
          <w:p w14:paraId="2A87BFF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34DC9730"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Instituto de Investigación Marina proporcionará a los Servicios de vigilancia noruegos la formación pertinente y les informará sobre los métodos de muestreo que deben utilizar para recopilar datos biológicos de conformidad con la Rec. 25-04.</w:t>
            </w:r>
          </w:p>
          <w:p w14:paraId="0DA0DD37"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c>
          <w:tcPr>
            <w:tcW w:w="2160" w:type="dxa"/>
          </w:tcPr>
          <w:p w14:paraId="6F53331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Reglamentos sobre pesca de atún rojo en 2026, párrafo 14.</w:t>
            </w:r>
          </w:p>
          <w:p w14:paraId="65DCB8D9"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055" w:type="dxa"/>
          </w:tcPr>
          <w:p w14:paraId="5FAC4A73"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73E643A9" w14:textId="77777777" w:rsidTr="00CA749B">
        <w:tc>
          <w:tcPr>
            <w:tcW w:w="453" w:type="dxa"/>
          </w:tcPr>
          <w:p w14:paraId="7759A90D"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9</w:t>
            </w:r>
          </w:p>
        </w:tc>
        <w:tc>
          <w:tcPr>
            <w:tcW w:w="1972" w:type="dxa"/>
          </w:tcPr>
          <w:p w14:paraId="45B76291"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val="pt-BR" w:eastAsia="ja-JP"/>
                <w14:ligatures w14:val="standardContextual"/>
              </w:rPr>
              <w:t xml:space="preserve">Programa regional de observadores (párrs. </w:t>
            </w:r>
            <w:r w:rsidRPr="00F0379B">
              <w:rPr>
                <w:rFonts w:ascii="Cambria" w:eastAsiaTheme="minorEastAsia" w:hAnsi="Cambria"/>
                <w:b/>
                <w:kern w:val="2"/>
                <w:sz w:val="20"/>
                <w:szCs w:val="20"/>
                <w:lang w:eastAsia="ja-JP"/>
                <w14:ligatures w14:val="standardContextual"/>
              </w:rPr>
              <w:t>101-107)</w:t>
            </w:r>
          </w:p>
        </w:tc>
        <w:tc>
          <w:tcPr>
            <w:tcW w:w="3420" w:type="dxa"/>
          </w:tcPr>
          <w:p w14:paraId="274D1E7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cerqueros deberán tener una cobertura de observadores del 100 % del Programa regional de observadores (ROP). </w:t>
            </w:r>
          </w:p>
          <w:p w14:paraId="54972B4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466501E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Además, los buques serán objeto de una estrecha vigilancia por parte del FMC y la Dirección de Pesca llevará a cabo inspecciones de los desembarques. El Instituto de Investigación Marina, si la situación lo permite, tendrá científicos a bordo de varios de los buques.</w:t>
            </w:r>
          </w:p>
          <w:p w14:paraId="2C0738C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c>
          <w:tcPr>
            <w:tcW w:w="2160" w:type="dxa"/>
          </w:tcPr>
          <w:p w14:paraId="2C1A5B80"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Reglamentos sobre pesca de atún rojo en 2026, párrafo 16.</w:t>
            </w:r>
          </w:p>
          <w:p w14:paraId="0A35073C"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2F63321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0B852CB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0F104CB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Reglamentos sobre pesca de atún rojo en 2026, párrafo 17.</w:t>
            </w:r>
          </w:p>
        </w:tc>
        <w:tc>
          <w:tcPr>
            <w:tcW w:w="1055" w:type="dxa"/>
          </w:tcPr>
          <w:p w14:paraId="7F5B7D63"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5726AC94" w14:textId="77777777" w:rsidTr="00CA749B">
        <w:tc>
          <w:tcPr>
            <w:tcW w:w="453" w:type="dxa"/>
          </w:tcPr>
          <w:p w14:paraId="63BE9E9B"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10</w:t>
            </w:r>
          </w:p>
        </w:tc>
        <w:tc>
          <w:tcPr>
            <w:tcW w:w="1972" w:type="dxa"/>
          </w:tcPr>
          <w:p w14:paraId="22D79606"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Legislación nacional</w:t>
            </w:r>
          </w:p>
        </w:tc>
        <w:tc>
          <w:tcPr>
            <w:tcW w:w="3420" w:type="dxa"/>
          </w:tcPr>
          <w:p w14:paraId="43A3255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pesquería noruega de atún rojo se regulará mediante los Reglamentos sobre pesca de atún rojo en 2026, que se adoptará cuando el plan noruego de pesca, cría, inspección y ordenación de la capacidad haya sido aprobado por ICCAT.</w:t>
            </w:r>
          </w:p>
          <w:p w14:paraId="64DD6209"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C06D9C6"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Además de los requisitos nacionales, estos Reglamentos cubrirán los requisitos especificados en la Rec. 25-04 de ICCAT e incluirán un requisito general para cumplir con las recomendaciones pertinentes de ICCAT.</w:t>
            </w:r>
          </w:p>
          <w:p w14:paraId="4DDD46F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3CF92B6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Los requisitos relativos a la notificación de capturas y el VMS ya están recogidos en la normativa sobre un sistema de comunicación electrónica.</w:t>
            </w:r>
          </w:p>
        </w:tc>
        <w:tc>
          <w:tcPr>
            <w:tcW w:w="2160" w:type="dxa"/>
          </w:tcPr>
          <w:p w14:paraId="3E020F6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 sobre la pesca de atún rojo en 2026.</w:t>
            </w:r>
          </w:p>
          <w:p w14:paraId="701633E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ED2931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Reglamento sobre un sistema de comunicación electrónico (requisitos relativos al cuaderno de pesca).</w:t>
            </w:r>
          </w:p>
        </w:tc>
        <w:tc>
          <w:tcPr>
            <w:tcW w:w="1055" w:type="dxa"/>
          </w:tcPr>
          <w:p w14:paraId="0F62AA29"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36B302FD" w14:textId="77777777" w:rsidTr="00CA749B">
        <w:tc>
          <w:tcPr>
            <w:tcW w:w="453" w:type="dxa"/>
          </w:tcPr>
          <w:p w14:paraId="01B780C3"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p>
        </w:tc>
        <w:tc>
          <w:tcPr>
            <w:tcW w:w="1972" w:type="dxa"/>
          </w:tcPr>
          <w:p w14:paraId="77D367E4"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Otros requisitos, como:</w:t>
            </w:r>
          </w:p>
          <w:p w14:paraId="044598BC"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programa de marcado (párr. 44). etc.</w:t>
            </w:r>
          </w:p>
        </w:tc>
        <w:tc>
          <w:tcPr>
            <w:tcW w:w="3420" w:type="dxa"/>
          </w:tcPr>
          <w:p w14:paraId="7D0114EC"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Noruega realiza una pesquería de marcado y liberación, de conformidad con los requisitos del párrafo 44 de la Rec. 25-04. </w:t>
            </w:r>
          </w:p>
          <w:p w14:paraId="2D8C9D8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0683AD7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Sólo los buques con licencia expedida por la Dirección de pesca de Noruega pueden participar en la pesquería de marcado y liberación. Los buques también deben estar autorizados por las autoridades competentes para realizar el proceso de marcado. La licencia para participar en la pesquería de marcado y liberación y la autorización para realizar el proceso de marcado se retirarán si el buque no cumple las condiciones de la licencia/autorización.</w:t>
            </w:r>
          </w:p>
          <w:p w14:paraId="04A37AC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0EA9695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Cualquier atún rojo que muera durante las actividades de marcado y liberación será notificado y deducido de la cuota noruega.</w:t>
            </w:r>
          </w:p>
          <w:p w14:paraId="143A70D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2108B4B7"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 petición de ICCAT, Noruega facilitará la lista de buques deportivos y de recreo que hayan recibido una autorización.</w:t>
            </w:r>
          </w:p>
          <w:p w14:paraId="66098F9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17D5ABA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lista de buques deportivos y de recreo incluirá la información especificada en el párrafo 46 de la Rec. 25-04.</w:t>
            </w:r>
          </w:p>
        </w:tc>
        <w:tc>
          <w:tcPr>
            <w:tcW w:w="2160" w:type="dxa"/>
          </w:tcPr>
          <w:p w14:paraId="7B262649"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055" w:type="dxa"/>
          </w:tcPr>
          <w:p w14:paraId="0197C6D1"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bl>
    <w:p w14:paraId="0C866D32"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p w14:paraId="1C17C878" w14:textId="77777777" w:rsidR="009123AC" w:rsidRPr="00F0379B" w:rsidRDefault="009123AC" w:rsidP="009123AC">
      <w:pPr>
        <w:widowControl w:val="0"/>
        <w:spacing w:after="0" w:line="240" w:lineRule="auto"/>
        <w:jc w:val="both"/>
        <w:rPr>
          <w:rFonts w:ascii="Cambria" w:eastAsia="MS Gothic" w:hAnsi="Cambria" w:cs="Times New Roman"/>
          <w:b/>
          <w:bCs/>
          <w:i/>
          <w:iCs/>
          <w:color w:val="000000"/>
          <w:sz w:val="20"/>
          <w:szCs w:val="24"/>
          <w:lang w:eastAsia="fr-FR" w:bidi="fr-FR"/>
        </w:rPr>
      </w:pPr>
    </w:p>
    <w:p w14:paraId="57726B00" w14:textId="77777777" w:rsidR="009123AC" w:rsidRPr="00F0379B" w:rsidRDefault="009123AC" w:rsidP="009123AC">
      <w:pPr>
        <w:widowControl w:val="0"/>
        <w:spacing w:after="0" w:line="240" w:lineRule="auto"/>
        <w:jc w:val="both"/>
        <w:rPr>
          <w:rFonts w:ascii="Cambria" w:eastAsia="MS Gothic" w:hAnsi="Cambria" w:cs="Times New Roman"/>
          <w:b/>
          <w:bCs/>
          <w:i/>
          <w:iCs/>
          <w:color w:val="000000"/>
          <w:sz w:val="20"/>
          <w:szCs w:val="24"/>
          <w:lang w:eastAsia="fr-FR" w:bidi="fr-FR"/>
        </w:rPr>
      </w:pPr>
      <w:r w:rsidRPr="00F0379B">
        <w:rPr>
          <w:rFonts w:ascii="Cambria" w:eastAsia="MS Gothic" w:hAnsi="Cambria" w:cs="Times New Roman"/>
          <w:b/>
          <w:bCs/>
          <w:i/>
          <w:iCs/>
          <w:color w:val="000000"/>
          <w:sz w:val="20"/>
          <w:szCs w:val="24"/>
          <w:lang w:eastAsia="fr-FR" w:bidi="fr-FR"/>
        </w:rPr>
        <w:t>1 e) Puertos designados (párrafo 80)</w:t>
      </w:r>
    </w:p>
    <w:p w14:paraId="5B7FBCCF"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4E7B3AEC"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sz w:val="20"/>
          <w:szCs w:val="20"/>
          <w:lang w:eastAsia="fr-FR" w:bidi="fr-FR"/>
        </w:rPr>
        <w:t xml:space="preserve">Se adjunta al plan de pesca una lista de los puertos designados para el desembarque y el transbordo mediante el formulario CP24. </w:t>
      </w:r>
    </w:p>
    <w:p w14:paraId="689054E3" w14:textId="77777777" w:rsidR="009123AC" w:rsidRPr="00F0379B" w:rsidRDefault="009123AC" w:rsidP="009123AC">
      <w:pPr>
        <w:widowControl w:val="0"/>
        <w:spacing w:after="0" w:line="240" w:lineRule="auto"/>
        <w:rPr>
          <w:rFonts w:ascii="Cambria" w:eastAsia="MS Gothic" w:hAnsi="Cambria" w:cs="Times New Roman"/>
          <w:bCs/>
          <w:sz w:val="20"/>
          <w:szCs w:val="20"/>
          <w:lang w:eastAsia="ja-JP" w:bidi="fr-FR"/>
        </w:rPr>
      </w:pPr>
    </w:p>
    <w:p w14:paraId="04156A8D" w14:textId="77777777" w:rsidR="009123AC" w:rsidRPr="00F0379B" w:rsidRDefault="009123AC" w:rsidP="009123AC">
      <w:pPr>
        <w:widowControl w:val="0"/>
        <w:spacing w:after="0" w:line="240" w:lineRule="auto"/>
        <w:rPr>
          <w:rFonts w:ascii="Cambria" w:eastAsia="MS Gothic" w:hAnsi="Cambria" w:cs="Times New Roman"/>
          <w:bCs/>
          <w:sz w:val="20"/>
          <w:szCs w:val="20"/>
          <w:lang w:eastAsia="ja-JP" w:bidi="fr-FR"/>
        </w:rPr>
      </w:pPr>
      <w:r w:rsidRPr="00F0379B">
        <w:rPr>
          <w:rFonts w:ascii="Cambria" w:eastAsia="MS Gothic" w:hAnsi="Cambria" w:cs="Times New Roman"/>
          <w:bCs/>
          <w:sz w:val="20"/>
          <w:szCs w:val="20"/>
          <w:lang w:eastAsia="ja-JP" w:bidi="fr-FR"/>
        </w:rPr>
        <w:t xml:space="preserve">La lista también se adjunta en la última página de este plan. </w:t>
      </w:r>
    </w:p>
    <w:p w14:paraId="44A54DC8" w14:textId="77777777" w:rsidR="009123AC" w:rsidRPr="00F0379B" w:rsidRDefault="009123AC" w:rsidP="009123AC">
      <w:pPr>
        <w:spacing w:after="0" w:line="240" w:lineRule="auto"/>
        <w:rPr>
          <w:rFonts w:ascii="Cambria" w:eastAsia="MS Gothic" w:hAnsi="Cambria" w:cs="Times New Roman"/>
          <w:b/>
          <w:sz w:val="20"/>
          <w:szCs w:val="20"/>
          <w:lang w:eastAsia="ja-JP" w:bidi="fr-FR"/>
        </w:rPr>
      </w:pPr>
    </w:p>
    <w:p w14:paraId="14A5D218" w14:textId="77777777" w:rsidR="009123AC" w:rsidRPr="00F0379B" w:rsidRDefault="009123AC" w:rsidP="009123AC">
      <w:pPr>
        <w:spacing w:line="259" w:lineRule="auto"/>
        <w:rPr>
          <w:rFonts w:ascii="Cambria" w:eastAsia="MS Gothic" w:hAnsi="Cambria" w:cs="Times New Roman"/>
          <w:b/>
          <w:sz w:val="20"/>
          <w:szCs w:val="24"/>
          <w:lang w:eastAsia="fr-FR" w:bidi="fr-FR"/>
        </w:rPr>
      </w:pPr>
      <w:r w:rsidRPr="00F0379B">
        <w:rPr>
          <w:rFonts w:ascii="Cambria" w:eastAsia="MS Gothic" w:hAnsi="Cambria" w:cs="Times New Roman"/>
          <w:b/>
          <w:sz w:val="20"/>
          <w:szCs w:val="24"/>
          <w:lang w:eastAsia="fr-FR" w:bidi="fr-FR"/>
        </w:rPr>
        <w:br w:type="page"/>
      </w:r>
    </w:p>
    <w:p w14:paraId="38798D6E" w14:textId="77777777" w:rsidR="009123AC" w:rsidRPr="00F0379B" w:rsidRDefault="009123AC" w:rsidP="00CE0EC8">
      <w:pPr>
        <w:widowControl w:val="0"/>
        <w:numPr>
          <w:ilvl w:val="0"/>
          <w:numId w:val="95"/>
        </w:numPr>
        <w:tabs>
          <w:tab w:val="left" w:pos="426"/>
        </w:tabs>
        <w:spacing w:after="0" w:line="240" w:lineRule="auto"/>
        <w:ind w:left="426" w:hanging="426"/>
        <w:contextualSpacing/>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Plan anual de ordenación de la capacidad pesquera (párrs. 14-21)</w:t>
      </w:r>
    </w:p>
    <w:p w14:paraId="2A337CF8"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144DFEED"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Las mejores tasas de captura definidas por el SCRS en 2009 se basan en capturas del Mediterráneo. Estas tasas de captura no reflejan las tasas de captura de las zonas de alimentación que se encuentran en aguas noruegas. Cuando los atunes rojos se alimentan en aguas noruegas están mucho menos agregados que cuando están desovando en el Mediterráneo. Además, la climatología en la costa noruega en septiembre y octubre a menudo impide a los pescadores salir a pescar atún rojo. Como solicitó el presidente de la Subcomisión 2 en la reunión anual de la Comisión de 2019, Noruega presentará un documento al SCRS en 2020 sobre las tasas de captura para los cerqueros noruegos que pescan en la zona económica noruega. Noruega también presentó este documento en la reunión intersesiones de la Subcomisión 2 en 2020. Para más información véase el SCRS/2020/017. </w:t>
      </w:r>
    </w:p>
    <w:p w14:paraId="0F3992DB"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2EC39D59"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De conformidad con el párrafo 20 b) de la Rec. 25-04, el ajuste de la capacidad de pesca del párrafos 15, 16 y 19 no se aplica a Noruega. </w:t>
      </w:r>
    </w:p>
    <w:p w14:paraId="2178253E"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1939810F"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Dado que los buques no han sido seleccionados, la información sobre su eslora no está aún disponible. A los cerqueros y palangreros se les asignará cuotas individuales iguales dentro de la cuota grupal de 440 t, independientemente del tamaño del buque. Además, los buques dispondrán de cuotas </w:t>
      </w:r>
      <w:r w:rsidRPr="00F0379B">
        <w:rPr>
          <w:rFonts w:ascii="Cambria" w:eastAsia="MS Gothic" w:hAnsi="Cambria" w:cs="Times New Roman"/>
          <w:i/>
          <w:iCs/>
          <w:color w:val="000000"/>
          <w:sz w:val="20"/>
          <w:szCs w:val="20"/>
          <w:lang w:eastAsia="fr-FR" w:bidi="fr-FR"/>
        </w:rPr>
        <w:t>máximas</w:t>
      </w:r>
      <w:r w:rsidRPr="00F0379B">
        <w:rPr>
          <w:rFonts w:ascii="Cambria" w:eastAsia="MS Gothic" w:hAnsi="Cambria" w:cs="Times New Roman"/>
          <w:color w:val="000000"/>
          <w:sz w:val="20"/>
          <w:szCs w:val="20"/>
          <w:lang w:eastAsia="fr-FR" w:bidi="fr-FR"/>
        </w:rPr>
        <w:t>. Las cuotas máximas exactas podrán ajustarse a lo largo de la temporada de pesca, pero en ningún momento se superará la cuota noruega total.</w:t>
      </w:r>
    </w:p>
    <w:p w14:paraId="4E18E581"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2C296386"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Las embarcaciones costeras de pequeña escala se les asignará una cuota sectorial específica de 40 t. Se reservarán 10 t para cubrir capturas fortuitas incidentales en pesquerías que no se dirigen al atún rojo, 34,98 t se reservarán para investigación, 2 t se reservarán para la pesquería de marcado y liberación y 8 t se reservarán para la pesquería recreativa. </w:t>
      </w:r>
    </w:p>
    <w:p w14:paraId="4ADBE777"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ja-JP" w:bidi="fr-FR"/>
        </w:rPr>
      </w:pPr>
    </w:p>
    <w:p w14:paraId="714BADA0"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ja-JP" w:bidi="fr-FR"/>
        </w:rPr>
      </w:pPr>
    </w:p>
    <w:p w14:paraId="7F50B474" w14:textId="77777777" w:rsidR="009123AC" w:rsidRPr="00F0379B" w:rsidRDefault="009123AC" w:rsidP="00CE0EC8">
      <w:pPr>
        <w:widowControl w:val="0"/>
        <w:numPr>
          <w:ilvl w:val="0"/>
          <w:numId w:val="95"/>
        </w:numPr>
        <w:spacing w:after="0" w:line="240" w:lineRule="auto"/>
        <w:ind w:left="426" w:hanging="426"/>
        <w:contextualSpacing/>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Plan anual de ordenación de la cría (párrs. 22-23), si es aplicable</w:t>
      </w:r>
    </w:p>
    <w:p w14:paraId="5627C48B" w14:textId="77777777" w:rsidR="009123AC" w:rsidRPr="00F0379B" w:rsidRDefault="009123AC" w:rsidP="009123AC">
      <w:pPr>
        <w:widowControl w:val="0"/>
        <w:spacing w:after="0" w:line="240" w:lineRule="auto"/>
        <w:rPr>
          <w:rFonts w:ascii="Cambria" w:eastAsia="MS Gothic" w:hAnsi="Cambria" w:cs="Times New Roman"/>
          <w:color w:val="000000"/>
          <w:sz w:val="20"/>
          <w:szCs w:val="20"/>
          <w:lang w:eastAsia="fr-FR" w:bidi="fr-FR"/>
        </w:rPr>
      </w:pPr>
    </w:p>
    <w:p w14:paraId="4EABF2D2" w14:textId="77777777" w:rsidR="009123AC" w:rsidRPr="00F0379B" w:rsidRDefault="009123AC" w:rsidP="009123AC">
      <w:pPr>
        <w:widowControl w:val="0"/>
        <w:spacing w:after="0" w:line="240" w:lineRule="auto"/>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No se aplica. Noruega no tiene granjas de atún rojo.</w:t>
      </w:r>
    </w:p>
    <w:p w14:paraId="358F3277" w14:textId="77777777" w:rsidR="009123AC" w:rsidRPr="00F0379B" w:rsidRDefault="009123AC" w:rsidP="009123AC">
      <w:pPr>
        <w:widowControl w:val="0"/>
        <w:spacing w:after="0" w:line="240" w:lineRule="auto"/>
        <w:rPr>
          <w:rFonts w:ascii="Cambria" w:eastAsia="MS Gothic" w:hAnsi="Cambria" w:cs="Times New Roman"/>
          <w:color w:val="000000"/>
          <w:sz w:val="20"/>
          <w:szCs w:val="20"/>
          <w:lang w:eastAsia="fr-FR" w:bidi="fr-FR"/>
        </w:rPr>
      </w:pPr>
    </w:p>
    <w:p w14:paraId="518FC058" w14:textId="77777777" w:rsidR="009123AC" w:rsidRPr="00F0379B" w:rsidRDefault="009123AC" w:rsidP="009123AC">
      <w:pPr>
        <w:widowControl w:val="0"/>
        <w:spacing w:after="0" w:line="240" w:lineRule="auto"/>
        <w:rPr>
          <w:rFonts w:ascii="Cambria" w:eastAsia="MS Gothic" w:hAnsi="Cambria" w:cs="Times New Roman"/>
          <w:b/>
          <w:sz w:val="20"/>
          <w:szCs w:val="20"/>
          <w:lang w:eastAsia="ja-JP" w:bidi="fr-FR"/>
        </w:rPr>
      </w:pPr>
    </w:p>
    <w:p w14:paraId="12D2C3E4" w14:textId="77777777" w:rsidR="009123AC" w:rsidRPr="00F0379B" w:rsidRDefault="009123AC" w:rsidP="00CE0EC8">
      <w:pPr>
        <w:widowControl w:val="0"/>
        <w:numPr>
          <w:ilvl w:val="0"/>
          <w:numId w:val="95"/>
        </w:numPr>
        <w:tabs>
          <w:tab w:val="left" w:pos="426"/>
        </w:tabs>
        <w:spacing w:after="0" w:line="240" w:lineRule="auto"/>
        <w:ind w:left="426" w:hanging="426"/>
        <w:contextualSpacing/>
        <w:jc w:val="both"/>
        <w:rPr>
          <w:rFonts w:ascii="Cambria" w:eastAsia="MS Gothic" w:hAnsi="Cambria" w:cs="Times New Roman"/>
          <w:b/>
          <w:bCs/>
          <w:sz w:val="20"/>
          <w:szCs w:val="24"/>
          <w:lang w:eastAsia="fr-FR" w:bidi="fr-FR"/>
        </w:rPr>
      </w:pPr>
      <w:r w:rsidRPr="00F0379B">
        <w:rPr>
          <w:rFonts w:ascii="Cambria" w:eastAsia="MS Gothic" w:hAnsi="Cambria" w:cs="Times New Roman"/>
          <w:b/>
          <w:bCs/>
          <w:sz w:val="20"/>
          <w:szCs w:val="24"/>
          <w:lang w:eastAsia="fr-FR" w:bidi="fr-FR"/>
        </w:rPr>
        <w:t xml:space="preserve">Plan de acuicultura anual (párr. 10 e de la </w:t>
      </w:r>
      <w:hyperlink r:id="rId186" w:history="1">
        <w:r w:rsidRPr="00F0379B">
          <w:rPr>
            <w:rFonts w:ascii="Cambria" w:eastAsia="MS Gothic" w:hAnsi="Cambria" w:cs="Times New Roman"/>
            <w:b/>
            <w:bCs/>
            <w:color w:val="0563C1"/>
            <w:sz w:val="20"/>
            <w:szCs w:val="24"/>
            <w:lang w:eastAsia="fr-FR" w:bidi="fr-FR"/>
          </w:rPr>
          <w:t xml:space="preserve">Rec. 25-04 </w:t>
        </w:r>
      </w:hyperlink>
      <w:r w:rsidRPr="00F0379B">
        <w:rPr>
          <w:rFonts w:ascii="Cambria" w:eastAsia="MS Gothic" w:hAnsi="Cambria" w:cs="Times New Roman"/>
          <w:b/>
          <w:bCs/>
          <w:sz w:val="20"/>
          <w:szCs w:val="24"/>
          <w:lang w:eastAsia="fr-FR" w:bidi="fr-FR"/>
        </w:rPr>
        <w:t xml:space="preserve">de conformidad con la </w:t>
      </w:r>
      <w:hyperlink r:id="rId187" w:history="1">
        <w:r w:rsidRPr="00F0379B">
          <w:rPr>
            <w:rFonts w:ascii="Cambria" w:eastAsia="MS Gothic" w:hAnsi="Cambria" w:cs="Times New Roman"/>
            <w:b/>
            <w:bCs/>
            <w:color w:val="0563C1"/>
            <w:sz w:val="20"/>
            <w:szCs w:val="24"/>
            <w:lang w:eastAsia="fr-FR" w:bidi="fr-FR"/>
          </w:rPr>
          <w:t>Rec. 24-07</w:t>
        </w:r>
      </w:hyperlink>
      <w:r w:rsidRPr="00F0379B">
        <w:rPr>
          <w:rFonts w:ascii="Cambria" w:eastAsia="MS Gothic" w:hAnsi="Cambria" w:cs="Times New Roman"/>
          <w:b/>
          <w:bCs/>
          <w:sz w:val="20"/>
          <w:szCs w:val="24"/>
          <w:lang w:eastAsia="fr-FR" w:bidi="fr-FR"/>
        </w:rPr>
        <w:t>), si es aplicable</w:t>
      </w:r>
    </w:p>
    <w:p w14:paraId="3AB1C617" w14:textId="77777777" w:rsidR="009123AC" w:rsidRPr="00F0379B" w:rsidRDefault="009123AC" w:rsidP="009123AC">
      <w:pPr>
        <w:widowControl w:val="0"/>
        <w:spacing w:after="0" w:line="240" w:lineRule="auto"/>
        <w:rPr>
          <w:rFonts w:ascii="Cambria" w:eastAsia="MS Gothic" w:hAnsi="Cambria" w:cs="Times New Roman"/>
          <w:b/>
          <w:sz w:val="20"/>
          <w:szCs w:val="20"/>
          <w:lang w:eastAsia="ja-JP" w:bidi="fr-FR"/>
        </w:rPr>
      </w:pPr>
    </w:p>
    <w:p w14:paraId="5109260A" w14:textId="77777777" w:rsidR="009123AC" w:rsidRPr="00F0379B" w:rsidRDefault="009123AC" w:rsidP="009123AC">
      <w:pPr>
        <w:widowControl w:val="0"/>
        <w:spacing w:after="0" w:line="240" w:lineRule="auto"/>
        <w:rPr>
          <w:rFonts w:ascii="Cambria" w:eastAsia="MS Gothic" w:hAnsi="Cambria" w:cs="Times New Roman"/>
          <w:bCs/>
          <w:sz w:val="20"/>
          <w:szCs w:val="20"/>
          <w:lang w:eastAsia="ja-JP" w:bidi="fr-FR"/>
        </w:rPr>
      </w:pPr>
      <w:r w:rsidRPr="00F0379B">
        <w:rPr>
          <w:rFonts w:ascii="Cambria" w:eastAsia="MS Gothic" w:hAnsi="Cambria" w:cs="Times New Roman"/>
          <w:bCs/>
          <w:sz w:val="20"/>
          <w:szCs w:val="20"/>
          <w:lang w:eastAsia="ja-JP" w:bidi="fr-FR"/>
        </w:rPr>
        <w:t>No se aplica. Noruega no practica ninguna actividad de acuicultura relacionada con el atún rojo.</w:t>
      </w:r>
    </w:p>
    <w:p w14:paraId="6705249F" w14:textId="77777777" w:rsidR="009123AC" w:rsidRPr="00F0379B" w:rsidRDefault="009123AC" w:rsidP="009123AC">
      <w:pPr>
        <w:widowControl w:val="0"/>
        <w:spacing w:after="0" w:line="240" w:lineRule="auto"/>
        <w:rPr>
          <w:rFonts w:ascii="Cambria" w:eastAsia="MS Gothic" w:hAnsi="Cambria" w:cs="Times New Roman"/>
          <w:bCs/>
          <w:sz w:val="14"/>
          <w:szCs w:val="14"/>
          <w:lang w:eastAsia="ja-JP" w:bidi="fr-FR"/>
        </w:rPr>
      </w:pPr>
    </w:p>
    <w:p w14:paraId="4B5AE38B" w14:textId="77777777" w:rsidR="009123AC" w:rsidRPr="00F0379B" w:rsidRDefault="009123AC" w:rsidP="009123AC">
      <w:pPr>
        <w:widowControl w:val="0"/>
        <w:spacing w:after="0" w:line="240" w:lineRule="auto"/>
        <w:rPr>
          <w:rFonts w:ascii="Cambria" w:eastAsia="MS Gothic" w:hAnsi="Cambria" w:cs="Times New Roman"/>
          <w:bCs/>
          <w:sz w:val="20"/>
          <w:szCs w:val="20"/>
          <w:lang w:eastAsia="ja-JP" w:bidi="fr-FR"/>
        </w:rPr>
      </w:pPr>
    </w:p>
    <w:p w14:paraId="78D82808" w14:textId="77777777" w:rsidR="009123AC" w:rsidRPr="00F0379B" w:rsidRDefault="009123AC" w:rsidP="00CE0EC8">
      <w:pPr>
        <w:widowControl w:val="0"/>
        <w:numPr>
          <w:ilvl w:val="0"/>
          <w:numId w:val="95"/>
        </w:numPr>
        <w:spacing w:after="0" w:line="240" w:lineRule="auto"/>
        <w:ind w:left="426" w:hanging="426"/>
        <w:contextualSpacing/>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Plan de inspección, control y seguimiento</w:t>
      </w:r>
    </w:p>
    <w:p w14:paraId="1784A143"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p>
    <w:p w14:paraId="562B3F9C" w14:textId="77777777" w:rsidR="009123AC" w:rsidRPr="00F0379B" w:rsidRDefault="009123AC" w:rsidP="009123AC">
      <w:pPr>
        <w:widowControl w:val="0"/>
        <w:spacing w:after="0" w:line="240" w:lineRule="auto"/>
        <w:rPr>
          <w:rFonts w:ascii="Cambria" w:eastAsia="MS Gothic" w:hAnsi="Cambria" w:cs="Times New Roman"/>
          <w:b/>
          <w:i/>
          <w:iCs/>
          <w:sz w:val="20"/>
          <w:szCs w:val="24"/>
          <w:lang w:eastAsia="fr-FR" w:bidi="fr-FR"/>
        </w:rPr>
      </w:pPr>
      <w:r w:rsidRPr="00F0379B">
        <w:rPr>
          <w:rFonts w:ascii="Cambria" w:eastAsia="MS Gothic" w:hAnsi="Cambria" w:cs="Times New Roman"/>
          <w:b/>
          <w:i/>
          <w:iCs/>
          <w:sz w:val="20"/>
          <w:szCs w:val="24"/>
          <w:lang w:eastAsia="fr-FR" w:bidi="fr-FR"/>
        </w:rPr>
        <w:t>5 a) Inspección, control y seguimiento de la CPC (párr. 10c)</w:t>
      </w:r>
    </w:p>
    <w:p w14:paraId="54342D52"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p>
    <w:p w14:paraId="70BB80F9"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Noruega ha establecido un sistema de seguimiento en tiempo real de todas sus pesquerías y se ha comprometido a adoptar las medidas necesarias para garantizar el pleno cumplimiento de la Recomendación 25-04 de ICCAT. Los cerqueros deberán tener una cobertura de observadores del 100 % del Programa regional de observadores (ROP). Además, la unidad operativa de la Dirección de Pesca proporcionará una cobertura de observadores de al menos el 20 % en el buque palangrero, de conformidad con los párrafos 95-100 de la Recomendación 25-</w:t>
      </w:r>
      <w:proofErr w:type="gramStart"/>
      <w:r w:rsidRPr="00F0379B">
        <w:rPr>
          <w:rFonts w:ascii="Cambria" w:eastAsia="MS Gothic" w:hAnsi="Cambria" w:cs="Times New Roman"/>
          <w:color w:val="000000"/>
          <w:sz w:val="20"/>
          <w:szCs w:val="20"/>
          <w:lang w:eastAsia="fr-FR" w:bidi="fr-FR"/>
        </w:rPr>
        <w:t>04 .</w:t>
      </w:r>
      <w:proofErr w:type="gramEnd"/>
      <w:r w:rsidRPr="00F0379B">
        <w:rPr>
          <w:rFonts w:ascii="Cambria" w:eastAsia="MS Gothic" w:hAnsi="Cambria" w:cs="Times New Roman"/>
          <w:color w:val="000000"/>
          <w:sz w:val="20"/>
          <w:szCs w:val="20"/>
          <w:lang w:eastAsia="fr-FR" w:bidi="fr-FR"/>
        </w:rPr>
        <w:t xml:space="preserve">  </w:t>
      </w:r>
    </w:p>
    <w:p w14:paraId="644FB6A8" w14:textId="77777777" w:rsidR="009123AC" w:rsidRPr="00F0379B" w:rsidRDefault="009123AC" w:rsidP="009123AC">
      <w:pPr>
        <w:widowControl w:val="0"/>
        <w:spacing w:after="0" w:line="240" w:lineRule="auto"/>
        <w:jc w:val="both"/>
        <w:rPr>
          <w:rFonts w:ascii="Cambria" w:eastAsia="MS Gothic" w:hAnsi="Cambria" w:cs="Times New Roman"/>
          <w:color w:val="000000"/>
          <w:sz w:val="16"/>
          <w:szCs w:val="16"/>
          <w:lang w:eastAsia="fr-FR" w:bidi="fr-FR"/>
        </w:rPr>
      </w:pPr>
    </w:p>
    <w:p w14:paraId="611F41F1"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Las embarcaciones costeras de pequeña escala serán objeto de un estrecho seguimiento. Las embarcaciones serán objeto de una vigilancia por parte del FMC y la Dirección de Pesca llevará a cabo inspecciones de los desembarques. El Instituto de Investigación Marina, si la situación lo permite, tendrá científicos a bordo de varias de las embarcaciones.</w:t>
      </w:r>
    </w:p>
    <w:p w14:paraId="07319E82" w14:textId="77777777" w:rsidR="009123AC" w:rsidRPr="00F0379B" w:rsidRDefault="009123AC" w:rsidP="009123AC">
      <w:pPr>
        <w:widowControl w:val="0"/>
        <w:spacing w:after="0" w:line="240" w:lineRule="auto"/>
        <w:jc w:val="both"/>
        <w:rPr>
          <w:rFonts w:ascii="Cambria" w:eastAsia="MS Gothic" w:hAnsi="Cambria" w:cs="Times New Roman"/>
          <w:color w:val="000000"/>
          <w:sz w:val="16"/>
          <w:szCs w:val="16"/>
          <w:lang w:eastAsia="fr-FR" w:bidi="fr-FR"/>
        </w:rPr>
      </w:pPr>
    </w:p>
    <w:p w14:paraId="159AA08B"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Todos los buques noruegos con capturas de atún rojo, incluidas las capturas fortuitas, deben informar al FMC noruego. Además, un mínimo del 5 % de los desembarques de atún rojo realizados por los buques que se dirigen a esta especie será inspeccionado por inspectores de la Dirección de pesca de Noruega. Estas inspecciones serán completas, es decir, los inspectores deberán hacer un seguimiento del desembarque completo. Esto incluye hacer un seguimiento de todo el pesaje de los peces, hacer una verificación cruzada del mismo con la notificación previa de entrada a puerto, el VMS, el cuaderno de pesca electrónico y las notas de ventas y desembarque. Además, los inspectores se asegurarán de que no queda pescado a bordo una vez finalizado el desembarque y de que las notas de desembarque o de ventas están firmadas. </w:t>
      </w:r>
    </w:p>
    <w:p w14:paraId="680DBAA0"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71BD8CED"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Dado que la pesquería de atún rojo de Noruega está limitada a la jurisdicción pesquera noruega, el requisito de un buque de inspección del párrafo 232 no es aplicable. </w:t>
      </w:r>
    </w:p>
    <w:p w14:paraId="0FD44328"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5D210E1A"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Los buques autorizados a dirigirse al atún rojo y los buques que realizan captura fortuita incidental de atún rojo muerto pueden recibir órdenes del Instituto de Investigación Marina de Noruega para recoger muestras biológicas.</w:t>
      </w:r>
    </w:p>
    <w:p w14:paraId="5826DA9A" w14:textId="77777777" w:rsidR="009123AC" w:rsidRPr="00F0379B" w:rsidRDefault="009123AC" w:rsidP="009123AC">
      <w:pPr>
        <w:widowControl w:val="0"/>
        <w:spacing w:after="0" w:line="220" w:lineRule="exact"/>
        <w:jc w:val="both"/>
        <w:rPr>
          <w:rFonts w:ascii="Cambria" w:eastAsia="MS Gothic" w:hAnsi="Cambria" w:cs="Times New Roman"/>
          <w:color w:val="000000"/>
          <w:sz w:val="20"/>
          <w:szCs w:val="20"/>
          <w:lang w:eastAsia="fr-FR" w:bidi="fr-FR"/>
        </w:rPr>
      </w:pPr>
    </w:p>
    <w:p w14:paraId="659D3A02"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De conformidad con el párrafo 47 de la Recomendación 25-04, queda prohibido el uso de aviones o helicópteros, o de cualquier tipo de vehículos aéreos no tripulados, para buscar atún rojo. </w:t>
      </w:r>
    </w:p>
    <w:p w14:paraId="5BC7466D" w14:textId="77777777" w:rsidR="009123AC" w:rsidRPr="00F0379B" w:rsidRDefault="009123AC" w:rsidP="009123AC">
      <w:pPr>
        <w:widowControl w:val="0"/>
        <w:spacing w:after="0" w:line="220" w:lineRule="exact"/>
        <w:jc w:val="both"/>
        <w:rPr>
          <w:rFonts w:ascii="Cambria" w:eastAsia="MS Gothic" w:hAnsi="Cambria" w:cs="Times New Roman"/>
          <w:color w:val="000000"/>
          <w:sz w:val="20"/>
          <w:szCs w:val="20"/>
          <w:lang w:eastAsia="fr-FR" w:bidi="fr-FR"/>
        </w:rPr>
      </w:pPr>
    </w:p>
    <w:p w14:paraId="06E5AC6D"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Además, se expedirán documentos de captura de atún rojo de conformidad con la </w:t>
      </w:r>
      <w:r w:rsidRPr="00F0379B">
        <w:rPr>
          <w:rFonts w:ascii="Cambria" w:eastAsia="MS Gothic" w:hAnsi="Cambria" w:cs="Times New Roman"/>
          <w:i/>
          <w:iCs/>
          <w:color w:val="000000"/>
          <w:sz w:val="20"/>
          <w:szCs w:val="20"/>
          <w:lang w:eastAsia="fr-FR" w:bidi="fr-FR"/>
        </w:rPr>
        <w:t xml:space="preserve">Recomendación de ICCAT que enmienda y reemplaza la Recomendación 18-13 sobre el programa ICCAT de documentación de capturas de atún rojo </w:t>
      </w:r>
      <w:r w:rsidRPr="00F0379B">
        <w:rPr>
          <w:rFonts w:ascii="Cambria" w:eastAsia="MS Gothic" w:hAnsi="Cambria" w:cs="Times New Roman"/>
          <w:color w:val="000000"/>
          <w:sz w:val="20"/>
          <w:szCs w:val="20"/>
          <w:lang w:eastAsia="fr-FR" w:bidi="fr-FR"/>
        </w:rPr>
        <w:t>(Rec. 23-21), y con la</w:t>
      </w:r>
      <w:r w:rsidRPr="00F0379B">
        <w:rPr>
          <w:rFonts w:ascii="Cambria" w:eastAsia="MS Gothic" w:hAnsi="Cambria" w:cs="Times New Roman"/>
          <w:i/>
          <w:iCs/>
          <w:color w:val="000000"/>
          <w:sz w:val="20"/>
          <w:szCs w:val="20"/>
          <w:lang w:eastAsia="fr-FR" w:bidi="fr-FR"/>
        </w:rPr>
        <w:t xml:space="preserve"> Recomendación de ICCAT que enmienda la Recomendación 21-18 sobre la aplicación del sistema eBCD </w:t>
      </w:r>
      <w:r w:rsidRPr="00F0379B">
        <w:rPr>
          <w:rFonts w:ascii="Cambria" w:eastAsia="MS Gothic" w:hAnsi="Cambria" w:cs="Times New Roman"/>
          <w:color w:val="000000"/>
          <w:sz w:val="20"/>
          <w:szCs w:val="20"/>
          <w:lang w:eastAsia="fr-FR" w:bidi="fr-FR"/>
        </w:rPr>
        <w:t>(Rec. 22-16) y con otras recomendaciones pertinentes. Noruega ha expedido documentos electrónicos de captura de atún rojo en el sistema eBCD desde 2015 y tiene intención de continuar esta práctica en 2026 de conformidad con las recomendaciones mencionadas.</w:t>
      </w:r>
    </w:p>
    <w:p w14:paraId="3414897F"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12EB93F2"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r w:rsidRPr="00F0379B">
        <w:rPr>
          <w:rFonts w:ascii="Cambria" w:eastAsia="MS Gothic" w:hAnsi="Cambria" w:cs="Times New Roman"/>
          <w:sz w:val="20"/>
          <w:szCs w:val="20"/>
          <w:lang w:eastAsia="fr-FR" w:bidi="fr-FR"/>
        </w:rPr>
        <w:t>Lista de puntos de contacto:</w:t>
      </w:r>
    </w:p>
    <w:p w14:paraId="72977757"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p w14:paraId="37CA28EF" w14:textId="678B6DFE" w:rsidR="009123AC" w:rsidRPr="00F0379B" w:rsidRDefault="009123AC" w:rsidP="00CE0EC8">
      <w:pPr>
        <w:widowControl w:val="0"/>
        <w:numPr>
          <w:ilvl w:val="0"/>
          <w:numId w:val="59"/>
        </w:numPr>
        <w:spacing w:after="0" w:line="240" w:lineRule="auto"/>
        <w:contextualSpacing/>
        <w:jc w:val="both"/>
        <w:rPr>
          <w:rFonts w:ascii="Cambria" w:eastAsia="MS Gothic" w:hAnsi="Cambria" w:cs="Times New Roman"/>
          <w:color w:val="000000"/>
          <w:sz w:val="20"/>
          <w:szCs w:val="24"/>
          <w:lang w:eastAsia="fr-FR" w:bidi="fr-FR"/>
        </w:rPr>
      </w:pPr>
      <w:r w:rsidRPr="00F0379B">
        <w:rPr>
          <w:rFonts w:ascii="Cambria" w:eastAsia="MS Gothic" w:hAnsi="Cambria" w:cs="Times New Roman"/>
          <w:color w:val="000000"/>
          <w:sz w:val="20"/>
          <w:szCs w:val="24"/>
          <w:lang w:eastAsia="fr-FR" w:bidi="fr-FR"/>
        </w:rPr>
        <w:t>Sofie Munch Ellingsen, asesora en el Ministerio de Industria y Pesca (</w:t>
      </w:r>
      <w:hyperlink r:id="rId188" w:history="1">
        <w:r w:rsidRPr="00F0379B">
          <w:rPr>
            <w:rFonts w:ascii="Cambria" w:eastAsia="MS Gothic" w:hAnsi="Cambria" w:cs="Times New Roman"/>
            <w:color w:val="0563C1"/>
            <w:sz w:val="20"/>
            <w:szCs w:val="24"/>
            <w:lang w:eastAsia="fr-FR" w:bidi="fr-FR"/>
          </w:rPr>
          <w:t>sofie.munch.ellingsen@nfd.dep.no</w:t>
        </w:r>
      </w:hyperlink>
      <w:r w:rsidRPr="00F0379B">
        <w:rPr>
          <w:rFonts w:ascii="Cambria" w:eastAsia="MS Gothic" w:hAnsi="Cambria" w:cs="Times New Roman"/>
          <w:color w:val="000000"/>
          <w:sz w:val="20"/>
          <w:szCs w:val="24"/>
          <w:lang w:eastAsia="fr-FR" w:bidi="fr-FR"/>
        </w:rPr>
        <w:t>);</w:t>
      </w:r>
    </w:p>
    <w:p w14:paraId="61913B0E" w14:textId="77777777" w:rsidR="009123AC" w:rsidRPr="00F0379B" w:rsidRDefault="009123AC" w:rsidP="00CE0EC8">
      <w:pPr>
        <w:widowControl w:val="0"/>
        <w:numPr>
          <w:ilvl w:val="0"/>
          <w:numId w:val="59"/>
        </w:numPr>
        <w:spacing w:after="0" w:line="240" w:lineRule="auto"/>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 xml:space="preserve">Rune Baug Mjørlund, asesor sénior en la Dirección de pesca </w:t>
      </w:r>
      <w:r w:rsidRPr="00F0379B">
        <w:rPr>
          <w:rFonts w:ascii="Cambria" w:eastAsia="MS Gothic" w:hAnsi="Cambria" w:cs="Times New Roman"/>
          <w:color w:val="000000"/>
          <w:sz w:val="20"/>
          <w:szCs w:val="20"/>
          <w:lang w:eastAsia="fr-FR" w:bidi="fr-FR"/>
        </w:rPr>
        <w:t>(</w:t>
      </w:r>
      <w:hyperlink r:id="rId189" w:history="1">
        <w:r w:rsidRPr="00F0379B">
          <w:rPr>
            <w:rFonts w:ascii="Cambria" w:eastAsia="MS Gothic" w:hAnsi="Cambria" w:cs="Times New Roman"/>
            <w:color w:val="0563C1"/>
            <w:sz w:val="20"/>
            <w:szCs w:val="20"/>
            <w:lang w:eastAsia="fr-FR" w:bidi="fr-FR"/>
          </w:rPr>
          <w:t>rune.mjorlund@fiskeridir.no</w:t>
        </w:r>
      </w:hyperlink>
      <w:r w:rsidRPr="00F0379B">
        <w:rPr>
          <w:rFonts w:ascii="Cambria" w:eastAsia="MS Gothic" w:hAnsi="Cambria" w:cs="Times New Roman"/>
          <w:color w:val="000000"/>
          <w:sz w:val="20"/>
          <w:szCs w:val="20"/>
          <w:lang w:eastAsia="fr-FR" w:bidi="fr-FR"/>
        </w:rPr>
        <w:t>);</w:t>
      </w:r>
    </w:p>
    <w:p w14:paraId="1B9366F3" w14:textId="77777777" w:rsidR="009123AC" w:rsidRPr="00F0379B" w:rsidRDefault="009123AC" w:rsidP="00CE0EC8">
      <w:pPr>
        <w:widowControl w:val="0"/>
        <w:numPr>
          <w:ilvl w:val="0"/>
          <w:numId w:val="59"/>
        </w:numPr>
        <w:spacing w:after="0" w:line="240" w:lineRule="auto"/>
        <w:contextualSpacing/>
        <w:jc w:val="both"/>
        <w:rPr>
          <w:rFonts w:ascii="Cambria" w:eastAsia="MS Gothic" w:hAnsi="Cambria" w:cs="Times New Roman"/>
          <w:color w:val="000000"/>
          <w:sz w:val="20"/>
          <w:szCs w:val="24"/>
          <w:lang w:eastAsia="fr-FR" w:bidi="fr-FR"/>
        </w:rPr>
      </w:pPr>
      <w:r w:rsidRPr="00F0379B">
        <w:rPr>
          <w:rFonts w:ascii="Cambria" w:eastAsia="MS Gothic" w:hAnsi="Cambria" w:cs="Times New Roman"/>
          <w:color w:val="000000"/>
          <w:sz w:val="20"/>
          <w:szCs w:val="24"/>
          <w:lang w:eastAsia="fr-FR" w:bidi="fr-FR"/>
        </w:rPr>
        <w:t>Victor Fuglaas Holte-Nilssen, asesor en la Dirección de pesca (</w:t>
      </w:r>
      <w:hyperlink r:id="rId190" w:history="1">
        <w:r w:rsidRPr="00F0379B">
          <w:rPr>
            <w:rFonts w:ascii="Cambria" w:eastAsia="MS Gothic" w:hAnsi="Cambria" w:cs="Times New Roman"/>
            <w:color w:val="0563C1"/>
            <w:sz w:val="20"/>
            <w:szCs w:val="24"/>
            <w:lang w:eastAsia="fr-FR" w:bidi="fr-FR"/>
          </w:rPr>
          <w:t>vihni@fiskeridir.no</w:t>
        </w:r>
      </w:hyperlink>
      <w:r w:rsidRPr="00F0379B">
        <w:rPr>
          <w:rFonts w:ascii="Cambria" w:eastAsia="MS Gothic" w:hAnsi="Cambria" w:cs="Times New Roman"/>
          <w:color w:val="000000"/>
          <w:sz w:val="20"/>
          <w:szCs w:val="24"/>
          <w:lang w:eastAsia="fr-FR" w:bidi="fr-FR"/>
        </w:rPr>
        <w:t>).</w:t>
      </w:r>
    </w:p>
    <w:p w14:paraId="00E12A1C"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p w14:paraId="59191FA1" w14:textId="77777777" w:rsidR="009123AC" w:rsidRPr="00F0379B" w:rsidRDefault="009123AC" w:rsidP="009123AC">
      <w:pPr>
        <w:widowControl w:val="0"/>
        <w:tabs>
          <w:tab w:val="left" w:pos="426"/>
        </w:tabs>
        <w:spacing w:after="0" w:line="240" w:lineRule="auto"/>
        <w:rPr>
          <w:rFonts w:ascii="Cambria" w:eastAsia="MS Gothic" w:hAnsi="Cambria" w:cs="Times New Roman"/>
          <w:b/>
          <w:i/>
          <w:iCs/>
          <w:sz w:val="20"/>
          <w:szCs w:val="20"/>
          <w:lang w:eastAsia="fr-FR" w:bidi="fr-FR"/>
        </w:rPr>
      </w:pPr>
      <w:r w:rsidRPr="00F0379B">
        <w:rPr>
          <w:rFonts w:ascii="Cambria" w:eastAsia="MS Gothic" w:hAnsi="Cambria" w:cs="Times New Roman"/>
          <w:b/>
          <w:i/>
          <w:iCs/>
          <w:sz w:val="20"/>
          <w:szCs w:val="24"/>
          <w:lang w:eastAsia="fr-FR" w:bidi="fr-FR"/>
        </w:rPr>
        <w:t>5 b)</w:t>
      </w:r>
      <w:r w:rsidRPr="00F0379B">
        <w:rPr>
          <w:rFonts w:ascii="Cambria" w:eastAsia="MS Gothic" w:hAnsi="Cambria" w:cs="Times New Roman"/>
          <w:b/>
          <w:i/>
          <w:iCs/>
          <w:sz w:val="20"/>
          <w:szCs w:val="24"/>
          <w:lang w:eastAsia="fr-FR" w:bidi="fr-FR"/>
        </w:rPr>
        <w:tab/>
        <w:t>Programa conjunto de Inspección internacional (párrs. 232-235)</w:t>
      </w:r>
    </w:p>
    <w:p w14:paraId="33DF4AD1"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18460560"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No aplicable. Noruega no participa en ninguna inspección internacional de conformidad con los párrafos 232-235 de la Rec. 25-04 y el Anexo 7. Los buques pesqueros noruegos que participan en la pesquería de atún rojo solo pueden pescar dentro de la jurisdicción pesquera noruega. </w:t>
      </w:r>
    </w:p>
    <w:p w14:paraId="5148F85C"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776CBC02"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217589B8" w14:textId="77777777" w:rsidR="009123AC" w:rsidRPr="00F0379B" w:rsidRDefault="009123AC" w:rsidP="00CE0EC8">
      <w:pPr>
        <w:widowControl w:val="0"/>
        <w:numPr>
          <w:ilvl w:val="0"/>
          <w:numId w:val="95"/>
        </w:numPr>
        <w:spacing w:after="0" w:line="240" w:lineRule="auto"/>
        <w:ind w:left="426" w:hanging="426"/>
        <w:contextualSpacing/>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0"/>
          <w:lang w:eastAsia="fr-FR" w:bidi="fr-FR"/>
        </w:rPr>
        <w:t>Otros</w:t>
      </w:r>
    </w:p>
    <w:p w14:paraId="35312E63"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3ACD5DF0" w14:textId="77777777" w:rsidR="009123AC" w:rsidRPr="00F0379B" w:rsidRDefault="009123AC" w:rsidP="009123AC">
      <w:pPr>
        <w:widowControl w:val="0"/>
        <w:spacing w:after="0" w:line="240" w:lineRule="auto"/>
        <w:jc w:val="both"/>
        <w:rPr>
          <w:rFonts w:ascii="Cambria" w:eastAsia="Calibri" w:hAnsi="Cambria" w:cs="Times New Roman"/>
          <w:color w:val="000000"/>
          <w:sz w:val="20"/>
          <w:lang w:val="es-AR"/>
        </w:rPr>
      </w:pPr>
      <w:r w:rsidRPr="00F0379B">
        <w:rPr>
          <w:rFonts w:ascii="Cambria" w:eastAsia="MS Gothic" w:hAnsi="Cambria" w:cs="Times New Roman"/>
          <w:color w:val="000000"/>
          <w:sz w:val="20"/>
          <w:szCs w:val="20"/>
          <w:lang w:eastAsia="fr-FR" w:bidi="fr-FR"/>
        </w:rPr>
        <w:t>En el otoño de 2026, Noruega continuará con el proyecto piloto de almacenamiento de atún rojo vivo de corta duración. Se han asignado 30 t de nuestra cuota para este fin. </w:t>
      </w:r>
      <w:r w:rsidRPr="00F0379B">
        <w:rPr>
          <w:rFonts w:ascii="Cambria" w:eastAsia="Calibri" w:hAnsi="Cambria" w:cs="Times New Roman"/>
          <w:color w:val="000000"/>
          <w:sz w:val="20"/>
          <w:lang w:val="es-AR"/>
        </w:rPr>
        <w:t xml:space="preserve">La cuota se asignará a un único buque. Toda la actividad realizada en relación con el estudio piloto gozará de una cobertura de control total, ya que tanto inspectores de la Dirección General de Pesca como personal del Instituto de Investigaciones Marinas estarán a bordo del buque en todo momento. </w:t>
      </w:r>
    </w:p>
    <w:p w14:paraId="73998F16" w14:textId="77777777" w:rsidR="009123AC" w:rsidRPr="00F0379B" w:rsidRDefault="009123AC" w:rsidP="009123AC">
      <w:pPr>
        <w:widowControl w:val="0"/>
        <w:spacing w:after="0" w:line="240" w:lineRule="auto"/>
        <w:jc w:val="both"/>
        <w:rPr>
          <w:rFonts w:ascii="Cambria" w:eastAsia="Calibri" w:hAnsi="Cambria" w:cs="Times New Roman"/>
          <w:color w:val="000000"/>
          <w:sz w:val="20"/>
          <w:lang w:val="es-AR"/>
        </w:rPr>
      </w:pPr>
    </w:p>
    <w:p w14:paraId="65132318" w14:textId="6B078F8C" w:rsidR="009123AC" w:rsidRPr="00F0379B" w:rsidRDefault="009123AC" w:rsidP="009123AC">
      <w:pPr>
        <w:spacing w:after="0" w:line="240" w:lineRule="auto"/>
        <w:jc w:val="both"/>
        <w:rPr>
          <w:rFonts w:ascii="Cambria" w:eastAsia="Times New Roman" w:hAnsi="Cambria" w:cs="Calibri"/>
          <w:sz w:val="20"/>
          <w:szCs w:val="20"/>
        </w:rPr>
      </w:pPr>
      <w:r w:rsidRPr="00F0379B">
        <w:rPr>
          <w:rFonts w:ascii="Cambria" w:eastAsia="Calibri" w:hAnsi="Cambria" w:cs="Times New Roman"/>
          <w:color w:val="000000"/>
          <w:sz w:val="20"/>
          <w:szCs w:val="20"/>
        </w:rPr>
        <w:t xml:space="preserve">De conformidad con los párrafos 211-218 de la Rec. 25-04 el requisito de controles aleatorios recogido en el párrafo 16 del Apéndice 1 de la Res. 25-03, confirma que al menos el 10 % del número de jaulas utilizadas deberán ser sometidas a controles aleatorios. </w:t>
      </w:r>
      <w:r w:rsidRPr="00F0379B">
        <w:rPr>
          <w:rFonts w:ascii="Cambria" w:eastAsia="Calibri" w:hAnsi="Cambria" w:cs="Times New Roman"/>
          <w:sz w:val="20"/>
          <w:szCs w:val="20"/>
        </w:rPr>
        <w:t xml:space="preserve">Podemos asegurar que si el proyecto piloto de 2026 tiene éxito en la captura de atún rojo, las jaulas estarán bajo la estrecha supervisión de la Dirección general de pesca, y posiblemente también de la autoridad noruega de seguridad alimentaria, naturalmente, se cumplirá el requisito del control aleatorio. </w:t>
      </w:r>
    </w:p>
    <w:p w14:paraId="2A364356" w14:textId="77777777" w:rsidR="009123AC" w:rsidRPr="00F0379B" w:rsidRDefault="009123AC" w:rsidP="009123AC">
      <w:pPr>
        <w:spacing w:after="0" w:line="240" w:lineRule="auto"/>
        <w:jc w:val="both"/>
        <w:rPr>
          <w:rFonts w:ascii="Cambria" w:eastAsia="Times New Roman" w:hAnsi="Cambria" w:cs="Calibri"/>
          <w:sz w:val="20"/>
          <w:szCs w:val="20"/>
        </w:rPr>
      </w:pPr>
    </w:p>
    <w:p w14:paraId="7EC1F821" w14:textId="77777777" w:rsidR="009123AC" w:rsidRPr="00F0379B" w:rsidRDefault="009123AC" w:rsidP="009123AC">
      <w:pPr>
        <w:spacing w:after="0" w:line="259" w:lineRule="auto"/>
        <w:jc w:val="both"/>
        <w:rPr>
          <w:rFonts w:ascii="Cambria" w:eastAsia="Calibri" w:hAnsi="Cambria" w:cs="Times New Roman"/>
          <w:sz w:val="20"/>
          <w:szCs w:val="20"/>
        </w:rPr>
      </w:pPr>
      <w:r w:rsidRPr="00F0379B">
        <w:rPr>
          <w:rFonts w:ascii="Cambria" w:eastAsia="Calibri" w:hAnsi="Cambria" w:cs="Times New Roman"/>
          <w:sz w:val="20"/>
          <w:szCs w:val="20"/>
        </w:rPr>
        <w:t xml:space="preserve">Noruega velará por que el proyecto se lleve a cabo de conformidad con la Res. </w:t>
      </w:r>
      <w:r w:rsidRPr="00F0379B">
        <w:rPr>
          <w:rFonts w:ascii="Cambria" w:eastAsia="Calibri" w:hAnsi="Cambria" w:cs="Times New Roman"/>
          <w:color w:val="000000"/>
          <w:sz w:val="20"/>
          <w:szCs w:val="20"/>
        </w:rPr>
        <w:t>25-03</w:t>
      </w:r>
      <w:r w:rsidRPr="00F0379B">
        <w:rPr>
          <w:rFonts w:ascii="Cambria" w:eastAsia="Calibri" w:hAnsi="Cambria" w:cs="Times New Roman"/>
          <w:sz w:val="20"/>
          <w:szCs w:val="20"/>
        </w:rPr>
        <w:t>. El buque tendrá una cobertura de observadores del 100 % del Programa regional de observadores de ICCAT. Este observador podrá supervisar las transferencias de la red de cerco a la jaula de transporte. La captura de atún rojo, así como las operaciones de transferencia y almacenamiento, serán objeto de un estrecho seguimiento, y los atunes rojos muertos o moribundos serán retirados del cerco/jaula de transferencia/de almacenamiento, llevados a tierra y deducidos de la cuota del buque. Además de la presencia de un observador del ROP en todas las fases de la operación, la CPC informará a ICCAT en su informe anual sobre los resultados del almacenamiento de atún rojo vivo de corta duración.</w:t>
      </w:r>
    </w:p>
    <w:p w14:paraId="72590B89" w14:textId="77777777" w:rsidR="009123AC" w:rsidRPr="00F0379B" w:rsidRDefault="009123AC" w:rsidP="009123AC">
      <w:pPr>
        <w:spacing w:after="0" w:line="259" w:lineRule="auto"/>
        <w:jc w:val="both"/>
        <w:rPr>
          <w:rFonts w:ascii="Cambria" w:eastAsia="Calibri" w:hAnsi="Cambria" w:cs="Times New Roman"/>
          <w:sz w:val="20"/>
          <w:szCs w:val="20"/>
        </w:rPr>
      </w:pPr>
    </w:p>
    <w:p w14:paraId="5D1C8938" w14:textId="77777777" w:rsidR="009123AC" w:rsidRPr="00F0379B" w:rsidRDefault="009123AC" w:rsidP="009123AC">
      <w:pPr>
        <w:spacing w:after="0" w:line="259" w:lineRule="auto"/>
        <w:jc w:val="both"/>
        <w:rPr>
          <w:rFonts w:ascii="Cambria" w:eastAsia="Calibri" w:hAnsi="Cambria" w:cs="Times New Roman"/>
          <w:sz w:val="20"/>
          <w:szCs w:val="20"/>
        </w:rPr>
      </w:pPr>
      <w:r w:rsidRPr="00F0379B">
        <w:rPr>
          <w:rFonts w:ascii="Cambria" w:eastAsia="Calibri" w:hAnsi="Cambria" w:cs="Times New Roman"/>
          <w:sz w:val="20"/>
          <w:szCs w:val="20"/>
        </w:rPr>
        <w:t xml:space="preserve">Hemos explorado con éxito el uso de cámaras durante las operaciones de transporte. Seguiremos perfeccionando el uso de las cámaras, realizando algunos ajustes para que el seguimiento con cámaras pueda optimizarse en relación con las condiciones noruegas, al tiempo que se cumplen los requisitos de la Res. </w:t>
      </w:r>
      <w:r w:rsidRPr="00F0379B">
        <w:rPr>
          <w:rFonts w:ascii="Cambria" w:eastAsia="Calibri" w:hAnsi="Cambria" w:cs="Times New Roman"/>
          <w:color w:val="000000"/>
          <w:sz w:val="20"/>
          <w:szCs w:val="20"/>
        </w:rPr>
        <w:t>25-03</w:t>
      </w:r>
      <w:r w:rsidRPr="00F0379B">
        <w:rPr>
          <w:rFonts w:ascii="Cambria" w:eastAsia="Calibri" w:hAnsi="Cambria" w:cs="Times New Roman"/>
          <w:sz w:val="20"/>
          <w:szCs w:val="20"/>
        </w:rPr>
        <w:t xml:space="preserve">. </w:t>
      </w:r>
    </w:p>
    <w:p w14:paraId="2AC90C53" w14:textId="77777777" w:rsidR="009123AC" w:rsidRPr="00F0379B" w:rsidRDefault="009123AC" w:rsidP="009123AC">
      <w:pPr>
        <w:spacing w:after="0" w:line="259" w:lineRule="auto"/>
        <w:jc w:val="both"/>
        <w:rPr>
          <w:rFonts w:ascii="Cambria" w:eastAsia="Calibri" w:hAnsi="Cambria" w:cs="Times New Roman"/>
          <w:sz w:val="20"/>
          <w:szCs w:val="20"/>
        </w:rPr>
      </w:pPr>
    </w:p>
    <w:p w14:paraId="7DEAA3F7" w14:textId="77777777" w:rsidR="009123AC" w:rsidRPr="00F0379B" w:rsidRDefault="009123AC" w:rsidP="009123AC">
      <w:pPr>
        <w:widowControl w:val="0"/>
        <w:spacing w:after="0" w:line="240" w:lineRule="auto"/>
        <w:jc w:val="both"/>
        <w:rPr>
          <w:rFonts w:ascii="Cambria" w:eastAsia="Times New Roman" w:hAnsi="Cambria" w:cs="Times New Roman"/>
          <w:color w:val="000000"/>
          <w:sz w:val="20"/>
          <w:szCs w:val="20"/>
          <w:lang w:eastAsia="fr-FR" w:bidi="fr-FR"/>
        </w:rPr>
      </w:pPr>
      <w:r w:rsidRPr="00F0379B">
        <w:rPr>
          <w:rFonts w:ascii="Cambria" w:eastAsia="Calibri" w:hAnsi="Cambria" w:cs="Times New Roman"/>
          <w:sz w:val="20"/>
          <w:szCs w:val="20"/>
        </w:rPr>
        <w:t xml:space="preserve">Noruega no permitirá el comercio de atún rojo sin un eBCD, siguiendo así las disposiciones de la Rec. 23-21. Cuando el atún rojo esté listo para ser extraído de la jaula de almacenamiento, incorporaremos la captura en el sistema eBCD, y utilizaremos la sección de introducción en jaula del sistema para emitir y validar un certificado electrónico de captura tal y como se describe </w:t>
      </w:r>
      <w:r w:rsidRPr="00F0379B">
        <w:rPr>
          <w:rFonts w:ascii="Cambria" w:eastAsia="Times New Roman" w:hAnsi="Cambria" w:cs="Times New Roman"/>
          <w:color w:val="000000"/>
          <w:sz w:val="20"/>
          <w:szCs w:val="20"/>
          <w:lang w:eastAsia="fr-FR" w:bidi="fr-FR"/>
        </w:rPr>
        <w:t>en el documento de trabajo sobre la aplicación de la documentación electrónica de capturas de atún rojo (eBCD) en el proyecto piloto para el almacenamiento de atún rojo vivo de corta duración en la 16ª Reunión del Grupo de Trabajo sobre medidas de seguimiento integradas (IMM) en 2023.</w:t>
      </w:r>
    </w:p>
    <w:p w14:paraId="2DA13670" w14:textId="77777777" w:rsidR="009123AC" w:rsidRPr="00F0379B" w:rsidRDefault="009123AC" w:rsidP="009123AC">
      <w:pPr>
        <w:spacing w:after="0" w:line="259" w:lineRule="auto"/>
        <w:jc w:val="both"/>
        <w:rPr>
          <w:rFonts w:ascii="Cambria" w:eastAsia="MS Gothic" w:hAnsi="Cambria" w:cs="Times New Roman"/>
          <w:i/>
          <w:strike/>
          <w:sz w:val="20"/>
          <w:szCs w:val="20"/>
          <w:lang w:eastAsia="fr-FR" w:bidi="fr-FR"/>
        </w:rPr>
      </w:pPr>
    </w:p>
    <w:p w14:paraId="1CB23C55"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sectPr w:rsidR="009123AC" w:rsidRPr="00F0379B" w:rsidSect="009123AC">
          <w:pgSz w:w="11906" w:h="16838" w:code="9"/>
          <w:pgMar w:top="1418" w:right="1418" w:bottom="1418" w:left="1418" w:header="851" w:footer="1134" w:gutter="0"/>
          <w:cols w:space="425"/>
          <w:docGrid w:linePitch="360"/>
        </w:sectPr>
      </w:pPr>
    </w:p>
    <w:p w14:paraId="7CC153F4" w14:textId="77777777" w:rsidR="009123AC" w:rsidRPr="00F0379B" w:rsidRDefault="009123AC" w:rsidP="009123AC">
      <w:pPr>
        <w:spacing w:after="0" w:line="240" w:lineRule="auto"/>
        <w:rPr>
          <w:rFonts w:ascii="Cambria" w:eastAsia="MS Gothic" w:hAnsi="Cambria" w:cs="Times New Roman"/>
          <w:b/>
          <w:bCs/>
          <w:iCs/>
          <w:sz w:val="20"/>
          <w:szCs w:val="20"/>
        </w:rPr>
      </w:pPr>
      <w:r w:rsidRPr="00F0379B">
        <w:rPr>
          <w:rFonts w:ascii="Cambria" w:eastAsia="Aptos" w:hAnsi="Cambria" w:cs="Times New Roman"/>
          <w:b/>
          <w:bCs/>
          <w:iCs/>
          <w:kern w:val="2"/>
          <w:sz w:val="20"/>
          <w:szCs w:val="20"/>
          <w14:ligatures w14:val="standardContextual"/>
        </w:rPr>
        <w:t>Tabla de capacidad</w:t>
      </w:r>
    </w:p>
    <w:tbl>
      <w:tblPr>
        <w:tblW w:w="14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5"/>
        <w:gridCol w:w="2563"/>
        <w:gridCol w:w="571"/>
        <w:gridCol w:w="571"/>
        <w:gridCol w:w="571"/>
        <w:gridCol w:w="571"/>
        <w:gridCol w:w="571"/>
        <w:gridCol w:w="571"/>
        <w:gridCol w:w="571"/>
        <w:gridCol w:w="252"/>
        <w:gridCol w:w="571"/>
        <w:gridCol w:w="571"/>
        <w:gridCol w:w="694"/>
        <w:gridCol w:w="727"/>
        <w:gridCol w:w="633"/>
        <w:gridCol w:w="633"/>
        <w:gridCol w:w="787"/>
      </w:tblGrid>
      <w:tr w:rsidR="009123AC" w:rsidRPr="00F0379B" w14:paraId="6487E3FE" w14:textId="77777777" w:rsidTr="00CA749B">
        <w:trPr>
          <w:trHeight w:val="23"/>
        </w:trPr>
        <w:tc>
          <w:tcPr>
            <w:tcW w:w="3625" w:type="dxa"/>
            <w:noWrap/>
            <w:vAlign w:val="center"/>
            <w:hideMark/>
          </w:tcPr>
          <w:p w14:paraId="1FBEB7FF" w14:textId="77777777" w:rsidR="009123AC" w:rsidRPr="00F0379B" w:rsidRDefault="009123AC" w:rsidP="009123AC">
            <w:pPr>
              <w:keepNext/>
              <w:spacing w:after="0" w:line="240" w:lineRule="auto"/>
              <w:jc w:val="center"/>
              <w:outlineLvl w:val="1"/>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Tipo de buque atunero</w:t>
            </w:r>
          </w:p>
        </w:tc>
        <w:tc>
          <w:tcPr>
            <w:tcW w:w="2563" w:type="dxa"/>
            <w:noWrap/>
            <w:vAlign w:val="center"/>
            <w:hideMark/>
          </w:tcPr>
          <w:p w14:paraId="72A56AF4"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0" w:type="auto"/>
            <w:gridSpan w:val="3"/>
          </w:tcPr>
          <w:p w14:paraId="4F05111E" w14:textId="77777777" w:rsidR="009123AC" w:rsidRPr="00F0379B" w:rsidRDefault="009123AC" w:rsidP="009123AC">
            <w:pPr>
              <w:spacing w:after="0" w:line="240" w:lineRule="auto"/>
              <w:jc w:val="center"/>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Años de referencia</w:t>
            </w:r>
          </w:p>
        </w:tc>
        <w:tc>
          <w:tcPr>
            <w:tcW w:w="0" w:type="auto"/>
            <w:gridSpan w:val="4"/>
            <w:vAlign w:val="center"/>
          </w:tcPr>
          <w:p w14:paraId="106E9D1E" w14:textId="77777777" w:rsidR="009123AC" w:rsidRPr="00F0379B" w:rsidRDefault="009123AC" w:rsidP="009123AC">
            <w:pPr>
              <w:spacing w:after="0" w:line="240" w:lineRule="auto"/>
              <w:jc w:val="center"/>
              <w:rPr>
                <w:rFonts w:ascii="Cambria" w:eastAsia="Times New Roman" w:hAnsi="Cambria" w:cs="Times New Roman"/>
                <w:sz w:val="16"/>
                <w:szCs w:val="16"/>
                <w:lang w:eastAsia="fr-FR" w:bidi="fr-FR"/>
              </w:rPr>
            </w:pPr>
            <w:r w:rsidRPr="00F0379B">
              <w:rPr>
                <w:rFonts w:ascii="Cambria" w:eastAsia="MS Gothic" w:hAnsi="Cambria" w:cs="Times New Roman"/>
                <w:i/>
                <w:sz w:val="16"/>
                <w:szCs w:val="16"/>
                <w:lang w:eastAsia="fr-FR" w:bidi="fr-FR"/>
              </w:rPr>
              <w:t>N.º de buques</w:t>
            </w:r>
          </w:p>
        </w:tc>
        <w:tc>
          <w:tcPr>
            <w:tcW w:w="0" w:type="auto"/>
            <w:shd w:val="clear" w:color="auto" w:fill="D9D9D9"/>
            <w:vAlign w:val="center"/>
            <w:hideMark/>
          </w:tcPr>
          <w:p w14:paraId="7E8E4CFB" w14:textId="77777777" w:rsidR="009123AC" w:rsidRPr="00F0379B" w:rsidRDefault="009123AC" w:rsidP="009123AC">
            <w:pPr>
              <w:spacing w:after="0" w:line="240" w:lineRule="auto"/>
              <w:jc w:val="center"/>
              <w:rPr>
                <w:rFonts w:ascii="Cambria" w:eastAsia="Times New Roman" w:hAnsi="Cambria" w:cs="Times New Roman"/>
                <w:sz w:val="16"/>
                <w:szCs w:val="16"/>
                <w:lang w:val="en-US" w:eastAsia="ja-JP"/>
              </w:rPr>
            </w:pPr>
          </w:p>
        </w:tc>
        <w:tc>
          <w:tcPr>
            <w:tcW w:w="0" w:type="auto"/>
            <w:gridSpan w:val="3"/>
          </w:tcPr>
          <w:p w14:paraId="342C2528" w14:textId="77777777" w:rsidR="009123AC" w:rsidRPr="00F0379B" w:rsidRDefault="009123AC" w:rsidP="009123AC">
            <w:pPr>
              <w:spacing w:after="0" w:line="240" w:lineRule="auto"/>
              <w:jc w:val="center"/>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Años de referencia</w:t>
            </w:r>
          </w:p>
        </w:tc>
        <w:tc>
          <w:tcPr>
            <w:tcW w:w="0" w:type="auto"/>
            <w:gridSpan w:val="4"/>
          </w:tcPr>
          <w:p w14:paraId="1C9A3FA2" w14:textId="77777777" w:rsidR="009123AC" w:rsidRPr="00F0379B" w:rsidRDefault="009123AC" w:rsidP="009123AC">
            <w:pPr>
              <w:spacing w:after="0" w:line="240" w:lineRule="auto"/>
              <w:jc w:val="center"/>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Capacidad de pesca</w:t>
            </w:r>
          </w:p>
        </w:tc>
      </w:tr>
      <w:tr w:rsidR="009123AC" w:rsidRPr="00F0379B" w14:paraId="6C51F979" w14:textId="77777777" w:rsidTr="00CA749B">
        <w:trPr>
          <w:trHeight w:val="23"/>
        </w:trPr>
        <w:tc>
          <w:tcPr>
            <w:tcW w:w="3625" w:type="dxa"/>
            <w:tcBorders>
              <w:bottom w:val="single" w:sz="12" w:space="0" w:color="000000"/>
            </w:tcBorders>
            <w:noWrap/>
            <w:vAlign w:val="center"/>
            <w:hideMark/>
          </w:tcPr>
          <w:p w14:paraId="4C4285AD"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Tipo</w:t>
            </w:r>
          </w:p>
        </w:tc>
        <w:tc>
          <w:tcPr>
            <w:tcW w:w="2563" w:type="dxa"/>
            <w:tcBorders>
              <w:bottom w:val="single" w:sz="12" w:space="0" w:color="000000"/>
            </w:tcBorders>
            <w:vAlign w:val="center"/>
            <w:hideMark/>
          </w:tcPr>
          <w:p w14:paraId="2F0F2819"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Mejores tasas de captura definidas por el SCRS en 2009 (t)</w:t>
            </w:r>
          </w:p>
        </w:tc>
        <w:tc>
          <w:tcPr>
            <w:tcW w:w="0" w:type="auto"/>
            <w:tcBorders>
              <w:bottom w:val="single" w:sz="12" w:space="0" w:color="000000"/>
            </w:tcBorders>
            <w:vAlign w:val="center"/>
          </w:tcPr>
          <w:p w14:paraId="73821049"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2006</w:t>
            </w:r>
          </w:p>
        </w:tc>
        <w:tc>
          <w:tcPr>
            <w:tcW w:w="0" w:type="auto"/>
            <w:tcBorders>
              <w:bottom w:val="single" w:sz="12" w:space="0" w:color="000000"/>
            </w:tcBorders>
            <w:noWrap/>
            <w:vAlign w:val="center"/>
            <w:hideMark/>
          </w:tcPr>
          <w:p w14:paraId="5FB7AC1D"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2008</w:t>
            </w:r>
          </w:p>
        </w:tc>
        <w:tc>
          <w:tcPr>
            <w:tcW w:w="0" w:type="auto"/>
            <w:tcBorders>
              <w:bottom w:val="single" w:sz="12" w:space="0" w:color="000000"/>
            </w:tcBorders>
            <w:vAlign w:val="center"/>
            <w:hideMark/>
          </w:tcPr>
          <w:p w14:paraId="2452CE72"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2018</w:t>
            </w:r>
          </w:p>
        </w:tc>
        <w:tc>
          <w:tcPr>
            <w:tcW w:w="0" w:type="auto"/>
            <w:tcBorders>
              <w:bottom w:val="single" w:sz="12" w:space="0" w:color="000000"/>
            </w:tcBorders>
            <w:vAlign w:val="center"/>
            <w:hideMark/>
          </w:tcPr>
          <w:p w14:paraId="17C6B333"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2023</w:t>
            </w:r>
          </w:p>
        </w:tc>
        <w:tc>
          <w:tcPr>
            <w:tcW w:w="0" w:type="auto"/>
            <w:tcBorders>
              <w:bottom w:val="single" w:sz="12" w:space="0" w:color="000000"/>
            </w:tcBorders>
            <w:vAlign w:val="center"/>
            <w:hideMark/>
          </w:tcPr>
          <w:p w14:paraId="3CD55F74"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2024</w:t>
            </w:r>
          </w:p>
        </w:tc>
        <w:tc>
          <w:tcPr>
            <w:tcW w:w="0" w:type="auto"/>
            <w:tcBorders>
              <w:bottom w:val="single" w:sz="12" w:space="0" w:color="000000"/>
            </w:tcBorders>
            <w:vAlign w:val="center"/>
          </w:tcPr>
          <w:p w14:paraId="60BBBA42"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2025</w:t>
            </w:r>
          </w:p>
        </w:tc>
        <w:tc>
          <w:tcPr>
            <w:tcW w:w="0" w:type="auto"/>
            <w:tcBorders>
              <w:bottom w:val="single" w:sz="12" w:space="0" w:color="000000"/>
            </w:tcBorders>
            <w:vAlign w:val="center"/>
          </w:tcPr>
          <w:p w14:paraId="1CE55D01"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2026</w:t>
            </w:r>
          </w:p>
        </w:tc>
        <w:tc>
          <w:tcPr>
            <w:tcW w:w="0" w:type="auto"/>
            <w:tcBorders>
              <w:bottom w:val="single" w:sz="12" w:space="0" w:color="000000"/>
            </w:tcBorders>
            <w:shd w:val="clear" w:color="000000" w:fill="D9D9D9"/>
            <w:vAlign w:val="center"/>
            <w:hideMark/>
          </w:tcPr>
          <w:p w14:paraId="262DBFD7"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0" w:type="auto"/>
            <w:tcBorders>
              <w:bottom w:val="single" w:sz="12" w:space="0" w:color="000000"/>
            </w:tcBorders>
            <w:vAlign w:val="center"/>
          </w:tcPr>
          <w:p w14:paraId="442551BA"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2006</w:t>
            </w:r>
          </w:p>
        </w:tc>
        <w:tc>
          <w:tcPr>
            <w:tcW w:w="0" w:type="auto"/>
            <w:tcBorders>
              <w:bottom w:val="single" w:sz="12" w:space="0" w:color="000000"/>
            </w:tcBorders>
            <w:vAlign w:val="center"/>
            <w:hideMark/>
          </w:tcPr>
          <w:p w14:paraId="66BD365E"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2008</w:t>
            </w:r>
          </w:p>
        </w:tc>
        <w:tc>
          <w:tcPr>
            <w:tcW w:w="0" w:type="auto"/>
            <w:tcBorders>
              <w:bottom w:val="single" w:sz="12" w:space="0" w:color="000000"/>
            </w:tcBorders>
            <w:vAlign w:val="center"/>
            <w:hideMark/>
          </w:tcPr>
          <w:p w14:paraId="03DBA046"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2018</w:t>
            </w:r>
          </w:p>
        </w:tc>
        <w:tc>
          <w:tcPr>
            <w:tcW w:w="0" w:type="auto"/>
            <w:tcBorders>
              <w:bottom w:val="single" w:sz="12" w:space="0" w:color="000000"/>
            </w:tcBorders>
            <w:vAlign w:val="center"/>
            <w:hideMark/>
          </w:tcPr>
          <w:p w14:paraId="1BA05507"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2023</w:t>
            </w:r>
          </w:p>
        </w:tc>
        <w:tc>
          <w:tcPr>
            <w:tcW w:w="0" w:type="auto"/>
            <w:tcBorders>
              <w:bottom w:val="single" w:sz="12" w:space="0" w:color="000000"/>
            </w:tcBorders>
            <w:vAlign w:val="center"/>
            <w:hideMark/>
          </w:tcPr>
          <w:p w14:paraId="70EABED6"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2024</w:t>
            </w:r>
          </w:p>
        </w:tc>
        <w:tc>
          <w:tcPr>
            <w:tcW w:w="0" w:type="auto"/>
            <w:tcBorders>
              <w:bottom w:val="single" w:sz="12" w:space="0" w:color="000000"/>
            </w:tcBorders>
            <w:vAlign w:val="center"/>
            <w:hideMark/>
          </w:tcPr>
          <w:p w14:paraId="78A81B03"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2025</w:t>
            </w:r>
          </w:p>
        </w:tc>
        <w:tc>
          <w:tcPr>
            <w:tcW w:w="0" w:type="auto"/>
            <w:tcBorders>
              <w:bottom w:val="single" w:sz="12" w:space="0" w:color="000000"/>
            </w:tcBorders>
            <w:vAlign w:val="center"/>
          </w:tcPr>
          <w:p w14:paraId="64214B48"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2026</w:t>
            </w:r>
          </w:p>
        </w:tc>
      </w:tr>
      <w:tr w:rsidR="009123AC" w:rsidRPr="00F0379B" w14:paraId="2540ED80" w14:textId="77777777" w:rsidTr="00CA749B">
        <w:trPr>
          <w:trHeight w:val="247"/>
        </w:trPr>
        <w:tc>
          <w:tcPr>
            <w:tcW w:w="3625" w:type="dxa"/>
            <w:tcBorders>
              <w:top w:val="single" w:sz="12" w:space="0" w:color="000000"/>
              <w:left w:val="single" w:sz="12" w:space="0" w:color="000000"/>
            </w:tcBorders>
            <w:noWrap/>
            <w:vAlign w:val="center"/>
            <w:hideMark/>
          </w:tcPr>
          <w:p w14:paraId="1FDC7B83"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Cerqueros de más de 40 m</w:t>
            </w:r>
          </w:p>
        </w:tc>
        <w:tc>
          <w:tcPr>
            <w:tcW w:w="2563" w:type="dxa"/>
            <w:tcBorders>
              <w:top w:val="single" w:sz="12" w:space="0" w:color="000000"/>
            </w:tcBorders>
            <w:noWrap/>
            <w:vAlign w:val="center"/>
            <w:hideMark/>
          </w:tcPr>
          <w:p w14:paraId="687B216F"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70,66</w:t>
            </w:r>
          </w:p>
        </w:tc>
        <w:tc>
          <w:tcPr>
            <w:tcW w:w="0" w:type="auto"/>
            <w:tcBorders>
              <w:top w:val="single" w:sz="12" w:space="0" w:color="000000"/>
            </w:tcBorders>
          </w:tcPr>
          <w:p w14:paraId="56BE9F27"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tcBorders>
              <w:top w:val="single" w:sz="12" w:space="0" w:color="000000"/>
            </w:tcBorders>
            <w:noWrap/>
            <w:vAlign w:val="center"/>
            <w:hideMark/>
          </w:tcPr>
          <w:p w14:paraId="69EC705C"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0" w:type="auto"/>
            <w:tcBorders>
              <w:top w:val="single" w:sz="12" w:space="0" w:color="000000"/>
            </w:tcBorders>
            <w:vAlign w:val="center"/>
            <w:hideMark/>
          </w:tcPr>
          <w:p w14:paraId="2E9F676B"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top w:val="single" w:sz="12" w:space="0" w:color="000000"/>
            </w:tcBorders>
            <w:vAlign w:val="center"/>
            <w:hideMark/>
          </w:tcPr>
          <w:p w14:paraId="344F403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2</w:t>
            </w:r>
          </w:p>
        </w:tc>
        <w:tc>
          <w:tcPr>
            <w:tcW w:w="0" w:type="auto"/>
            <w:tcBorders>
              <w:top w:val="single" w:sz="12" w:space="0" w:color="000000"/>
            </w:tcBorders>
            <w:vAlign w:val="center"/>
            <w:hideMark/>
          </w:tcPr>
          <w:p w14:paraId="5F5FA811"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2</w:t>
            </w:r>
          </w:p>
        </w:tc>
        <w:tc>
          <w:tcPr>
            <w:tcW w:w="0" w:type="auto"/>
            <w:tcBorders>
              <w:top w:val="single" w:sz="12" w:space="0" w:color="000000"/>
            </w:tcBorders>
            <w:vAlign w:val="center"/>
          </w:tcPr>
          <w:p w14:paraId="73BF7A73"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2</w:t>
            </w:r>
          </w:p>
        </w:tc>
        <w:tc>
          <w:tcPr>
            <w:tcW w:w="0" w:type="auto"/>
            <w:tcBorders>
              <w:top w:val="single" w:sz="12" w:space="0" w:color="000000"/>
            </w:tcBorders>
            <w:vAlign w:val="center"/>
          </w:tcPr>
          <w:p w14:paraId="13C98BA9"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eastAsia="fr-FR" w:bidi="fr-FR"/>
              </w:rPr>
              <w:t>4</w:t>
            </w:r>
          </w:p>
        </w:tc>
        <w:tc>
          <w:tcPr>
            <w:tcW w:w="0" w:type="auto"/>
            <w:tcBorders>
              <w:top w:val="single" w:sz="12" w:space="0" w:color="000000"/>
            </w:tcBorders>
            <w:shd w:val="clear" w:color="000000" w:fill="D9D9D9"/>
            <w:vAlign w:val="center"/>
            <w:hideMark/>
          </w:tcPr>
          <w:p w14:paraId="35FF8BDE"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 </w:t>
            </w:r>
          </w:p>
        </w:tc>
        <w:tc>
          <w:tcPr>
            <w:tcW w:w="0" w:type="auto"/>
            <w:tcBorders>
              <w:top w:val="single" w:sz="12" w:space="0" w:color="000000"/>
            </w:tcBorders>
          </w:tcPr>
          <w:p w14:paraId="27A58357"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tcBorders>
              <w:top w:val="single" w:sz="12" w:space="0" w:color="000000"/>
            </w:tcBorders>
            <w:vAlign w:val="center"/>
            <w:hideMark/>
          </w:tcPr>
          <w:p w14:paraId="13AC6338"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top w:val="single" w:sz="12" w:space="0" w:color="000000"/>
            </w:tcBorders>
            <w:vAlign w:val="center"/>
            <w:hideMark/>
          </w:tcPr>
          <w:p w14:paraId="5767212D"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top w:val="single" w:sz="12" w:space="0" w:color="000000"/>
            </w:tcBorders>
            <w:vAlign w:val="center"/>
            <w:hideMark/>
          </w:tcPr>
          <w:p w14:paraId="2A70A047"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141,4</w:t>
            </w:r>
          </w:p>
        </w:tc>
        <w:tc>
          <w:tcPr>
            <w:tcW w:w="0" w:type="auto"/>
            <w:tcBorders>
              <w:top w:val="single" w:sz="12" w:space="0" w:color="000000"/>
            </w:tcBorders>
            <w:vAlign w:val="center"/>
            <w:hideMark/>
          </w:tcPr>
          <w:p w14:paraId="3DC190F8"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141,4</w:t>
            </w:r>
          </w:p>
        </w:tc>
        <w:tc>
          <w:tcPr>
            <w:tcW w:w="0" w:type="auto"/>
            <w:tcBorders>
              <w:top w:val="single" w:sz="12" w:space="0" w:color="000000"/>
            </w:tcBorders>
            <w:vAlign w:val="center"/>
            <w:hideMark/>
          </w:tcPr>
          <w:p w14:paraId="45E35761"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141,4</w:t>
            </w:r>
          </w:p>
        </w:tc>
        <w:tc>
          <w:tcPr>
            <w:tcW w:w="0" w:type="auto"/>
            <w:tcBorders>
              <w:top w:val="single" w:sz="12" w:space="0" w:color="000000"/>
              <w:right w:val="single" w:sz="12" w:space="0" w:color="000000"/>
            </w:tcBorders>
            <w:vAlign w:val="center"/>
          </w:tcPr>
          <w:p w14:paraId="3D9C038C"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val="en-US" w:eastAsia="fr-FR" w:bidi="fr-FR"/>
              </w:rPr>
              <w:t>282,8</w:t>
            </w:r>
          </w:p>
        </w:tc>
      </w:tr>
      <w:tr w:rsidR="009123AC" w:rsidRPr="00F0379B" w14:paraId="1D17D686" w14:textId="77777777" w:rsidTr="00CA749B">
        <w:trPr>
          <w:trHeight w:val="23"/>
        </w:trPr>
        <w:tc>
          <w:tcPr>
            <w:tcW w:w="3625" w:type="dxa"/>
            <w:tcBorders>
              <w:left w:val="single" w:sz="12" w:space="0" w:color="000000"/>
            </w:tcBorders>
            <w:noWrap/>
            <w:vAlign w:val="center"/>
            <w:hideMark/>
          </w:tcPr>
          <w:p w14:paraId="46E40098"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Cerqueros entre 24 y 40 m</w:t>
            </w:r>
          </w:p>
        </w:tc>
        <w:tc>
          <w:tcPr>
            <w:tcW w:w="2563" w:type="dxa"/>
            <w:noWrap/>
            <w:vAlign w:val="center"/>
            <w:hideMark/>
          </w:tcPr>
          <w:p w14:paraId="33F7B0CB"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49,78</w:t>
            </w:r>
          </w:p>
        </w:tc>
        <w:tc>
          <w:tcPr>
            <w:tcW w:w="0" w:type="auto"/>
          </w:tcPr>
          <w:p w14:paraId="404632F7"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noWrap/>
            <w:vAlign w:val="center"/>
            <w:hideMark/>
          </w:tcPr>
          <w:p w14:paraId="601DF1B0"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0" w:type="auto"/>
            <w:vAlign w:val="center"/>
            <w:hideMark/>
          </w:tcPr>
          <w:p w14:paraId="77CDE37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eastAsia="ja-JP"/>
              </w:rPr>
              <w:t>2</w:t>
            </w:r>
          </w:p>
        </w:tc>
        <w:tc>
          <w:tcPr>
            <w:tcW w:w="0" w:type="auto"/>
            <w:vAlign w:val="center"/>
            <w:hideMark/>
          </w:tcPr>
          <w:p w14:paraId="309C806F"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6</w:t>
            </w:r>
          </w:p>
        </w:tc>
        <w:tc>
          <w:tcPr>
            <w:tcW w:w="0" w:type="auto"/>
            <w:vAlign w:val="center"/>
            <w:hideMark/>
          </w:tcPr>
          <w:p w14:paraId="7EF7F651"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5</w:t>
            </w:r>
          </w:p>
        </w:tc>
        <w:tc>
          <w:tcPr>
            <w:tcW w:w="0" w:type="auto"/>
            <w:vAlign w:val="center"/>
          </w:tcPr>
          <w:p w14:paraId="09B17305"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5</w:t>
            </w:r>
          </w:p>
        </w:tc>
        <w:tc>
          <w:tcPr>
            <w:tcW w:w="0" w:type="auto"/>
            <w:vAlign w:val="center"/>
          </w:tcPr>
          <w:p w14:paraId="77964860"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eastAsia="fr-FR" w:bidi="fr-FR"/>
              </w:rPr>
              <w:t>6</w:t>
            </w:r>
          </w:p>
        </w:tc>
        <w:tc>
          <w:tcPr>
            <w:tcW w:w="0" w:type="auto"/>
            <w:shd w:val="clear" w:color="000000" w:fill="D9D9D9"/>
            <w:vAlign w:val="center"/>
            <w:hideMark/>
          </w:tcPr>
          <w:p w14:paraId="5B63889A"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 </w:t>
            </w:r>
          </w:p>
        </w:tc>
        <w:tc>
          <w:tcPr>
            <w:tcW w:w="0" w:type="auto"/>
          </w:tcPr>
          <w:p w14:paraId="147C745C"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vAlign w:val="center"/>
            <w:hideMark/>
          </w:tcPr>
          <w:p w14:paraId="05889CEE"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64F91014"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99,56</w:t>
            </w:r>
          </w:p>
        </w:tc>
        <w:tc>
          <w:tcPr>
            <w:tcW w:w="0" w:type="auto"/>
            <w:vAlign w:val="center"/>
            <w:hideMark/>
          </w:tcPr>
          <w:p w14:paraId="41EAC341"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298,68</w:t>
            </w:r>
          </w:p>
        </w:tc>
        <w:tc>
          <w:tcPr>
            <w:tcW w:w="0" w:type="auto"/>
            <w:vAlign w:val="center"/>
            <w:hideMark/>
          </w:tcPr>
          <w:p w14:paraId="66517558"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248,9</w:t>
            </w:r>
          </w:p>
        </w:tc>
        <w:tc>
          <w:tcPr>
            <w:tcW w:w="0" w:type="auto"/>
            <w:vAlign w:val="center"/>
            <w:hideMark/>
          </w:tcPr>
          <w:p w14:paraId="5E0F9DEA"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248,9</w:t>
            </w:r>
          </w:p>
        </w:tc>
        <w:tc>
          <w:tcPr>
            <w:tcW w:w="0" w:type="auto"/>
            <w:tcBorders>
              <w:right w:val="single" w:sz="12" w:space="0" w:color="000000"/>
            </w:tcBorders>
            <w:vAlign w:val="center"/>
          </w:tcPr>
          <w:p w14:paraId="1829F7E5"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val="en-US" w:eastAsia="fr-FR" w:bidi="fr-FR"/>
              </w:rPr>
              <w:t>298,68</w:t>
            </w:r>
          </w:p>
        </w:tc>
      </w:tr>
      <w:tr w:rsidR="009123AC" w:rsidRPr="00F0379B" w14:paraId="430F5AE9" w14:textId="77777777" w:rsidTr="00CA749B">
        <w:trPr>
          <w:trHeight w:val="23"/>
        </w:trPr>
        <w:tc>
          <w:tcPr>
            <w:tcW w:w="3625" w:type="dxa"/>
            <w:tcBorders>
              <w:left w:val="single" w:sz="12" w:space="0" w:color="000000"/>
            </w:tcBorders>
            <w:noWrap/>
            <w:vAlign w:val="center"/>
            <w:hideMark/>
          </w:tcPr>
          <w:p w14:paraId="368D8D5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Cerqueros de menos de 24 m</w:t>
            </w:r>
          </w:p>
        </w:tc>
        <w:tc>
          <w:tcPr>
            <w:tcW w:w="2563" w:type="dxa"/>
            <w:noWrap/>
            <w:vAlign w:val="center"/>
            <w:hideMark/>
          </w:tcPr>
          <w:p w14:paraId="6F7471C9"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33,68</w:t>
            </w:r>
          </w:p>
        </w:tc>
        <w:tc>
          <w:tcPr>
            <w:tcW w:w="0" w:type="auto"/>
          </w:tcPr>
          <w:p w14:paraId="613E1FC8"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noWrap/>
            <w:vAlign w:val="center"/>
            <w:hideMark/>
          </w:tcPr>
          <w:p w14:paraId="27562DEC"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0" w:type="auto"/>
            <w:vAlign w:val="center"/>
            <w:hideMark/>
          </w:tcPr>
          <w:p w14:paraId="302C90A6"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38B608F2"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3A82012F"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tcPr>
          <w:p w14:paraId="287436AD"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0" w:type="auto"/>
            <w:vAlign w:val="center"/>
          </w:tcPr>
          <w:p w14:paraId="0D625315"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eastAsia="fr-FR" w:bidi="fr-FR"/>
              </w:rPr>
              <w:t> </w:t>
            </w:r>
          </w:p>
        </w:tc>
        <w:tc>
          <w:tcPr>
            <w:tcW w:w="0" w:type="auto"/>
            <w:shd w:val="clear" w:color="000000" w:fill="D9D9D9"/>
            <w:vAlign w:val="center"/>
            <w:hideMark/>
          </w:tcPr>
          <w:p w14:paraId="101A0401"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 </w:t>
            </w:r>
          </w:p>
        </w:tc>
        <w:tc>
          <w:tcPr>
            <w:tcW w:w="0" w:type="auto"/>
          </w:tcPr>
          <w:p w14:paraId="511856C1"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vAlign w:val="center"/>
            <w:hideMark/>
          </w:tcPr>
          <w:p w14:paraId="2DC51364"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7C859EAB"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2D2500EE"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7FA17935"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70B3E2C8"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right w:val="single" w:sz="12" w:space="0" w:color="000000"/>
            </w:tcBorders>
            <w:vAlign w:val="center"/>
          </w:tcPr>
          <w:p w14:paraId="40100EAA"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eastAsia="fr-FR" w:bidi="fr-FR"/>
              </w:rPr>
              <w:t> </w:t>
            </w:r>
          </w:p>
        </w:tc>
      </w:tr>
      <w:tr w:rsidR="009123AC" w:rsidRPr="00F0379B" w14:paraId="512DB229" w14:textId="77777777" w:rsidTr="00CA749B">
        <w:trPr>
          <w:trHeight w:val="23"/>
        </w:trPr>
        <w:tc>
          <w:tcPr>
            <w:tcW w:w="3625" w:type="dxa"/>
            <w:tcBorders>
              <w:left w:val="single" w:sz="12" w:space="0" w:color="000000"/>
            </w:tcBorders>
            <w:noWrap/>
            <w:vAlign w:val="center"/>
            <w:hideMark/>
          </w:tcPr>
          <w:p w14:paraId="3F1F7D9A"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Total flota de cerco</w:t>
            </w:r>
          </w:p>
        </w:tc>
        <w:tc>
          <w:tcPr>
            <w:tcW w:w="2563" w:type="dxa"/>
            <w:noWrap/>
            <w:vAlign w:val="center"/>
            <w:hideMark/>
          </w:tcPr>
          <w:p w14:paraId="3622586F" w14:textId="77777777" w:rsidR="009123AC" w:rsidRPr="00F0379B" w:rsidRDefault="009123AC" w:rsidP="009123AC">
            <w:pPr>
              <w:spacing w:after="0" w:line="240" w:lineRule="auto"/>
              <w:rPr>
                <w:rFonts w:ascii="Cambria" w:eastAsia="Times New Roman" w:hAnsi="Cambria" w:cs="Times New Roman"/>
                <w:sz w:val="16"/>
                <w:szCs w:val="16"/>
                <w:lang w:eastAsia="fr-FR" w:bidi="fr-FR"/>
              </w:rPr>
            </w:pPr>
            <w:r w:rsidRPr="00F0379B">
              <w:rPr>
                <w:rFonts w:ascii="Cambria" w:eastAsia="MS Gothic" w:hAnsi="Cambria" w:cs="Times New Roman"/>
                <w:sz w:val="16"/>
                <w:szCs w:val="16"/>
                <w:lang w:eastAsia="fr-FR" w:bidi="fr-FR"/>
              </w:rPr>
              <w:t> </w:t>
            </w:r>
          </w:p>
        </w:tc>
        <w:tc>
          <w:tcPr>
            <w:tcW w:w="0" w:type="auto"/>
          </w:tcPr>
          <w:p w14:paraId="5EA76BD8"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noWrap/>
            <w:vAlign w:val="center"/>
            <w:hideMark/>
          </w:tcPr>
          <w:p w14:paraId="57E12F49"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0" w:type="auto"/>
            <w:vAlign w:val="center"/>
            <w:hideMark/>
          </w:tcPr>
          <w:p w14:paraId="74DFD9FC"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eastAsia="ja-JP"/>
              </w:rPr>
              <w:t>2</w:t>
            </w:r>
          </w:p>
        </w:tc>
        <w:tc>
          <w:tcPr>
            <w:tcW w:w="0" w:type="auto"/>
            <w:vAlign w:val="center"/>
            <w:hideMark/>
          </w:tcPr>
          <w:p w14:paraId="4ABA89EA"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8</w:t>
            </w:r>
          </w:p>
        </w:tc>
        <w:tc>
          <w:tcPr>
            <w:tcW w:w="0" w:type="auto"/>
            <w:vAlign w:val="center"/>
            <w:hideMark/>
          </w:tcPr>
          <w:p w14:paraId="7149A91A"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7</w:t>
            </w:r>
          </w:p>
        </w:tc>
        <w:tc>
          <w:tcPr>
            <w:tcW w:w="0" w:type="auto"/>
            <w:vAlign w:val="center"/>
          </w:tcPr>
          <w:p w14:paraId="31E93525"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7</w:t>
            </w:r>
          </w:p>
        </w:tc>
        <w:tc>
          <w:tcPr>
            <w:tcW w:w="0" w:type="auto"/>
            <w:vAlign w:val="center"/>
          </w:tcPr>
          <w:p w14:paraId="5AA89917"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b/>
                <w:bCs/>
                <w:color w:val="000000"/>
                <w:sz w:val="16"/>
                <w:szCs w:val="16"/>
                <w:lang w:eastAsia="fr-FR" w:bidi="fr-FR"/>
              </w:rPr>
              <w:t>10</w:t>
            </w:r>
          </w:p>
        </w:tc>
        <w:tc>
          <w:tcPr>
            <w:tcW w:w="0" w:type="auto"/>
            <w:shd w:val="clear" w:color="000000" w:fill="D9D9D9"/>
            <w:vAlign w:val="center"/>
            <w:hideMark/>
          </w:tcPr>
          <w:p w14:paraId="11060098"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tcPr>
          <w:p w14:paraId="2E5176A6"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vAlign w:val="center"/>
            <w:hideMark/>
          </w:tcPr>
          <w:p w14:paraId="06419753"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1D56F68A"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99,56</w:t>
            </w:r>
          </w:p>
        </w:tc>
        <w:tc>
          <w:tcPr>
            <w:tcW w:w="0" w:type="auto"/>
            <w:vAlign w:val="center"/>
            <w:hideMark/>
          </w:tcPr>
          <w:p w14:paraId="2C3CC621"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440,08</w:t>
            </w:r>
          </w:p>
        </w:tc>
        <w:tc>
          <w:tcPr>
            <w:tcW w:w="0" w:type="auto"/>
            <w:vAlign w:val="center"/>
            <w:hideMark/>
          </w:tcPr>
          <w:p w14:paraId="3289AA18"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390,3</w:t>
            </w:r>
          </w:p>
        </w:tc>
        <w:tc>
          <w:tcPr>
            <w:tcW w:w="0" w:type="auto"/>
            <w:vAlign w:val="center"/>
            <w:hideMark/>
          </w:tcPr>
          <w:p w14:paraId="664F26D8"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390,3</w:t>
            </w:r>
          </w:p>
        </w:tc>
        <w:tc>
          <w:tcPr>
            <w:tcW w:w="0" w:type="auto"/>
            <w:tcBorders>
              <w:right w:val="single" w:sz="12" w:space="0" w:color="000000"/>
            </w:tcBorders>
            <w:vAlign w:val="center"/>
          </w:tcPr>
          <w:p w14:paraId="05921B4B"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MS Gothic" w:hAnsi="Cambria" w:cs="Times New Roman"/>
                <w:b/>
                <w:bCs/>
                <w:color w:val="000000"/>
                <w:sz w:val="16"/>
                <w:szCs w:val="16"/>
                <w:lang w:val="en-US" w:eastAsia="fr-FR" w:bidi="fr-FR"/>
              </w:rPr>
              <w:t>581,48</w:t>
            </w:r>
          </w:p>
        </w:tc>
      </w:tr>
      <w:tr w:rsidR="009123AC" w:rsidRPr="00F0379B" w14:paraId="24178DBF" w14:textId="77777777" w:rsidTr="00CA749B">
        <w:trPr>
          <w:trHeight w:val="23"/>
        </w:trPr>
        <w:tc>
          <w:tcPr>
            <w:tcW w:w="3625" w:type="dxa"/>
            <w:tcBorders>
              <w:left w:val="single" w:sz="12" w:space="0" w:color="000000"/>
            </w:tcBorders>
            <w:noWrap/>
            <w:vAlign w:val="center"/>
            <w:hideMark/>
          </w:tcPr>
          <w:p w14:paraId="6118A54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Palangreros de más de 40 m</w:t>
            </w:r>
          </w:p>
        </w:tc>
        <w:tc>
          <w:tcPr>
            <w:tcW w:w="2563" w:type="dxa"/>
            <w:noWrap/>
            <w:vAlign w:val="center"/>
            <w:hideMark/>
          </w:tcPr>
          <w:p w14:paraId="0989CBEC"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25</w:t>
            </w:r>
          </w:p>
        </w:tc>
        <w:tc>
          <w:tcPr>
            <w:tcW w:w="0" w:type="auto"/>
          </w:tcPr>
          <w:p w14:paraId="0660CD84"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noWrap/>
            <w:vAlign w:val="center"/>
            <w:hideMark/>
          </w:tcPr>
          <w:p w14:paraId="4AB8FDF2"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0" w:type="auto"/>
            <w:vAlign w:val="center"/>
            <w:hideMark/>
          </w:tcPr>
          <w:p w14:paraId="35F30136"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4682355B"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0C45BB81"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1</w:t>
            </w:r>
          </w:p>
        </w:tc>
        <w:tc>
          <w:tcPr>
            <w:tcW w:w="0" w:type="auto"/>
            <w:vAlign w:val="center"/>
          </w:tcPr>
          <w:p w14:paraId="6A36F65D"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4</w:t>
            </w:r>
          </w:p>
        </w:tc>
        <w:tc>
          <w:tcPr>
            <w:tcW w:w="0" w:type="auto"/>
            <w:vAlign w:val="center"/>
          </w:tcPr>
          <w:p w14:paraId="599637F5"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eastAsia="fr-FR" w:bidi="fr-FR"/>
              </w:rPr>
              <w:t>10</w:t>
            </w:r>
          </w:p>
        </w:tc>
        <w:tc>
          <w:tcPr>
            <w:tcW w:w="0" w:type="auto"/>
            <w:shd w:val="clear" w:color="000000" w:fill="D9D9D9"/>
            <w:vAlign w:val="center"/>
            <w:hideMark/>
          </w:tcPr>
          <w:p w14:paraId="72ED9A9A"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 </w:t>
            </w:r>
          </w:p>
        </w:tc>
        <w:tc>
          <w:tcPr>
            <w:tcW w:w="0" w:type="auto"/>
          </w:tcPr>
          <w:p w14:paraId="2050F5AA"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vAlign w:val="center"/>
            <w:hideMark/>
          </w:tcPr>
          <w:p w14:paraId="5CED4E00"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16D64EA3"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369387A0"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54C6D8BE"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25</w:t>
            </w:r>
          </w:p>
        </w:tc>
        <w:tc>
          <w:tcPr>
            <w:tcW w:w="0" w:type="auto"/>
            <w:vAlign w:val="center"/>
            <w:hideMark/>
          </w:tcPr>
          <w:p w14:paraId="6B75E622"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100</w:t>
            </w:r>
          </w:p>
        </w:tc>
        <w:tc>
          <w:tcPr>
            <w:tcW w:w="0" w:type="auto"/>
            <w:tcBorders>
              <w:right w:val="single" w:sz="12" w:space="0" w:color="000000"/>
            </w:tcBorders>
            <w:vAlign w:val="center"/>
          </w:tcPr>
          <w:p w14:paraId="250AA2E2"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val="en-US" w:eastAsia="fr-FR" w:bidi="fr-FR"/>
              </w:rPr>
              <w:t>250</w:t>
            </w:r>
          </w:p>
        </w:tc>
      </w:tr>
      <w:tr w:rsidR="009123AC" w:rsidRPr="00F0379B" w14:paraId="785913C6" w14:textId="77777777" w:rsidTr="00CA749B">
        <w:trPr>
          <w:trHeight w:val="23"/>
        </w:trPr>
        <w:tc>
          <w:tcPr>
            <w:tcW w:w="3625" w:type="dxa"/>
            <w:tcBorders>
              <w:left w:val="single" w:sz="12" w:space="0" w:color="000000"/>
            </w:tcBorders>
            <w:noWrap/>
            <w:vAlign w:val="center"/>
            <w:hideMark/>
          </w:tcPr>
          <w:p w14:paraId="36A5A377"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Palangreros entre 24 y 40 m</w:t>
            </w:r>
          </w:p>
        </w:tc>
        <w:tc>
          <w:tcPr>
            <w:tcW w:w="2563" w:type="dxa"/>
            <w:noWrap/>
            <w:vAlign w:val="center"/>
            <w:hideMark/>
          </w:tcPr>
          <w:p w14:paraId="0B7CE639"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5,68</w:t>
            </w:r>
          </w:p>
        </w:tc>
        <w:tc>
          <w:tcPr>
            <w:tcW w:w="0" w:type="auto"/>
          </w:tcPr>
          <w:p w14:paraId="5198D1F4"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noWrap/>
            <w:vAlign w:val="center"/>
            <w:hideMark/>
          </w:tcPr>
          <w:p w14:paraId="6EBB4EC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0" w:type="auto"/>
            <w:vAlign w:val="center"/>
            <w:hideMark/>
          </w:tcPr>
          <w:p w14:paraId="22CA6A5C"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4A5F1048"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3C007139"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tcPr>
          <w:p w14:paraId="78047417"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0" w:type="auto"/>
            <w:vAlign w:val="center"/>
          </w:tcPr>
          <w:p w14:paraId="5DE69522"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eastAsia="fr-FR" w:bidi="fr-FR"/>
              </w:rPr>
              <w:t>10</w:t>
            </w:r>
          </w:p>
        </w:tc>
        <w:tc>
          <w:tcPr>
            <w:tcW w:w="0" w:type="auto"/>
            <w:shd w:val="clear" w:color="000000" w:fill="D9D9D9"/>
            <w:vAlign w:val="center"/>
            <w:hideMark/>
          </w:tcPr>
          <w:p w14:paraId="71F42013"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 </w:t>
            </w:r>
          </w:p>
        </w:tc>
        <w:tc>
          <w:tcPr>
            <w:tcW w:w="0" w:type="auto"/>
          </w:tcPr>
          <w:p w14:paraId="3D7F7A3B"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vAlign w:val="center"/>
            <w:hideMark/>
          </w:tcPr>
          <w:p w14:paraId="5E80F0B0"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139E862D"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438E37F3"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420549AE"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5FE88155"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right w:val="single" w:sz="12" w:space="0" w:color="000000"/>
            </w:tcBorders>
            <w:vAlign w:val="center"/>
          </w:tcPr>
          <w:p w14:paraId="75B69402"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val="en-US" w:eastAsia="fr-FR" w:bidi="fr-FR"/>
              </w:rPr>
              <w:t>56,8</w:t>
            </w:r>
          </w:p>
        </w:tc>
      </w:tr>
      <w:tr w:rsidR="009123AC" w:rsidRPr="00F0379B" w14:paraId="42DC1D39" w14:textId="77777777" w:rsidTr="00CA749B">
        <w:trPr>
          <w:trHeight w:val="23"/>
        </w:trPr>
        <w:tc>
          <w:tcPr>
            <w:tcW w:w="3625" w:type="dxa"/>
            <w:tcBorders>
              <w:left w:val="single" w:sz="12" w:space="0" w:color="000000"/>
            </w:tcBorders>
            <w:noWrap/>
            <w:vAlign w:val="center"/>
            <w:hideMark/>
          </w:tcPr>
          <w:p w14:paraId="0C58874C"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Palangreros de menos de 24 m</w:t>
            </w:r>
          </w:p>
        </w:tc>
        <w:tc>
          <w:tcPr>
            <w:tcW w:w="2563" w:type="dxa"/>
            <w:noWrap/>
            <w:vAlign w:val="center"/>
            <w:hideMark/>
          </w:tcPr>
          <w:p w14:paraId="3B4B2588"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w:t>
            </w:r>
          </w:p>
        </w:tc>
        <w:tc>
          <w:tcPr>
            <w:tcW w:w="0" w:type="auto"/>
          </w:tcPr>
          <w:p w14:paraId="4CEBB1B7"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noWrap/>
            <w:vAlign w:val="center"/>
            <w:hideMark/>
          </w:tcPr>
          <w:p w14:paraId="090D951F"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0" w:type="auto"/>
            <w:vAlign w:val="center"/>
            <w:hideMark/>
          </w:tcPr>
          <w:p w14:paraId="691E7F5B"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5208AFA2"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3246B112"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tcPr>
          <w:p w14:paraId="5D03C37F"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0" w:type="auto"/>
            <w:vAlign w:val="center"/>
          </w:tcPr>
          <w:p w14:paraId="746FD5AC"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eastAsia="fr-FR" w:bidi="fr-FR"/>
              </w:rPr>
              <w:t> </w:t>
            </w:r>
          </w:p>
        </w:tc>
        <w:tc>
          <w:tcPr>
            <w:tcW w:w="0" w:type="auto"/>
            <w:shd w:val="clear" w:color="000000" w:fill="D9D9D9"/>
            <w:vAlign w:val="center"/>
            <w:hideMark/>
          </w:tcPr>
          <w:p w14:paraId="01650EF7"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 </w:t>
            </w:r>
          </w:p>
        </w:tc>
        <w:tc>
          <w:tcPr>
            <w:tcW w:w="0" w:type="auto"/>
          </w:tcPr>
          <w:p w14:paraId="1CFBC75D"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vAlign w:val="center"/>
            <w:hideMark/>
          </w:tcPr>
          <w:p w14:paraId="021C0605"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081F9485"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3E9171F9"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6CCE2065"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3ABDABD1"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right w:val="single" w:sz="12" w:space="0" w:color="000000"/>
            </w:tcBorders>
            <w:vAlign w:val="center"/>
          </w:tcPr>
          <w:p w14:paraId="197544C6"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eastAsia="fr-FR" w:bidi="fr-FR"/>
              </w:rPr>
              <w:t> </w:t>
            </w:r>
          </w:p>
        </w:tc>
      </w:tr>
      <w:tr w:rsidR="009123AC" w:rsidRPr="00F0379B" w14:paraId="61A964D3" w14:textId="77777777" w:rsidTr="00CA749B">
        <w:trPr>
          <w:trHeight w:val="23"/>
        </w:trPr>
        <w:tc>
          <w:tcPr>
            <w:tcW w:w="3625" w:type="dxa"/>
            <w:tcBorders>
              <w:left w:val="single" w:sz="12" w:space="0" w:color="000000"/>
            </w:tcBorders>
            <w:noWrap/>
            <w:vAlign w:val="center"/>
            <w:hideMark/>
          </w:tcPr>
          <w:p w14:paraId="1159DD8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Total flota de palangre</w:t>
            </w:r>
          </w:p>
        </w:tc>
        <w:tc>
          <w:tcPr>
            <w:tcW w:w="2563" w:type="dxa"/>
            <w:noWrap/>
            <w:vAlign w:val="center"/>
            <w:hideMark/>
          </w:tcPr>
          <w:p w14:paraId="3F93C135" w14:textId="77777777" w:rsidR="009123AC" w:rsidRPr="00F0379B" w:rsidRDefault="009123AC" w:rsidP="009123AC">
            <w:pPr>
              <w:spacing w:after="0" w:line="240" w:lineRule="auto"/>
              <w:rPr>
                <w:rFonts w:ascii="Cambria" w:eastAsia="Times New Roman" w:hAnsi="Cambria" w:cs="Times New Roman"/>
                <w:sz w:val="16"/>
                <w:szCs w:val="16"/>
                <w:lang w:eastAsia="fr-FR" w:bidi="fr-FR"/>
              </w:rPr>
            </w:pPr>
            <w:r w:rsidRPr="00F0379B">
              <w:rPr>
                <w:rFonts w:ascii="Cambria" w:eastAsia="MS Gothic" w:hAnsi="Cambria" w:cs="Times New Roman"/>
                <w:sz w:val="16"/>
                <w:szCs w:val="16"/>
                <w:lang w:eastAsia="fr-FR" w:bidi="fr-FR"/>
              </w:rPr>
              <w:t> </w:t>
            </w:r>
          </w:p>
        </w:tc>
        <w:tc>
          <w:tcPr>
            <w:tcW w:w="0" w:type="auto"/>
          </w:tcPr>
          <w:p w14:paraId="2267E732"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noWrap/>
            <w:vAlign w:val="center"/>
            <w:hideMark/>
          </w:tcPr>
          <w:p w14:paraId="071D33F2"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0" w:type="auto"/>
            <w:vAlign w:val="center"/>
            <w:hideMark/>
          </w:tcPr>
          <w:p w14:paraId="065E8909"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73BBC1A2"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050059DE"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1</w:t>
            </w:r>
          </w:p>
        </w:tc>
        <w:tc>
          <w:tcPr>
            <w:tcW w:w="0" w:type="auto"/>
            <w:vAlign w:val="center"/>
          </w:tcPr>
          <w:p w14:paraId="7984506B"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4</w:t>
            </w:r>
          </w:p>
        </w:tc>
        <w:tc>
          <w:tcPr>
            <w:tcW w:w="0" w:type="auto"/>
            <w:vAlign w:val="center"/>
          </w:tcPr>
          <w:p w14:paraId="640E109B"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b/>
                <w:bCs/>
                <w:color w:val="000000"/>
                <w:sz w:val="16"/>
                <w:szCs w:val="16"/>
                <w:lang w:eastAsia="fr-FR" w:bidi="fr-FR"/>
              </w:rPr>
              <w:t>20</w:t>
            </w:r>
          </w:p>
        </w:tc>
        <w:tc>
          <w:tcPr>
            <w:tcW w:w="0" w:type="auto"/>
            <w:shd w:val="clear" w:color="000000" w:fill="D9D9D9"/>
            <w:vAlign w:val="center"/>
            <w:hideMark/>
          </w:tcPr>
          <w:p w14:paraId="0A9FEE57"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sz w:val="16"/>
                <w:szCs w:val="16"/>
                <w:lang w:val="en-US" w:eastAsia="ja-JP"/>
              </w:rPr>
              <w:t> </w:t>
            </w:r>
          </w:p>
        </w:tc>
        <w:tc>
          <w:tcPr>
            <w:tcW w:w="0" w:type="auto"/>
          </w:tcPr>
          <w:p w14:paraId="348745E4"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vAlign w:val="center"/>
            <w:hideMark/>
          </w:tcPr>
          <w:p w14:paraId="4490FDD7"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0966FBEC"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4EDB45E7"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4D159F76"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25</w:t>
            </w:r>
          </w:p>
        </w:tc>
        <w:tc>
          <w:tcPr>
            <w:tcW w:w="0" w:type="auto"/>
            <w:vAlign w:val="center"/>
            <w:hideMark/>
          </w:tcPr>
          <w:p w14:paraId="519344F6"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100</w:t>
            </w:r>
          </w:p>
        </w:tc>
        <w:tc>
          <w:tcPr>
            <w:tcW w:w="0" w:type="auto"/>
            <w:tcBorders>
              <w:right w:val="single" w:sz="12" w:space="0" w:color="000000"/>
            </w:tcBorders>
            <w:vAlign w:val="center"/>
          </w:tcPr>
          <w:p w14:paraId="19C97C11"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MS Gothic" w:hAnsi="Cambria" w:cs="Times New Roman"/>
                <w:b/>
                <w:bCs/>
                <w:color w:val="000000"/>
                <w:sz w:val="16"/>
                <w:szCs w:val="16"/>
                <w:lang w:val="en-US" w:eastAsia="fr-FR" w:bidi="fr-FR"/>
              </w:rPr>
              <w:t>306,8</w:t>
            </w:r>
          </w:p>
        </w:tc>
      </w:tr>
      <w:tr w:rsidR="009123AC" w:rsidRPr="00F0379B" w14:paraId="2660FEF6" w14:textId="77777777" w:rsidTr="00CA749B">
        <w:trPr>
          <w:trHeight w:val="221"/>
        </w:trPr>
        <w:tc>
          <w:tcPr>
            <w:tcW w:w="3625" w:type="dxa"/>
            <w:tcBorders>
              <w:left w:val="single" w:sz="12" w:space="0" w:color="000000"/>
            </w:tcBorders>
            <w:noWrap/>
            <w:vAlign w:val="center"/>
            <w:hideMark/>
          </w:tcPr>
          <w:p w14:paraId="3A8DEBE3"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Cebo vivo</w:t>
            </w:r>
          </w:p>
        </w:tc>
        <w:tc>
          <w:tcPr>
            <w:tcW w:w="2563" w:type="dxa"/>
            <w:noWrap/>
            <w:vAlign w:val="center"/>
            <w:hideMark/>
          </w:tcPr>
          <w:p w14:paraId="719F3941"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19,75</w:t>
            </w:r>
          </w:p>
        </w:tc>
        <w:tc>
          <w:tcPr>
            <w:tcW w:w="0" w:type="auto"/>
          </w:tcPr>
          <w:p w14:paraId="046471FF"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noWrap/>
            <w:vAlign w:val="center"/>
            <w:hideMark/>
          </w:tcPr>
          <w:p w14:paraId="1C75EF06"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0" w:type="auto"/>
            <w:vAlign w:val="center"/>
            <w:hideMark/>
          </w:tcPr>
          <w:p w14:paraId="735F732C"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2FD24F7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323EE158"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tcPr>
          <w:p w14:paraId="3157BC65"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c>
          <w:tcPr>
            <w:tcW w:w="0" w:type="auto"/>
            <w:vAlign w:val="center"/>
          </w:tcPr>
          <w:p w14:paraId="0DE336DA"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b/>
                <w:bCs/>
                <w:color w:val="000000"/>
                <w:sz w:val="16"/>
                <w:szCs w:val="16"/>
                <w:lang w:eastAsia="fr-FR" w:bidi="fr-FR"/>
              </w:rPr>
              <w:t> </w:t>
            </w:r>
          </w:p>
        </w:tc>
        <w:tc>
          <w:tcPr>
            <w:tcW w:w="0" w:type="auto"/>
            <w:shd w:val="clear" w:color="000000" w:fill="D9D9D9"/>
            <w:vAlign w:val="center"/>
            <w:hideMark/>
          </w:tcPr>
          <w:p w14:paraId="60BBF999"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 </w:t>
            </w:r>
          </w:p>
        </w:tc>
        <w:tc>
          <w:tcPr>
            <w:tcW w:w="0" w:type="auto"/>
          </w:tcPr>
          <w:p w14:paraId="26634976"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vAlign w:val="center"/>
            <w:hideMark/>
          </w:tcPr>
          <w:p w14:paraId="4A05F667"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61CAB2A5"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38344CFE"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497A7913"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7A83AEB5"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tcBorders>
              <w:right w:val="single" w:sz="12" w:space="0" w:color="000000"/>
            </w:tcBorders>
            <w:vAlign w:val="center"/>
          </w:tcPr>
          <w:p w14:paraId="28D249AB"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MS Gothic" w:hAnsi="Cambria" w:cs="Times New Roman"/>
                <w:color w:val="000000"/>
                <w:sz w:val="16"/>
                <w:szCs w:val="16"/>
                <w:lang w:eastAsia="fr-FR" w:bidi="fr-FR"/>
              </w:rPr>
              <w:t> </w:t>
            </w:r>
          </w:p>
        </w:tc>
      </w:tr>
      <w:tr w:rsidR="009123AC" w:rsidRPr="00F0379B" w14:paraId="0EBF8202" w14:textId="77777777" w:rsidTr="00CA749B">
        <w:trPr>
          <w:trHeight w:val="23"/>
        </w:trPr>
        <w:tc>
          <w:tcPr>
            <w:tcW w:w="3625" w:type="dxa"/>
            <w:tcBorders>
              <w:left w:val="single" w:sz="12" w:space="0" w:color="000000"/>
            </w:tcBorders>
            <w:noWrap/>
            <w:vAlign w:val="center"/>
            <w:hideMark/>
          </w:tcPr>
          <w:p w14:paraId="7221F50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Liña de mano</w:t>
            </w:r>
          </w:p>
        </w:tc>
        <w:tc>
          <w:tcPr>
            <w:tcW w:w="2563" w:type="dxa"/>
            <w:noWrap/>
            <w:vAlign w:val="center"/>
            <w:hideMark/>
          </w:tcPr>
          <w:p w14:paraId="1BC25A06"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w:t>
            </w:r>
          </w:p>
        </w:tc>
        <w:tc>
          <w:tcPr>
            <w:tcW w:w="0" w:type="auto"/>
          </w:tcPr>
          <w:p w14:paraId="0A04667C"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noWrap/>
            <w:vAlign w:val="center"/>
            <w:hideMark/>
          </w:tcPr>
          <w:p w14:paraId="65DC4F67"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0" w:type="auto"/>
            <w:vAlign w:val="center"/>
            <w:hideMark/>
          </w:tcPr>
          <w:p w14:paraId="4FDF10A3"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3B8E1E79"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5633D8F4"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tcPr>
          <w:p w14:paraId="1E16F00B"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0" w:type="auto"/>
            <w:vAlign w:val="center"/>
          </w:tcPr>
          <w:p w14:paraId="7103A2F2"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eastAsia="fr-FR" w:bidi="fr-FR"/>
              </w:rPr>
              <w:t> </w:t>
            </w:r>
          </w:p>
        </w:tc>
        <w:tc>
          <w:tcPr>
            <w:tcW w:w="0" w:type="auto"/>
            <w:shd w:val="clear" w:color="000000" w:fill="D9D9D9"/>
            <w:vAlign w:val="center"/>
            <w:hideMark/>
          </w:tcPr>
          <w:p w14:paraId="338F0CA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 </w:t>
            </w:r>
          </w:p>
        </w:tc>
        <w:tc>
          <w:tcPr>
            <w:tcW w:w="0" w:type="auto"/>
          </w:tcPr>
          <w:p w14:paraId="11E574DB"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vAlign w:val="center"/>
            <w:hideMark/>
          </w:tcPr>
          <w:p w14:paraId="2AC0B7A6"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3E5216B9"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6E3E929E"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718BA850"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15C4FB14"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right w:val="single" w:sz="12" w:space="0" w:color="000000"/>
            </w:tcBorders>
            <w:vAlign w:val="center"/>
          </w:tcPr>
          <w:p w14:paraId="40E0E50A"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eastAsia="fr-FR" w:bidi="fr-FR"/>
              </w:rPr>
              <w:t> </w:t>
            </w:r>
          </w:p>
        </w:tc>
      </w:tr>
      <w:tr w:rsidR="009123AC" w:rsidRPr="00F0379B" w14:paraId="1B6D7C63" w14:textId="77777777" w:rsidTr="00CA749B">
        <w:trPr>
          <w:trHeight w:val="23"/>
        </w:trPr>
        <w:tc>
          <w:tcPr>
            <w:tcW w:w="3625" w:type="dxa"/>
            <w:tcBorders>
              <w:left w:val="single" w:sz="12" w:space="0" w:color="000000"/>
            </w:tcBorders>
            <w:noWrap/>
            <w:vAlign w:val="center"/>
            <w:hideMark/>
          </w:tcPr>
          <w:p w14:paraId="63EB443E"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Arrastreros</w:t>
            </w:r>
          </w:p>
        </w:tc>
        <w:tc>
          <w:tcPr>
            <w:tcW w:w="2563" w:type="dxa"/>
            <w:noWrap/>
            <w:vAlign w:val="center"/>
            <w:hideMark/>
          </w:tcPr>
          <w:p w14:paraId="53A5DD3B"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10</w:t>
            </w:r>
          </w:p>
        </w:tc>
        <w:tc>
          <w:tcPr>
            <w:tcW w:w="0" w:type="auto"/>
          </w:tcPr>
          <w:p w14:paraId="1D25110E"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noWrap/>
            <w:vAlign w:val="center"/>
            <w:hideMark/>
          </w:tcPr>
          <w:p w14:paraId="320BF9CA"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0" w:type="auto"/>
            <w:vAlign w:val="center"/>
            <w:hideMark/>
          </w:tcPr>
          <w:p w14:paraId="107A7A99"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45BE0C9C"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26F68C06"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tcPr>
          <w:p w14:paraId="5B66835E"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0" w:type="auto"/>
            <w:vAlign w:val="center"/>
          </w:tcPr>
          <w:p w14:paraId="06CA880A"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eastAsia="fr-FR" w:bidi="fr-FR"/>
              </w:rPr>
              <w:t> </w:t>
            </w:r>
          </w:p>
        </w:tc>
        <w:tc>
          <w:tcPr>
            <w:tcW w:w="0" w:type="auto"/>
            <w:shd w:val="clear" w:color="000000" w:fill="D9D9D9"/>
            <w:vAlign w:val="center"/>
            <w:hideMark/>
          </w:tcPr>
          <w:p w14:paraId="22D1A7C6"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 </w:t>
            </w:r>
          </w:p>
        </w:tc>
        <w:tc>
          <w:tcPr>
            <w:tcW w:w="0" w:type="auto"/>
          </w:tcPr>
          <w:p w14:paraId="601E1CFC"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vAlign w:val="center"/>
            <w:hideMark/>
          </w:tcPr>
          <w:p w14:paraId="7E4AE960"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1AE8156B"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548A61FE"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5BDE28FC"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vAlign w:val="center"/>
            <w:hideMark/>
          </w:tcPr>
          <w:p w14:paraId="74D731F9"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right w:val="single" w:sz="12" w:space="0" w:color="000000"/>
            </w:tcBorders>
            <w:vAlign w:val="center"/>
          </w:tcPr>
          <w:p w14:paraId="7EA502E8"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eastAsia="fr-FR" w:bidi="fr-FR"/>
              </w:rPr>
              <w:t> </w:t>
            </w:r>
          </w:p>
        </w:tc>
      </w:tr>
      <w:tr w:rsidR="009123AC" w:rsidRPr="00F0379B" w14:paraId="4265C6CE" w14:textId="77777777" w:rsidTr="00CA749B">
        <w:trPr>
          <w:trHeight w:val="23"/>
        </w:trPr>
        <w:tc>
          <w:tcPr>
            <w:tcW w:w="3625" w:type="dxa"/>
            <w:tcBorders>
              <w:left w:val="single" w:sz="12" w:space="0" w:color="000000"/>
            </w:tcBorders>
            <w:noWrap/>
            <w:vAlign w:val="center"/>
            <w:hideMark/>
          </w:tcPr>
          <w:p w14:paraId="5249B06A"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Almadrabas</w:t>
            </w:r>
          </w:p>
        </w:tc>
        <w:tc>
          <w:tcPr>
            <w:tcW w:w="2563" w:type="dxa"/>
            <w:noWrap/>
            <w:vAlign w:val="center"/>
            <w:hideMark/>
          </w:tcPr>
          <w:p w14:paraId="7001B32A"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130</w:t>
            </w:r>
          </w:p>
        </w:tc>
        <w:tc>
          <w:tcPr>
            <w:tcW w:w="0" w:type="auto"/>
          </w:tcPr>
          <w:p w14:paraId="0C43383D"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noWrap/>
            <w:vAlign w:val="center"/>
            <w:hideMark/>
          </w:tcPr>
          <w:p w14:paraId="09D137E2"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0" w:type="auto"/>
            <w:vAlign w:val="center"/>
            <w:hideMark/>
          </w:tcPr>
          <w:p w14:paraId="3A5983A9"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171CCAD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469DF817"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tcPr>
          <w:p w14:paraId="3543525D"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c>
          <w:tcPr>
            <w:tcW w:w="0" w:type="auto"/>
            <w:vAlign w:val="center"/>
          </w:tcPr>
          <w:p w14:paraId="72BB829D"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b/>
                <w:bCs/>
                <w:color w:val="000000"/>
                <w:sz w:val="16"/>
                <w:szCs w:val="16"/>
                <w:lang w:eastAsia="fr-FR" w:bidi="fr-FR"/>
              </w:rPr>
              <w:t> </w:t>
            </w:r>
          </w:p>
        </w:tc>
        <w:tc>
          <w:tcPr>
            <w:tcW w:w="0" w:type="auto"/>
            <w:shd w:val="clear" w:color="000000" w:fill="D9D9D9"/>
            <w:vAlign w:val="center"/>
            <w:hideMark/>
          </w:tcPr>
          <w:p w14:paraId="1E8EB028"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 </w:t>
            </w:r>
          </w:p>
        </w:tc>
        <w:tc>
          <w:tcPr>
            <w:tcW w:w="0" w:type="auto"/>
          </w:tcPr>
          <w:p w14:paraId="6308B064"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vAlign w:val="center"/>
            <w:hideMark/>
          </w:tcPr>
          <w:p w14:paraId="5F63DF91"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1584A57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1CCC1C93"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5D70E72D"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4F6196E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tcBorders>
              <w:right w:val="single" w:sz="12" w:space="0" w:color="000000"/>
            </w:tcBorders>
            <w:vAlign w:val="center"/>
          </w:tcPr>
          <w:p w14:paraId="6DE69818"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MS Gothic" w:hAnsi="Cambria" w:cs="Times New Roman"/>
                <w:color w:val="000000"/>
                <w:sz w:val="16"/>
                <w:szCs w:val="16"/>
                <w:lang w:eastAsia="fr-FR" w:bidi="fr-FR"/>
              </w:rPr>
              <w:t> </w:t>
            </w:r>
          </w:p>
        </w:tc>
      </w:tr>
      <w:tr w:rsidR="009123AC" w:rsidRPr="00F0379B" w14:paraId="511D9778" w14:textId="77777777" w:rsidTr="00CA749B">
        <w:trPr>
          <w:trHeight w:val="23"/>
        </w:trPr>
        <w:tc>
          <w:tcPr>
            <w:tcW w:w="3625" w:type="dxa"/>
            <w:tcBorders>
              <w:left w:val="single" w:sz="12" w:space="0" w:color="000000"/>
            </w:tcBorders>
            <w:vAlign w:val="center"/>
            <w:hideMark/>
          </w:tcPr>
          <w:p w14:paraId="5588B0DD"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Pequeños barcos costeros</w:t>
            </w:r>
          </w:p>
        </w:tc>
        <w:tc>
          <w:tcPr>
            <w:tcW w:w="2563" w:type="dxa"/>
            <w:noWrap/>
            <w:vAlign w:val="center"/>
            <w:hideMark/>
          </w:tcPr>
          <w:p w14:paraId="77F5FAEE"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N/A</w:t>
            </w:r>
          </w:p>
        </w:tc>
        <w:tc>
          <w:tcPr>
            <w:tcW w:w="0" w:type="auto"/>
          </w:tcPr>
          <w:p w14:paraId="32A864D6"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noWrap/>
            <w:vAlign w:val="center"/>
            <w:hideMark/>
          </w:tcPr>
          <w:p w14:paraId="013140A2"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0" w:type="auto"/>
            <w:vAlign w:val="center"/>
            <w:hideMark/>
          </w:tcPr>
          <w:p w14:paraId="598946FD"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02754456"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sz w:val="16"/>
                <w:szCs w:val="16"/>
                <w:lang w:val="en-US" w:eastAsia="ja-JP"/>
              </w:rPr>
              <w:t>30</w:t>
            </w:r>
          </w:p>
        </w:tc>
        <w:tc>
          <w:tcPr>
            <w:tcW w:w="0" w:type="auto"/>
            <w:vAlign w:val="center"/>
            <w:hideMark/>
          </w:tcPr>
          <w:p w14:paraId="67CB4FD0"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sz w:val="16"/>
                <w:szCs w:val="16"/>
                <w:lang w:val="en-US" w:eastAsia="ja-JP"/>
              </w:rPr>
              <w:t>30</w:t>
            </w:r>
          </w:p>
        </w:tc>
        <w:tc>
          <w:tcPr>
            <w:tcW w:w="0" w:type="auto"/>
            <w:vAlign w:val="center"/>
          </w:tcPr>
          <w:p w14:paraId="7DC1BDB8"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sz w:val="16"/>
                <w:szCs w:val="16"/>
                <w:lang w:val="en-US" w:eastAsia="ja-JP"/>
              </w:rPr>
              <w:t>30</w:t>
            </w:r>
          </w:p>
        </w:tc>
        <w:tc>
          <w:tcPr>
            <w:tcW w:w="0" w:type="auto"/>
            <w:vAlign w:val="center"/>
          </w:tcPr>
          <w:p w14:paraId="0C9846EA"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eastAsia="fr-FR" w:bidi="fr-FR"/>
              </w:rPr>
              <w:t>40</w:t>
            </w:r>
          </w:p>
        </w:tc>
        <w:tc>
          <w:tcPr>
            <w:tcW w:w="0" w:type="auto"/>
            <w:shd w:val="clear" w:color="000000" w:fill="D9D9D9"/>
            <w:vAlign w:val="center"/>
            <w:hideMark/>
          </w:tcPr>
          <w:p w14:paraId="48E53747"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 </w:t>
            </w:r>
          </w:p>
        </w:tc>
        <w:tc>
          <w:tcPr>
            <w:tcW w:w="0" w:type="auto"/>
          </w:tcPr>
          <w:p w14:paraId="1C868872"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vAlign w:val="center"/>
            <w:hideMark/>
          </w:tcPr>
          <w:p w14:paraId="702D353C"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11602501"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3078418D"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sz w:val="16"/>
                <w:szCs w:val="16"/>
                <w:lang w:val="en-US" w:eastAsia="ja-JP"/>
              </w:rPr>
              <w:t>40</w:t>
            </w:r>
          </w:p>
        </w:tc>
        <w:tc>
          <w:tcPr>
            <w:tcW w:w="0" w:type="auto"/>
            <w:vAlign w:val="center"/>
            <w:hideMark/>
          </w:tcPr>
          <w:p w14:paraId="10777BD1"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sz w:val="16"/>
                <w:szCs w:val="16"/>
                <w:lang w:val="en-US" w:eastAsia="ja-JP"/>
              </w:rPr>
              <w:t>40</w:t>
            </w:r>
          </w:p>
        </w:tc>
        <w:tc>
          <w:tcPr>
            <w:tcW w:w="0" w:type="auto"/>
            <w:vAlign w:val="center"/>
            <w:hideMark/>
          </w:tcPr>
          <w:p w14:paraId="52D5C03D"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sz w:val="16"/>
                <w:szCs w:val="16"/>
                <w:lang w:val="en-US" w:eastAsia="ja-JP"/>
              </w:rPr>
              <w:t>40</w:t>
            </w:r>
          </w:p>
        </w:tc>
        <w:tc>
          <w:tcPr>
            <w:tcW w:w="0" w:type="auto"/>
            <w:tcBorders>
              <w:right w:val="single" w:sz="12" w:space="0" w:color="000000"/>
            </w:tcBorders>
            <w:vAlign w:val="center"/>
          </w:tcPr>
          <w:p w14:paraId="6D3CD0A7"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MS Gothic" w:hAnsi="Cambria" w:cs="Times New Roman"/>
                <w:color w:val="000000"/>
                <w:sz w:val="16"/>
                <w:szCs w:val="16"/>
                <w:lang w:val="en-US" w:eastAsia="fr-FR" w:bidi="fr-FR"/>
              </w:rPr>
              <w:t>40</w:t>
            </w:r>
          </w:p>
        </w:tc>
      </w:tr>
      <w:tr w:rsidR="009123AC" w:rsidRPr="00F0379B" w14:paraId="1A056D63" w14:textId="77777777" w:rsidTr="00CA749B">
        <w:trPr>
          <w:trHeight w:val="23"/>
        </w:trPr>
        <w:tc>
          <w:tcPr>
            <w:tcW w:w="3625" w:type="dxa"/>
            <w:tcBorders>
              <w:left w:val="single" w:sz="12" w:space="0" w:color="000000"/>
            </w:tcBorders>
            <w:vAlign w:val="center"/>
            <w:hideMark/>
          </w:tcPr>
          <w:p w14:paraId="7748B9B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Otros (especificar)</w:t>
            </w:r>
          </w:p>
        </w:tc>
        <w:tc>
          <w:tcPr>
            <w:tcW w:w="2563" w:type="dxa"/>
            <w:noWrap/>
            <w:vAlign w:val="center"/>
            <w:hideMark/>
          </w:tcPr>
          <w:p w14:paraId="3C09D3F6"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w:t>
            </w:r>
          </w:p>
        </w:tc>
        <w:tc>
          <w:tcPr>
            <w:tcW w:w="0" w:type="auto"/>
          </w:tcPr>
          <w:p w14:paraId="6015519E"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noWrap/>
            <w:vAlign w:val="center"/>
            <w:hideMark/>
          </w:tcPr>
          <w:p w14:paraId="2CE8FEA7"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0" w:type="auto"/>
            <w:vAlign w:val="center"/>
            <w:hideMark/>
          </w:tcPr>
          <w:p w14:paraId="017E27DC"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5FCBD892"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2A4034FB"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tcPr>
          <w:p w14:paraId="7C3D3B40"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c>
          <w:tcPr>
            <w:tcW w:w="0" w:type="auto"/>
            <w:vAlign w:val="center"/>
          </w:tcPr>
          <w:p w14:paraId="5416FDAF"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b/>
                <w:bCs/>
                <w:color w:val="000000"/>
                <w:sz w:val="16"/>
                <w:szCs w:val="16"/>
                <w:lang w:eastAsia="fr-FR" w:bidi="fr-FR"/>
              </w:rPr>
              <w:t> </w:t>
            </w:r>
          </w:p>
        </w:tc>
        <w:tc>
          <w:tcPr>
            <w:tcW w:w="0" w:type="auto"/>
            <w:shd w:val="clear" w:color="000000" w:fill="D9D9D9"/>
            <w:vAlign w:val="center"/>
            <w:hideMark/>
          </w:tcPr>
          <w:p w14:paraId="110F1119"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 </w:t>
            </w:r>
          </w:p>
        </w:tc>
        <w:tc>
          <w:tcPr>
            <w:tcW w:w="0" w:type="auto"/>
          </w:tcPr>
          <w:p w14:paraId="0A0F9C7D"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vAlign w:val="center"/>
            <w:hideMark/>
          </w:tcPr>
          <w:p w14:paraId="13F327ED"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724F71A2"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6CC7391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31E59D6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vAlign w:val="center"/>
            <w:hideMark/>
          </w:tcPr>
          <w:p w14:paraId="50D3D92C"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tcBorders>
              <w:right w:val="single" w:sz="12" w:space="0" w:color="000000"/>
            </w:tcBorders>
            <w:vAlign w:val="center"/>
          </w:tcPr>
          <w:p w14:paraId="6A3F50A3"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MS Gothic" w:hAnsi="Cambria" w:cs="Times New Roman"/>
                <w:color w:val="000000"/>
                <w:sz w:val="16"/>
                <w:szCs w:val="16"/>
                <w:lang w:eastAsia="fr-FR" w:bidi="fr-FR"/>
              </w:rPr>
              <w:t> </w:t>
            </w:r>
          </w:p>
        </w:tc>
      </w:tr>
      <w:tr w:rsidR="009123AC" w:rsidRPr="00F0379B" w14:paraId="7D0CF088" w14:textId="77777777" w:rsidTr="00CA749B">
        <w:trPr>
          <w:trHeight w:val="23"/>
        </w:trPr>
        <w:tc>
          <w:tcPr>
            <w:tcW w:w="3625" w:type="dxa"/>
            <w:tcBorders>
              <w:left w:val="single" w:sz="12" w:space="0" w:color="000000"/>
              <w:bottom w:val="single" w:sz="12" w:space="0" w:color="000000"/>
            </w:tcBorders>
            <w:noWrap/>
            <w:vAlign w:val="center"/>
            <w:hideMark/>
          </w:tcPr>
          <w:p w14:paraId="5D421F38"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Capacidad pesquera/flota total</w:t>
            </w:r>
          </w:p>
        </w:tc>
        <w:tc>
          <w:tcPr>
            <w:tcW w:w="2563" w:type="dxa"/>
            <w:tcBorders>
              <w:bottom w:val="single" w:sz="12" w:space="0" w:color="000000"/>
            </w:tcBorders>
            <w:noWrap/>
            <w:vAlign w:val="center"/>
            <w:hideMark/>
          </w:tcPr>
          <w:p w14:paraId="4CB48048" w14:textId="77777777" w:rsidR="009123AC" w:rsidRPr="00F0379B" w:rsidRDefault="009123AC" w:rsidP="009123AC">
            <w:pPr>
              <w:spacing w:after="0" w:line="240" w:lineRule="auto"/>
              <w:jc w:val="right"/>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 </w:t>
            </w:r>
          </w:p>
        </w:tc>
        <w:tc>
          <w:tcPr>
            <w:tcW w:w="0" w:type="auto"/>
            <w:tcBorders>
              <w:bottom w:val="single" w:sz="12" w:space="0" w:color="000000"/>
            </w:tcBorders>
          </w:tcPr>
          <w:p w14:paraId="43AA3B4C"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tcBorders>
              <w:bottom w:val="single" w:sz="12" w:space="0" w:color="000000"/>
            </w:tcBorders>
            <w:noWrap/>
            <w:vAlign w:val="center"/>
            <w:hideMark/>
          </w:tcPr>
          <w:p w14:paraId="74B1B716"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0" w:type="auto"/>
            <w:tcBorders>
              <w:bottom w:val="single" w:sz="12" w:space="0" w:color="000000"/>
            </w:tcBorders>
            <w:vAlign w:val="center"/>
            <w:hideMark/>
          </w:tcPr>
          <w:p w14:paraId="60C9B715"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eastAsia="ja-JP"/>
              </w:rPr>
              <w:t>2</w:t>
            </w:r>
          </w:p>
        </w:tc>
        <w:tc>
          <w:tcPr>
            <w:tcW w:w="0" w:type="auto"/>
            <w:tcBorders>
              <w:bottom w:val="single" w:sz="12" w:space="0" w:color="000000"/>
            </w:tcBorders>
            <w:vAlign w:val="center"/>
            <w:hideMark/>
          </w:tcPr>
          <w:p w14:paraId="358196A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38</w:t>
            </w:r>
          </w:p>
        </w:tc>
        <w:tc>
          <w:tcPr>
            <w:tcW w:w="0" w:type="auto"/>
            <w:tcBorders>
              <w:bottom w:val="single" w:sz="12" w:space="0" w:color="000000"/>
            </w:tcBorders>
            <w:vAlign w:val="center"/>
            <w:hideMark/>
          </w:tcPr>
          <w:p w14:paraId="477CEEA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38</w:t>
            </w:r>
          </w:p>
        </w:tc>
        <w:tc>
          <w:tcPr>
            <w:tcW w:w="0" w:type="auto"/>
            <w:tcBorders>
              <w:bottom w:val="single" w:sz="12" w:space="0" w:color="000000"/>
            </w:tcBorders>
            <w:vAlign w:val="center"/>
          </w:tcPr>
          <w:p w14:paraId="1EDBD3FC"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color w:val="000000"/>
                <w:sz w:val="16"/>
                <w:szCs w:val="16"/>
                <w:lang w:val="en-US" w:eastAsia="ja-JP"/>
              </w:rPr>
              <w:t>41</w:t>
            </w:r>
          </w:p>
        </w:tc>
        <w:tc>
          <w:tcPr>
            <w:tcW w:w="0" w:type="auto"/>
            <w:tcBorders>
              <w:bottom w:val="single" w:sz="12" w:space="0" w:color="000000"/>
            </w:tcBorders>
            <w:vAlign w:val="center"/>
          </w:tcPr>
          <w:p w14:paraId="72602C2E"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b/>
                <w:bCs/>
                <w:color w:val="000000"/>
                <w:sz w:val="16"/>
                <w:szCs w:val="16"/>
                <w:lang w:eastAsia="fr-FR" w:bidi="fr-FR"/>
              </w:rPr>
              <w:t>70</w:t>
            </w:r>
          </w:p>
        </w:tc>
        <w:tc>
          <w:tcPr>
            <w:tcW w:w="0" w:type="auto"/>
            <w:tcBorders>
              <w:bottom w:val="single" w:sz="12" w:space="0" w:color="000000"/>
            </w:tcBorders>
            <w:shd w:val="clear" w:color="000000" w:fill="D9D9D9"/>
            <w:hideMark/>
          </w:tcPr>
          <w:p w14:paraId="6E8BE568"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tcBorders>
              <w:bottom w:val="single" w:sz="12" w:space="0" w:color="000000"/>
            </w:tcBorders>
            <w:vAlign w:val="center"/>
          </w:tcPr>
          <w:p w14:paraId="07ECBB00"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b/>
                <w:bCs/>
                <w:sz w:val="16"/>
                <w:szCs w:val="16"/>
                <w:lang w:eastAsia="ja-JP"/>
              </w:rPr>
              <w:t> </w:t>
            </w:r>
          </w:p>
        </w:tc>
        <w:tc>
          <w:tcPr>
            <w:tcW w:w="0" w:type="auto"/>
            <w:tcBorders>
              <w:bottom w:val="single" w:sz="12" w:space="0" w:color="000000"/>
            </w:tcBorders>
            <w:vAlign w:val="center"/>
            <w:hideMark/>
          </w:tcPr>
          <w:p w14:paraId="1FCE97FD"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0" w:type="auto"/>
            <w:tcBorders>
              <w:bottom w:val="single" w:sz="12" w:space="0" w:color="000000"/>
            </w:tcBorders>
            <w:vAlign w:val="center"/>
            <w:hideMark/>
          </w:tcPr>
          <w:p w14:paraId="53A98619"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99,56</w:t>
            </w:r>
          </w:p>
        </w:tc>
        <w:tc>
          <w:tcPr>
            <w:tcW w:w="0" w:type="auto"/>
            <w:tcBorders>
              <w:bottom w:val="single" w:sz="12" w:space="0" w:color="000000"/>
            </w:tcBorders>
            <w:noWrap/>
            <w:vAlign w:val="center"/>
            <w:hideMark/>
          </w:tcPr>
          <w:p w14:paraId="298A47F9"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480,08</w:t>
            </w:r>
          </w:p>
        </w:tc>
        <w:tc>
          <w:tcPr>
            <w:tcW w:w="0" w:type="auto"/>
            <w:tcBorders>
              <w:bottom w:val="single" w:sz="12" w:space="0" w:color="000000"/>
            </w:tcBorders>
            <w:noWrap/>
            <w:vAlign w:val="center"/>
            <w:hideMark/>
          </w:tcPr>
          <w:p w14:paraId="38F7DB99"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455,3</w:t>
            </w:r>
          </w:p>
        </w:tc>
        <w:tc>
          <w:tcPr>
            <w:tcW w:w="0" w:type="auto"/>
            <w:tcBorders>
              <w:bottom w:val="single" w:sz="12" w:space="0" w:color="000000"/>
            </w:tcBorders>
            <w:noWrap/>
            <w:vAlign w:val="center"/>
            <w:hideMark/>
          </w:tcPr>
          <w:p w14:paraId="17B042A5"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530,3</w:t>
            </w:r>
          </w:p>
        </w:tc>
        <w:tc>
          <w:tcPr>
            <w:tcW w:w="0" w:type="auto"/>
            <w:tcBorders>
              <w:bottom w:val="single" w:sz="12" w:space="0" w:color="000000"/>
              <w:right w:val="single" w:sz="12" w:space="0" w:color="000000"/>
            </w:tcBorders>
            <w:vAlign w:val="center"/>
          </w:tcPr>
          <w:p w14:paraId="5FF9610C"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MS Gothic" w:hAnsi="Cambria" w:cs="Times New Roman"/>
                <w:b/>
                <w:bCs/>
                <w:color w:val="000000"/>
                <w:sz w:val="16"/>
                <w:szCs w:val="16"/>
                <w:lang w:val="en-US" w:eastAsia="fr-FR" w:bidi="fr-FR"/>
              </w:rPr>
              <w:t>928,28</w:t>
            </w:r>
          </w:p>
        </w:tc>
      </w:tr>
      <w:tr w:rsidR="009123AC" w:rsidRPr="00F0379B" w14:paraId="69B5E704" w14:textId="77777777" w:rsidTr="00CA749B">
        <w:trPr>
          <w:trHeight w:val="23"/>
        </w:trPr>
        <w:tc>
          <w:tcPr>
            <w:tcW w:w="3625" w:type="dxa"/>
            <w:tcBorders>
              <w:top w:val="single" w:sz="12" w:space="0" w:color="000000"/>
              <w:left w:val="single" w:sz="12" w:space="0" w:color="000000"/>
            </w:tcBorders>
            <w:shd w:val="clear" w:color="auto" w:fill="D9D9D9"/>
            <w:noWrap/>
            <w:vAlign w:val="center"/>
            <w:hideMark/>
          </w:tcPr>
          <w:p w14:paraId="7474962D"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inicial</w:t>
            </w:r>
          </w:p>
        </w:tc>
        <w:tc>
          <w:tcPr>
            <w:tcW w:w="2563" w:type="dxa"/>
            <w:tcBorders>
              <w:top w:val="single" w:sz="12" w:space="0" w:color="000000"/>
            </w:tcBorders>
            <w:shd w:val="clear" w:color="auto" w:fill="D9D9D9"/>
            <w:noWrap/>
            <w:vAlign w:val="center"/>
            <w:hideMark/>
          </w:tcPr>
          <w:p w14:paraId="37B23775" w14:textId="77777777" w:rsidR="009123AC" w:rsidRPr="00F0379B" w:rsidRDefault="009123AC" w:rsidP="009123AC">
            <w:pPr>
              <w:spacing w:after="0" w:line="240" w:lineRule="auto"/>
              <w:jc w:val="right"/>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 </w:t>
            </w:r>
          </w:p>
        </w:tc>
        <w:tc>
          <w:tcPr>
            <w:tcW w:w="0" w:type="auto"/>
            <w:tcBorders>
              <w:top w:val="single" w:sz="12" w:space="0" w:color="000000"/>
            </w:tcBorders>
            <w:shd w:val="clear" w:color="auto" w:fill="D9D9D9"/>
          </w:tcPr>
          <w:p w14:paraId="4B0647C3"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tcBorders>
              <w:top w:val="single" w:sz="12" w:space="0" w:color="000000"/>
            </w:tcBorders>
            <w:shd w:val="clear" w:color="auto" w:fill="D9D9D9"/>
            <w:noWrap/>
            <w:vAlign w:val="center"/>
            <w:hideMark/>
          </w:tcPr>
          <w:p w14:paraId="4AFBEFE3"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0" w:type="auto"/>
            <w:tcBorders>
              <w:top w:val="single" w:sz="12" w:space="0" w:color="000000"/>
            </w:tcBorders>
            <w:shd w:val="clear" w:color="auto" w:fill="D9D9D9"/>
            <w:vAlign w:val="center"/>
            <w:hideMark/>
          </w:tcPr>
          <w:p w14:paraId="3E2EAE75"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top w:val="single" w:sz="12" w:space="0" w:color="000000"/>
            </w:tcBorders>
            <w:shd w:val="clear" w:color="auto" w:fill="D9D9D9"/>
            <w:vAlign w:val="center"/>
            <w:hideMark/>
          </w:tcPr>
          <w:p w14:paraId="1FE793ED"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top w:val="single" w:sz="12" w:space="0" w:color="000000"/>
            </w:tcBorders>
            <w:shd w:val="clear" w:color="auto" w:fill="D9D9D9"/>
            <w:vAlign w:val="center"/>
            <w:hideMark/>
          </w:tcPr>
          <w:p w14:paraId="1222A146"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top w:val="single" w:sz="12" w:space="0" w:color="000000"/>
            </w:tcBorders>
            <w:shd w:val="clear" w:color="auto" w:fill="D9D9D9"/>
            <w:vAlign w:val="center"/>
          </w:tcPr>
          <w:p w14:paraId="5591BA6B"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0" w:type="auto"/>
            <w:tcBorders>
              <w:top w:val="single" w:sz="12" w:space="0" w:color="000000"/>
            </w:tcBorders>
            <w:shd w:val="clear" w:color="auto" w:fill="D9D9D9"/>
            <w:vAlign w:val="center"/>
          </w:tcPr>
          <w:p w14:paraId="52A9795B"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0" w:type="auto"/>
            <w:tcBorders>
              <w:top w:val="single" w:sz="12" w:space="0" w:color="000000"/>
            </w:tcBorders>
            <w:shd w:val="clear" w:color="auto" w:fill="D9D9D9"/>
            <w:vAlign w:val="center"/>
            <w:hideMark/>
          </w:tcPr>
          <w:p w14:paraId="4AA173C5"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 </w:t>
            </w:r>
          </w:p>
        </w:tc>
        <w:tc>
          <w:tcPr>
            <w:tcW w:w="0" w:type="auto"/>
            <w:tcBorders>
              <w:top w:val="single" w:sz="12" w:space="0" w:color="000000"/>
            </w:tcBorders>
            <w:shd w:val="clear" w:color="auto" w:fill="D9D9D9"/>
          </w:tcPr>
          <w:p w14:paraId="2EE332FF"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tcBorders>
              <w:top w:val="single" w:sz="12" w:space="0" w:color="000000"/>
            </w:tcBorders>
            <w:shd w:val="clear" w:color="auto" w:fill="D9D9D9"/>
            <w:vAlign w:val="center"/>
            <w:hideMark/>
          </w:tcPr>
          <w:p w14:paraId="5D281FBA"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top w:val="single" w:sz="12" w:space="0" w:color="000000"/>
            </w:tcBorders>
            <w:shd w:val="clear" w:color="auto" w:fill="D9D9D9"/>
            <w:vAlign w:val="center"/>
            <w:hideMark/>
          </w:tcPr>
          <w:p w14:paraId="6755FA2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b/>
                <w:bCs/>
                <w:sz w:val="16"/>
                <w:szCs w:val="16"/>
                <w:lang w:val="en-US" w:eastAsia="ja-JP"/>
              </w:rPr>
              <w:t>104</w:t>
            </w:r>
          </w:p>
        </w:tc>
        <w:tc>
          <w:tcPr>
            <w:tcW w:w="0" w:type="auto"/>
            <w:tcBorders>
              <w:top w:val="single" w:sz="12" w:space="0" w:color="000000"/>
            </w:tcBorders>
            <w:shd w:val="clear" w:color="auto" w:fill="D9D9D9"/>
            <w:vAlign w:val="center"/>
            <w:hideMark/>
          </w:tcPr>
          <w:p w14:paraId="686ADDB2"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b/>
                <w:bCs/>
                <w:sz w:val="16"/>
                <w:szCs w:val="16"/>
                <w:lang w:val="en-US" w:eastAsia="ja-JP"/>
              </w:rPr>
              <w:t>368</w:t>
            </w:r>
          </w:p>
        </w:tc>
        <w:tc>
          <w:tcPr>
            <w:tcW w:w="0" w:type="auto"/>
            <w:tcBorders>
              <w:top w:val="single" w:sz="12" w:space="0" w:color="000000"/>
            </w:tcBorders>
            <w:shd w:val="clear" w:color="auto" w:fill="D9D9D9"/>
            <w:vAlign w:val="center"/>
            <w:hideMark/>
          </w:tcPr>
          <w:p w14:paraId="66C7D798"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b/>
                <w:bCs/>
                <w:sz w:val="16"/>
                <w:szCs w:val="16"/>
                <w:lang w:val="en-US" w:eastAsia="ja-JP"/>
              </w:rPr>
              <w:t>368</w:t>
            </w:r>
          </w:p>
        </w:tc>
        <w:tc>
          <w:tcPr>
            <w:tcW w:w="0" w:type="auto"/>
            <w:tcBorders>
              <w:top w:val="single" w:sz="12" w:space="0" w:color="000000"/>
            </w:tcBorders>
            <w:shd w:val="clear" w:color="auto" w:fill="D9D9D9"/>
            <w:vAlign w:val="center"/>
            <w:hideMark/>
          </w:tcPr>
          <w:p w14:paraId="1BA6CB92"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b/>
                <w:bCs/>
                <w:sz w:val="16"/>
                <w:szCs w:val="16"/>
                <w:lang w:val="en-US" w:eastAsia="ja-JP"/>
              </w:rPr>
              <w:t>368</w:t>
            </w:r>
          </w:p>
        </w:tc>
        <w:tc>
          <w:tcPr>
            <w:tcW w:w="0" w:type="auto"/>
            <w:tcBorders>
              <w:top w:val="single" w:sz="12" w:space="0" w:color="000000"/>
              <w:right w:val="single" w:sz="12" w:space="0" w:color="000000"/>
            </w:tcBorders>
            <w:shd w:val="clear" w:color="auto" w:fill="D9D9D9"/>
            <w:vAlign w:val="center"/>
          </w:tcPr>
          <w:p w14:paraId="68DC6259"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b/>
                <w:bCs/>
                <w:color w:val="000000"/>
                <w:sz w:val="16"/>
                <w:szCs w:val="16"/>
                <w:lang w:val="en-US" w:eastAsia="fr-FR" w:bidi="fr-FR"/>
              </w:rPr>
              <w:t>461,38</w:t>
            </w:r>
          </w:p>
        </w:tc>
      </w:tr>
      <w:tr w:rsidR="009123AC" w:rsidRPr="00F0379B" w14:paraId="5346A754" w14:textId="77777777" w:rsidTr="00CA749B">
        <w:trPr>
          <w:trHeight w:val="23"/>
        </w:trPr>
        <w:tc>
          <w:tcPr>
            <w:tcW w:w="3625" w:type="dxa"/>
            <w:tcBorders>
              <w:left w:val="single" w:sz="12" w:space="0" w:color="000000"/>
              <w:bottom w:val="single" w:sz="12" w:space="0" w:color="000000"/>
            </w:tcBorders>
            <w:shd w:val="clear" w:color="auto" w:fill="D9D9D9"/>
            <w:noWrap/>
            <w:vAlign w:val="center"/>
          </w:tcPr>
          <w:p w14:paraId="026C79DF"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ajustada (si procede)</w:t>
            </w:r>
          </w:p>
        </w:tc>
        <w:tc>
          <w:tcPr>
            <w:tcW w:w="2563" w:type="dxa"/>
            <w:tcBorders>
              <w:bottom w:val="single" w:sz="12" w:space="0" w:color="000000"/>
            </w:tcBorders>
            <w:shd w:val="clear" w:color="auto" w:fill="D9D9D9"/>
            <w:noWrap/>
            <w:vAlign w:val="center"/>
          </w:tcPr>
          <w:p w14:paraId="168C0554" w14:textId="77777777" w:rsidR="009123AC" w:rsidRPr="00F0379B" w:rsidRDefault="009123AC" w:rsidP="009123AC">
            <w:pPr>
              <w:spacing w:after="0" w:line="240" w:lineRule="auto"/>
              <w:jc w:val="right"/>
              <w:rPr>
                <w:rFonts w:ascii="Cambria" w:eastAsia="Times New Roman" w:hAnsi="Cambria" w:cs="Calibri"/>
                <w:sz w:val="16"/>
                <w:szCs w:val="16"/>
                <w:lang w:eastAsia="ja-JP"/>
              </w:rPr>
            </w:pPr>
          </w:p>
        </w:tc>
        <w:tc>
          <w:tcPr>
            <w:tcW w:w="0" w:type="auto"/>
            <w:tcBorders>
              <w:bottom w:val="single" w:sz="12" w:space="0" w:color="000000"/>
            </w:tcBorders>
            <w:shd w:val="clear" w:color="auto" w:fill="D9D9D9"/>
          </w:tcPr>
          <w:p w14:paraId="14B52C88"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tcBorders>
              <w:bottom w:val="single" w:sz="12" w:space="0" w:color="000000"/>
            </w:tcBorders>
            <w:shd w:val="clear" w:color="auto" w:fill="D9D9D9"/>
            <w:noWrap/>
            <w:vAlign w:val="center"/>
          </w:tcPr>
          <w:p w14:paraId="057A0CB1"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tcBorders>
              <w:bottom w:val="single" w:sz="12" w:space="0" w:color="000000"/>
            </w:tcBorders>
            <w:shd w:val="clear" w:color="auto" w:fill="D9D9D9"/>
            <w:vAlign w:val="center"/>
          </w:tcPr>
          <w:p w14:paraId="36458704"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0" w:type="auto"/>
            <w:tcBorders>
              <w:bottom w:val="single" w:sz="12" w:space="0" w:color="000000"/>
            </w:tcBorders>
            <w:shd w:val="clear" w:color="auto" w:fill="D9D9D9"/>
            <w:vAlign w:val="center"/>
          </w:tcPr>
          <w:p w14:paraId="24597E72"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0" w:type="auto"/>
            <w:tcBorders>
              <w:bottom w:val="single" w:sz="12" w:space="0" w:color="000000"/>
            </w:tcBorders>
            <w:shd w:val="clear" w:color="auto" w:fill="D9D9D9"/>
            <w:vAlign w:val="center"/>
          </w:tcPr>
          <w:p w14:paraId="185494A9"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0" w:type="auto"/>
            <w:tcBorders>
              <w:bottom w:val="single" w:sz="12" w:space="0" w:color="000000"/>
            </w:tcBorders>
            <w:shd w:val="clear" w:color="auto" w:fill="D9D9D9"/>
            <w:vAlign w:val="center"/>
          </w:tcPr>
          <w:p w14:paraId="7FD7E88A"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0" w:type="auto"/>
            <w:tcBorders>
              <w:bottom w:val="single" w:sz="12" w:space="0" w:color="000000"/>
            </w:tcBorders>
            <w:shd w:val="clear" w:color="auto" w:fill="D9D9D9"/>
          </w:tcPr>
          <w:p w14:paraId="1900EB79"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0" w:type="auto"/>
            <w:tcBorders>
              <w:bottom w:val="single" w:sz="12" w:space="0" w:color="000000"/>
            </w:tcBorders>
            <w:shd w:val="clear" w:color="auto" w:fill="D9D9D9"/>
            <w:vAlign w:val="center"/>
          </w:tcPr>
          <w:p w14:paraId="535645D1"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 </w:t>
            </w:r>
          </w:p>
        </w:tc>
        <w:tc>
          <w:tcPr>
            <w:tcW w:w="0" w:type="auto"/>
            <w:tcBorders>
              <w:bottom w:val="single" w:sz="12" w:space="0" w:color="000000"/>
            </w:tcBorders>
            <w:shd w:val="clear" w:color="auto" w:fill="D9D9D9"/>
          </w:tcPr>
          <w:p w14:paraId="2FC139FE"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tcBorders>
              <w:bottom w:val="single" w:sz="12" w:space="0" w:color="000000"/>
            </w:tcBorders>
            <w:shd w:val="clear" w:color="auto" w:fill="D9D9D9"/>
            <w:vAlign w:val="center"/>
          </w:tcPr>
          <w:p w14:paraId="22DAA1AA"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tcBorders>
              <w:bottom w:val="single" w:sz="12" w:space="0" w:color="000000"/>
            </w:tcBorders>
            <w:shd w:val="clear" w:color="auto" w:fill="D9D9D9"/>
            <w:vAlign w:val="center"/>
          </w:tcPr>
          <w:p w14:paraId="3878A8D0"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0" w:type="auto"/>
            <w:tcBorders>
              <w:bottom w:val="single" w:sz="12" w:space="0" w:color="000000"/>
            </w:tcBorders>
            <w:shd w:val="clear" w:color="auto" w:fill="D9D9D9"/>
            <w:vAlign w:val="center"/>
          </w:tcPr>
          <w:p w14:paraId="07F0F3EE"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383</w:t>
            </w:r>
          </w:p>
        </w:tc>
        <w:tc>
          <w:tcPr>
            <w:tcW w:w="0" w:type="auto"/>
            <w:tcBorders>
              <w:bottom w:val="single" w:sz="12" w:space="0" w:color="000000"/>
            </w:tcBorders>
            <w:shd w:val="clear" w:color="auto" w:fill="D9D9D9"/>
            <w:vAlign w:val="center"/>
          </w:tcPr>
          <w:p w14:paraId="41CAA610"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386,4</w:t>
            </w:r>
          </w:p>
        </w:tc>
        <w:tc>
          <w:tcPr>
            <w:tcW w:w="0" w:type="auto"/>
            <w:tcBorders>
              <w:bottom w:val="single" w:sz="12" w:space="0" w:color="000000"/>
            </w:tcBorders>
            <w:shd w:val="clear" w:color="auto" w:fill="D9D9D9"/>
            <w:vAlign w:val="center"/>
          </w:tcPr>
          <w:p w14:paraId="16517AEC"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386,4</w:t>
            </w:r>
          </w:p>
        </w:tc>
        <w:tc>
          <w:tcPr>
            <w:tcW w:w="0" w:type="auto"/>
            <w:tcBorders>
              <w:bottom w:val="single" w:sz="12" w:space="0" w:color="000000"/>
              <w:right w:val="single" w:sz="12" w:space="0" w:color="000000"/>
            </w:tcBorders>
            <w:shd w:val="clear" w:color="auto" w:fill="D9D9D9"/>
            <w:vAlign w:val="center"/>
          </w:tcPr>
          <w:p w14:paraId="4EE571AC"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534,98</w:t>
            </w:r>
          </w:p>
        </w:tc>
      </w:tr>
      <w:tr w:rsidR="009123AC" w:rsidRPr="00F0379B" w14:paraId="4EAF3C52" w14:textId="77777777" w:rsidTr="00CA749B">
        <w:trPr>
          <w:trHeight w:val="23"/>
        </w:trPr>
        <w:tc>
          <w:tcPr>
            <w:tcW w:w="3625" w:type="dxa"/>
            <w:tcBorders>
              <w:top w:val="single" w:sz="12" w:space="0" w:color="000000"/>
              <w:left w:val="single" w:sz="12" w:space="0" w:color="000000"/>
            </w:tcBorders>
            <w:noWrap/>
            <w:vAlign w:val="center"/>
            <w:hideMark/>
          </w:tcPr>
          <w:p w14:paraId="588E252B"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Porcentaje asignado a captura fortuita</w:t>
            </w:r>
          </w:p>
        </w:tc>
        <w:tc>
          <w:tcPr>
            <w:tcW w:w="2563" w:type="dxa"/>
            <w:tcBorders>
              <w:top w:val="single" w:sz="12" w:space="0" w:color="000000"/>
            </w:tcBorders>
            <w:noWrap/>
            <w:vAlign w:val="center"/>
            <w:hideMark/>
          </w:tcPr>
          <w:p w14:paraId="6034D2C9" w14:textId="77777777" w:rsidR="009123AC" w:rsidRPr="00F0379B" w:rsidRDefault="009123AC" w:rsidP="009123AC">
            <w:pPr>
              <w:spacing w:after="0" w:line="240" w:lineRule="auto"/>
              <w:jc w:val="right"/>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 </w:t>
            </w:r>
          </w:p>
        </w:tc>
        <w:tc>
          <w:tcPr>
            <w:tcW w:w="0" w:type="auto"/>
            <w:tcBorders>
              <w:top w:val="single" w:sz="12" w:space="0" w:color="000000"/>
            </w:tcBorders>
          </w:tcPr>
          <w:p w14:paraId="658765FF"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tcBorders>
              <w:top w:val="single" w:sz="12" w:space="0" w:color="000000"/>
            </w:tcBorders>
            <w:noWrap/>
            <w:vAlign w:val="center"/>
            <w:hideMark/>
          </w:tcPr>
          <w:p w14:paraId="1660E6F1"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0" w:type="auto"/>
            <w:tcBorders>
              <w:top w:val="single" w:sz="12" w:space="0" w:color="000000"/>
            </w:tcBorders>
            <w:vAlign w:val="center"/>
            <w:hideMark/>
          </w:tcPr>
          <w:p w14:paraId="1E887655"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eastAsia="ja-JP"/>
              </w:rPr>
              <w:t> </w:t>
            </w:r>
          </w:p>
        </w:tc>
        <w:tc>
          <w:tcPr>
            <w:tcW w:w="0" w:type="auto"/>
            <w:tcBorders>
              <w:top w:val="single" w:sz="12" w:space="0" w:color="000000"/>
            </w:tcBorders>
            <w:vAlign w:val="center"/>
            <w:hideMark/>
          </w:tcPr>
          <w:p w14:paraId="743058FE"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eastAsia="ja-JP"/>
              </w:rPr>
              <w:t> </w:t>
            </w:r>
          </w:p>
        </w:tc>
        <w:tc>
          <w:tcPr>
            <w:tcW w:w="0" w:type="auto"/>
            <w:tcBorders>
              <w:top w:val="single" w:sz="12" w:space="0" w:color="000000"/>
            </w:tcBorders>
            <w:vAlign w:val="center"/>
            <w:hideMark/>
          </w:tcPr>
          <w:p w14:paraId="7DD2F85D"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eastAsia="ja-JP"/>
              </w:rPr>
              <w:t> </w:t>
            </w:r>
          </w:p>
        </w:tc>
        <w:tc>
          <w:tcPr>
            <w:tcW w:w="0" w:type="auto"/>
            <w:tcBorders>
              <w:top w:val="single" w:sz="12" w:space="0" w:color="000000"/>
            </w:tcBorders>
            <w:vAlign w:val="center"/>
          </w:tcPr>
          <w:p w14:paraId="218EFDCD"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sz w:val="16"/>
                <w:szCs w:val="16"/>
                <w:lang w:eastAsia="ja-JP"/>
              </w:rPr>
              <w:t> </w:t>
            </w:r>
          </w:p>
        </w:tc>
        <w:tc>
          <w:tcPr>
            <w:tcW w:w="0" w:type="auto"/>
            <w:tcBorders>
              <w:top w:val="single" w:sz="12" w:space="0" w:color="000000"/>
            </w:tcBorders>
          </w:tcPr>
          <w:p w14:paraId="05AB5840"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0" w:type="auto"/>
            <w:tcBorders>
              <w:top w:val="single" w:sz="12" w:space="0" w:color="000000"/>
            </w:tcBorders>
            <w:shd w:val="clear" w:color="000000" w:fill="D9D9D9"/>
            <w:vAlign w:val="center"/>
            <w:hideMark/>
          </w:tcPr>
          <w:p w14:paraId="19653A43"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eastAsia="ja-JP"/>
              </w:rPr>
              <w:t> </w:t>
            </w:r>
          </w:p>
        </w:tc>
        <w:tc>
          <w:tcPr>
            <w:tcW w:w="0" w:type="auto"/>
            <w:tcBorders>
              <w:top w:val="single" w:sz="12" w:space="0" w:color="000000"/>
            </w:tcBorders>
          </w:tcPr>
          <w:p w14:paraId="5B78D9DB"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tcBorders>
              <w:top w:val="single" w:sz="12" w:space="0" w:color="000000"/>
            </w:tcBorders>
            <w:vAlign w:val="center"/>
            <w:hideMark/>
          </w:tcPr>
          <w:p w14:paraId="464A8545"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top w:val="single" w:sz="12" w:space="0" w:color="000000"/>
            </w:tcBorders>
            <w:vAlign w:val="center"/>
            <w:hideMark/>
          </w:tcPr>
          <w:p w14:paraId="33E77252"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b/>
                <w:bCs/>
                <w:sz w:val="16"/>
                <w:szCs w:val="16"/>
                <w:lang w:val="en-US" w:eastAsia="ja-JP"/>
              </w:rPr>
              <w:t xml:space="preserve">13,5% </w:t>
            </w:r>
          </w:p>
        </w:tc>
        <w:tc>
          <w:tcPr>
            <w:tcW w:w="0" w:type="auto"/>
            <w:tcBorders>
              <w:top w:val="single" w:sz="12" w:space="0" w:color="000000"/>
            </w:tcBorders>
            <w:vAlign w:val="center"/>
            <w:hideMark/>
          </w:tcPr>
          <w:p w14:paraId="51198DDA"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b/>
                <w:bCs/>
                <w:sz w:val="16"/>
                <w:szCs w:val="16"/>
                <w:lang w:val="en-US" w:eastAsia="ja-JP"/>
              </w:rPr>
              <w:t>4,1%</w:t>
            </w:r>
          </w:p>
        </w:tc>
        <w:tc>
          <w:tcPr>
            <w:tcW w:w="0" w:type="auto"/>
            <w:tcBorders>
              <w:top w:val="single" w:sz="12" w:space="0" w:color="000000"/>
            </w:tcBorders>
            <w:vAlign w:val="center"/>
            <w:hideMark/>
          </w:tcPr>
          <w:p w14:paraId="5C63CAC5"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b/>
                <w:bCs/>
                <w:sz w:val="16"/>
                <w:szCs w:val="16"/>
                <w:lang w:val="en-US" w:eastAsia="ja-JP"/>
              </w:rPr>
              <w:t>4,1%</w:t>
            </w:r>
          </w:p>
        </w:tc>
        <w:tc>
          <w:tcPr>
            <w:tcW w:w="0" w:type="auto"/>
            <w:tcBorders>
              <w:top w:val="single" w:sz="12" w:space="0" w:color="000000"/>
            </w:tcBorders>
            <w:vAlign w:val="center"/>
            <w:hideMark/>
          </w:tcPr>
          <w:p w14:paraId="7B66DAF4"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b/>
                <w:bCs/>
                <w:sz w:val="16"/>
                <w:szCs w:val="16"/>
                <w:lang w:val="en-US" w:eastAsia="ja-JP"/>
              </w:rPr>
              <w:t xml:space="preserve">4,1% </w:t>
            </w:r>
          </w:p>
        </w:tc>
        <w:tc>
          <w:tcPr>
            <w:tcW w:w="0" w:type="auto"/>
            <w:tcBorders>
              <w:top w:val="single" w:sz="12" w:space="0" w:color="000000"/>
              <w:right w:val="single" w:sz="12" w:space="0" w:color="000000"/>
            </w:tcBorders>
            <w:vAlign w:val="center"/>
          </w:tcPr>
          <w:p w14:paraId="33EAB85B"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b/>
                <w:bCs/>
                <w:sz w:val="16"/>
                <w:szCs w:val="16"/>
                <w:lang w:val="en-US" w:eastAsia="ja-JP"/>
              </w:rPr>
              <w:t xml:space="preserve">2,2% </w:t>
            </w:r>
          </w:p>
        </w:tc>
      </w:tr>
      <w:tr w:rsidR="009123AC" w:rsidRPr="00F0379B" w14:paraId="12E424D5" w14:textId="77777777" w:rsidTr="00CA749B">
        <w:trPr>
          <w:trHeight w:val="23"/>
        </w:trPr>
        <w:tc>
          <w:tcPr>
            <w:tcW w:w="3625" w:type="dxa"/>
            <w:tcBorders>
              <w:left w:val="single" w:sz="12" w:space="0" w:color="000000"/>
            </w:tcBorders>
            <w:noWrap/>
            <w:vAlign w:val="center"/>
          </w:tcPr>
          <w:p w14:paraId="33A9F7A6"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Asignación a la captura fortuita</w:t>
            </w:r>
          </w:p>
        </w:tc>
        <w:tc>
          <w:tcPr>
            <w:tcW w:w="2563" w:type="dxa"/>
            <w:noWrap/>
            <w:vAlign w:val="center"/>
          </w:tcPr>
          <w:p w14:paraId="1A8E5753" w14:textId="77777777" w:rsidR="009123AC" w:rsidRPr="00F0379B" w:rsidRDefault="009123AC" w:rsidP="009123AC">
            <w:pPr>
              <w:spacing w:after="0" w:line="240" w:lineRule="auto"/>
              <w:jc w:val="right"/>
              <w:rPr>
                <w:rFonts w:ascii="Cambria" w:eastAsia="Times New Roman" w:hAnsi="Cambria" w:cs="Calibri"/>
                <w:sz w:val="16"/>
                <w:szCs w:val="16"/>
                <w:lang w:eastAsia="ja-JP"/>
              </w:rPr>
            </w:pPr>
          </w:p>
        </w:tc>
        <w:tc>
          <w:tcPr>
            <w:tcW w:w="0" w:type="auto"/>
          </w:tcPr>
          <w:p w14:paraId="61B8D195"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noWrap/>
            <w:vAlign w:val="center"/>
          </w:tcPr>
          <w:p w14:paraId="0A4D3772"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vAlign w:val="center"/>
          </w:tcPr>
          <w:p w14:paraId="4F54BC9F"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b/>
                <w:bCs/>
                <w:sz w:val="16"/>
                <w:szCs w:val="16"/>
                <w:lang w:eastAsia="ja-JP"/>
              </w:rPr>
              <w:t> </w:t>
            </w:r>
          </w:p>
        </w:tc>
        <w:tc>
          <w:tcPr>
            <w:tcW w:w="0" w:type="auto"/>
            <w:vAlign w:val="center"/>
          </w:tcPr>
          <w:p w14:paraId="00D5000C"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b/>
                <w:bCs/>
                <w:sz w:val="16"/>
                <w:szCs w:val="16"/>
                <w:lang w:eastAsia="ja-JP"/>
              </w:rPr>
              <w:t> </w:t>
            </w:r>
          </w:p>
        </w:tc>
        <w:tc>
          <w:tcPr>
            <w:tcW w:w="0" w:type="auto"/>
            <w:vAlign w:val="center"/>
          </w:tcPr>
          <w:p w14:paraId="066F8F80"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b/>
                <w:bCs/>
                <w:sz w:val="16"/>
                <w:szCs w:val="16"/>
                <w:lang w:eastAsia="ja-JP"/>
              </w:rPr>
              <w:t> </w:t>
            </w:r>
          </w:p>
        </w:tc>
        <w:tc>
          <w:tcPr>
            <w:tcW w:w="0" w:type="auto"/>
            <w:vAlign w:val="center"/>
          </w:tcPr>
          <w:p w14:paraId="00E0CB64"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b/>
                <w:bCs/>
                <w:sz w:val="16"/>
                <w:szCs w:val="16"/>
                <w:lang w:eastAsia="ja-JP"/>
              </w:rPr>
              <w:t> </w:t>
            </w:r>
          </w:p>
        </w:tc>
        <w:tc>
          <w:tcPr>
            <w:tcW w:w="0" w:type="auto"/>
          </w:tcPr>
          <w:p w14:paraId="4AE7688B"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0" w:type="auto"/>
            <w:shd w:val="clear" w:color="000000" w:fill="D9D9D9"/>
            <w:vAlign w:val="center"/>
          </w:tcPr>
          <w:p w14:paraId="2AA27351"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b/>
                <w:bCs/>
                <w:sz w:val="16"/>
                <w:szCs w:val="16"/>
                <w:lang w:eastAsia="ja-JP"/>
              </w:rPr>
              <w:t> </w:t>
            </w:r>
          </w:p>
        </w:tc>
        <w:tc>
          <w:tcPr>
            <w:tcW w:w="0" w:type="auto"/>
          </w:tcPr>
          <w:p w14:paraId="352EBD99"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vAlign w:val="center"/>
          </w:tcPr>
          <w:p w14:paraId="5D2C61E2"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vAlign w:val="center"/>
          </w:tcPr>
          <w:p w14:paraId="0AB40A00"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color w:val="000000"/>
                <w:sz w:val="16"/>
                <w:szCs w:val="16"/>
                <w:lang w:eastAsia="ja-JP" w:bidi="fr-FR"/>
              </w:rPr>
              <w:t>14</w:t>
            </w:r>
          </w:p>
        </w:tc>
        <w:tc>
          <w:tcPr>
            <w:tcW w:w="0" w:type="auto"/>
            <w:vAlign w:val="center"/>
          </w:tcPr>
          <w:p w14:paraId="37F04EE2"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color w:val="000000"/>
                <w:sz w:val="16"/>
                <w:szCs w:val="16"/>
                <w:lang w:eastAsia="ja-JP" w:bidi="fr-FR"/>
              </w:rPr>
              <w:t>15</w:t>
            </w:r>
          </w:p>
        </w:tc>
        <w:tc>
          <w:tcPr>
            <w:tcW w:w="0" w:type="auto"/>
            <w:vAlign w:val="center"/>
          </w:tcPr>
          <w:p w14:paraId="190F0660"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color w:val="000000"/>
                <w:sz w:val="16"/>
                <w:szCs w:val="16"/>
                <w:lang w:eastAsia="ja-JP" w:bidi="fr-FR"/>
              </w:rPr>
              <w:t>15</w:t>
            </w:r>
          </w:p>
        </w:tc>
        <w:tc>
          <w:tcPr>
            <w:tcW w:w="0" w:type="auto"/>
            <w:vAlign w:val="center"/>
          </w:tcPr>
          <w:p w14:paraId="70745548"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color w:val="000000"/>
                <w:sz w:val="16"/>
                <w:szCs w:val="16"/>
                <w:lang w:eastAsia="ja-JP" w:bidi="fr-FR"/>
              </w:rPr>
              <w:t>15</w:t>
            </w:r>
          </w:p>
        </w:tc>
        <w:tc>
          <w:tcPr>
            <w:tcW w:w="0" w:type="auto"/>
            <w:tcBorders>
              <w:right w:val="single" w:sz="12" w:space="0" w:color="000000"/>
            </w:tcBorders>
            <w:vAlign w:val="center"/>
          </w:tcPr>
          <w:p w14:paraId="39F8A524"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color w:val="000000"/>
                <w:sz w:val="16"/>
                <w:szCs w:val="16"/>
                <w:lang w:eastAsia="ja-JP" w:bidi="fr-FR"/>
              </w:rPr>
              <w:t>10</w:t>
            </w:r>
          </w:p>
        </w:tc>
      </w:tr>
      <w:tr w:rsidR="009123AC" w:rsidRPr="00F0379B" w14:paraId="5A107CEC" w14:textId="77777777" w:rsidTr="00CA749B">
        <w:trPr>
          <w:trHeight w:val="23"/>
        </w:trPr>
        <w:tc>
          <w:tcPr>
            <w:tcW w:w="3625" w:type="dxa"/>
            <w:tcBorders>
              <w:left w:val="single" w:sz="12" w:space="0" w:color="000000"/>
            </w:tcBorders>
            <w:vAlign w:val="center"/>
          </w:tcPr>
          <w:p w14:paraId="5565AF2F"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para investigación científica (si procede)</w:t>
            </w:r>
          </w:p>
        </w:tc>
        <w:tc>
          <w:tcPr>
            <w:tcW w:w="2563" w:type="dxa"/>
            <w:noWrap/>
            <w:vAlign w:val="center"/>
          </w:tcPr>
          <w:p w14:paraId="38FE7391" w14:textId="77777777" w:rsidR="009123AC" w:rsidRPr="00F0379B" w:rsidRDefault="009123AC" w:rsidP="009123AC">
            <w:pPr>
              <w:spacing w:after="0" w:line="240" w:lineRule="auto"/>
              <w:jc w:val="right"/>
              <w:rPr>
                <w:rFonts w:ascii="Cambria" w:eastAsia="Times New Roman" w:hAnsi="Cambria" w:cs="Calibri"/>
                <w:b/>
                <w:bCs/>
                <w:sz w:val="16"/>
                <w:szCs w:val="16"/>
                <w:lang w:eastAsia="ja-JP"/>
              </w:rPr>
            </w:pPr>
          </w:p>
        </w:tc>
        <w:tc>
          <w:tcPr>
            <w:tcW w:w="0" w:type="auto"/>
          </w:tcPr>
          <w:p w14:paraId="14A4652F"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noWrap/>
            <w:vAlign w:val="center"/>
          </w:tcPr>
          <w:p w14:paraId="01CA77F2"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vAlign w:val="center"/>
          </w:tcPr>
          <w:p w14:paraId="4F683769"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sz w:val="16"/>
                <w:szCs w:val="16"/>
                <w:lang w:eastAsia="ja-JP"/>
              </w:rPr>
              <w:t> </w:t>
            </w:r>
          </w:p>
        </w:tc>
        <w:tc>
          <w:tcPr>
            <w:tcW w:w="0" w:type="auto"/>
            <w:vAlign w:val="center"/>
          </w:tcPr>
          <w:p w14:paraId="6C228F56"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sz w:val="16"/>
                <w:szCs w:val="16"/>
                <w:lang w:eastAsia="ja-JP"/>
              </w:rPr>
              <w:t> </w:t>
            </w:r>
          </w:p>
        </w:tc>
        <w:tc>
          <w:tcPr>
            <w:tcW w:w="0" w:type="auto"/>
            <w:vAlign w:val="center"/>
          </w:tcPr>
          <w:p w14:paraId="04E1BF12"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sz w:val="16"/>
                <w:szCs w:val="16"/>
                <w:lang w:eastAsia="ja-JP"/>
              </w:rPr>
              <w:t> </w:t>
            </w:r>
          </w:p>
        </w:tc>
        <w:tc>
          <w:tcPr>
            <w:tcW w:w="0" w:type="auto"/>
            <w:vAlign w:val="center"/>
          </w:tcPr>
          <w:p w14:paraId="636BCD82"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sz w:val="16"/>
                <w:szCs w:val="16"/>
                <w:lang w:eastAsia="ja-JP"/>
              </w:rPr>
              <w:t> </w:t>
            </w:r>
          </w:p>
        </w:tc>
        <w:tc>
          <w:tcPr>
            <w:tcW w:w="0" w:type="auto"/>
          </w:tcPr>
          <w:p w14:paraId="39B7E85E"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0" w:type="auto"/>
            <w:shd w:val="clear" w:color="000000" w:fill="D9D9D9"/>
            <w:vAlign w:val="center"/>
          </w:tcPr>
          <w:p w14:paraId="5F5A2674"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sz w:val="16"/>
                <w:szCs w:val="16"/>
                <w:lang w:eastAsia="ja-JP"/>
              </w:rPr>
              <w:t> </w:t>
            </w:r>
          </w:p>
        </w:tc>
        <w:tc>
          <w:tcPr>
            <w:tcW w:w="0" w:type="auto"/>
          </w:tcPr>
          <w:p w14:paraId="208214D9"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vAlign w:val="center"/>
          </w:tcPr>
          <w:p w14:paraId="3966811B"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vAlign w:val="center"/>
          </w:tcPr>
          <w:p w14:paraId="2C73AC19"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noWrap/>
            <w:vAlign w:val="center"/>
          </w:tcPr>
          <w:p w14:paraId="6C9DF2E7"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b/>
                <w:bCs/>
                <w:color w:val="000000"/>
                <w:sz w:val="16"/>
                <w:szCs w:val="16"/>
                <w:lang w:eastAsia="ja-JP" w:bidi="fr-FR"/>
              </w:rPr>
              <w:t>18</w:t>
            </w:r>
          </w:p>
        </w:tc>
        <w:tc>
          <w:tcPr>
            <w:tcW w:w="0" w:type="auto"/>
            <w:noWrap/>
            <w:vAlign w:val="center"/>
          </w:tcPr>
          <w:p w14:paraId="027C6E20"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b/>
                <w:bCs/>
                <w:color w:val="000000"/>
                <w:sz w:val="16"/>
                <w:szCs w:val="16"/>
                <w:lang w:eastAsia="ja-JP" w:bidi="fr-FR"/>
              </w:rPr>
              <w:t>33,4</w:t>
            </w:r>
          </w:p>
        </w:tc>
        <w:tc>
          <w:tcPr>
            <w:tcW w:w="0" w:type="auto"/>
            <w:noWrap/>
            <w:vAlign w:val="center"/>
          </w:tcPr>
          <w:p w14:paraId="7A996BCE"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b/>
                <w:bCs/>
                <w:color w:val="000000"/>
                <w:sz w:val="16"/>
                <w:szCs w:val="16"/>
                <w:lang w:eastAsia="ja-JP" w:bidi="fr-FR"/>
              </w:rPr>
              <w:t>33,4</w:t>
            </w:r>
          </w:p>
        </w:tc>
        <w:tc>
          <w:tcPr>
            <w:tcW w:w="0" w:type="auto"/>
            <w:tcBorders>
              <w:right w:val="single" w:sz="12" w:space="0" w:color="000000"/>
            </w:tcBorders>
            <w:vAlign w:val="center"/>
          </w:tcPr>
          <w:p w14:paraId="6AC9C827"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b/>
                <w:bCs/>
                <w:color w:val="000000"/>
                <w:sz w:val="16"/>
                <w:szCs w:val="16"/>
                <w:lang w:eastAsia="ja-JP" w:bidi="fr-FR"/>
              </w:rPr>
              <w:t>34,98</w:t>
            </w:r>
          </w:p>
        </w:tc>
      </w:tr>
      <w:tr w:rsidR="009123AC" w:rsidRPr="00F0379B" w14:paraId="0FDB637D" w14:textId="77777777" w:rsidTr="00CA749B">
        <w:trPr>
          <w:trHeight w:val="23"/>
        </w:trPr>
        <w:tc>
          <w:tcPr>
            <w:tcW w:w="3625" w:type="dxa"/>
            <w:tcBorders>
              <w:left w:val="single" w:sz="12" w:space="0" w:color="000000"/>
            </w:tcBorders>
            <w:vAlign w:val="center"/>
          </w:tcPr>
          <w:p w14:paraId="45955435"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Tolerancia para pesca deportiva/de recreo (si procede)</w:t>
            </w:r>
          </w:p>
        </w:tc>
        <w:tc>
          <w:tcPr>
            <w:tcW w:w="2563" w:type="dxa"/>
            <w:noWrap/>
            <w:vAlign w:val="center"/>
          </w:tcPr>
          <w:p w14:paraId="0CCC535E" w14:textId="77777777" w:rsidR="009123AC" w:rsidRPr="00F0379B" w:rsidRDefault="009123AC" w:rsidP="009123AC">
            <w:pPr>
              <w:spacing w:after="0" w:line="240" w:lineRule="auto"/>
              <w:jc w:val="right"/>
              <w:rPr>
                <w:rFonts w:ascii="Cambria" w:eastAsia="Times New Roman" w:hAnsi="Cambria" w:cs="Calibri"/>
                <w:b/>
                <w:bCs/>
                <w:sz w:val="16"/>
                <w:szCs w:val="16"/>
                <w:lang w:eastAsia="ja-JP"/>
              </w:rPr>
            </w:pPr>
          </w:p>
        </w:tc>
        <w:tc>
          <w:tcPr>
            <w:tcW w:w="0" w:type="auto"/>
          </w:tcPr>
          <w:p w14:paraId="15A6F606"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noWrap/>
            <w:vAlign w:val="center"/>
          </w:tcPr>
          <w:p w14:paraId="4138F27C"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vAlign w:val="center"/>
          </w:tcPr>
          <w:p w14:paraId="40BB62A0"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vAlign w:val="center"/>
          </w:tcPr>
          <w:p w14:paraId="6FC37D52"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vAlign w:val="center"/>
          </w:tcPr>
          <w:p w14:paraId="39ABB3E4"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vAlign w:val="center"/>
          </w:tcPr>
          <w:p w14:paraId="0B210A79"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vAlign w:val="center"/>
          </w:tcPr>
          <w:p w14:paraId="0D9B72DE"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0" w:type="auto"/>
            <w:shd w:val="clear" w:color="000000" w:fill="D9D9D9"/>
            <w:vAlign w:val="center"/>
          </w:tcPr>
          <w:p w14:paraId="1F9256E3"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sz w:val="16"/>
                <w:szCs w:val="16"/>
                <w:lang w:eastAsia="ja-JP"/>
              </w:rPr>
              <w:t> </w:t>
            </w:r>
          </w:p>
        </w:tc>
        <w:tc>
          <w:tcPr>
            <w:tcW w:w="0" w:type="auto"/>
          </w:tcPr>
          <w:p w14:paraId="4C1C0AB2"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vAlign w:val="center"/>
          </w:tcPr>
          <w:p w14:paraId="6AD32C66"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vAlign w:val="center"/>
          </w:tcPr>
          <w:p w14:paraId="425B27CF"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noWrap/>
            <w:vAlign w:val="center"/>
          </w:tcPr>
          <w:p w14:paraId="3E1319A0"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b/>
                <w:bCs/>
                <w:sz w:val="16"/>
                <w:szCs w:val="16"/>
                <w:lang w:val="en-US" w:eastAsia="ja-JP"/>
              </w:rPr>
              <w:t>10</w:t>
            </w:r>
          </w:p>
        </w:tc>
        <w:tc>
          <w:tcPr>
            <w:tcW w:w="0" w:type="auto"/>
            <w:noWrap/>
            <w:vAlign w:val="center"/>
          </w:tcPr>
          <w:p w14:paraId="7DCAD867"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b/>
                <w:bCs/>
                <w:sz w:val="16"/>
                <w:szCs w:val="16"/>
                <w:lang w:val="en-US" w:eastAsia="ja-JP"/>
              </w:rPr>
              <w:t>10</w:t>
            </w:r>
          </w:p>
        </w:tc>
        <w:tc>
          <w:tcPr>
            <w:tcW w:w="0" w:type="auto"/>
            <w:noWrap/>
            <w:vAlign w:val="center"/>
          </w:tcPr>
          <w:p w14:paraId="69DCD9FB"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b/>
                <w:bCs/>
                <w:sz w:val="16"/>
                <w:szCs w:val="16"/>
                <w:lang w:val="en-US" w:eastAsia="ja-JP"/>
              </w:rPr>
              <w:t>10</w:t>
            </w:r>
          </w:p>
        </w:tc>
        <w:tc>
          <w:tcPr>
            <w:tcW w:w="0" w:type="auto"/>
            <w:tcBorders>
              <w:right w:val="single" w:sz="12" w:space="0" w:color="000000"/>
            </w:tcBorders>
            <w:vAlign w:val="center"/>
          </w:tcPr>
          <w:p w14:paraId="58A3680B" w14:textId="77777777" w:rsidR="009123AC" w:rsidRPr="00F0379B" w:rsidRDefault="009123AC" w:rsidP="009123AC">
            <w:pPr>
              <w:spacing w:after="0" w:line="240" w:lineRule="auto"/>
              <w:rPr>
                <w:rFonts w:ascii="Cambria" w:eastAsia="Times New Roman" w:hAnsi="Cambria" w:cs="Calibri"/>
                <w:b/>
                <w:bCs/>
                <w:sz w:val="16"/>
                <w:szCs w:val="16"/>
                <w:lang w:eastAsia="ja-JP"/>
              </w:rPr>
            </w:pPr>
            <w:r w:rsidRPr="00F0379B">
              <w:rPr>
                <w:rFonts w:ascii="Cambria" w:eastAsia="Times New Roman" w:hAnsi="Cambria" w:cs="Calibri"/>
                <w:b/>
                <w:bCs/>
                <w:sz w:val="16"/>
                <w:szCs w:val="16"/>
                <w:lang w:val="en-US" w:eastAsia="ja-JP"/>
              </w:rPr>
              <w:t>10</w:t>
            </w:r>
          </w:p>
        </w:tc>
      </w:tr>
      <w:tr w:rsidR="009123AC" w:rsidRPr="00F0379B" w14:paraId="794947B7" w14:textId="77777777" w:rsidTr="00CA749B">
        <w:trPr>
          <w:trHeight w:val="23"/>
        </w:trPr>
        <w:tc>
          <w:tcPr>
            <w:tcW w:w="3625" w:type="dxa"/>
            <w:tcBorders>
              <w:left w:val="single" w:sz="12" w:space="0" w:color="000000"/>
              <w:bottom w:val="single" w:sz="12" w:space="0" w:color="000000"/>
            </w:tcBorders>
            <w:vAlign w:val="center"/>
          </w:tcPr>
          <w:p w14:paraId="6E845EB1"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disponible</w:t>
            </w:r>
          </w:p>
        </w:tc>
        <w:tc>
          <w:tcPr>
            <w:tcW w:w="2563" w:type="dxa"/>
            <w:tcBorders>
              <w:bottom w:val="single" w:sz="12" w:space="0" w:color="000000"/>
            </w:tcBorders>
            <w:noWrap/>
            <w:vAlign w:val="center"/>
          </w:tcPr>
          <w:p w14:paraId="6731938D" w14:textId="77777777" w:rsidR="009123AC" w:rsidRPr="00F0379B" w:rsidRDefault="009123AC" w:rsidP="009123AC">
            <w:pPr>
              <w:spacing w:after="0" w:line="240" w:lineRule="auto"/>
              <w:jc w:val="right"/>
              <w:rPr>
                <w:rFonts w:ascii="Cambria" w:eastAsia="Times New Roman" w:hAnsi="Cambria" w:cs="Calibri"/>
                <w:b/>
                <w:bCs/>
                <w:sz w:val="16"/>
                <w:szCs w:val="16"/>
                <w:lang w:eastAsia="ja-JP"/>
              </w:rPr>
            </w:pPr>
          </w:p>
        </w:tc>
        <w:tc>
          <w:tcPr>
            <w:tcW w:w="0" w:type="auto"/>
            <w:tcBorders>
              <w:bottom w:val="single" w:sz="12" w:space="0" w:color="000000"/>
            </w:tcBorders>
          </w:tcPr>
          <w:p w14:paraId="73F66DBF"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tcBorders>
              <w:bottom w:val="single" w:sz="12" w:space="0" w:color="000000"/>
            </w:tcBorders>
            <w:noWrap/>
            <w:vAlign w:val="center"/>
          </w:tcPr>
          <w:p w14:paraId="4FDD3D4F"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tcBorders>
              <w:bottom w:val="single" w:sz="12" w:space="0" w:color="000000"/>
            </w:tcBorders>
            <w:vAlign w:val="center"/>
          </w:tcPr>
          <w:p w14:paraId="7585E287"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tcBorders>
              <w:bottom w:val="single" w:sz="12" w:space="0" w:color="000000"/>
            </w:tcBorders>
            <w:vAlign w:val="center"/>
          </w:tcPr>
          <w:p w14:paraId="2C504549"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c>
          <w:tcPr>
            <w:tcW w:w="0" w:type="auto"/>
            <w:tcBorders>
              <w:bottom w:val="single" w:sz="12" w:space="0" w:color="000000"/>
            </w:tcBorders>
            <w:vAlign w:val="center"/>
          </w:tcPr>
          <w:p w14:paraId="1E7EDF42"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c>
          <w:tcPr>
            <w:tcW w:w="0" w:type="auto"/>
            <w:tcBorders>
              <w:bottom w:val="single" w:sz="12" w:space="0" w:color="000000"/>
            </w:tcBorders>
            <w:vAlign w:val="center"/>
          </w:tcPr>
          <w:p w14:paraId="0447A35F"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c>
          <w:tcPr>
            <w:tcW w:w="0" w:type="auto"/>
            <w:tcBorders>
              <w:bottom w:val="single" w:sz="12" w:space="0" w:color="000000"/>
            </w:tcBorders>
            <w:vAlign w:val="center"/>
          </w:tcPr>
          <w:p w14:paraId="4B53366C"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0" w:type="auto"/>
            <w:tcBorders>
              <w:bottom w:val="single" w:sz="12" w:space="0" w:color="000000"/>
            </w:tcBorders>
            <w:shd w:val="clear" w:color="000000" w:fill="D9D9D9"/>
            <w:vAlign w:val="center"/>
          </w:tcPr>
          <w:p w14:paraId="525BAEF1"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sz w:val="16"/>
                <w:szCs w:val="16"/>
                <w:lang w:val="en-US" w:eastAsia="ja-JP"/>
              </w:rPr>
              <w:t> </w:t>
            </w:r>
          </w:p>
        </w:tc>
        <w:tc>
          <w:tcPr>
            <w:tcW w:w="0" w:type="auto"/>
            <w:tcBorders>
              <w:bottom w:val="single" w:sz="12" w:space="0" w:color="000000"/>
            </w:tcBorders>
          </w:tcPr>
          <w:p w14:paraId="225327FF"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tcBorders>
              <w:bottom w:val="single" w:sz="12" w:space="0" w:color="000000"/>
            </w:tcBorders>
            <w:vAlign w:val="center"/>
          </w:tcPr>
          <w:p w14:paraId="6B32304F"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0" w:type="auto"/>
            <w:tcBorders>
              <w:bottom w:val="single" w:sz="12" w:space="0" w:color="000000"/>
            </w:tcBorders>
            <w:vAlign w:val="center"/>
          </w:tcPr>
          <w:p w14:paraId="7F743C42"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90</w:t>
            </w:r>
            <w:r w:rsidRPr="00F0379B">
              <w:rPr>
                <w:rFonts w:ascii="Cambria" w:eastAsia="Times New Roman" w:hAnsi="Cambria" w:cs="Calibri"/>
                <w:b/>
                <w:bCs/>
                <w:sz w:val="16"/>
                <w:szCs w:val="16"/>
                <w:vertAlign w:val="superscript"/>
                <w:lang w:val="en-US" w:eastAsia="ja-JP"/>
              </w:rPr>
              <w:footnoteReference w:id="22"/>
            </w:r>
          </w:p>
        </w:tc>
        <w:tc>
          <w:tcPr>
            <w:tcW w:w="0" w:type="auto"/>
            <w:tcBorders>
              <w:bottom w:val="single" w:sz="12" w:space="0" w:color="000000"/>
            </w:tcBorders>
            <w:noWrap/>
            <w:vAlign w:val="center"/>
          </w:tcPr>
          <w:p w14:paraId="2938B008"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340</w:t>
            </w:r>
            <w:r w:rsidRPr="00F0379B">
              <w:rPr>
                <w:rFonts w:ascii="Cambria" w:eastAsia="Times New Roman" w:hAnsi="Cambria" w:cs="Calibri"/>
                <w:b/>
                <w:bCs/>
                <w:sz w:val="16"/>
                <w:szCs w:val="16"/>
                <w:vertAlign w:val="superscript"/>
                <w:lang w:val="en-US" w:eastAsia="ja-JP"/>
              </w:rPr>
              <w:footnoteReference w:id="23"/>
            </w:r>
          </w:p>
        </w:tc>
        <w:tc>
          <w:tcPr>
            <w:tcW w:w="0" w:type="auto"/>
            <w:tcBorders>
              <w:bottom w:val="single" w:sz="12" w:space="0" w:color="000000"/>
            </w:tcBorders>
            <w:noWrap/>
            <w:vAlign w:val="center"/>
          </w:tcPr>
          <w:p w14:paraId="7EC5E6B6"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328</w:t>
            </w:r>
            <w:r w:rsidRPr="00F0379B">
              <w:rPr>
                <w:rFonts w:ascii="Cambria" w:eastAsia="Times New Roman" w:hAnsi="Cambria" w:cs="Calibri"/>
                <w:b/>
                <w:bCs/>
                <w:sz w:val="16"/>
                <w:szCs w:val="16"/>
                <w:vertAlign w:val="superscript"/>
                <w:lang w:val="en-US" w:eastAsia="ja-JP"/>
              </w:rPr>
              <w:footnoteReference w:id="24"/>
            </w:r>
          </w:p>
        </w:tc>
        <w:tc>
          <w:tcPr>
            <w:tcW w:w="0" w:type="auto"/>
            <w:tcBorders>
              <w:bottom w:val="single" w:sz="12" w:space="0" w:color="000000"/>
            </w:tcBorders>
            <w:noWrap/>
            <w:vAlign w:val="center"/>
          </w:tcPr>
          <w:p w14:paraId="0930E316"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328</w:t>
            </w:r>
            <w:r w:rsidRPr="00F0379B">
              <w:rPr>
                <w:rFonts w:ascii="Cambria" w:eastAsia="Times New Roman" w:hAnsi="Cambria" w:cs="Calibri"/>
                <w:b/>
                <w:bCs/>
                <w:sz w:val="16"/>
                <w:szCs w:val="16"/>
                <w:vertAlign w:val="superscript"/>
                <w:lang w:val="en-US" w:eastAsia="ja-JP"/>
              </w:rPr>
              <w:footnoteReference w:id="25"/>
            </w:r>
          </w:p>
        </w:tc>
        <w:tc>
          <w:tcPr>
            <w:tcW w:w="0" w:type="auto"/>
            <w:tcBorders>
              <w:bottom w:val="single" w:sz="12" w:space="0" w:color="000000"/>
              <w:right w:val="single" w:sz="12" w:space="0" w:color="000000"/>
            </w:tcBorders>
            <w:vAlign w:val="center"/>
          </w:tcPr>
          <w:p w14:paraId="338465FC"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lang w:val="en-US" w:eastAsia="ja-JP"/>
              </w:rPr>
              <w:t>480</w:t>
            </w:r>
            <w:r w:rsidRPr="00F0379B">
              <w:rPr>
                <w:rFonts w:ascii="Cambria" w:eastAsia="Times New Roman" w:hAnsi="Cambria" w:cs="Calibri"/>
                <w:b/>
                <w:bCs/>
                <w:sz w:val="16"/>
                <w:szCs w:val="16"/>
                <w:vertAlign w:val="superscript"/>
                <w:lang w:val="en-US" w:eastAsia="ja-JP"/>
              </w:rPr>
              <w:footnoteReference w:id="26"/>
            </w:r>
          </w:p>
        </w:tc>
      </w:tr>
      <w:tr w:rsidR="009123AC" w:rsidRPr="00F0379B" w14:paraId="72CFCE36" w14:textId="77777777" w:rsidTr="00CA749B">
        <w:trPr>
          <w:trHeight w:val="23"/>
        </w:trPr>
        <w:tc>
          <w:tcPr>
            <w:tcW w:w="3625" w:type="dxa"/>
            <w:tcBorders>
              <w:top w:val="single" w:sz="12" w:space="0" w:color="000000"/>
              <w:left w:val="single" w:sz="12" w:space="0" w:color="000000"/>
              <w:bottom w:val="single" w:sz="12" w:space="0" w:color="000000"/>
            </w:tcBorders>
            <w:shd w:val="clear" w:color="auto" w:fill="D9D9D9"/>
            <w:noWrap/>
            <w:vAlign w:val="center"/>
            <w:hideMark/>
          </w:tcPr>
          <w:p w14:paraId="0B512926"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roofErr w:type="spellStart"/>
            <w:r w:rsidRPr="00F0379B">
              <w:rPr>
                <w:rFonts w:ascii="Cambria" w:eastAsia="MS Gothic" w:hAnsi="Cambria" w:cs="Times New Roman"/>
                <w:b/>
                <w:sz w:val="16"/>
                <w:szCs w:val="16"/>
                <w:lang w:eastAsia="fr-FR" w:bidi="fr-FR"/>
              </w:rPr>
              <w:t>Subcapacidad</w:t>
            </w:r>
            <w:proofErr w:type="spellEnd"/>
            <w:r w:rsidRPr="00F0379B">
              <w:rPr>
                <w:rFonts w:ascii="Cambria" w:eastAsia="MS Gothic" w:hAnsi="Cambria" w:cs="Times New Roman"/>
                <w:b/>
                <w:sz w:val="16"/>
                <w:szCs w:val="16"/>
                <w:lang w:eastAsia="fr-FR" w:bidi="fr-FR"/>
              </w:rPr>
              <w:t>/exceso de capacidad</w:t>
            </w:r>
          </w:p>
        </w:tc>
        <w:tc>
          <w:tcPr>
            <w:tcW w:w="2563" w:type="dxa"/>
            <w:tcBorders>
              <w:top w:val="single" w:sz="12" w:space="0" w:color="000000"/>
              <w:bottom w:val="single" w:sz="12" w:space="0" w:color="000000"/>
            </w:tcBorders>
            <w:shd w:val="clear" w:color="auto" w:fill="D9D9D9"/>
            <w:noWrap/>
            <w:vAlign w:val="center"/>
            <w:hideMark/>
          </w:tcPr>
          <w:p w14:paraId="43A45F69" w14:textId="77777777" w:rsidR="009123AC" w:rsidRPr="00F0379B" w:rsidRDefault="009123AC" w:rsidP="009123AC">
            <w:pPr>
              <w:spacing w:after="0" w:line="240" w:lineRule="auto"/>
              <w:jc w:val="right"/>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 </w:t>
            </w:r>
          </w:p>
        </w:tc>
        <w:tc>
          <w:tcPr>
            <w:tcW w:w="0" w:type="auto"/>
            <w:tcBorders>
              <w:top w:val="single" w:sz="12" w:space="0" w:color="000000"/>
              <w:bottom w:val="single" w:sz="12" w:space="0" w:color="000000"/>
            </w:tcBorders>
            <w:shd w:val="clear" w:color="auto" w:fill="D9D9D9"/>
          </w:tcPr>
          <w:p w14:paraId="13ED195C"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tcBorders>
              <w:top w:val="single" w:sz="12" w:space="0" w:color="000000"/>
              <w:bottom w:val="single" w:sz="12" w:space="0" w:color="000000"/>
            </w:tcBorders>
            <w:shd w:val="clear" w:color="auto" w:fill="D9D9D9"/>
            <w:noWrap/>
            <w:vAlign w:val="center"/>
            <w:hideMark/>
          </w:tcPr>
          <w:p w14:paraId="09F2AC93"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0" w:type="auto"/>
            <w:tcBorders>
              <w:top w:val="single" w:sz="12" w:space="0" w:color="000000"/>
              <w:bottom w:val="single" w:sz="12" w:space="0" w:color="000000"/>
            </w:tcBorders>
            <w:shd w:val="clear" w:color="auto" w:fill="D9D9D9"/>
            <w:vAlign w:val="center"/>
            <w:hideMark/>
          </w:tcPr>
          <w:p w14:paraId="3DD34830"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top w:val="single" w:sz="12" w:space="0" w:color="000000"/>
              <w:bottom w:val="single" w:sz="12" w:space="0" w:color="000000"/>
            </w:tcBorders>
            <w:shd w:val="clear" w:color="auto" w:fill="D9D9D9"/>
            <w:vAlign w:val="center"/>
            <w:hideMark/>
          </w:tcPr>
          <w:p w14:paraId="6D852989"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top w:val="single" w:sz="12" w:space="0" w:color="000000"/>
              <w:bottom w:val="single" w:sz="12" w:space="0" w:color="000000"/>
            </w:tcBorders>
            <w:shd w:val="clear" w:color="auto" w:fill="D9D9D9"/>
            <w:vAlign w:val="center"/>
            <w:hideMark/>
          </w:tcPr>
          <w:p w14:paraId="28974D47"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top w:val="single" w:sz="12" w:space="0" w:color="000000"/>
              <w:bottom w:val="single" w:sz="12" w:space="0" w:color="000000"/>
            </w:tcBorders>
            <w:shd w:val="clear" w:color="auto" w:fill="D9D9D9"/>
            <w:vAlign w:val="center"/>
          </w:tcPr>
          <w:p w14:paraId="4F7C74D5"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0" w:type="auto"/>
            <w:tcBorders>
              <w:top w:val="single" w:sz="12" w:space="0" w:color="000000"/>
              <w:bottom w:val="single" w:sz="12" w:space="0" w:color="000000"/>
            </w:tcBorders>
            <w:shd w:val="clear" w:color="auto" w:fill="D9D9D9"/>
            <w:vAlign w:val="center"/>
          </w:tcPr>
          <w:p w14:paraId="749AF9A0"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MS Gothic" w:hAnsi="Cambria" w:cs="Times New Roman"/>
                <w:color w:val="000000"/>
                <w:sz w:val="16"/>
                <w:szCs w:val="16"/>
                <w:lang w:eastAsia="fr-FR" w:bidi="fr-FR"/>
              </w:rPr>
              <w:t> </w:t>
            </w:r>
          </w:p>
        </w:tc>
        <w:tc>
          <w:tcPr>
            <w:tcW w:w="0" w:type="auto"/>
            <w:tcBorders>
              <w:top w:val="single" w:sz="12" w:space="0" w:color="000000"/>
              <w:bottom w:val="single" w:sz="12" w:space="0" w:color="000000"/>
            </w:tcBorders>
            <w:shd w:val="clear" w:color="auto" w:fill="D9D9D9"/>
            <w:vAlign w:val="center"/>
            <w:hideMark/>
          </w:tcPr>
          <w:p w14:paraId="78675EB1"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 </w:t>
            </w:r>
          </w:p>
        </w:tc>
        <w:tc>
          <w:tcPr>
            <w:tcW w:w="0" w:type="auto"/>
            <w:tcBorders>
              <w:top w:val="single" w:sz="12" w:space="0" w:color="000000"/>
              <w:bottom w:val="single" w:sz="12" w:space="0" w:color="000000"/>
            </w:tcBorders>
            <w:shd w:val="clear" w:color="auto" w:fill="D9D9D9"/>
          </w:tcPr>
          <w:p w14:paraId="30A897F9"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0" w:type="auto"/>
            <w:tcBorders>
              <w:top w:val="single" w:sz="12" w:space="0" w:color="000000"/>
              <w:bottom w:val="single" w:sz="12" w:space="0" w:color="000000"/>
            </w:tcBorders>
            <w:shd w:val="clear" w:color="auto" w:fill="D9D9D9"/>
            <w:vAlign w:val="center"/>
            <w:hideMark/>
          </w:tcPr>
          <w:p w14:paraId="4EDB060B"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0" w:type="auto"/>
            <w:tcBorders>
              <w:top w:val="single" w:sz="12" w:space="0" w:color="000000"/>
              <w:bottom w:val="single" w:sz="12" w:space="0" w:color="000000"/>
            </w:tcBorders>
            <w:shd w:val="clear" w:color="auto" w:fill="D9D9D9"/>
            <w:vAlign w:val="center"/>
            <w:hideMark/>
          </w:tcPr>
          <w:p w14:paraId="4383C4FD"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b/>
                <w:bCs/>
                <w:sz w:val="16"/>
                <w:szCs w:val="16"/>
                <w:lang w:val="en-US" w:eastAsia="ja-JP"/>
              </w:rPr>
              <w:t>9,56</w:t>
            </w:r>
          </w:p>
        </w:tc>
        <w:tc>
          <w:tcPr>
            <w:tcW w:w="0" w:type="auto"/>
            <w:tcBorders>
              <w:top w:val="single" w:sz="12" w:space="0" w:color="000000"/>
              <w:bottom w:val="single" w:sz="12" w:space="0" w:color="000000"/>
            </w:tcBorders>
            <w:shd w:val="clear" w:color="auto" w:fill="D9D9D9"/>
            <w:vAlign w:val="center"/>
            <w:hideMark/>
          </w:tcPr>
          <w:p w14:paraId="3128F474"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b/>
                <w:bCs/>
                <w:sz w:val="16"/>
                <w:szCs w:val="16"/>
                <w:lang w:val="en-US" w:eastAsia="ja-JP"/>
              </w:rPr>
              <w:t>140,08</w:t>
            </w:r>
          </w:p>
        </w:tc>
        <w:tc>
          <w:tcPr>
            <w:tcW w:w="0" w:type="auto"/>
            <w:tcBorders>
              <w:top w:val="single" w:sz="12" w:space="0" w:color="000000"/>
              <w:bottom w:val="single" w:sz="12" w:space="0" w:color="000000"/>
            </w:tcBorders>
            <w:shd w:val="clear" w:color="auto" w:fill="D9D9D9"/>
            <w:vAlign w:val="center"/>
            <w:hideMark/>
          </w:tcPr>
          <w:p w14:paraId="0B36D81E"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b/>
                <w:bCs/>
                <w:sz w:val="16"/>
                <w:szCs w:val="16"/>
                <w:lang w:val="en-US" w:eastAsia="ja-JP"/>
              </w:rPr>
              <w:t>127,3</w:t>
            </w:r>
          </w:p>
        </w:tc>
        <w:tc>
          <w:tcPr>
            <w:tcW w:w="0" w:type="auto"/>
            <w:tcBorders>
              <w:top w:val="single" w:sz="12" w:space="0" w:color="000000"/>
              <w:bottom w:val="single" w:sz="12" w:space="0" w:color="000000"/>
            </w:tcBorders>
            <w:shd w:val="clear" w:color="auto" w:fill="D9D9D9"/>
            <w:vAlign w:val="center"/>
            <w:hideMark/>
          </w:tcPr>
          <w:p w14:paraId="520D9F6F"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b/>
                <w:bCs/>
                <w:sz w:val="16"/>
                <w:szCs w:val="16"/>
                <w:lang w:val="en-US" w:eastAsia="ja-JP"/>
              </w:rPr>
              <w:t>202,3</w:t>
            </w:r>
          </w:p>
        </w:tc>
        <w:tc>
          <w:tcPr>
            <w:tcW w:w="0" w:type="auto"/>
            <w:tcBorders>
              <w:top w:val="single" w:sz="12" w:space="0" w:color="000000"/>
              <w:bottom w:val="single" w:sz="12" w:space="0" w:color="000000"/>
              <w:right w:val="single" w:sz="12" w:space="0" w:color="000000"/>
            </w:tcBorders>
            <w:shd w:val="clear" w:color="auto" w:fill="D9D9D9"/>
            <w:vAlign w:val="center"/>
          </w:tcPr>
          <w:p w14:paraId="6FAA496D"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b/>
                <w:bCs/>
                <w:sz w:val="16"/>
                <w:szCs w:val="16"/>
                <w:lang w:val="en-US" w:eastAsia="ja-JP"/>
              </w:rPr>
              <w:t>448,28</w:t>
            </w:r>
            <w:r w:rsidRPr="00F0379B">
              <w:rPr>
                <w:rFonts w:ascii="Cambria" w:eastAsia="Times New Roman" w:hAnsi="Cambria" w:cs="Calibri"/>
                <w:b/>
                <w:bCs/>
                <w:sz w:val="16"/>
                <w:szCs w:val="16"/>
                <w:vertAlign w:val="superscript"/>
                <w:lang w:val="en-US" w:eastAsia="ja-JP"/>
              </w:rPr>
              <w:footnoteReference w:id="27"/>
            </w:r>
          </w:p>
        </w:tc>
      </w:tr>
    </w:tbl>
    <w:p w14:paraId="2926D1F3" w14:textId="77777777" w:rsidR="009123AC" w:rsidRPr="00F0379B" w:rsidRDefault="009123AC" w:rsidP="009123AC">
      <w:pPr>
        <w:spacing w:after="0" w:line="240" w:lineRule="auto"/>
        <w:rPr>
          <w:rFonts w:ascii="Cambria" w:eastAsia="MS Gothic" w:hAnsi="Cambria" w:cs="Times New Roman"/>
          <w:i/>
          <w:sz w:val="20"/>
          <w:szCs w:val="20"/>
          <w:lang w:val="en-GB" w:eastAsia="fr-FR" w:bidi="fr-FR"/>
        </w:rPr>
      </w:pPr>
      <w:r w:rsidRPr="00F0379B">
        <w:rPr>
          <w:rFonts w:ascii="Cambria" w:eastAsia="MS Gothic" w:hAnsi="Cambria" w:cs="Times New Roman"/>
          <w:i/>
          <w:sz w:val="20"/>
          <w:szCs w:val="20"/>
          <w:lang w:val="en-GB" w:eastAsia="fr-FR" w:bidi="fr-FR"/>
        </w:rPr>
        <w:br w:type="page"/>
      </w:r>
    </w:p>
    <w:p w14:paraId="51511325" w14:textId="77777777" w:rsidR="009123AC" w:rsidRPr="00F0379B" w:rsidRDefault="009123AC" w:rsidP="009123AC">
      <w:pPr>
        <w:spacing w:after="0" w:line="240" w:lineRule="auto"/>
        <w:jc w:val="both"/>
        <w:rPr>
          <w:rFonts w:ascii="Cambria" w:eastAsia="MS Gothic" w:hAnsi="Cambria" w:cs="Times New Roman"/>
          <w:sz w:val="20"/>
          <w:szCs w:val="20"/>
          <w:lang w:eastAsia="fr-FR" w:bidi="fr-FR"/>
        </w:rPr>
        <w:sectPr w:rsidR="009123AC" w:rsidRPr="00F0379B" w:rsidSect="009123AC">
          <w:headerReference w:type="default" r:id="rId191"/>
          <w:footerReference w:type="default" r:id="rId192"/>
          <w:footnotePr>
            <w:numRestart w:val="eachSect"/>
          </w:footnotePr>
          <w:pgSz w:w="16838" w:h="11906" w:orient="landscape" w:code="9"/>
          <w:pgMar w:top="1418" w:right="1418" w:bottom="1304" w:left="1418" w:header="851" w:footer="1134" w:gutter="0"/>
          <w:cols w:space="425"/>
          <w:docGrid w:linePitch="360"/>
        </w:sectPr>
      </w:pPr>
    </w:p>
    <w:p w14:paraId="2E58514D" w14:textId="77777777" w:rsidR="009123AC" w:rsidRPr="00F0379B" w:rsidRDefault="009123AC" w:rsidP="009123AC">
      <w:pPr>
        <w:spacing w:after="0" w:line="240" w:lineRule="auto"/>
        <w:jc w:val="center"/>
        <w:rPr>
          <w:rFonts w:ascii="Cambria" w:eastAsia="MS Gothic" w:hAnsi="Cambria" w:cs="Times New Roman"/>
          <w:b/>
          <w:bCs/>
          <w:sz w:val="20"/>
          <w:szCs w:val="20"/>
          <w:lang w:eastAsia="fr-FR" w:bidi="fr-FR"/>
        </w:rPr>
      </w:pPr>
      <w:bookmarkStart w:id="19" w:name="_Hlk127452617"/>
      <w:r w:rsidRPr="00F0379B">
        <w:rPr>
          <w:rFonts w:ascii="Cambria" w:eastAsia="MS Gothic" w:hAnsi="Cambria" w:cs="Times New Roman"/>
          <w:b/>
          <w:bCs/>
          <w:sz w:val="20"/>
          <w:szCs w:val="20"/>
          <w:lang w:eastAsia="fr-FR" w:bidi="fr-FR"/>
        </w:rPr>
        <w:t>Lista de puertos incluidos en CP24</w:t>
      </w:r>
    </w:p>
    <w:p w14:paraId="0D33CF2B" w14:textId="77777777" w:rsidR="009123AC" w:rsidRPr="00F0379B" w:rsidRDefault="009123AC" w:rsidP="009123AC">
      <w:pPr>
        <w:spacing w:after="0" w:line="240" w:lineRule="auto"/>
        <w:jc w:val="center"/>
        <w:rPr>
          <w:rFonts w:ascii="Cambria" w:eastAsia="MS Gothic" w:hAnsi="Cambria" w:cs="Times New Roman"/>
          <w:b/>
          <w:bCs/>
          <w:sz w:val="20"/>
          <w:szCs w:val="20"/>
          <w:lang w:eastAsia="fr-FR" w:bidi="fr-FR"/>
        </w:rPr>
      </w:pPr>
    </w:p>
    <w:p w14:paraId="179F5015" w14:textId="77777777" w:rsidR="009123AC" w:rsidRPr="00F0379B" w:rsidRDefault="009123AC" w:rsidP="009123AC">
      <w:pPr>
        <w:widowControl w:val="0"/>
        <w:spacing w:after="0" w:line="240" w:lineRule="auto"/>
        <w:ind w:firstLine="708"/>
        <w:jc w:val="center"/>
        <w:rPr>
          <w:rFonts w:ascii="Cambria" w:eastAsia="MS Gothic" w:hAnsi="Cambria" w:cs="Times New Roman"/>
          <w:b/>
          <w:color w:val="000000"/>
          <w:sz w:val="20"/>
          <w:szCs w:val="24"/>
          <w:lang w:eastAsia="fr-FR" w:bidi="fr-FR"/>
        </w:rPr>
      </w:pPr>
    </w:p>
    <w:tbl>
      <w:tblPr>
        <w:tblW w:w="2680" w:type="dxa"/>
        <w:jc w:val="center"/>
        <w:tblLook w:val="04A0" w:firstRow="1" w:lastRow="0" w:firstColumn="1" w:lastColumn="0" w:noHBand="0" w:noVBand="1"/>
      </w:tblPr>
      <w:tblGrid>
        <w:gridCol w:w="2680"/>
      </w:tblGrid>
      <w:tr w:rsidR="009123AC" w:rsidRPr="00F0379B" w14:paraId="2633EB34" w14:textId="77777777" w:rsidTr="00CA749B">
        <w:trPr>
          <w:trHeight w:val="282"/>
          <w:jc w:val="center"/>
        </w:trPr>
        <w:tc>
          <w:tcPr>
            <w:tcW w:w="2680" w:type="dxa"/>
            <w:tcBorders>
              <w:top w:val="nil"/>
              <w:left w:val="nil"/>
              <w:bottom w:val="nil"/>
              <w:right w:val="nil"/>
            </w:tcBorders>
            <w:shd w:val="clear" w:color="auto" w:fill="D9D9D9"/>
            <w:noWrap/>
            <w:vAlign w:val="bottom"/>
            <w:hideMark/>
          </w:tcPr>
          <w:p w14:paraId="55CFF697"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bookmarkStart w:id="20" w:name="_Hlk158297243"/>
            <w:r w:rsidRPr="00F0379B">
              <w:rPr>
                <w:rFonts w:ascii="Cambria" w:eastAsia="Times New Roman" w:hAnsi="Cambria" w:cs="Calibri"/>
                <w:color w:val="000000"/>
                <w:sz w:val="20"/>
                <w:szCs w:val="20"/>
                <w:lang w:eastAsia="en-GB" w:bidi="fr-FR"/>
              </w:rPr>
              <w:t>ANDENES</w:t>
            </w:r>
          </w:p>
        </w:tc>
      </w:tr>
      <w:tr w:rsidR="009123AC" w:rsidRPr="00F0379B" w14:paraId="284345A1" w14:textId="77777777" w:rsidTr="00CA749B">
        <w:trPr>
          <w:trHeight w:val="285"/>
          <w:jc w:val="center"/>
        </w:trPr>
        <w:tc>
          <w:tcPr>
            <w:tcW w:w="2680" w:type="dxa"/>
            <w:tcBorders>
              <w:top w:val="nil"/>
              <w:left w:val="nil"/>
              <w:bottom w:val="nil"/>
              <w:right w:val="nil"/>
            </w:tcBorders>
            <w:noWrap/>
            <w:vAlign w:val="bottom"/>
            <w:hideMark/>
          </w:tcPr>
          <w:p w14:paraId="30D2F665"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ATLØY</w:t>
            </w:r>
          </w:p>
        </w:tc>
      </w:tr>
      <w:tr w:rsidR="009123AC" w:rsidRPr="00F0379B" w14:paraId="3147A229"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37D2E929"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AUSTEVOLL</w:t>
            </w:r>
          </w:p>
        </w:tc>
      </w:tr>
      <w:tr w:rsidR="009123AC" w:rsidRPr="00F0379B" w14:paraId="347337C8" w14:textId="77777777" w:rsidTr="00CA749B">
        <w:trPr>
          <w:trHeight w:val="285"/>
          <w:jc w:val="center"/>
        </w:trPr>
        <w:tc>
          <w:tcPr>
            <w:tcW w:w="2680" w:type="dxa"/>
            <w:tcBorders>
              <w:top w:val="nil"/>
              <w:left w:val="nil"/>
              <w:bottom w:val="nil"/>
              <w:right w:val="nil"/>
            </w:tcBorders>
            <w:noWrap/>
            <w:vAlign w:val="bottom"/>
            <w:hideMark/>
          </w:tcPr>
          <w:p w14:paraId="2424D7B0"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BODØ</w:t>
            </w:r>
          </w:p>
        </w:tc>
      </w:tr>
      <w:tr w:rsidR="009123AC" w:rsidRPr="00F0379B" w14:paraId="18FFF470"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432FBA04"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BORG</w:t>
            </w:r>
          </w:p>
        </w:tc>
      </w:tr>
      <w:tr w:rsidR="009123AC" w:rsidRPr="00F0379B" w14:paraId="78D3025C" w14:textId="77777777" w:rsidTr="00CA749B">
        <w:trPr>
          <w:trHeight w:val="285"/>
          <w:jc w:val="center"/>
        </w:trPr>
        <w:tc>
          <w:tcPr>
            <w:tcW w:w="2680" w:type="dxa"/>
            <w:tcBorders>
              <w:top w:val="nil"/>
              <w:left w:val="nil"/>
              <w:bottom w:val="nil"/>
              <w:right w:val="nil"/>
            </w:tcBorders>
            <w:noWrap/>
            <w:vAlign w:val="bottom"/>
            <w:hideMark/>
          </w:tcPr>
          <w:p w14:paraId="2E511D05"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BREIVIKA</w:t>
            </w:r>
          </w:p>
        </w:tc>
      </w:tr>
      <w:tr w:rsidR="009123AC" w:rsidRPr="00F0379B" w14:paraId="0EFC83FC"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520E7071"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BREMANGER</w:t>
            </w:r>
          </w:p>
        </w:tc>
      </w:tr>
      <w:tr w:rsidR="009123AC" w:rsidRPr="00F0379B" w14:paraId="662103B5" w14:textId="77777777" w:rsidTr="00CA749B">
        <w:trPr>
          <w:trHeight w:val="285"/>
          <w:jc w:val="center"/>
        </w:trPr>
        <w:tc>
          <w:tcPr>
            <w:tcW w:w="2680" w:type="dxa"/>
            <w:tcBorders>
              <w:top w:val="nil"/>
              <w:left w:val="nil"/>
              <w:bottom w:val="nil"/>
              <w:right w:val="nil"/>
            </w:tcBorders>
            <w:noWrap/>
            <w:vAlign w:val="bottom"/>
            <w:hideMark/>
          </w:tcPr>
          <w:p w14:paraId="0860015D"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BULANDET</w:t>
            </w:r>
          </w:p>
        </w:tc>
      </w:tr>
      <w:tr w:rsidR="009123AC" w:rsidRPr="00F0379B" w14:paraId="34933F73"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1B981611"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BÅTSFJORD</w:t>
            </w:r>
          </w:p>
        </w:tc>
      </w:tr>
      <w:tr w:rsidR="009123AC" w:rsidRPr="00F0379B" w14:paraId="6B272D5E" w14:textId="77777777" w:rsidTr="00CA749B">
        <w:trPr>
          <w:trHeight w:val="285"/>
          <w:jc w:val="center"/>
        </w:trPr>
        <w:tc>
          <w:tcPr>
            <w:tcW w:w="2680" w:type="dxa"/>
            <w:tcBorders>
              <w:top w:val="nil"/>
              <w:left w:val="nil"/>
              <w:bottom w:val="nil"/>
              <w:right w:val="nil"/>
            </w:tcBorders>
            <w:noWrap/>
            <w:vAlign w:val="bottom"/>
            <w:hideMark/>
          </w:tcPr>
          <w:p w14:paraId="0FF5FE3D"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BØVÅGEN</w:t>
            </w:r>
          </w:p>
        </w:tc>
      </w:tr>
      <w:tr w:rsidR="009123AC" w:rsidRPr="00F0379B" w14:paraId="19CC05E5"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59046CBA"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EGERSUND</w:t>
            </w:r>
          </w:p>
        </w:tc>
      </w:tr>
      <w:tr w:rsidR="009123AC" w:rsidRPr="00F0379B" w14:paraId="1600C144" w14:textId="77777777" w:rsidTr="00CA749B">
        <w:trPr>
          <w:trHeight w:val="285"/>
          <w:jc w:val="center"/>
        </w:trPr>
        <w:tc>
          <w:tcPr>
            <w:tcW w:w="2680" w:type="dxa"/>
            <w:tcBorders>
              <w:top w:val="nil"/>
              <w:left w:val="nil"/>
              <w:bottom w:val="nil"/>
              <w:right w:val="nil"/>
            </w:tcBorders>
            <w:noWrap/>
            <w:vAlign w:val="bottom"/>
            <w:hideMark/>
          </w:tcPr>
          <w:p w14:paraId="430AF25D"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ELLINGSØY</w:t>
            </w:r>
          </w:p>
        </w:tc>
      </w:tr>
      <w:tr w:rsidR="009123AC" w:rsidRPr="00F0379B" w14:paraId="2B6DFD9A"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3602FB43"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FISKARSTRAND</w:t>
            </w:r>
          </w:p>
        </w:tc>
      </w:tr>
      <w:tr w:rsidR="009123AC" w:rsidRPr="00F0379B" w14:paraId="5985717B" w14:textId="77777777" w:rsidTr="00CA749B">
        <w:trPr>
          <w:trHeight w:val="285"/>
          <w:jc w:val="center"/>
        </w:trPr>
        <w:tc>
          <w:tcPr>
            <w:tcW w:w="2680" w:type="dxa"/>
            <w:tcBorders>
              <w:top w:val="nil"/>
              <w:left w:val="nil"/>
              <w:bottom w:val="nil"/>
              <w:right w:val="nil"/>
            </w:tcBorders>
            <w:noWrap/>
            <w:vAlign w:val="bottom"/>
            <w:hideMark/>
          </w:tcPr>
          <w:p w14:paraId="35A6C2A1"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FLEKKERØY</w:t>
            </w:r>
          </w:p>
        </w:tc>
      </w:tr>
      <w:tr w:rsidR="009123AC" w:rsidRPr="00F0379B" w14:paraId="36B72EFC"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6F5F5119"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FLEM</w:t>
            </w:r>
          </w:p>
        </w:tc>
      </w:tr>
      <w:tr w:rsidR="009123AC" w:rsidRPr="00F0379B" w14:paraId="00B8FB21" w14:textId="77777777" w:rsidTr="00CA749B">
        <w:trPr>
          <w:trHeight w:val="285"/>
          <w:jc w:val="center"/>
        </w:trPr>
        <w:tc>
          <w:tcPr>
            <w:tcW w:w="2680" w:type="dxa"/>
            <w:tcBorders>
              <w:top w:val="nil"/>
              <w:left w:val="nil"/>
              <w:bottom w:val="nil"/>
              <w:right w:val="nil"/>
            </w:tcBorders>
            <w:noWrap/>
            <w:vAlign w:val="bottom"/>
            <w:hideMark/>
          </w:tcPr>
          <w:p w14:paraId="2C92399D"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FLORØ</w:t>
            </w:r>
          </w:p>
        </w:tc>
      </w:tr>
      <w:tr w:rsidR="009123AC" w:rsidRPr="00F0379B" w14:paraId="763B6EC8"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5386D237"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FOSNAVÅG</w:t>
            </w:r>
          </w:p>
        </w:tc>
      </w:tr>
      <w:tr w:rsidR="009123AC" w:rsidRPr="00F0379B" w14:paraId="1EA7C00F" w14:textId="77777777" w:rsidTr="00CA749B">
        <w:trPr>
          <w:trHeight w:val="285"/>
          <w:jc w:val="center"/>
        </w:trPr>
        <w:tc>
          <w:tcPr>
            <w:tcW w:w="2680" w:type="dxa"/>
            <w:tcBorders>
              <w:top w:val="nil"/>
              <w:left w:val="nil"/>
              <w:bottom w:val="nil"/>
              <w:right w:val="nil"/>
            </w:tcBorders>
            <w:noWrap/>
            <w:vAlign w:val="bottom"/>
            <w:hideMark/>
          </w:tcPr>
          <w:p w14:paraId="6115DC0D"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GLESVAER</w:t>
            </w:r>
          </w:p>
        </w:tc>
      </w:tr>
      <w:tr w:rsidR="009123AC" w:rsidRPr="00F0379B" w14:paraId="51B82300"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247FB10E"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GOTTEBERG</w:t>
            </w:r>
          </w:p>
        </w:tc>
      </w:tr>
      <w:tr w:rsidR="009123AC" w:rsidRPr="00F0379B" w14:paraId="13580D2A" w14:textId="77777777" w:rsidTr="00CA749B">
        <w:trPr>
          <w:trHeight w:val="285"/>
          <w:jc w:val="center"/>
        </w:trPr>
        <w:tc>
          <w:tcPr>
            <w:tcW w:w="2680" w:type="dxa"/>
            <w:tcBorders>
              <w:top w:val="nil"/>
              <w:left w:val="nil"/>
              <w:bottom w:val="nil"/>
              <w:right w:val="nil"/>
            </w:tcBorders>
            <w:noWrap/>
            <w:vAlign w:val="bottom"/>
            <w:hideMark/>
          </w:tcPr>
          <w:p w14:paraId="2023AAB1"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GUNHILDVÅGEN</w:t>
            </w:r>
          </w:p>
        </w:tc>
      </w:tr>
      <w:tr w:rsidR="009123AC" w:rsidRPr="00F0379B" w14:paraId="27141DC1"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33FDB4F6"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HAMMERFEST</w:t>
            </w:r>
          </w:p>
        </w:tc>
      </w:tr>
      <w:tr w:rsidR="009123AC" w:rsidRPr="00F0379B" w14:paraId="57991AC5" w14:textId="77777777" w:rsidTr="00CA749B">
        <w:trPr>
          <w:trHeight w:val="285"/>
          <w:jc w:val="center"/>
        </w:trPr>
        <w:tc>
          <w:tcPr>
            <w:tcW w:w="2680" w:type="dxa"/>
            <w:tcBorders>
              <w:top w:val="nil"/>
              <w:left w:val="nil"/>
              <w:bottom w:val="nil"/>
              <w:right w:val="nil"/>
            </w:tcBorders>
            <w:noWrap/>
            <w:vAlign w:val="bottom"/>
            <w:hideMark/>
          </w:tcPr>
          <w:p w14:paraId="49C64D87"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HARSTAD</w:t>
            </w:r>
          </w:p>
        </w:tc>
      </w:tr>
      <w:tr w:rsidR="009123AC" w:rsidRPr="00F0379B" w14:paraId="792D7283"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27A4D288"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HARØYSUND</w:t>
            </w:r>
          </w:p>
        </w:tc>
      </w:tr>
      <w:tr w:rsidR="009123AC" w:rsidRPr="00F0379B" w14:paraId="0A2F45AD" w14:textId="77777777" w:rsidTr="00CA749B">
        <w:trPr>
          <w:trHeight w:val="285"/>
          <w:jc w:val="center"/>
        </w:trPr>
        <w:tc>
          <w:tcPr>
            <w:tcW w:w="2680" w:type="dxa"/>
            <w:tcBorders>
              <w:top w:val="nil"/>
              <w:left w:val="nil"/>
              <w:bottom w:val="nil"/>
              <w:right w:val="nil"/>
            </w:tcBorders>
            <w:noWrap/>
            <w:vAlign w:val="bottom"/>
            <w:hideMark/>
          </w:tcPr>
          <w:p w14:paraId="5F8EF3E3"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HESTØYA</w:t>
            </w:r>
          </w:p>
        </w:tc>
      </w:tr>
      <w:tr w:rsidR="009123AC" w:rsidRPr="00F0379B" w14:paraId="15681DE3"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5290BB23"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HJØRUNGAVÅG</w:t>
            </w:r>
          </w:p>
        </w:tc>
      </w:tr>
      <w:tr w:rsidR="009123AC" w:rsidRPr="00F0379B" w14:paraId="38FF94C9" w14:textId="77777777" w:rsidTr="00CA749B">
        <w:trPr>
          <w:trHeight w:val="285"/>
          <w:jc w:val="center"/>
        </w:trPr>
        <w:tc>
          <w:tcPr>
            <w:tcW w:w="2680" w:type="dxa"/>
            <w:tcBorders>
              <w:top w:val="nil"/>
              <w:left w:val="nil"/>
              <w:bottom w:val="nil"/>
              <w:right w:val="nil"/>
            </w:tcBorders>
            <w:noWrap/>
            <w:vAlign w:val="bottom"/>
            <w:hideMark/>
          </w:tcPr>
          <w:p w14:paraId="564F3DB8"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HONNINGSVÅG</w:t>
            </w:r>
          </w:p>
        </w:tc>
      </w:tr>
      <w:tr w:rsidR="009123AC" w:rsidRPr="00F0379B" w14:paraId="35474F97"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3FFBADCC"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 xml:space="preserve">HUSØY KARMØY </w:t>
            </w:r>
          </w:p>
        </w:tc>
      </w:tr>
      <w:tr w:rsidR="009123AC" w:rsidRPr="00F0379B" w14:paraId="240CD325" w14:textId="77777777" w:rsidTr="00CA749B">
        <w:trPr>
          <w:trHeight w:val="285"/>
          <w:jc w:val="center"/>
        </w:trPr>
        <w:tc>
          <w:tcPr>
            <w:tcW w:w="2680" w:type="dxa"/>
            <w:tcBorders>
              <w:top w:val="nil"/>
              <w:left w:val="nil"/>
              <w:bottom w:val="nil"/>
              <w:right w:val="nil"/>
            </w:tcBorders>
            <w:noWrap/>
            <w:vAlign w:val="bottom"/>
            <w:hideMark/>
          </w:tcPr>
          <w:p w14:paraId="0BC51D97"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VALER</w:t>
            </w:r>
          </w:p>
        </w:tc>
      </w:tr>
      <w:tr w:rsidR="009123AC" w:rsidRPr="00F0379B" w14:paraId="5958D47B"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1B0CE924"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KALVÅG</w:t>
            </w:r>
          </w:p>
        </w:tc>
      </w:tr>
      <w:tr w:rsidR="009123AC" w:rsidRPr="00F0379B" w14:paraId="038FC9EA" w14:textId="77777777" w:rsidTr="00CA749B">
        <w:trPr>
          <w:trHeight w:val="285"/>
          <w:jc w:val="center"/>
        </w:trPr>
        <w:tc>
          <w:tcPr>
            <w:tcW w:w="2680" w:type="dxa"/>
            <w:tcBorders>
              <w:top w:val="nil"/>
              <w:left w:val="nil"/>
              <w:bottom w:val="nil"/>
              <w:right w:val="nil"/>
            </w:tcBorders>
            <w:noWrap/>
            <w:vAlign w:val="bottom"/>
            <w:hideMark/>
          </w:tcPr>
          <w:p w14:paraId="3FDC5AAF"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KARMSUND</w:t>
            </w:r>
          </w:p>
        </w:tc>
      </w:tr>
      <w:tr w:rsidR="009123AC" w:rsidRPr="00F0379B" w14:paraId="7B0CA089"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3E41BD6C"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KARMØY</w:t>
            </w:r>
          </w:p>
        </w:tc>
      </w:tr>
      <w:tr w:rsidR="009123AC" w:rsidRPr="00F0379B" w14:paraId="41149A60" w14:textId="77777777" w:rsidTr="00CA749B">
        <w:trPr>
          <w:trHeight w:val="285"/>
          <w:jc w:val="center"/>
        </w:trPr>
        <w:tc>
          <w:tcPr>
            <w:tcW w:w="2680" w:type="dxa"/>
            <w:tcBorders>
              <w:top w:val="nil"/>
              <w:left w:val="nil"/>
              <w:bottom w:val="nil"/>
              <w:right w:val="nil"/>
            </w:tcBorders>
            <w:noWrap/>
            <w:vAlign w:val="bottom"/>
            <w:hideMark/>
          </w:tcPr>
          <w:p w14:paraId="2E77B2D6"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KIRKENES</w:t>
            </w:r>
          </w:p>
        </w:tc>
      </w:tr>
      <w:tr w:rsidR="009123AC" w:rsidRPr="00F0379B" w14:paraId="363278DE"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4E733E86"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KJØLLEFJORD</w:t>
            </w:r>
          </w:p>
        </w:tc>
      </w:tr>
      <w:tr w:rsidR="009123AC" w:rsidRPr="00F0379B" w14:paraId="27A737F6" w14:textId="77777777" w:rsidTr="00CA749B">
        <w:trPr>
          <w:trHeight w:val="285"/>
          <w:jc w:val="center"/>
        </w:trPr>
        <w:tc>
          <w:tcPr>
            <w:tcW w:w="2680" w:type="dxa"/>
            <w:tcBorders>
              <w:top w:val="nil"/>
              <w:left w:val="nil"/>
              <w:bottom w:val="nil"/>
              <w:right w:val="nil"/>
            </w:tcBorders>
            <w:noWrap/>
            <w:vAlign w:val="bottom"/>
            <w:hideMark/>
          </w:tcPr>
          <w:p w14:paraId="49539C7D"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KRISTIANSUND</w:t>
            </w:r>
          </w:p>
        </w:tc>
      </w:tr>
      <w:tr w:rsidR="009123AC" w:rsidRPr="00F0379B" w14:paraId="77F7BDAE"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551A95F5"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KRISTIANSAND</w:t>
            </w:r>
          </w:p>
        </w:tc>
      </w:tr>
      <w:tr w:rsidR="009123AC" w:rsidRPr="00F0379B" w14:paraId="5D390231" w14:textId="77777777" w:rsidTr="00CA749B">
        <w:trPr>
          <w:trHeight w:val="285"/>
          <w:jc w:val="center"/>
        </w:trPr>
        <w:tc>
          <w:tcPr>
            <w:tcW w:w="2680" w:type="dxa"/>
            <w:tcBorders>
              <w:top w:val="nil"/>
              <w:left w:val="nil"/>
              <w:bottom w:val="nil"/>
              <w:right w:val="nil"/>
            </w:tcBorders>
            <w:noWrap/>
            <w:vAlign w:val="bottom"/>
            <w:hideMark/>
          </w:tcPr>
          <w:p w14:paraId="7634A8B4"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KÅRVIK/KÅRVIKHAMN</w:t>
            </w:r>
          </w:p>
        </w:tc>
      </w:tr>
      <w:tr w:rsidR="009123AC" w:rsidRPr="00F0379B" w14:paraId="38623437"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6F15F4EE"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KÅRVIKHAMN</w:t>
            </w:r>
          </w:p>
        </w:tc>
      </w:tr>
      <w:tr w:rsidR="009123AC" w:rsidRPr="00F0379B" w14:paraId="22DB8EB1" w14:textId="77777777" w:rsidTr="00CA749B">
        <w:trPr>
          <w:trHeight w:val="285"/>
          <w:jc w:val="center"/>
        </w:trPr>
        <w:tc>
          <w:tcPr>
            <w:tcW w:w="2680" w:type="dxa"/>
            <w:tcBorders>
              <w:top w:val="nil"/>
              <w:left w:val="nil"/>
              <w:bottom w:val="nil"/>
              <w:right w:val="nil"/>
            </w:tcBorders>
            <w:noWrap/>
            <w:vAlign w:val="bottom"/>
            <w:hideMark/>
          </w:tcPr>
          <w:p w14:paraId="2A79EF3C"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LARVIK</w:t>
            </w:r>
          </w:p>
        </w:tc>
      </w:tr>
      <w:tr w:rsidR="009123AC" w:rsidRPr="00F0379B" w14:paraId="334C94A3"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5BFDD120"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LEIRVIK</w:t>
            </w:r>
          </w:p>
        </w:tc>
      </w:tr>
      <w:tr w:rsidR="009123AC" w:rsidRPr="00F0379B" w14:paraId="3CD86623" w14:textId="77777777" w:rsidTr="00CA749B">
        <w:trPr>
          <w:trHeight w:val="285"/>
          <w:jc w:val="center"/>
        </w:trPr>
        <w:tc>
          <w:tcPr>
            <w:tcW w:w="2680" w:type="dxa"/>
            <w:tcBorders>
              <w:top w:val="nil"/>
              <w:left w:val="nil"/>
              <w:bottom w:val="nil"/>
              <w:right w:val="nil"/>
            </w:tcBorders>
            <w:noWrap/>
            <w:vAlign w:val="bottom"/>
            <w:hideMark/>
          </w:tcPr>
          <w:p w14:paraId="1BEF0D28"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LEKNES (LOFOTTERMINALEN)</w:t>
            </w:r>
          </w:p>
        </w:tc>
      </w:tr>
      <w:tr w:rsidR="009123AC" w:rsidRPr="00F0379B" w14:paraId="435E288D"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54D325CE"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LIAVÅGEN</w:t>
            </w:r>
          </w:p>
        </w:tc>
      </w:tr>
      <w:tr w:rsidR="009123AC" w:rsidRPr="00F0379B" w14:paraId="427ACA59" w14:textId="77777777" w:rsidTr="00CA749B">
        <w:trPr>
          <w:trHeight w:val="285"/>
          <w:jc w:val="center"/>
        </w:trPr>
        <w:tc>
          <w:tcPr>
            <w:tcW w:w="2680" w:type="dxa"/>
            <w:tcBorders>
              <w:top w:val="nil"/>
              <w:left w:val="nil"/>
              <w:bottom w:val="nil"/>
              <w:right w:val="nil"/>
            </w:tcBorders>
            <w:noWrap/>
            <w:vAlign w:val="bottom"/>
            <w:hideMark/>
          </w:tcPr>
          <w:p w14:paraId="0E468576"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LØDINGEN</w:t>
            </w:r>
          </w:p>
        </w:tc>
      </w:tr>
      <w:tr w:rsidR="009123AC" w:rsidRPr="00F0379B" w14:paraId="63AC5166"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7BB180EF"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MELBU</w:t>
            </w:r>
          </w:p>
        </w:tc>
      </w:tr>
      <w:tr w:rsidR="009123AC" w:rsidRPr="00F0379B" w14:paraId="0E8B67D4" w14:textId="77777777" w:rsidTr="00CA749B">
        <w:trPr>
          <w:trHeight w:val="285"/>
          <w:jc w:val="center"/>
        </w:trPr>
        <w:tc>
          <w:tcPr>
            <w:tcW w:w="2680" w:type="dxa"/>
            <w:tcBorders>
              <w:top w:val="nil"/>
              <w:left w:val="nil"/>
              <w:bottom w:val="nil"/>
              <w:right w:val="nil"/>
            </w:tcBorders>
            <w:noWrap/>
            <w:vAlign w:val="bottom"/>
            <w:hideMark/>
          </w:tcPr>
          <w:p w14:paraId="64BBAA91"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MÅLØY</w:t>
            </w:r>
          </w:p>
        </w:tc>
      </w:tr>
      <w:tr w:rsidR="009123AC" w:rsidRPr="00F0379B" w14:paraId="42207B42"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151AD9C1"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OSLO</w:t>
            </w:r>
          </w:p>
        </w:tc>
      </w:tr>
      <w:tr w:rsidR="009123AC" w:rsidRPr="00F0379B" w14:paraId="7D8762B3" w14:textId="77777777" w:rsidTr="00CA749B">
        <w:trPr>
          <w:trHeight w:val="285"/>
          <w:jc w:val="center"/>
        </w:trPr>
        <w:tc>
          <w:tcPr>
            <w:tcW w:w="2680" w:type="dxa"/>
            <w:tcBorders>
              <w:top w:val="nil"/>
              <w:left w:val="nil"/>
              <w:bottom w:val="nil"/>
              <w:right w:val="nil"/>
            </w:tcBorders>
            <w:noWrap/>
            <w:vAlign w:val="bottom"/>
            <w:hideMark/>
          </w:tcPr>
          <w:p w14:paraId="73256B04"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RAUDEBERG</w:t>
            </w:r>
          </w:p>
        </w:tc>
      </w:tr>
      <w:tr w:rsidR="009123AC" w:rsidRPr="00F0379B" w14:paraId="000CDEA3"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4DE25CBF"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RYPEFJORD</w:t>
            </w:r>
          </w:p>
        </w:tc>
      </w:tr>
      <w:tr w:rsidR="009123AC" w:rsidRPr="00F0379B" w14:paraId="2541F30A" w14:textId="77777777" w:rsidTr="00CA749B">
        <w:trPr>
          <w:trHeight w:val="285"/>
          <w:jc w:val="center"/>
        </w:trPr>
        <w:tc>
          <w:tcPr>
            <w:tcW w:w="2680" w:type="dxa"/>
            <w:tcBorders>
              <w:top w:val="nil"/>
              <w:left w:val="nil"/>
              <w:bottom w:val="nil"/>
              <w:right w:val="nil"/>
            </w:tcBorders>
            <w:noWrap/>
            <w:vAlign w:val="bottom"/>
            <w:hideMark/>
          </w:tcPr>
          <w:p w14:paraId="08C5BF20"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SANDØY</w:t>
            </w:r>
          </w:p>
        </w:tc>
      </w:tr>
      <w:tr w:rsidR="009123AC" w:rsidRPr="00F0379B" w14:paraId="4A17A0FD"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6E15818B"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SELJE</w:t>
            </w:r>
          </w:p>
        </w:tc>
      </w:tr>
      <w:tr w:rsidR="009123AC" w:rsidRPr="00F0379B" w14:paraId="04D6FBCE" w14:textId="77777777" w:rsidTr="00CA749B">
        <w:trPr>
          <w:trHeight w:val="285"/>
          <w:jc w:val="center"/>
        </w:trPr>
        <w:tc>
          <w:tcPr>
            <w:tcW w:w="2680" w:type="dxa"/>
            <w:tcBorders>
              <w:top w:val="nil"/>
              <w:left w:val="nil"/>
              <w:bottom w:val="nil"/>
              <w:right w:val="nil"/>
            </w:tcBorders>
            <w:noWrap/>
            <w:vAlign w:val="bottom"/>
            <w:hideMark/>
          </w:tcPr>
          <w:p w14:paraId="0787EE8B"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SENJAHOPEN</w:t>
            </w:r>
          </w:p>
        </w:tc>
      </w:tr>
      <w:tr w:rsidR="009123AC" w:rsidRPr="00F0379B" w14:paraId="37EFCB8D"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4686AEE1"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SIREVÅG</w:t>
            </w:r>
          </w:p>
        </w:tc>
      </w:tr>
      <w:tr w:rsidR="009123AC" w:rsidRPr="00F0379B" w14:paraId="67707048" w14:textId="77777777" w:rsidTr="00CA749B">
        <w:trPr>
          <w:trHeight w:val="285"/>
          <w:jc w:val="center"/>
        </w:trPr>
        <w:tc>
          <w:tcPr>
            <w:tcW w:w="2680" w:type="dxa"/>
            <w:tcBorders>
              <w:top w:val="nil"/>
              <w:left w:val="nil"/>
              <w:bottom w:val="nil"/>
              <w:right w:val="nil"/>
            </w:tcBorders>
            <w:noWrap/>
            <w:vAlign w:val="bottom"/>
            <w:hideMark/>
          </w:tcPr>
          <w:p w14:paraId="0560A396"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SKUDENESHAVN</w:t>
            </w:r>
          </w:p>
        </w:tc>
      </w:tr>
      <w:tr w:rsidR="009123AC" w:rsidRPr="00F0379B" w14:paraId="402F6115"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5F905C3C"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SKUTVIK</w:t>
            </w:r>
          </w:p>
        </w:tc>
      </w:tr>
      <w:tr w:rsidR="009123AC" w:rsidRPr="00F0379B" w14:paraId="0F958DE3" w14:textId="77777777" w:rsidTr="00CA749B">
        <w:trPr>
          <w:trHeight w:val="285"/>
          <w:jc w:val="center"/>
        </w:trPr>
        <w:tc>
          <w:tcPr>
            <w:tcW w:w="2680" w:type="dxa"/>
            <w:tcBorders>
              <w:top w:val="nil"/>
              <w:left w:val="nil"/>
              <w:bottom w:val="nil"/>
              <w:right w:val="nil"/>
            </w:tcBorders>
            <w:noWrap/>
            <w:vAlign w:val="bottom"/>
            <w:hideMark/>
          </w:tcPr>
          <w:p w14:paraId="74AC430F"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SMØLA</w:t>
            </w:r>
          </w:p>
        </w:tc>
      </w:tr>
      <w:tr w:rsidR="009123AC" w:rsidRPr="00F0379B" w14:paraId="45F17B87"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7771059E"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SOLSTRAND</w:t>
            </w:r>
          </w:p>
        </w:tc>
      </w:tr>
      <w:tr w:rsidR="009123AC" w:rsidRPr="00F0379B" w14:paraId="588D7003" w14:textId="77777777" w:rsidTr="00CA749B">
        <w:trPr>
          <w:trHeight w:val="285"/>
          <w:jc w:val="center"/>
        </w:trPr>
        <w:tc>
          <w:tcPr>
            <w:tcW w:w="2680" w:type="dxa"/>
            <w:tcBorders>
              <w:top w:val="nil"/>
              <w:left w:val="nil"/>
              <w:bottom w:val="nil"/>
              <w:right w:val="nil"/>
            </w:tcBorders>
            <w:noWrap/>
            <w:vAlign w:val="bottom"/>
            <w:hideMark/>
          </w:tcPr>
          <w:p w14:paraId="5C1CD111"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SORTLAND</w:t>
            </w:r>
          </w:p>
        </w:tc>
      </w:tr>
      <w:tr w:rsidR="009123AC" w:rsidRPr="00F0379B" w14:paraId="6B82C2B3"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450F0013"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STAVANGER</w:t>
            </w:r>
          </w:p>
        </w:tc>
      </w:tr>
      <w:tr w:rsidR="009123AC" w:rsidRPr="00F0379B" w14:paraId="0FC144D8" w14:textId="77777777" w:rsidTr="00CA749B">
        <w:trPr>
          <w:trHeight w:val="285"/>
          <w:jc w:val="center"/>
        </w:trPr>
        <w:tc>
          <w:tcPr>
            <w:tcW w:w="2680" w:type="dxa"/>
            <w:tcBorders>
              <w:top w:val="nil"/>
              <w:left w:val="nil"/>
              <w:bottom w:val="nil"/>
              <w:right w:val="nil"/>
            </w:tcBorders>
            <w:noWrap/>
            <w:vAlign w:val="bottom"/>
            <w:hideMark/>
          </w:tcPr>
          <w:p w14:paraId="12743927"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STAVERN</w:t>
            </w:r>
          </w:p>
        </w:tc>
      </w:tr>
      <w:tr w:rsidR="009123AC" w:rsidRPr="00F0379B" w14:paraId="74CC494D"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047AC460"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STOREBØ</w:t>
            </w:r>
          </w:p>
        </w:tc>
      </w:tr>
      <w:tr w:rsidR="009123AC" w:rsidRPr="00F0379B" w14:paraId="106B9512" w14:textId="77777777" w:rsidTr="00CA749B">
        <w:trPr>
          <w:trHeight w:val="285"/>
          <w:jc w:val="center"/>
        </w:trPr>
        <w:tc>
          <w:tcPr>
            <w:tcW w:w="2680" w:type="dxa"/>
            <w:tcBorders>
              <w:top w:val="nil"/>
              <w:left w:val="nil"/>
              <w:bottom w:val="nil"/>
              <w:right w:val="nil"/>
            </w:tcBorders>
            <w:noWrap/>
            <w:vAlign w:val="bottom"/>
            <w:hideMark/>
          </w:tcPr>
          <w:p w14:paraId="5C24F22D"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TROLLEBØ</w:t>
            </w:r>
          </w:p>
        </w:tc>
      </w:tr>
      <w:tr w:rsidR="009123AC" w:rsidRPr="00F0379B" w14:paraId="387B7102"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0A429C86"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TROMSØ</w:t>
            </w:r>
          </w:p>
        </w:tc>
      </w:tr>
      <w:tr w:rsidR="009123AC" w:rsidRPr="00F0379B" w14:paraId="2DCEE8E0" w14:textId="77777777" w:rsidTr="00CA749B">
        <w:trPr>
          <w:trHeight w:val="285"/>
          <w:jc w:val="center"/>
        </w:trPr>
        <w:tc>
          <w:tcPr>
            <w:tcW w:w="2680" w:type="dxa"/>
            <w:tcBorders>
              <w:top w:val="nil"/>
              <w:left w:val="nil"/>
              <w:bottom w:val="nil"/>
              <w:right w:val="nil"/>
            </w:tcBorders>
            <w:noWrap/>
            <w:vAlign w:val="bottom"/>
            <w:hideMark/>
          </w:tcPr>
          <w:p w14:paraId="72AB39A2"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TRONDHEIM HØVRINGEN</w:t>
            </w:r>
          </w:p>
        </w:tc>
      </w:tr>
      <w:tr w:rsidR="009123AC" w:rsidRPr="00F0379B" w14:paraId="2B79C5BB"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75C897F0"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TRÆNA</w:t>
            </w:r>
          </w:p>
        </w:tc>
      </w:tr>
      <w:tr w:rsidR="009123AC" w:rsidRPr="00F0379B" w14:paraId="08F4699D" w14:textId="77777777" w:rsidTr="00CA749B">
        <w:trPr>
          <w:trHeight w:val="285"/>
          <w:jc w:val="center"/>
        </w:trPr>
        <w:tc>
          <w:tcPr>
            <w:tcW w:w="2680" w:type="dxa"/>
            <w:tcBorders>
              <w:top w:val="nil"/>
              <w:left w:val="nil"/>
              <w:bottom w:val="nil"/>
              <w:right w:val="nil"/>
            </w:tcBorders>
            <w:noWrap/>
            <w:vAlign w:val="bottom"/>
            <w:hideMark/>
          </w:tcPr>
          <w:p w14:paraId="79A34E01"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UTHAUG</w:t>
            </w:r>
          </w:p>
        </w:tc>
      </w:tr>
      <w:tr w:rsidR="009123AC" w:rsidRPr="00F0379B" w14:paraId="275F8120"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23845938"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VADSØ</w:t>
            </w:r>
          </w:p>
        </w:tc>
      </w:tr>
      <w:tr w:rsidR="009123AC" w:rsidRPr="00F0379B" w14:paraId="3A502021" w14:textId="77777777" w:rsidTr="00CA749B">
        <w:trPr>
          <w:trHeight w:val="285"/>
          <w:jc w:val="center"/>
        </w:trPr>
        <w:tc>
          <w:tcPr>
            <w:tcW w:w="2680" w:type="dxa"/>
            <w:tcBorders>
              <w:top w:val="nil"/>
              <w:left w:val="nil"/>
              <w:bottom w:val="nil"/>
              <w:right w:val="nil"/>
            </w:tcBorders>
            <w:noWrap/>
            <w:vAlign w:val="bottom"/>
            <w:hideMark/>
          </w:tcPr>
          <w:p w14:paraId="15E982EB"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VARDØ</w:t>
            </w:r>
          </w:p>
        </w:tc>
      </w:tr>
      <w:tr w:rsidR="009123AC" w:rsidRPr="00F0379B" w14:paraId="6188A124" w14:textId="77777777" w:rsidTr="00CA749B">
        <w:trPr>
          <w:trHeight w:val="285"/>
          <w:jc w:val="center"/>
        </w:trPr>
        <w:tc>
          <w:tcPr>
            <w:tcW w:w="2680" w:type="dxa"/>
            <w:tcBorders>
              <w:top w:val="nil"/>
              <w:left w:val="nil"/>
              <w:bottom w:val="nil"/>
              <w:right w:val="nil"/>
            </w:tcBorders>
            <w:shd w:val="clear" w:color="auto" w:fill="D9D9D9"/>
            <w:noWrap/>
            <w:vAlign w:val="bottom"/>
            <w:hideMark/>
          </w:tcPr>
          <w:p w14:paraId="2EED52A7"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VEDDE</w:t>
            </w:r>
          </w:p>
        </w:tc>
      </w:tr>
      <w:tr w:rsidR="009123AC" w:rsidRPr="00F0379B" w14:paraId="38A0B29D" w14:textId="77777777" w:rsidTr="00CA749B">
        <w:trPr>
          <w:trHeight w:val="285"/>
          <w:jc w:val="center"/>
        </w:trPr>
        <w:tc>
          <w:tcPr>
            <w:tcW w:w="2680" w:type="dxa"/>
            <w:tcBorders>
              <w:top w:val="nil"/>
              <w:left w:val="nil"/>
              <w:bottom w:val="nil"/>
              <w:right w:val="nil"/>
            </w:tcBorders>
            <w:noWrap/>
            <w:vAlign w:val="bottom"/>
            <w:hideMark/>
          </w:tcPr>
          <w:p w14:paraId="519ABF10"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VÆRØY</w:t>
            </w:r>
          </w:p>
        </w:tc>
      </w:tr>
      <w:tr w:rsidR="009123AC" w:rsidRPr="00F0379B" w14:paraId="4238A7B5" w14:textId="77777777" w:rsidTr="00CA749B">
        <w:trPr>
          <w:trHeight w:val="285"/>
          <w:jc w:val="center"/>
        </w:trPr>
        <w:tc>
          <w:tcPr>
            <w:tcW w:w="2680" w:type="dxa"/>
            <w:tcBorders>
              <w:top w:val="nil"/>
              <w:left w:val="nil"/>
              <w:bottom w:val="single" w:sz="4" w:space="0" w:color="000000"/>
              <w:right w:val="nil"/>
            </w:tcBorders>
            <w:shd w:val="clear" w:color="auto" w:fill="D9D9D9"/>
            <w:noWrap/>
            <w:vAlign w:val="bottom"/>
            <w:hideMark/>
          </w:tcPr>
          <w:p w14:paraId="07F0F6CC"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pPr>
            <w:r w:rsidRPr="00F0379B">
              <w:rPr>
                <w:rFonts w:ascii="Cambria" w:eastAsia="Times New Roman" w:hAnsi="Cambria" w:cs="Calibri"/>
                <w:color w:val="000000"/>
                <w:sz w:val="20"/>
                <w:szCs w:val="20"/>
                <w:lang w:eastAsia="en-GB" w:bidi="fr-FR"/>
              </w:rPr>
              <w:t>ÅLESUND</w:t>
            </w:r>
          </w:p>
        </w:tc>
      </w:tr>
      <w:bookmarkEnd w:id="20"/>
    </w:tbl>
    <w:p w14:paraId="12869C0E" w14:textId="77777777" w:rsidR="009123AC" w:rsidRPr="00F0379B" w:rsidRDefault="009123AC" w:rsidP="009123AC">
      <w:pPr>
        <w:tabs>
          <w:tab w:val="left" w:pos="142"/>
        </w:tabs>
        <w:spacing w:after="0" w:line="240" w:lineRule="auto"/>
        <w:rPr>
          <w:rFonts w:ascii="Cambria" w:eastAsia="MS Gothic" w:hAnsi="Cambria" w:cs="Times New Roman"/>
          <w:sz w:val="20"/>
          <w:szCs w:val="24"/>
          <w:lang w:val="en-GB" w:eastAsia="fr-FR" w:bidi="fr-FR"/>
        </w:rPr>
      </w:pPr>
    </w:p>
    <w:p w14:paraId="511D7BA2" w14:textId="77777777" w:rsidR="009123AC" w:rsidRPr="00F0379B" w:rsidRDefault="009123AC" w:rsidP="009123AC">
      <w:pPr>
        <w:spacing w:after="0" w:line="240" w:lineRule="auto"/>
        <w:jc w:val="center"/>
        <w:rPr>
          <w:rFonts w:ascii="Cambria" w:eastAsia="MS Gothic" w:hAnsi="Cambria" w:cs="Times New Roman"/>
          <w:b/>
          <w:bCs/>
          <w:sz w:val="20"/>
          <w:szCs w:val="20"/>
          <w:lang w:eastAsia="fr-FR" w:bidi="fr-FR"/>
        </w:rPr>
      </w:pPr>
    </w:p>
    <w:p w14:paraId="731CD8AE" w14:textId="77777777" w:rsidR="009123AC" w:rsidRPr="00F0379B" w:rsidRDefault="009123AC" w:rsidP="009123AC">
      <w:pPr>
        <w:spacing w:after="0" w:line="240" w:lineRule="auto"/>
        <w:jc w:val="center"/>
        <w:rPr>
          <w:rFonts w:ascii="Cambria" w:eastAsia="MS Gothic" w:hAnsi="Cambria" w:cs="Times New Roman"/>
          <w:sz w:val="20"/>
          <w:szCs w:val="20"/>
          <w:lang w:eastAsia="fr-FR" w:bidi="fr-FR"/>
        </w:rPr>
      </w:pPr>
    </w:p>
    <w:p w14:paraId="34B17B74" w14:textId="77777777" w:rsidR="009123AC" w:rsidRPr="00F0379B" w:rsidRDefault="009123AC" w:rsidP="009123AC">
      <w:pPr>
        <w:widowControl w:val="0"/>
        <w:spacing w:after="0" w:line="240" w:lineRule="auto"/>
        <w:jc w:val="both"/>
        <w:rPr>
          <w:rFonts w:ascii="Cambria" w:eastAsia="Times New Roman" w:hAnsi="Cambria" w:cs="Calibri"/>
          <w:color w:val="000000"/>
          <w:sz w:val="20"/>
          <w:szCs w:val="20"/>
          <w:lang w:eastAsia="en-GB" w:bidi="fr-FR"/>
        </w:rPr>
        <w:sectPr w:rsidR="009123AC" w:rsidRPr="00F0379B" w:rsidSect="009123AC">
          <w:pgSz w:w="11906" w:h="16838" w:code="9"/>
          <w:pgMar w:top="1418" w:right="1418" w:bottom="1418" w:left="1304" w:header="851" w:footer="1134" w:gutter="0"/>
          <w:cols w:space="425"/>
          <w:docGrid w:linePitch="360"/>
        </w:sectPr>
      </w:pPr>
    </w:p>
    <w:p w14:paraId="17D9EEE1" w14:textId="77777777" w:rsidR="009123AC" w:rsidRPr="00F0379B" w:rsidRDefault="009123AC" w:rsidP="009123AC">
      <w:pPr>
        <w:spacing w:after="0" w:line="240" w:lineRule="auto"/>
        <w:rPr>
          <w:rFonts w:ascii="Cambria" w:eastAsia="MS Gothic" w:hAnsi="Cambria" w:cs="Times New Roman"/>
          <w:sz w:val="20"/>
          <w:szCs w:val="20"/>
          <w:lang w:eastAsia="fr-FR" w:bidi="fr-FR"/>
        </w:rPr>
        <w:sectPr w:rsidR="009123AC" w:rsidRPr="00F0379B" w:rsidSect="009123AC">
          <w:type w:val="continuous"/>
          <w:pgSz w:w="11906" w:h="16838" w:code="9"/>
          <w:pgMar w:top="1418" w:right="1418" w:bottom="1418" w:left="1304" w:header="851" w:footer="1134" w:gutter="0"/>
          <w:cols w:num="2" w:space="425"/>
          <w:docGrid w:linePitch="360"/>
        </w:sectPr>
      </w:pPr>
    </w:p>
    <w:bookmarkEnd w:id="19"/>
    <w:p w14:paraId="1EADEA22" w14:textId="32B55A7A"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b/>
          <w:bCs/>
          <w:color w:val="000000"/>
          <w:sz w:val="20"/>
          <w:szCs w:val="20"/>
          <w:lang w:eastAsia="zh-CN" w:bidi="fr-FR"/>
        </w:rPr>
        <w:t>Panamá</w:t>
      </w:r>
    </w:p>
    <w:p w14:paraId="10FBDD44"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2964350C"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b/>
          <w:color w:val="000000"/>
          <w:sz w:val="20"/>
          <w:szCs w:val="20"/>
          <w:lang w:eastAsia="zh-CN" w:bidi="fr-FR"/>
        </w:rPr>
        <w:t>Año del plan de pesca: 2026</w:t>
      </w:r>
    </w:p>
    <w:p w14:paraId="0453E1CF"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210A6A83"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27A4F2CA" w14:textId="77777777" w:rsidR="009123AC" w:rsidRPr="00F0379B" w:rsidRDefault="009123AC" w:rsidP="00CE0EC8">
      <w:pPr>
        <w:widowControl w:val="0"/>
        <w:numPr>
          <w:ilvl w:val="0"/>
          <w:numId w:val="6"/>
        </w:numPr>
        <w:suppressAutoHyphens/>
        <w:spacing w:after="0" w:line="240" w:lineRule="auto"/>
        <w:ind w:left="426" w:hanging="426"/>
        <w:contextualSpacing/>
        <w:jc w:val="both"/>
        <w:rPr>
          <w:rFonts w:ascii="Cambria" w:eastAsia="MS Gothic" w:hAnsi="Cambria" w:cs="Cambria"/>
          <w:color w:val="000000"/>
          <w:sz w:val="20"/>
          <w:szCs w:val="20"/>
          <w:lang w:eastAsia="zh-CN" w:bidi="fr-FR"/>
        </w:rPr>
      </w:pPr>
      <w:r w:rsidRPr="00F0379B">
        <w:rPr>
          <w:rFonts w:ascii="Cambria" w:eastAsia="MS Gothic" w:hAnsi="Cambria" w:cs="Cambria"/>
          <w:b/>
          <w:color w:val="000000"/>
          <w:sz w:val="20"/>
          <w:szCs w:val="20"/>
          <w:lang w:eastAsia="zh-CN" w:bidi="fr-FR"/>
        </w:rPr>
        <w:t>Detalles del plan anual de pesca para los buques de captura y las almadrabas</w:t>
      </w:r>
    </w:p>
    <w:p w14:paraId="7E0308FE"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557D01C4"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b/>
          <w:bCs/>
          <w:i/>
          <w:color w:val="000000"/>
          <w:sz w:val="20"/>
          <w:szCs w:val="20"/>
          <w:lang w:eastAsia="zh-CN" w:bidi="fr-FR"/>
        </w:rPr>
        <w:t>1 a) Presentación (párr. 12)</w:t>
      </w:r>
    </w:p>
    <w:p w14:paraId="37B9A208"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6789E0F9" w14:textId="77777777" w:rsidR="009123AC" w:rsidRPr="00F0379B" w:rsidRDefault="009123AC" w:rsidP="009123AC">
      <w:pPr>
        <w:widowControl w:val="0"/>
        <w:suppressAutoHyphens/>
        <w:spacing w:after="0" w:line="240" w:lineRule="auto"/>
        <w:jc w:val="both"/>
        <w:rPr>
          <w:rFonts w:ascii="Cambria" w:eastAsia="MS Gothic" w:hAnsi="Cambria" w:cs="Cambria"/>
          <w:b/>
          <w:color w:val="000000"/>
          <w:sz w:val="20"/>
          <w:szCs w:val="20"/>
          <w:lang w:eastAsia="zh-CN" w:bidi="fr-FR"/>
        </w:rPr>
      </w:pPr>
      <w:r w:rsidRPr="00F0379B">
        <w:rPr>
          <w:rFonts w:ascii="Cambria" w:eastAsia="MS Gothic" w:hAnsi="Cambria" w:cs="Cambria"/>
          <w:color w:val="000000"/>
          <w:sz w:val="20"/>
          <w:szCs w:val="20"/>
          <w:lang w:eastAsia="zh-CN" w:bidi="fr-FR"/>
        </w:rPr>
        <w:t>De conformidad con el párrafo 4 de la Recomendación 25-04, adoptada en el marco de la 29ª reunión ordinaria de ICCAT, celebrada en Sevilla del 17 al 24 de noviembre de 2025, se asignó a República de Panamá una cuota de 55 t de atún rojo. Asimismo, en aplicación del párrafo 8 de la referida Recomendación, dicha cuota fue transferida por la República de Panamá al Reino de Marruecos.</w:t>
      </w:r>
    </w:p>
    <w:p w14:paraId="2F88A905" w14:textId="77777777" w:rsidR="009123AC" w:rsidRPr="00F0379B" w:rsidRDefault="009123AC" w:rsidP="009123AC">
      <w:pPr>
        <w:widowControl w:val="0"/>
        <w:suppressAutoHyphens/>
        <w:spacing w:after="0" w:line="240" w:lineRule="auto"/>
        <w:jc w:val="both"/>
        <w:rPr>
          <w:rFonts w:ascii="Cambria" w:eastAsia="MS Gothic" w:hAnsi="Cambria" w:cs="Cambria"/>
          <w:b/>
          <w:color w:val="000000"/>
          <w:sz w:val="20"/>
          <w:szCs w:val="20"/>
          <w:lang w:eastAsia="zh-CN" w:bidi="fr-FR"/>
        </w:rPr>
      </w:pPr>
    </w:p>
    <w:p w14:paraId="28C8E242" w14:textId="77777777" w:rsidR="009123AC" w:rsidRPr="00F0379B" w:rsidRDefault="009123AC" w:rsidP="009123AC">
      <w:pPr>
        <w:widowControl w:val="0"/>
        <w:suppressAutoHyphens/>
        <w:spacing w:after="0" w:line="240" w:lineRule="auto"/>
        <w:jc w:val="both"/>
        <w:rPr>
          <w:rFonts w:ascii="Cambria" w:eastAsia="MS Gothic" w:hAnsi="Cambria" w:cs="Cambria"/>
          <w:bCs/>
          <w:color w:val="000000"/>
          <w:sz w:val="20"/>
          <w:szCs w:val="20"/>
          <w:lang w:eastAsia="zh-CN" w:bidi="fr-FR"/>
        </w:rPr>
      </w:pPr>
      <w:r w:rsidRPr="00F0379B">
        <w:rPr>
          <w:rFonts w:ascii="Cambria" w:eastAsia="MS Gothic" w:hAnsi="Cambria" w:cs="Cambria"/>
          <w:b/>
          <w:i/>
          <w:color w:val="000000"/>
          <w:sz w:val="20"/>
          <w:szCs w:val="20"/>
          <w:lang w:eastAsia="zh-CN" w:bidi="fr-FR"/>
        </w:rPr>
        <w:t>1 b) Traspaso (párr. 6)</w:t>
      </w:r>
    </w:p>
    <w:p w14:paraId="3D9CD5B8" w14:textId="77777777" w:rsidR="009123AC" w:rsidRPr="00F0379B" w:rsidRDefault="009123AC" w:rsidP="009123AC">
      <w:pPr>
        <w:widowControl w:val="0"/>
        <w:suppressAutoHyphens/>
        <w:spacing w:after="0" w:line="240" w:lineRule="auto"/>
        <w:jc w:val="both"/>
        <w:rPr>
          <w:rFonts w:ascii="Cambria" w:eastAsia="MS Gothic" w:hAnsi="Cambria" w:cs="Cambria"/>
          <w:bCs/>
          <w:color w:val="000000"/>
          <w:sz w:val="20"/>
          <w:szCs w:val="20"/>
          <w:lang w:eastAsia="zh-CN" w:bidi="fr-FR"/>
        </w:rPr>
      </w:pPr>
    </w:p>
    <w:p w14:paraId="44BFC238"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bCs/>
          <w:color w:val="000000"/>
          <w:sz w:val="20"/>
          <w:szCs w:val="20"/>
          <w:lang w:eastAsia="zh-CN" w:bidi="fr-FR"/>
        </w:rPr>
        <w:t>No aplicable</w:t>
      </w:r>
    </w:p>
    <w:p w14:paraId="0B8AB809"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63C2F501" w14:textId="77777777" w:rsidR="009123AC" w:rsidRPr="00F0379B" w:rsidRDefault="009123AC" w:rsidP="009123AC">
      <w:pPr>
        <w:widowControl w:val="0"/>
        <w:suppressAutoHyphens/>
        <w:spacing w:after="0" w:line="240" w:lineRule="auto"/>
        <w:jc w:val="both"/>
        <w:rPr>
          <w:rFonts w:ascii="Cambria" w:eastAsia="MS Gothic" w:hAnsi="Cambria" w:cs="Cambria"/>
          <w:bCs/>
          <w:color w:val="000000"/>
          <w:sz w:val="20"/>
          <w:szCs w:val="20"/>
          <w:lang w:eastAsia="zh-CN" w:bidi="fr-FR"/>
        </w:rPr>
      </w:pPr>
      <w:r w:rsidRPr="00F0379B">
        <w:rPr>
          <w:rFonts w:ascii="Cambria" w:eastAsia="MS Gothic" w:hAnsi="Cambria" w:cs="Cambria"/>
          <w:b/>
          <w:i/>
          <w:color w:val="000000"/>
          <w:sz w:val="20"/>
          <w:szCs w:val="20"/>
          <w:lang w:eastAsia="zh-CN" w:bidi="fr-FR"/>
        </w:rPr>
        <w:t>1 c) Destino de la captura</w:t>
      </w:r>
    </w:p>
    <w:p w14:paraId="493E08FF" w14:textId="77777777" w:rsidR="009123AC" w:rsidRPr="00F0379B" w:rsidRDefault="009123AC" w:rsidP="009123AC">
      <w:pPr>
        <w:widowControl w:val="0"/>
        <w:suppressAutoHyphens/>
        <w:spacing w:after="0" w:line="240" w:lineRule="auto"/>
        <w:jc w:val="both"/>
        <w:rPr>
          <w:rFonts w:ascii="Cambria" w:eastAsia="MS Gothic" w:hAnsi="Cambria" w:cs="Cambria"/>
          <w:bCs/>
          <w:color w:val="000000"/>
          <w:sz w:val="20"/>
          <w:szCs w:val="20"/>
          <w:lang w:eastAsia="zh-CN" w:bidi="fr-FR"/>
        </w:rPr>
      </w:pPr>
    </w:p>
    <w:p w14:paraId="6BEBEC1C" w14:textId="77777777" w:rsidR="009123AC" w:rsidRPr="00F0379B" w:rsidRDefault="009123AC" w:rsidP="009123AC">
      <w:pPr>
        <w:widowControl w:val="0"/>
        <w:suppressAutoHyphens/>
        <w:spacing w:after="0" w:line="240" w:lineRule="auto"/>
        <w:jc w:val="both"/>
        <w:rPr>
          <w:rFonts w:ascii="Cambria" w:eastAsia="MS Gothic" w:hAnsi="Cambria" w:cs="Cambria"/>
          <w:i/>
          <w:color w:val="000000"/>
          <w:sz w:val="20"/>
          <w:szCs w:val="20"/>
          <w:lang w:eastAsia="zh-CN" w:bidi="fr-FR"/>
        </w:rPr>
      </w:pPr>
      <w:r w:rsidRPr="00F0379B">
        <w:rPr>
          <w:rFonts w:ascii="Cambria" w:eastAsia="MS Gothic" w:hAnsi="Cambria" w:cs="Cambria"/>
          <w:color w:val="000000"/>
          <w:sz w:val="20"/>
          <w:szCs w:val="20"/>
          <w:lang w:eastAsia="zh-CN" w:bidi="fr-FR"/>
        </w:rPr>
        <w:t xml:space="preserve">A razón de la transferencia descrita en la sección 1a) de este documento, Panamá no realizará actividades de captura, ni cría de atún rojo bajo dicha asignación durante el período correspondiente al presente plan por lo que no aplica desarrollar esta sección. </w:t>
      </w:r>
    </w:p>
    <w:p w14:paraId="54CDE754" w14:textId="77777777" w:rsidR="009123AC" w:rsidRPr="00F0379B" w:rsidRDefault="009123AC" w:rsidP="009123AC">
      <w:pPr>
        <w:widowControl w:val="0"/>
        <w:suppressAutoHyphens/>
        <w:spacing w:after="0" w:line="240" w:lineRule="auto"/>
        <w:jc w:val="both"/>
        <w:rPr>
          <w:rFonts w:ascii="Cambria" w:eastAsia="MS Gothic" w:hAnsi="Cambria" w:cs="Cambria"/>
          <w:i/>
          <w:color w:val="000000"/>
          <w:sz w:val="20"/>
          <w:szCs w:val="20"/>
          <w:lang w:eastAsia="zh-CN" w:bidi="fr-FR"/>
        </w:rPr>
      </w:pPr>
    </w:p>
    <w:p w14:paraId="7A3076C6" w14:textId="77777777" w:rsidR="009123AC" w:rsidRPr="00F0379B" w:rsidRDefault="009123AC" w:rsidP="009123AC">
      <w:pPr>
        <w:widowControl w:val="0"/>
        <w:suppressAutoHyphens/>
        <w:spacing w:after="0" w:line="240" w:lineRule="auto"/>
        <w:jc w:val="both"/>
        <w:rPr>
          <w:rFonts w:ascii="Cambria" w:eastAsia="MS Gothic" w:hAnsi="Cambria" w:cs="Cambria"/>
          <w:i/>
          <w:color w:val="000000"/>
          <w:sz w:val="20"/>
          <w:szCs w:val="20"/>
          <w:lang w:eastAsia="zh-CN" w:bidi="fr-FR"/>
        </w:rPr>
      </w:pPr>
      <w:r w:rsidRPr="00F0379B">
        <w:rPr>
          <w:rFonts w:ascii="Cambria" w:eastAsia="MS Gothic" w:hAnsi="Cambria" w:cs="Cambria"/>
          <w:b/>
          <w:i/>
          <w:iCs/>
          <w:color w:val="000000"/>
          <w:sz w:val="20"/>
          <w:szCs w:val="20"/>
          <w:lang w:eastAsia="zh-CN" w:bidi="fr-FR"/>
        </w:rPr>
        <w:t xml:space="preserve">1 d) </w:t>
      </w:r>
    </w:p>
    <w:p w14:paraId="30499466" w14:textId="77777777" w:rsidR="009123AC" w:rsidRPr="00F0379B" w:rsidRDefault="009123AC" w:rsidP="009123AC">
      <w:pPr>
        <w:widowControl w:val="0"/>
        <w:suppressAutoHyphens/>
        <w:spacing w:after="0" w:line="240" w:lineRule="auto"/>
        <w:jc w:val="both"/>
        <w:rPr>
          <w:rFonts w:ascii="Cambria" w:eastAsia="MS Gothic" w:hAnsi="Cambria" w:cs="Cambria"/>
          <w:i/>
          <w:color w:val="000000"/>
          <w:sz w:val="20"/>
          <w:szCs w:val="20"/>
          <w:lang w:eastAsia="zh-CN" w:bidi="fr-FR"/>
        </w:rPr>
      </w:pPr>
    </w:p>
    <w:tbl>
      <w:tblPr>
        <w:tblW w:w="0" w:type="auto"/>
        <w:tblInd w:w="113" w:type="dxa"/>
        <w:tblLayout w:type="fixed"/>
        <w:tblLook w:val="0000" w:firstRow="0" w:lastRow="0" w:firstColumn="0" w:lastColumn="0" w:noHBand="0" w:noVBand="0"/>
      </w:tblPr>
      <w:tblGrid>
        <w:gridCol w:w="453"/>
        <w:gridCol w:w="1952"/>
        <w:gridCol w:w="2551"/>
        <w:gridCol w:w="2262"/>
        <w:gridCol w:w="1842"/>
      </w:tblGrid>
      <w:tr w:rsidR="009123AC" w:rsidRPr="00F0379B" w14:paraId="06604E1D" w14:textId="77777777" w:rsidTr="00CA749B">
        <w:trPr>
          <w:tblHeader/>
        </w:trPr>
        <w:tc>
          <w:tcPr>
            <w:tcW w:w="453" w:type="dxa"/>
            <w:tcBorders>
              <w:top w:val="single" w:sz="4" w:space="0" w:color="000000"/>
              <w:left w:val="single" w:sz="4" w:space="0" w:color="000000"/>
              <w:bottom w:val="single" w:sz="4" w:space="0" w:color="000000"/>
              <w:right w:val="single" w:sz="4" w:space="0" w:color="000000"/>
            </w:tcBorders>
          </w:tcPr>
          <w:p w14:paraId="11CEDA4F" w14:textId="77777777" w:rsidR="009123AC" w:rsidRPr="00F0379B" w:rsidRDefault="009123AC" w:rsidP="009123AC">
            <w:pPr>
              <w:widowControl w:val="0"/>
              <w:suppressAutoHyphens/>
              <w:snapToGrid w:val="0"/>
              <w:spacing w:after="0" w:line="240" w:lineRule="auto"/>
              <w:rPr>
                <w:rFonts w:ascii="Cambria" w:eastAsia="MS Gothic" w:hAnsi="Cambria" w:cs="Cambria"/>
                <w:color w:val="000000"/>
                <w:sz w:val="20"/>
                <w:szCs w:val="20"/>
                <w:lang w:eastAsia="zh-CN" w:bidi="fr-FR"/>
              </w:rPr>
            </w:pPr>
          </w:p>
        </w:tc>
        <w:tc>
          <w:tcPr>
            <w:tcW w:w="1952" w:type="dxa"/>
            <w:tcBorders>
              <w:top w:val="single" w:sz="4" w:space="0" w:color="000000"/>
              <w:left w:val="single" w:sz="4" w:space="0" w:color="000000"/>
              <w:bottom w:val="single" w:sz="4" w:space="0" w:color="000000"/>
              <w:right w:val="single" w:sz="4" w:space="0" w:color="000000"/>
            </w:tcBorders>
            <w:vAlign w:val="center"/>
          </w:tcPr>
          <w:p w14:paraId="4799C697" w14:textId="77777777" w:rsidR="009123AC" w:rsidRPr="00F0379B" w:rsidRDefault="009123AC" w:rsidP="009123AC">
            <w:pPr>
              <w:widowControl w:val="0"/>
              <w:suppressAutoHyphens/>
              <w:spacing w:after="0" w:line="240" w:lineRule="auto"/>
              <w:jc w:val="center"/>
              <w:rPr>
                <w:rFonts w:ascii="Cambria" w:eastAsia="MS Gothic" w:hAnsi="Cambria" w:cs="Cambria"/>
                <w:i/>
                <w:color w:val="000000"/>
                <w:sz w:val="20"/>
                <w:szCs w:val="20"/>
                <w:lang w:eastAsia="zh-CN" w:bidi="fr-FR"/>
              </w:rPr>
            </w:pPr>
            <w:r w:rsidRPr="00F0379B">
              <w:rPr>
                <w:rFonts w:ascii="Cambria" w:eastAsia="MS Gothic" w:hAnsi="Cambria" w:cs="Cambria"/>
                <w:i/>
                <w:color w:val="000000"/>
                <w:sz w:val="20"/>
                <w:szCs w:val="20"/>
                <w:lang w:eastAsia="zh-CN" w:bidi="fr-FR"/>
              </w:rPr>
              <w:t>Requisito ICCAT</w:t>
            </w:r>
          </w:p>
          <w:p w14:paraId="71646A0A" w14:textId="77777777" w:rsidR="009123AC" w:rsidRPr="00F0379B" w:rsidRDefault="009123AC" w:rsidP="009123AC">
            <w:pPr>
              <w:widowControl w:val="0"/>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i/>
                <w:color w:val="000000"/>
                <w:sz w:val="20"/>
                <w:szCs w:val="20"/>
                <w:lang w:eastAsia="zh-CN" w:bidi="fr-FR"/>
              </w:rPr>
              <w:t xml:space="preserve">(según </w:t>
            </w:r>
            <w:r w:rsidRPr="00F0379B">
              <w:rPr>
                <w:rFonts w:ascii="Cambria" w:eastAsia="MS Gothic" w:hAnsi="Cambria" w:cs="Cambria"/>
                <w:i/>
                <w:color w:val="0563C1"/>
                <w:sz w:val="20"/>
                <w:szCs w:val="20"/>
                <w:lang w:eastAsia="zh-CN" w:bidi="fr-FR"/>
              </w:rPr>
              <w:t>Rec. 25-04</w:t>
            </w:r>
            <w:r w:rsidRPr="00F0379B">
              <w:rPr>
                <w:rFonts w:ascii="Cambria" w:eastAsia="MS Gothic" w:hAnsi="Cambria" w:cs="Cambria"/>
                <w:i/>
                <w:color w:val="000000"/>
                <w:sz w:val="20"/>
                <w:szCs w:val="20"/>
                <w:lang w:eastAsia="zh-CN" w:bidi="fr-FR"/>
              </w:rPr>
              <w:t>)</w:t>
            </w:r>
          </w:p>
        </w:tc>
        <w:tc>
          <w:tcPr>
            <w:tcW w:w="2551" w:type="dxa"/>
            <w:tcBorders>
              <w:top w:val="single" w:sz="4" w:space="0" w:color="000000"/>
              <w:left w:val="single" w:sz="4" w:space="0" w:color="000000"/>
              <w:bottom w:val="single" w:sz="4" w:space="0" w:color="000000"/>
              <w:right w:val="single" w:sz="4" w:space="0" w:color="000000"/>
            </w:tcBorders>
            <w:vAlign w:val="center"/>
          </w:tcPr>
          <w:p w14:paraId="34450402" w14:textId="77777777" w:rsidR="009123AC" w:rsidRPr="00F0379B" w:rsidRDefault="009123AC" w:rsidP="009123AC">
            <w:pPr>
              <w:widowControl w:val="0"/>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i/>
                <w:color w:val="000000"/>
                <w:sz w:val="20"/>
                <w:szCs w:val="20"/>
                <w:lang w:eastAsia="zh-CN" w:bidi="fr-FR"/>
              </w:rPr>
              <w:t>Explicación de las acciones emprendidas por la CPC con fines de implementación</w:t>
            </w:r>
          </w:p>
        </w:tc>
        <w:tc>
          <w:tcPr>
            <w:tcW w:w="2262" w:type="dxa"/>
            <w:tcBorders>
              <w:top w:val="single" w:sz="4" w:space="0" w:color="000000"/>
              <w:left w:val="single" w:sz="4" w:space="0" w:color="000000"/>
              <w:bottom w:val="single" w:sz="4" w:space="0" w:color="000000"/>
              <w:right w:val="single" w:sz="4" w:space="0" w:color="000000"/>
            </w:tcBorders>
            <w:vAlign w:val="center"/>
          </w:tcPr>
          <w:p w14:paraId="56B79CAA" w14:textId="77777777" w:rsidR="009123AC" w:rsidRPr="00F0379B" w:rsidRDefault="009123AC" w:rsidP="009123AC">
            <w:pPr>
              <w:widowControl w:val="0"/>
              <w:suppressAutoHyphens/>
              <w:spacing w:after="0" w:line="240" w:lineRule="auto"/>
              <w:jc w:val="center"/>
              <w:rPr>
                <w:rFonts w:ascii="Cambria" w:eastAsia="MS Gothic" w:hAnsi="Cambria" w:cs="Cambria"/>
                <w:i/>
                <w:color w:val="000000"/>
                <w:sz w:val="20"/>
                <w:szCs w:val="20"/>
                <w:lang w:eastAsia="zh-CN" w:bidi="fr-FR"/>
              </w:rPr>
            </w:pPr>
            <w:r w:rsidRPr="00F0379B">
              <w:rPr>
                <w:rFonts w:ascii="Cambria" w:eastAsia="MS Gothic" w:hAnsi="Cambria" w:cs="Cambria"/>
                <w:i/>
                <w:color w:val="000000"/>
                <w:sz w:val="20"/>
                <w:szCs w:val="20"/>
                <w:lang w:eastAsia="zh-CN" w:bidi="fr-FR"/>
              </w:rPr>
              <w:t>Leyes o reglamentos internos pertinentes</w:t>
            </w:r>
          </w:p>
          <w:p w14:paraId="5D01FABA" w14:textId="77777777" w:rsidR="009123AC" w:rsidRPr="00F0379B" w:rsidRDefault="009123AC" w:rsidP="009123AC">
            <w:pPr>
              <w:widowControl w:val="0"/>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i/>
                <w:color w:val="000000"/>
                <w:sz w:val="20"/>
                <w:szCs w:val="20"/>
                <w:lang w:eastAsia="zh-CN" w:bidi="fr-FR"/>
              </w:rPr>
              <w:t>(si procede)</w:t>
            </w:r>
          </w:p>
        </w:tc>
        <w:tc>
          <w:tcPr>
            <w:tcW w:w="1842" w:type="dxa"/>
            <w:tcBorders>
              <w:top w:val="single" w:sz="4" w:space="0" w:color="000000"/>
              <w:left w:val="single" w:sz="4" w:space="0" w:color="000000"/>
              <w:bottom w:val="single" w:sz="4" w:space="0" w:color="000000"/>
              <w:right w:val="single" w:sz="4" w:space="0" w:color="000000"/>
            </w:tcBorders>
            <w:vAlign w:val="center"/>
          </w:tcPr>
          <w:p w14:paraId="2FFC8AA9" w14:textId="77777777" w:rsidR="009123AC" w:rsidRPr="00F0379B" w:rsidRDefault="009123AC" w:rsidP="009123AC">
            <w:pPr>
              <w:widowControl w:val="0"/>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i/>
                <w:color w:val="000000"/>
                <w:sz w:val="20"/>
                <w:szCs w:val="20"/>
                <w:lang w:eastAsia="zh-CN" w:bidi="fr-FR"/>
              </w:rPr>
              <w:t>Nota</w:t>
            </w:r>
          </w:p>
        </w:tc>
      </w:tr>
      <w:tr w:rsidR="009123AC" w:rsidRPr="00F0379B" w14:paraId="0B1CA7B5" w14:textId="77777777" w:rsidTr="00C148C2">
        <w:trPr>
          <w:trHeight w:val="2957"/>
        </w:trPr>
        <w:tc>
          <w:tcPr>
            <w:tcW w:w="453" w:type="dxa"/>
            <w:tcBorders>
              <w:top w:val="single" w:sz="4" w:space="0" w:color="000000"/>
              <w:left w:val="single" w:sz="4" w:space="0" w:color="000000"/>
              <w:bottom w:val="single" w:sz="4" w:space="0" w:color="000000"/>
              <w:right w:val="single" w:sz="4" w:space="0" w:color="000000"/>
            </w:tcBorders>
          </w:tcPr>
          <w:p w14:paraId="37A16469"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1</w:t>
            </w:r>
          </w:p>
        </w:tc>
        <w:tc>
          <w:tcPr>
            <w:tcW w:w="1952" w:type="dxa"/>
            <w:tcBorders>
              <w:top w:val="single" w:sz="4" w:space="0" w:color="000000"/>
              <w:left w:val="single" w:sz="4" w:space="0" w:color="000000"/>
              <w:bottom w:val="single" w:sz="4" w:space="0" w:color="000000"/>
              <w:right w:val="single" w:sz="4" w:space="0" w:color="000000"/>
            </w:tcBorders>
          </w:tcPr>
          <w:p w14:paraId="4595DAA0"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Consignación y comunicación de la captura (párrs. 74-88)</w:t>
            </w:r>
          </w:p>
        </w:tc>
        <w:tc>
          <w:tcPr>
            <w:tcW w:w="2551" w:type="dxa"/>
            <w:tcBorders>
              <w:top w:val="single" w:sz="4" w:space="0" w:color="000000"/>
              <w:left w:val="single" w:sz="4" w:space="0" w:color="000000"/>
              <w:bottom w:val="single" w:sz="4" w:space="0" w:color="000000"/>
              <w:right w:val="single" w:sz="4" w:space="0" w:color="000000"/>
            </w:tcBorders>
          </w:tcPr>
          <w:p w14:paraId="20F0F4BC"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 xml:space="preserve">Los patrones de los buques pesqueros mantendrán y utilizaran un cuaderno de pesca electrónico o encuadernado para consignar sus operaciones de conformidad con las disposiciones del anexo 2 durante todo el periodo en el que están autorizados a pescar atún rojo. </w:t>
            </w:r>
          </w:p>
          <w:p w14:paraId="56E98425"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577F73F4"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Panamá ha designado los puertos para que los buques pesqueros puedan desembarcar y/o trasbordar atún rojo. Dicha lista consta en la sección 5 de este documento.</w:t>
            </w:r>
          </w:p>
          <w:p w14:paraId="4F9042CA"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6C5F0F7B"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 xml:space="preserve">Se ha prohibido el desembarque o transbordo de atún rojo desde los buques de captura, así como los buques de transformación y desde los buques auxiliares fuera de los puertos. </w:t>
            </w:r>
          </w:p>
          <w:p w14:paraId="15E1C232"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2B6870DF" w14:textId="77777777" w:rsidR="00C148C2" w:rsidRPr="00F0379B" w:rsidRDefault="00C148C2"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10E3A9D8" w14:textId="75C1EB2F"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 xml:space="preserve">En cumplimiento de las medidas se realizará cuando corresponda la verificación cruzada de informes de inspección y de observadores, datos VMS, eBCD cuando proceda, y la consistencia de los cuadernos de pesca y documentos de captura, en desembarques, transbordos. </w:t>
            </w:r>
          </w:p>
        </w:tc>
        <w:tc>
          <w:tcPr>
            <w:tcW w:w="2262" w:type="dxa"/>
            <w:tcBorders>
              <w:top w:val="single" w:sz="4" w:space="0" w:color="000000"/>
              <w:left w:val="single" w:sz="4" w:space="0" w:color="000000"/>
              <w:bottom w:val="single" w:sz="4" w:space="0" w:color="000000"/>
              <w:right w:val="single" w:sz="4" w:space="0" w:color="000000"/>
            </w:tcBorders>
          </w:tcPr>
          <w:p w14:paraId="08F7875C"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Resolución ADM/ARAP No. 006</w:t>
            </w:r>
          </w:p>
          <w:p w14:paraId="1B107744" w14:textId="77777777" w:rsidR="009123AC" w:rsidRPr="00F0379B" w:rsidRDefault="009123AC" w:rsidP="009123AC">
            <w:pPr>
              <w:widowControl w:val="0"/>
              <w:suppressAutoHyphens/>
              <w:spacing w:after="0" w:line="240" w:lineRule="auto"/>
              <w:jc w:val="both"/>
              <w:rPr>
                <w:rFonts w:ascii="Cambria" w:eastAsia="MS Gothic" w:hAnsi="Cambria" w:cs="Cambria"/>
                <w:b/>
                <w:color w:val="000000"/>
                <w:sz w:val="20"/>
                <w:szCs w:val="20"/>
                <w:lang w:eastAsia="zh-CN" w:bidi="fr-FR"/>
              </w:rPr>
            </w:pPr>
            <w:r w:rsidRPr="00F0379B">
              <w:rPr>
                <w:rFonts w:ascii="Cambria" w:eastAsia="MS Gothic" w:hAnsi="Cambria" w:cs="Cambria"/>
                <w:color w:val="000000"/>
                <w:sz w:val="20"/>
                <w:szCs w:val="20"/>
                <w:lang w:eastAsia="zh-CN" w:bidi="fr-FR"/>
              </w:rPr>
              <w:t>(de 4 de febrero de 2026) p</w:t>
            </w:r>
            <w:proofErr w:type="spellStart"/>
            <w:r w:rsidRPr="00F0379B">
              <w:rPr>
                <w:rFonts w:ascii="Cambria" w:eastAsia="Times New Roman" w:hAnsi="Cambria" w:cs="Cambria"/>
                <w:bCs/>
                <w:color w:val="000000"/>
                <w:sz w:val="20"/>
                <w:szCs w:val="20"/>
                <w:lang w:val="es-419" w:eastAsia="zh-CN" w:bidi="fr-FR"/>
              </w:rPr>
              <w:t>or</w:t>
            </w:r>
            <w:proofErr w:type="spellEnd"/>
            <w:r w:rsidRPr="00F0379B">
              <w:rPr>
                <w:rFonts w:ascii="Cambria" w:eastAsia="Times New Roman" w:hAnsi="Cambria" w:cs="Cambria"/>
                <w:bCs/>
                <w:color w:val="000000"/>
                <w:sz w:val="20"/>
                <w:szCs w:val="20"/>
                <w:lang w:val="es-419" w:eastAsia="zh-CN" w:bidi="fr-FR"/>
              </w:rPr>
              <w:t xml:space="preserve"> la cual se adoptan y aplican en la República de Panamá las medidas de conservación y ordenación para el atún rojo del Atlántico este y Mediterráneo </w:t>
            </w:r>
            <w:r w:rsidRPr="00F0379B">
              <w:rPr>
                <w:rFonts w:ascii="Cambria" w:eastAsia="Times New Roman" w:hAnsi="Cambria" w:cs="Cambria"/>
                <w:bCs/>
                <w:i/>
                <w:color w:val="000000"/>
                <w:sz w:val="20"/>
                <w:szCs w:val="20"/>
                <w:lang w:val="es-419" w:eastAsia="zh-CN" w:bidi="fr-FR"/>
              </w:rPr>
              <w:t>(</w:t>
            </w:r>
            <w:proofErr w:type="spellStart"/>
            <w:r w:rsidRPr="00F0379B">
              <w:rPr>
                <w:rFonts w:ascii="Cambria" w:eastAsia="Times New Roman" w:hAnsi="Cambria" w:cs="Cambria"/>
                <w:bCs/>
                <w:i/>
                <w:color w:val="000000"/>
                <w:sz w:val="20"/>
                <w:szCs w:val="20"/>
                <w:lang w:val="es-419" w:eastAsia="zh-CN" w:bidi="fr-FR"/>
              </w:rPr>
              <w:t>Thunnus</w:t>
            </w:r>
            <w:proofErr w:type="spellEnd"/>
            <w:r w:rsidRPr="00F0379B">
              <w:rPr>
                <w:rFonts w:ascii="Cambria" w:eastAsia="Times New Roman" w:hAnsi="Cambria" w:cs="Cambria"/>
                <w:bCs/>
                <w:i/>
                <w:color w:val="000000"/>
                <w:sz w:val="20"/>
                <w:szCs w:val="20"/>
                <w:lang w:val="es-419" w:eastAsia="zh-CN" w:bidi="fr-FR"/>
              </w:rPr>
              <w:t xml:space="preserve"> </w:t>
            </w:r>
            <w:proofErr w:type="spellStart"/>
            <w:r w:rsidRPr="00F0379B">
              <w:rPr>
                <w:rFonts w:ascii="Cambria" w:eastAsia="Times New Roman" w:hAnsi="Cambria" w:cs="Cambria"/>
                <w:bCs/>
                <w:i/>
                <w:color w:val="000000"/>
                <w:sz w:val="20"/>
                <w:szCs w:val="20"/>
                <w:lang w:val="es-419" w:eastAsia="zh-CN" w:bidi="fr-FR"/>
              </w:rPr>
              <w:t>thynnus</w:t>
            </w:r>
            <w:proofErr w:type="spellEnd"/>
            <w:r w:rsidRPr="00F0379B">
              <w:rPr>
                <w:rFonts w:ascii="Cambria" w:eastAsia="Times New Roman" w:hAnsi="Cambria" w:cs="Cambria"/>
                <w:bCs/>
                <w:color w:val="000000"/>
                <w:sz w:val="20"/>
                <w:szCs w:val="20"/>
                <w:lang w:val="es-419" w:eastAsia="zh-CN" w:bidi="fr-FR"/>
              </w:rPr>
              <w:t xml:space="preserve">), conforme a la Recomendación 25-04. </w:t>
            </w:r>
          </w:p>
          <w:p w14:paraId="61BC30EF" w14:textId="77777777" w:rsidR="009123AC" w:rsidRPr="00F0379B" w:rsidRDefault="009123AC" w:rsidP="009123AC">
            <w:pPr>
              <w:widowControl w:val="0"/>
              <w:suppressAutoHyphens/>
              <w:spacing w:after="0" w:line="240" w:lineRule="auto"/>
              <w:jc w:val="both"/>
              <w:rPr>
                <w:rFonts w:ascii="Cambria" w:eastAsia="MS Gothic" w:hAnsi="Cambria" w:cs="Cambria"/>
                <w:b/>
                <w:color w:val="000000"/>
                <w:sz w:val="20"/>
                <w:szCs w:val="20"/>
                <w:lang w:eastAsia="zh-CN" w:bidi="fr-FR"/>
              </w:rPr>
            </w:pPr>
          </w:p>
          <w:p w14:paraId="0BAE3ABC" w14:textId="77777777"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val="es-419" w:eastAsia="zh-CN" w:bidi="fr-FR"/>
              </w:rPr>
              <w:t>Resolución ADM/ARAP No. 008 de 5 de febrero de 2026 por la cual se regula la utilización, explotación y transferencia de la cuota de cincuenta y cinco (55) toneladas de atún rojo del Atlántico (</w:t>
            </w:r>
            <w:proofErr w:type="spellStart"/>
            <w:r w:rsidRPr="00F0379B">
              <w:rPr>
                <w:rFonts w:ascii="Cambria" w:eastAsia="MS Gothic" w:hAnsi="Cambria" w:cs="Cambria"/>
                <w:i/>
                <w:color w:val="000000"/>
                <w:sz w:val="20"/>
                <w:szCs w:val="20"/>
                <w:lang w:val="es-419" w:eastAsia="zh-CN" w:bidi="fr-FR"/>
              </w:rPr>
              <w:t>Thunnus</w:t>
            </w:r>
            <w:proofErr w:type="spellEnd"/>
            <w:r w:rsidRPr="00F0379B">
              <w:rPr>
                <w:rFonts w:ascii="Cambria" w:eastAsia="MS Gothic" w:hAnsi="Cambria" w:cs="Cambria"/>
                <w:i/>
                <w:color w:val="000000"/>
                <w:sz w:val="20"/>
                <w:szCs w:val="20"/>
                <w:lang w:val="es-419" w:eastAsia="zh-CN" w:bidi="fr-FR"/>
              </w:rPr>
              <w:t xml:space="preserve"> </w:t>
            </w:r>
            <w:proofErr w:type="spellStart"/>
            <w:r w:rsidRPr="00F0379B">
              <w:rPr>
                <w:rFonts w:ascii="Cambria" w:eastAsia="MS Gothic" w:hAnsi="Cambria" w:cs="Cambria"/>
                <w:i/>
                <w:color w:val="000000"/>
                <w:sz w:val="20"/>
                <w:szCs w:val="20"/>
                <w:lang w:val="es-419" w:eastAsia="zh-CN" w:bidi="fr-FR"/>
              </w:rPr>
              <w:t>thynnus</w:t>
            </w:r>
            <w:proofErr w:type="spellEnd"/>
            <w:r w:rsidRPr="00F0379B">
              <w:rPr>
                <w:rFonts w:ascii="Cambria" w:eastAsia="MS Gothic" w:hAnsi="Cambria" w:cs="Cambria"/>
                <w:color w:val="000000"/>
                <w:sz w:val="20"/>
                <w:szCs w:val="20"/>
                <w:lang w:val="es-419" w:eastAsia="zh-CN" w:bidi="fr-FR"/>
              </w:rPr>
              <w:t>) asignada a la República de Panamá en el marco de ICCAT</w:t>
            </w:r>
            <w:r w:rsidRPr="00F0379B">
              <w:rPr>
                <w:rFonts w:ascii="Cambria" w:hAnsi="Cambria" w:cs="Cambria"/>
                <w:bCs/>
                <w:color w:val="000000"/>
                <w:sz w:val="20"/>
                <w:szCs w:val="20"/>
                <w:lang w:eastAsia="ja-JP" w:bidi="fr-FR"/>
              </w:rPr>
              <w:t xml:space="preserve">. </w:t>
            </w:r>
            <w:r w:rsidRPr="00F0379B">
              <w:rPr>
                <w:rFonts w:ascii="Cambria" w:eastAsia="MS Gothic" w:hAnsi="Cambria" w:cs="Cambria"/>
                <w:color w:val="000000"/>
                <w:sz w:val="20"/>
                <w:szCs w:val="20"/>
                <w:lang w:eastAsia="zh-CN" w:bidi="fr-FR"/>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36100614"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 xml:space="preserve">Esto aplicará para los buques de captura cuando Panamá desarrolle su pesquería y mantenga buques registrados en ICCAT y autorizados a capturar atún rojo. </w:t>
            </w:r>
          </w:p>
          <w:p w14:paraId="1FC6078E"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tc>
      </w:tr>
      <w:tr w:rsidR="009123AC" w:rsidRPr="00F0379B" w14:paraId="42979FB6" w14:textId="77777777" w:rsidTr="00CA749B">
        <w:tc>
          <w:tcPr>
            <w:tcW w:w="453" w:type="dxa"/>
            <w:tcBorders>
              <w:top w:val="single" w:sz="4" w:space="0" w:color="000000"/>
              <w:left w:val="single" w:sz="4" w:space="0" w:color="000000"/>
              <w:bottom w:val="single" w:sz="4" w:space="0" w:color="000000"/>
              <w:right w:val="single" w:sz="4" w:space="0" w:color="000000"/>
            </w:tcBorders>
          </w:tcPr>
          <w:p w14:paraId="655A8B6A"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2</w:t>
            </w:r>
          </w:p>
        </w:tc>
        <w:tc>
          <w:tcPr>
            <w:tcW w:w="1952" w:type="dxa"/>
            <w:tcBorders>
              <w:top w:val="single" w:sz="4" w:space="0" w:color="000000"/>
              <w:left w:val="single" w:sz="4" w:space="0" w:color="000000"/>
              <w:bottom w:val="single" w:sz="4" w:space="0" w:color="000000"/>
              <w:right w:val="single" w:sz="4" w:space="0" w:color="000000"/>
            </w:tcBorders>
          </w:tcPr>
          <w:p w14:paraId="5DA35858"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Temporadas de pesca abiertas (párrs. 28-32</w:t>
            </w:r>
            <w:r w:rsidRPr="00F0379B">
              <w:rPr>
                <w:rFonts w:ascii="Cambria" w:eastAsia="MS Gothic" w:hAnsi="Cambria" w:cs="Cambria"/>
                <w:b/>
                <w:bCs/>
                <w:color w:val="000000"/>
                <w:sz w:val="20"/>
                <w:szCs w:val="20"/>
                <w:lang w:eastAsia="zh-CN" w:bidi="fr-FR"/>
              </w:rPr>
              <w:t>)</w:t>
            </w:r>
          </w:p>
        </w:tc>
        <w:tc>
          <w:tcPr>
            <w:tcW w:w="2551" w:type="dxa"/>
            <w:tcBorders>
              <w:top w:val="single" w:sz="4" w:space="0" w:color="000000"/>
              <w:left w:val="single" w:sz="4" w:space="0" w:color="000000"/>
              <w:bottom w:val="single" w:sz="4" w:space="0" w:color="000000"/>
              <w:right w:val="single" w:sz="4" w:space="0" w:color="000000"/>
            </w:tcBorders>
          </w:tcPr>
          <w:p w14:paraId="5E8104F4"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 xml:space="preserve">Los buques deberán cumplir con la temporada de veda de conformidad con la Rec. 25-04 de ICCAT.  </w:t>
            </w:r>
          </w:p>
          <w:p w14:paraId="16A7EE71"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tc>
        <w:tc>
          <w:tcPr>
            <w:tcW w:w="2262" w:type="dxa"/>
            <w:tcBorders>
              <w:top w:val="single" w:sz="4" w:space="0" w:color="000000"/>
              <w:left w:val="single" w:sz="4" w:space="0" w:color="000000"/>
              <w:bottom w:val="single" w:sz="4" w:space="0" w:color="000000"/>
              <w:right w:val="single" w:sz="4" w:space="0" w:color="000000"/>
            </w:tcBorders>
          </w:tcPr>
          <w:p w14:paraId="43732ACF" w14:textId="77556634"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 xml:space="preserve">Resolución ADM/ARAP No. </w:t>
            </w:r>
            <w:r w:rsidR="009D2975" w:rsidRPr="00F0379B">
              <w:rPr>
                <w:rFonts w:ascii="Cambria" w:eastAsia="MS Gothic" w:hAnsi="Cambria" w:cs="Cambria"/>
                <w:color w:val="000000"/>
                <w:sz w:val="20"/>
                <w:szCs w:val="20"/>
                <w:lang w:eastAsia="zh-CN" w:bidi="fr-FR"/>
              </w:rPr>
              <w:t>006 (</w:t>
            </w:r>
            <w:r w:rsidRPr="00F0379B">
              <w:rPr>
                <w:rFonts w:ascii="Cambria" w:eastAsia="MS Gothic" w:hAnsi="Cambria" w:cs="Cambria"/>
                <w:color w:val="000000"/>
                <w:sz w:val="20"/>
                <w:szCs w:val="20"/>
                <w:lang w:eastAsia="zh-CN" w:bidi="fr-FR"/>
              </w:rPr>
              <w:t>de 4 de febrero de 2026) por la cual se adoptan y aplican en la República de Panamá las medidas de conservación y ordenación para el atún rojo del Atlántico este y Mediterráneo (</w:t>
            </w:r>
            <w:proofErr w:type="spellStart"/>
            <w:r w:rsidRPr="00F0379B">
              <w:rPr>
                <w:rFonts w:ascii="Cambria" w:eastAsia="MS Gothic" w:hAnsi="Cambria" w:cs="Cambria"/>
                <w:i/>
                <w:iCs/>
                <w:color w:val="000000"/>
                <w:sz w:val="20"/>
                <w:szCs w:val="20"/>
                <w:lang w:eastAsia="zh-CN" w:bidi="fr-FR"/>
              </w:rPr>
              <w:t>Thunnus</w:t>
            </w:r>
            <w:proofErr w:type="spellEnd"/>
            <w:r w:rsidRPr="00F0379B">
              <w:rPr>
                <w:rFonts w:ascii="Cambria" w:eastAsia="MS Gothic" w:hAnsi="Cambria" w:cs="Cambria"/>
                <w:i/>
                <w:iCs/>
                <w:color w:val="000000"/>
                <w:sz w:val="20"/>
                <w:szCs w:val="20"/>
                <w:lang w:eastAsia="zh-CN" w:bidi="fr-FR"/>
              </w:rPr>
              <w:t xml:space="preserve"> </w:t>
            </w:r>
            <w:proofErr w:type="spellStart"/>
            <w:r w:rsidRPr="00F0379B">
              <w:rPr>
                <w:rFonts w:ascii="Cambria" w:eastAsia="MS Gothic" w:hAnsi="Cambria" w:cs="Cambria"/>
                <w:i/>
                <w:iCs/>
                <w:color w:val="000000"/>
                <w:sz w:val="20"/>
                <w:szCs w:val="20"/>
                <w:lang w:eastAsia="zh-CN" w:bidi="fr-FR"/>
              </w:rPr>
              <w:t>thynnus</w:t>
            </w:r>
            <w:proofErr w:type="spellEnd"/>
            <w:r w:rsidRPr="00F0379B">
              <w:rPr>
                <w:rFonts w:ascii="Cambria" w:eastAsia="MS Gothic" w:hAnsi="Cambria" w:cs="Cambria"/>
                <w:color w:val="000000"/>
                <w:sz w:val="20"/>
                <w:szCs w:val="20"/>
                <w:lang w:eastAsia="zh-CN" w:bidi="fr-FR"/>
              </w:rPr>
              <w:t>), conforme a la Recomendación 25-04</w:t>
            </w:r>
          </w:p>
        </w:tc>
        <w:tc>
          <w:tcPr>
            <w:tcW w:w="1842" w:type="dxa"/>
            <w:tcBorders>
              <w:top w:val="single" w:sz="4" w:space="0" w:color="000000"/>
              <w:left w:val="single" w:sz="4" w:space="0" w:color="000000"/>
              <w:bottom w:val="single" w:sz="4" w:space="0" w:color="000000"/>
              <w:right w:val="single" w:sz="4" w:space="0" w:color="000000"/>
            </w:tcBorders>
          </w:tcPr>
          <w:p w14:paraId="343E2529" w14:textId="77777777" w:rsidR="009123AC" w:rsidRPr="00F0379B" w:rsidRDefault="009123AC" w:rsidP="009123AC">
            <w:pPr>
              <w:widowControl w:val="0"/>
              <w:suppressAutoHyphens/>
              <w:spacing w:after="0" w:line="240" w:lineRule="auto"/>
              <w:jc w:val="both"/>
              <w:rPr>
                <w:rFonts w:ascii="Cambria" w:eastAsia="Cambria" w:hAnsi="Cambria" w:cs="Cambria"/>
                <w:color w:val="000000"/>
                <w:sz w:val="20"/>
                <w:szCs w:val="20"/>
                <w:lang w:eastAsia="zh-CN" w:bidi="fr-FR"/>
              </w:rPr>
            </w:pPr>
            <w:r w:rsidRPr="00F0379B">
              <w:rPr>
                <w:rFonts w:ascii="Cambria" w:eastAsia="MS Gothic" w:hAnsi="Cambria" w:cs="Cambria"/>
                <w:color w:val="000000"/>
                <w:sz w:val="20"/>
                <w:szCs w:val="20"/>
                <w:lang w:eastAsia="zh-CN" w:bidi="fr-FR"/>
              </w:rPr>
              <w:t>Esto aplicará para los buques de captura cuando Panamá desarrolle su pesquería y mantenga buques registrados en ICCAT y autorizados a capturar atún rojo.</w:t>
            </w:r>
          </w:p>
          <w:p w14:paraId="4F246731" w14:textId="77777777"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Cambria" w:hAnsi="Cambria" w:cs="Cambria"/>
                <w:color w:val="000000"/>
                <w:sz w:val="20"/>
                <w:szCs w:val="20"/>
                <w:lang w:eastAsia="zh-CN" w:bidi="fr-FR"/>
              </w:rPr>
              <w:t xml:space="preserve"> </w:t>
            </w:r>
          </w:p>
        </w:tc>
      </w:tr>
      <w:tr w:rsidR="009123AC" w:rsidRPr="00F0379B" w14:paraId="1B1B776E" w14:textId="77777777" w:rsidTr="00CA749B">
        <w:tc>
          <w:tcPr>
            <w:tcW w:w="453" w:type="dxa"/>
            <w:tcBorders>
              <w:top w:val="single" w:sz="4" w:space="0" w:color="000000"/>
              <w:left w:val="single" w:sz="4" w:space="0" w:color="000000"/>
              <w:bottom w:val="single" w:sz="4" w:space="0" w:color="000000"/>
              <w:right w:val="single" w:sz="4" w:space="0" w:color="000000"/>
            </w:tcBorders>
          </w:tcPr>
          <w:p w14:paraId="4DD6EBF2"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3</w:t>
            </w:r>
          </w:p>
        </w:tc>
        <w:tc>
          <w:tcPr>
            <w:tcW w:w="1952" w:type="dxa"/>
            <w:tcBorders>
              <w:top w:val="single" w:sz="4" w:space="0" w:color="000000"/>
              <w:left w:val="single" w:sz="4" w:space="0" w:color="000000"/>
              <w:bottom w:val="single" w:sz="4" w:space="0" w:color="000000"/>
              <w:right w:val="single" w:sz="4" w:space="0" w:color="000000"/>
            </w:tcBorders>
          </w:tcPr>
          <w:p w14:paraId="49269328" w14:textId="77777777" w:rsidR="009123AC" w:rsidRPr="00F0379B" w:rsidRDefault="009123AC" w:rsidP="009123AC">
            <w:pPr>
              <w:widowControl w:val="0"/>
              <w:suppressAutoHyphens/>
              <w:spacing w:after="0" w:line="240" w:lineRule="auto"/>
              <w:rPr>
                <w:rFonts w:ascii="Cambria" w:eastAsia="MS Gothic" w:hAnsi="Cambria" w:cs="Cambria"/>
                <w:b/>
                <w:bCs/>
                <w:color w:val="000000"/>
                <w:sz w:val="20"/>
                <w:szCs w:val="20"/>
                <w:lang w:eastAsia="zh-CN" w:bidi="fr-FR"/>
              </w:rPr>
            </w:pPr>
            <w:r w:rsidRPr="00F0379B">
              <w:rPr>
                <w:rFonts w:ascii="Cambria" w:eastAsia="MS Gothic" w:hAnsi="Cambria" w:cs="Cambria"/>
                <w:b/>
                <w:bCs/>
                <w:color w:val="000000"/>
                <w:sz w:val="20"/>
                <w:szCs w:val="20"/>
                <w:lang w:eastAsia="zh-CN" w:bidi="fr-FR"/>
              </w:rPr>
              <w:t xml:space="preserve">Talla mínima </w:t>
            </w:r>
          </w:p>
          <w:p w14:paraId="67E8431D"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bCs/>
                <w:color w:val="000000"/>
                <w:sz w:val="20"/>
                <w:szCs w:val="20"/>
                <w:lang w:eastAsia="zh-CN" w:bidi="fr-FR"/>
              </w:rPr>
              <w:t>(párrs. 33-35)</w:t>
            </w:r>
          </w:p>
        </w:tc>
        <w:tc>
          <w:tcPr>
            <w:tcW w:w="2551" w:type="dxa"/>
            <w:tcBorders>
              <w:top w:val="single" w:sz="4" w:space="0" w:color="000000"/>
              <w:left w:val="single" w:sz="4" w:space="0" w:color="000000"/>
              <w:bottom w:val="single" w:sz="4" w:space="0" w:color="000000"/>
              <w:right w:val="single" w:sz="4" w:space="0" w:color="000000"/>
            </w:tcBorders>
          </w:tcPr>
          <w:p w14:paraId="5463AAB7"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ar-SA" w:bidi="fr-FR"/>
              </w:rPr>
            </w:pPr>
            <w:r w:rsidRPr="00F0379B">
              <w:rPr>
                <w:rFonts w:ascii="Cambria" w:eastAsia="MS Gothic" w:hAnsi="Cambria" w:cs="Cambria"/>
                <w:color w:val="000000"/>
                <w:sz w:val="20"/>
                <w:szCs w:val="20"/>
                <w:lang w:eastAsia="zh-CN" w:bidi="fr-FR"/>
              </w:rPr>
              <w:t xml:space="preserve">Está prohibida la captura, retención a bordo, el transbordo, la transferencia, el desembarque, el almacenaje, la venta, la exposición o proposición de venta de atún rojo con un peso inferior a 30 kg o con una longitud a la horquilla de menos de 115 cm. Se autoriza una captura fortuita de un máximo del </w:t>
            </w:r>
            <w:r w:rsidRPr="00F0379B">
              <w:rPr>
                <w:rFonts w:ascii="Cambria" w:eastAsia="MS Gothic" w:hAnsi="Cambria" w:cs="Cambria"/>
                <w:color w:val="000000"/>
                <w:sz w:val="20"/>
                <w:szCs w:val="20"/>
                <w:lang w:eastAsia="zh-CN" w:bidi="fr-FR"/>
              </w:rPr>
              <w:br/>
              <w:t>5 % en número de atunes rojos capturados con un peso de entre 8 y 30 kg o una talla de 75 cm a 115 cm.</w:t>
            </w:r>
          </w:p>
          <w:p w14:paraId="0E992000"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ar-SA" w:bidi="fr-FR"/>
              </w:rPr>
            </w:pPr>
          </w:p>
          <w:p w14:paraId="236D5A99"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 xml:space="preserve">Cualquier atún rojo con una talla inferior a la mínima será consignado y deducido de la cuota asignada. </w:t>
            </w:r>
          </w:p>
          <w:p w14:paraId="353954B5"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tc>
        <w:tc>
          <w:tcPr>
            <w:tcW w:w="2262" w:type="dxa"/>
            <w:tcBorders>
              <w:top w:val="single" w:sz="4" w:space="0" w:color="000000"/>
              <w:left w:val="single" w:sz="4" w:space="0" w:color="000000"/>
              <w:bottom w:val="single" w:sz="4" w:space="0" w:color="000000"/>
              <w:right w:val="single" w:sz="4" w:space="0" w:color="000000"/>
            </w:tcBorders>
          </w:tcPr>
          <w:p w14:paraId="73737546" w14:textId="50FF2EC0"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 xml:space="preserve">Resolución ADM/ARAP No. </w:t>
            </w:r>
            <w:r w:rsidR="009D2975" w:rsidRPr="00F0379B">
              <w:rPr>
                <w:rFonts w:ascii="Cambria" w:eastAsia="MS Gothic" w:hAnsi="Cambria" w:cs="Cambria"/>
                <w:color w:val="000000"/>
                <w:sz w:val="20"/>
                <w:szCs w:val="20"/>
                <w:lang w:eastAsia="zh-CN" w:bidi="fr-FR"/>
              </w:rPr>
              <w:t>006 (</w:t>
            </w:r>
            <w:r w:rsidRPr="00F0379B">
              <w:rPr>
                <w:rFonts w:ascii="Cambria" w:eastAsia="MS Gothic" w:hAnsi="Cambria" w:cs="Cambria"/>
                <w:color w:val="000000"/>
                <w:sz w:val="20"/>
                <w:szCs w:val="20"/>
                <w:lang w:eastAsia="zh-CN" w:bidi="fr-FR"/>
              </w:rPr>
              <w:t>de 4 de febrero de 2026) por la cual se adoptan y aplican en la República de Panamá las medidas de conservación y ordenación para el atún rojo del Atlántico este y Mediterráneo (</w:t>
            </w:r>
            <w:proofErr w:type="spellStart"/>
            <w:r w:rsidRPr="00F0379B">
              <w:rPr>
                <w:rFonts w:ascii="Cambria" w:eastAsia="MS Gothic" w:hAnsi="Cambria" w:cs="Cambria"/>
                <w:i/>
                <w:iCs/>
                <w:color w:val="000000"/>
                <w:sz w:val="20"/>
                <w:szCs w:val="20"/>
                <w:lang w:eastAsia="zh-CN" w:bidi="fr-FR"/>
              </w:rPr>
              <w:t>Thunnus</w:t>
            </w:r>
            <w:proofErr w:type="spellEnd"/>
            <w:r w:rsidRPr="00F0379B">
              <w:rPr>
                <w:rFonts w:ascii="Cambria" w:eastAsia="MS Gothic" w:hAnsi="Cambria" w:cs="Cambria"/>
                <w:i/>
                <w:iCs/>
                <w:color w:val="000000"/>
                <w:sz w:val="20"/>
                <w:szCs w:val="20"/>
                <w:lang w:eastAsia="zh-CN" w:bidi="fr-FR"/>
              </w:rPr>
              <w:t xml:space="preserve"> </w:t>
            </w:r>
            <w:proofErr w:type="spellStart"/>
            <w:r w:rsidRPr="00F0379B">
              <w:rPr>
                <w:rFonts w:ascii="Cambria" w:eastAsia="MS Gothic" w:hAnsi="Cambria" w:cs="Cambria"/>
                <w:i/>
                <w:iCs/>
                <w:color w:val="000000"/>
                <w:sz w:val="20"/>
                <w:szCs w:val="20"/>
                <w:lang w:eastAsia="zh-CN" w:bidi="fr-FR"/>
              </w:rPr>
              <w:t>thynnus</w:t>
            </w:r>
            <w:proofErr w:type="spellEnd"/>
            <w:r w:rsidRPr="00F0379B">
              <w:rPr>
                <w:rFonts w:ascii="Cambria" w:eastAsia="MS Gothic" w:hAnsi="Cambria" w:cs="Cambria"/>
                <w:color w:val="000000"/>
                <w:sz w:val="20"/>
                <w:szCs w:val="20"/>
                <w:lang w:eastAsia="zh-CN" w:bidi="fr-FR"/>
              </w:rPr>
              <w:t>), conforme a la Recomendación 25-04</w:t>
            </w:r>
          </w:p>
        </w:tc>
        <w:tc>
          <w:tcPr>
            <w:tcW w:w="1842" w:type="dxa"/>
            <w:tcBorders>
              <w:top w:val="single" w:sz="4" w:space="0" w:color="000000"/>
              <w:left w:val="single" w:sz="4" w:space="0" w:color="000000"/>
              <w:bottom w:val="single" w:sz="4" w:space="0" w:color="000000"/>
              <w:right w:val="single" w:sz="4" w:space="0" w:color="000000"/>
            </w:tcBorders>
          </w:tcPr>
          <w:p w14:paraId="2F66F03F" w14:textId="77777777"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Esto aplicará cuando Panamá desarrolle su pesquería y mantenga buques registrados en ICCAT y autorizados a capturar atún rojo</w:t>
            </w:r>
          </w:p>
        </w:tc>
      </w:tr>
      <w:tr w:rsidR="009123AC" w:rsidRPr="00F0379B" w14:paraId="62AC138D" w14:textId="77777777" w:rsidTr="00CA749B">
        <w:tc>
          <w:tcPr>
            <w:tcW w:w="453" w:type="dxa"/>
            <w:tcBorders>
              <w:top w:val="single" w:sz="4" w:space="0" w:color="000000"/>
              <w:left w:val="single" w:sz="4" w:space="0" w:color="000000"/>
              <w:bottom w:val="single" w:sz="4" w:space="0" w:color="000000"/>
              <w:right w:val="single" w:sz="4" w:space="0" w:color="000000"/>
            </w:tcBorders>
          </w:tcPr>
          <w:p w14:paraId="07C188F0"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4</w:t>
            </w:r>
          </w:p>
        </w:tc>
        <w:tc>
          <w:tcPr>
            <w:tcW w:w="1952" w:type="dxa"/>
            <w:tcBorders>
              <w:top w:val="single" w:sz="4" w:space="0" w:color="000000"/>
              <w:left w:val="single" w:sz="4" w:space="0" w:color="000000"/>
              <w:bottom w:val="single" w:sz="4" w:space="0" w:color="000000"/>
              <w:right w:val="single" w:sz="4" w:space="0" w:color="000000"/>
            </w:tcBorders>
          </w:tcPr>
          <w:p w14:paraId="26AF07BA"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 xml:space="preserve">Captura fortuita (párr. 37) </w:t>
            </w:r>
          </w:p>
        </w:tc>
        <w:tc>
          <w:tcPr>
            <w:tcW w:w="2551" w:type="dxa"/>
            <w:tcBorders>
              <w:top w:val="single" w:sz="4" w:space="0" w:color="000000"/>
              <w:left w:val="single" w:sz="4" w:space="0" w:color="000000"/>
              <w:bottom w:val="single" w:sz="4" w:space="0" w:color="000000"/>
              <w:right w:val="single" w:sz="4" w:space="0" w:color="000000"/>
            </w:tcBorders>
          </w:tcPr>
          <w:p w14:paraId="23C82850"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Los buques que pescan atún rojo de manera fortuita están autorizados a retener, independientemente del momento, el atún rojo que suponga menos del 20 % de la captura total anual en peso o en número de ejemplares.</w:t>
            </w:r>
          </w:p>
          <w:p w14:paraId="50BF5250"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56C5AB51"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Las capturas fortuitas se deducirán de la cuota asignada</w:t>
            </w:r>
          </w:p>
          <w:p w14:paraId="784A1D9C"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4E5EEC0C"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2A92644C"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tc>
        <w:tc>
          <w:tcPr>
            <w:tcW w:w="2262" w:type="dxa"/>
            <w:tcBorders>
              <w:top w:val="single" w:sz="4" w:space="0" w:color="000000"/>
              <w:left w:val="single" w:sz="4" w:space="0" w:color="000000"/>
              <w:bottom w:val="single" w:sz="4" w:space="0" w:color="000000"/>
              <w:right w:val="single" w:sz="4" w:space="0" w:color="000000"/>
            </w:tcBorders>
          </w:tcPr>
          <w:p w14:paraId="4D1E8C94" w14:textId="5FAB246F"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 xml:space="preserve">Resolución ADM/ARAP No. </w:t>
            </w:r>
            <w:r w:rsidR="009D2975" w:rsidRPr="00F0379B">
              <w:rPr>
                <w:rFonts w:ascii="Cambria" w:eastAsia="MS Gothic" w:hAnsi="Cambria" w:cs="Cambria"/>
                <w:color w:val="000000"/>
                <w:sz w:val="20"/>
                <w:szCs w:val="20"/>
                <w:lang w:eastAsia="zh-CN" w:bidi="fr-FR"/>
              </w:rPr>
              <w:t>006 (</w:t>
            </w:r>
            <w:r w:rsidRPr="00F0379B">
              <w:rPr>
                <w:rFonts w:ascii="Cambria" w:eastAsia="MS Gothic" w:hAnsi="Cambria" w:cs="Cambria"/>
                <w:color w:val="000000"/>
                <w:sz w:val="20"/>
                <w:szCs w:val="20"/>
                <w:lang w:eastAsia="zh-CN" w:bidi="fr-FR"/>
              </w:rPr>
              <w:t>de 4 de febrero de 2026) por la cual se adoptan y aplican en la República de Panamá las medidas de conservación y ordenación para el atún rojo del Atlántico este y Mediterráneo (</w:t>
            </w:r>
            <w:proofErr w:type="spellStart"/>
            <w:r w:rsidRPr="00F0379B">
              <w:rPr>
                <w:rFonts w:ascii="Cambria" w:eastAsia="MS Gothic" w:hAnsi="Cambria" w:cs="Cambria"/>
                <w:i/>
                <w:iCs/>
                <w:color w:val="000000"/>
                <w:sz w:val="20"/>
                <w:szCs w:val="20"/>
                <w:lang w:eastAsia="zh-CN" w:bidi="fr-FR"/>
              </w:rPr>
              <w:t>Thunnus</w:t>
            </w:r>
            <w:proofErr w:type="spellEnd"/>
            <w:r w:rsidRPr="00F0379B">
              <w:rPr>
                <w:rFonts w:ascii="Cambria" w:eastAsia="MS Gothic" w:hAnsi="Cambria" w:cs="Cambria"/>
                <w:i/>
                <w:iCs/>
                <w:color w:val="000000"/>
                <w:sz w:val="20"/>
                <w:szCs w:val="20"/>
                <w:lang w:eastAsia="zh-CN" w:bidi="fr-FR"/>
              </w:rPr>
              <w:t xml:space="preserve"> </w:t>
            </w:r>
            <w:proofErr w:type="spellStart"/>
            <w:r w:rsidRPr="00F0379B">
              <w:rPr>
                <w:rFonts w:ascii="Cambria" w:eastAsia="MS Gothic" w:hAnsi="Cambria" w:cs="Cambria"/>
                <w:i/>
                <w:iCs/>
                <w:color w:val="000000"/>
                <w:sz w:val="20"/>
                <w:szCs w:val="20"/>
                <w:lang w:eastAsia="zh-CN" w:bidi="fr-FR"/>
              </w:rPr>
              <w:t>thynnus</w:t>
            </w:r>
            <w:proofErr w:type="spellEnd"/>
            <w:r w:rsidRPr="00F0379B">
              <w:rPr>
                <w:rFonts w:ascii="Cambria" w:eastAsia="MS Gothic" w:hAnsi="Cambria" w:cs="Cambria"/>
                <w:color w:val="000000"/>
                <w:sz w:val="20"/>
                <w:szCs w:val="20"/>
                <w:lang w:eastAsia="zh-CN" w:bidi="fr-FR"/>
              </w:rPr>
              <w:t>), conforme a la Recomendación 25-04</w:t>
            </w:r>
          </w:p>
        </w:tc>
        <w:tc>
          <w:tcPr>
            <w:tcW w:w="1842" w:type="dxa"/>
            <w:tcBorders>
              <w:top w:val="single" w:sz="4" w:space="0" w:color="000000"/>
              <w:left w:val="single" w:sz="4" w:space="0" w:color="000000"/>
              <w:bottom w:val="single" w:sz="4" w:space="0" w:color="000000"/>
              <w:right w:val="single" w:sz="4" w:space="0" w:color="000000"/>
            </w:tcBorders>
          </w:tcPr>
          <w:p w14:paraId="2803E2DB" w14:textId="292A012A"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 xml:space="preserve">La captura fortuita autorizada, así como la metodología para el </w:t>
            </w:r>
            <w:r w:rsidR="009D2975" w:rsidRPr="00F0379B">
              <w:rPr>
                <w:rFonts w:ascii="Cambria" w:eastAsia="MS Gothic" w:hAnsi="Cambria" w:cs="Cambria"/>
                <w:color w:val="000000"/>
                <w:sz w:val="20"/>
                <w:szCs w:val="20"/>
                <w:lang w:eastAsia="zh-CN" w:bidi="fr-FR"/>
              </w:rPr>
              <w:t>cálculo, se</w:t>
            </w:r>
            <w:r w:rsidRPr="00F0379B">
              <w:rPr>
                <w:rFonts w:ascii="Cambria" w:eastAsia="MS Gothic" w:hAnsi="Cambria" w:cs="Cambria"/>
                <w:color w:val="000000"/>
                <w:sz w:val="20"/>
                <w:szCs w:val="20"/>
                <w:lang w:eastAsia="zh-CN" w:bidi="fr-FR"/>
              </w:rPr>
              <w:t xml:space="preserve"> determinará en mayor detalle cuando Panamá desarrolle su pesquería y mantenga buques registrados en ICCAT y autorizados a capturar atún rojo.</w:t>
            </w:r>
          </w:p>
          <w:p w14:paraId="3822C446"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28D08DAB" w14:textId="02B30C61"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 xml:space="preserve">Se considerará de igual forma el procedimiento establecido en el párr. 89, la designación de puertos en los párrs. 80 a </w:t>
            </w:r>
            <w:r w:rsidR="009D2975" w:rsidRPr="00F0379B">
              <w:rPr>
                <w:rFonts w:ascii="Cambria" w:eastAsia="MS Gothic" w:hAnsi="Cambria" w:cs="Cambria"/>
                <w:color w:val="000000"/>
                <w:sz w:val="20"/>
                <w:szCs w:val="20"/>
                <w:lang w:eastAsia="zh-CN" w:bidi="fr-FR"/>
              </w:rPr>
              <w:t xml:space="preserve">84, párr. </w:t>
            </w:r>
            <w:r w:rsidRPr="00F0379B">
              <w:rPr>
                <w:rFonts w:ascii="Cambria" w:eastAsia="MS Gothic" w:hAnsi="Cambria" w:cs="Cambria"/>
                <w:color w:val="000000"/>
                <w:sz w:val="20"/>
                <w:szCs w:val="20"/>
                <w:lang w:eastAsia="zh-CN" w:bidi="fr-FR"/>
              </w:rPr>
              <w:t xml:space="preserve">94 (transbordos) y las medidas comerciales del párr. 231.   </w:t>
            </w:r>
          </w:p>
          <w:p w14:paraId="63D7A399"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tc>
      </w:tr>
      <w:tr w:rsidR="009123AC" w:rsidRPr="00F0379B" w14:paraId="639A9C8D" w14:textId="77777777" w:rsidTr="00CA749B">
        <w:tc>
          <w:tcPr>
            <w:tcW w:w="453" w:type="dxa"/>
            <w:tcBorders>
              <w:top w:val="single" w:sz="4" w:space="0" w:color="000000"/>
              <w:left w:val="single" w:sz="4" w:space="0" w:color="000000"/>
              <w:bottom w:val="single" w:sz="4" w:space="0" w:color="000000"/>
              <w:right w:val="single" w:sz="4" w:space="0" w:color="000000"/>
            </w:tcBorders>
          </w:tcPr>
          <w:p w14:paraId="7E76E26F"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5</w:t>
            </w:r>
          </w:p>
        </w:tc>
        <w:tc>
          <w:tcPr>
            <w:tcW w:w="1952" w:type="dxa"/>
            <w:tcBorders>
              <w:top w:val="single" w:sz="4" w:space="0" w:color="000000"/>
              <w:left w:val="single" w:sz="4" w:space="0" w:color="000000"/>
              <w:bottom w:val="single" w:sz="4" w:space="0" w:color="000000"/>
              <w:right w:val="single" w:sz="4" w:space="0" w:color="000000"/>
            </w:tcBorders>
          </w:tcPr>
          <w:p w14:paraId="31D9B0D7"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bCs/>
                <w:color w:val="000000"/>
                <w:sz w:val="20"/>
                <w:szCs w:val="20"/>
                <w:lang w:eastAsia="zh-CN" w:bidi="fr-FR"/>
              </w:rPr>
              <w:t>Pesquerías deportivas y de recreo (párrs. 38-46)</w:t>
            </w:r>
          </w:p>
        </w:tc>
        <w:tc>
          <w:tcPr>
            <w:tcW w:w="2551" w:type="dxa"/>
            <w:tcBorders>
              <w:top w:val="single" w:sz="4" w:space="0" w:color="000000"/>
              <w:left w:val="single" w:sz="4" w:space="0" w:color="000000"/>
              <w:bottom w:val="single" w:sz="4" w:space="0" w:color="000000"/>
              <w:right w:val="single" w:sz="4" w:space="0" w:color="000000"/>
            </w:tcBorders>
          </w:tcPr>
          <w:p w14:paraId="0761ECF8" w14:textId="77777777"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No se permite la pesca recreativa y deportiva de atún rojo</w:t>
            </w:r>
          </w:p>
        </w:tc>
        <w:tc>
          <w:tcPr>
            <w:tcW w:w="2262" w:type="dxa"/>
            <w:tcBorders>
              <w:top w:val="single" w:sz="4" w:space="0" w:color="000000"/>
              <w:left w:val="single" w:sz="4" w:space="0" w:color="000000"/>
              <w:bottom w:val="single" w:sz="4" w:space="0" w:color="000000"/>
              <w:right w:val="single" w:sz="4" w:space="0" w:color="000000"/>
            </w:tcBorders>
          </w:tcPr>
          <w:p w14:paraId="52CC96CC" w14:textId="3F406EDB"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 xml:space="preserve">Resolución ADM/ARAP No. </w:t>
            </w:r>
            <w:r w:rsidR="009D2975" w:rsidRPr="00F0379B">
              <w:rPr>
                <w:rFonts w:ascii="Cambria" w:eastAsia="MS Gothic" w:hAnsi="Cambria" w:cs="Cambria"/>
                <w:color w:val="000000"/>
                <w:sz w:val="20"/>
                <w:szCs w:val="20"/>
                <w:lang w:eastAsia="zh-CN" w:bidi="fr-FR"/>
              </w:rPr>
              <w:t>006 (</w:t>
            </w:r>
            <w:r w:rsidRPr="00F0379B">
              <w:rPr>
                <w:rFonts w:ascii="Cambria" w:eastAsia="MS Gothic" w:hAnsi="Cambria" w:cs="Cambria"/>
                <w:color w:val="000000"/>
                <w:sz w:val="20"/>
                <w:szCs w:val="20"/>
                <w:lang w:eastAsia="zh-CN" w:bidi="fr-FR"/>
              </w:rPr>
              <w:t>de 4 de febrero de 2026) por la cual se adoptan y aplican en la República de Panamá las medidas de conservación y ordenación para el atún rojo del Atlántico este y Mediterráneo (</w:t>
            </w:r>
            <w:proofErr w:type="spellStart"/>
            <w:r w:rsidRPr="00F0379B">
              <w:rPr>
                <w:rFonts w:ascii="Cambria" w:eastAsia="MS Gothic" w:hAnsi="Cambria" w:cs="Cambria"/>
                <w:i/>
                <w:iCs/>
                <w:color w:val="000000"/>
                <w:sz w:val="20"/>
                <w:szCs w:val="20"/>
                <w:lang w:eastAsia="zh-CN" w:bidi="fr-FR"/>
              </w:rPr>
              <w:t>Thunnus</w:t>
            </w:r>
            <w:proofErr w:type="spellEnd"/>
            <w:r w:rsidRPr="00F0379B">
              <w:rPr>
                <w:rFonts w:ascii="Cambria" w:eastAsia="MS Gothic" w:hAnsi="Cambria" w:cs="Cambria"/>
                <w:i/>
                <w:iCs/>
                <w:color w:val="000000"/>
                <w:sz w:val="20"/>
                <w:szCs w:val="20"/>
                <w:lang w:eastAsia="zh-CN" w:bidi="fr-FR"/>
              </w:rPr>
              <w:t xml:space="preserve"> </w:t>
            </w:r>
            <w:proofErr w:type="spellStart"/>
            <w:r w:rsidRPr="00F0379B">
              <w:rPr>
                <w:rFonts w:ascii="Cambria" w:eastAsia="MS Gothic" w:hAnsi="Cambria" w:cs="Cambria"/>
                <w:i/>
                <w:iCs/>
                <w:color w:val="000000"/>
                <w:sz w:val="20"/>
                <w:szCs w:val="20"/>
                <w:lang w:eastAsia="zh-CN" w:bidi="fr-FR"/>
              </w:rPr>
              <w:t>thynnus</w:t>
            </w:r>
            <w:proofErr w:type="spellEnd"/>
            <w:r w:rsidRPr="00F0379B">
              <w:rPr>
                <w:rFonts w:ascii="Cambria" w:eastAsia="MS Gothic" w:hAnsi="Cambria" w:cs="Cambria"/>
                <w:color w:val="000000"/>
                <w:sz w:val="20"/>
                <w:szCs w:val="20"/>
                <w:lang w:eastAsia="zh-CN" w:bidi="fr-FR"/>
              </w:rPr>
              <w:t>), conforme a la Recomendación 25-04</w:t>
            </w:r>
          </w:p>
        </w:tc>
        <w:tc>
          <w:tcPr>
            <w:tcW w:w="1842" w:type="dxa"/>
            <w:tcBorders>
              <w:top w:val="single" w:sz="4" w:space="0" w:color="000000"/>
              <w:left w:val="single" w:sz="4" w:space="0" w:color="000000"/>
              <w:bottom w:val="single" w:sz="4" w:space="0" w:color="000000"/>
              <w:right w:val="single" w:sz="4" w:space="0" w:color="000000"/>
            </w:tcBorders>
          </w:tcPr>
          <w:p w14:paraId="0DC1EC80" w14:textId="77777777" w:rsidR="009123AC" w:rsidRPr="00F0379B" w:rsidRDefault="009123AC" w:rsidP="009123AC">
            <w:pPr>
              <w:widowControl w:val="0"/>
              <w:suppressAutoHyphens/>
              <w:snapToGrid w:val="0"/>
              <w:spacing w:after="0" w:line="240" w:lineRule="auto"/>
              <w:rPr>
                <w:rFonts w:ascii="Cambria" w:eastAsia="MS Gothic" w:hAnsi="Cambria" w:cs="Cambria"/>
                <w:color w:val="000000"/>
                <w:sz w:val="20"/>
                <w:szCs w:val="20"/>
                <w:lang w:eastAsia="zh-CN" w:bidi="fr-FR"/>
              </w:rPr>
            </w:pPr>
          </w:p>
        </w:tc>
      </w:tr>
      <w:tr w:rsidR="009123AC" w:rsidRPr="00F0379B" w14:paraId="2D49CB3C" w14:textId="77777777" w:rsidTr="00CA749B">
        <w:tc>
          <w:tcPr>
            <w:tcW w:w="453" w:type="dxa"/>
            <w:tcBorders>
              <w:top w:val="single" w:sz="4" w:space="0" w:color="000000"/>
              <w:left w:val="single" w:sz="4" w:space="0" w:color="000000"/>
              <w:bottom w:val="single" w:sz="4" w:space="0" w:color="000000"/>
              <w:right w:val="single" w:sz="4" w:space="0" w:color="000000"/>
            </w:tcBorders>
          </w:tcPr>
          <w:p w14:paraId="3D74B3F3"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6</w:t>
            </w:r>
          </w:p>
        </w:tc>
        <w:tc>
          <w:tcPr>
            <w:tcW w:w="1952" w:type="dxa"/>
            <w:tcBorders>
              <w:top w:val="single" w:sz="4" w:space="0" w:color="000000"/>
              <w:left w:val="single" w:sz="4" w:space="0" w:color="000000"/>
              <w:bottom w:val="single" w:sz="4" w:space="0" w:color="000000"/>
              <w:right w:val="single" w:sz="4" w:space="0" w:color="000000"/>
            </w:tcBorders>
          </w:tcPr>
          <w:p w14:paraId="41284C3E"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 xml:space="preserve">Transbordo (párrs. 89-94) </w:t>
            </w:r>
          </w:p>
        </w:tc>
        <w:tc>
          <w:tcPr>
            <w:tcW w:w="2551" w:type="dxa"/>
            <w:tcBorders>
              <w:top w:val="single" w:sz="4" w:space="0" w:color="000000"/>
              <w:left w:val="single" w:sz="4" w:space="0" w:color="000000"/>
              <w:bottom w:val="single" w:sz="4" w:space="0" w:color="000000"/>
              <w:right w:val="single" w:sz="4" w:space="0" w:color="000000"/>
            </w:tcBorders>
          </w:tcPr>
          <w:p w14:paraId="4201ADA1"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 xml:space="preserve">Está prohibido el transbordo en alta mar. </w:t>
            </w:r>
          </w:p>
          <w:p w14:paraId="556EE1CA" w14:textId="77777777" w:rsidR="009123AC" w:rsidRPr="00F0379B" w:rsidRDefault="009123AC" w:rsidP="009123AC">
            <w:pPr>
              <w:widowControl w:val="0"/>
              <w:suppressAutoHyphens/>
              <w:spacing w:after="0" w:line="240" w:lineRule="auto"/>
              <w:rPr>
                <w:rFonts w:ascii="Cambria" w:eastAsia="MS Gothic" w:hAnsi="Cambria" w:cs="Cambria"/>
                <w:color w:val="000000"/>
                <w:sz w:val="20"/>
                <w:szCs w:val="20"/>
                <w:lang w:eastAsia="zh-CN" w:bidi="fr-FR"/>
              </w:rPr>
            </w:pPr>
          </w:p>
          <w:p w14:paraId="19D8D63B"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 xml:space="preserve">El transbordo está autorizado únicamente en los puertos designados para este fin. </w:t>
            </w:r>
          </w:p>
          <w:p w14:paraId="2E9F52BA"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31357360"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 xml:space="preserve">Todo transbordo requerirá autorización previa y deberá ser notificado por el patrón o representante a la autoridad de bandera en los momentos establecidos para ello, según las normas nacionales. </w:t>
            </w:r>
          </w:p>
          <w:p w14:paraId="6A98007D"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6457BAB6" w14:textId="77777777"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 xml:space="preserve">Los patrones de los buques pesqueros que realizan transbordos deberán cumplimentar la declaración de transbordo ICCAT y enviarla en los tiempos establecidos de conformidad con el Anexo 3. La declaración de transbordo estará vinculada al eBCD para facilitar la verificación cruzada. </w:t>
            </w:r>
          </w:p>
        </w:tc>
        <w:tc>
          <w:tcPr>
            <w:tcW w:w="2262" w:type="dxa"/>
            <w:tcBorders>
              <w:top w:val="single" w:sz="4" w:space="0" w:color="000000"/>
              <w:left w:val="single" w:sz="4" w:space="0" w:color="000000"/>
              <w:bottom w:val="single" w:sz="4" w:space="0" w:color="000000"/>
              <w:right w:val="single" w:sz="4" w:space="0" w:color="000000"/>
            </w:tcBorders>
          </w:tcPr>
          <w:p w14:paraId="14A2C943" w14:textId="0F7CD0BF"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 xml:space="preserve">Resolución ADM/ARAP No. </w:t>
            </w:r>
            <w:r w:rsidR="009D2975" w:rsidRPr="00F0379B">
              <w:rPr>
                <w:rFonts w:ascii="Cambria" w:eastAsia="MS Gothic" w:hAnsi="Cambria" w:cs="Cambria"/>
                <w:color w:val="000000"/>
                <w:sz w:val="20"/>
                <w:szCs w:val="20"/>
                <w:lang w:eastAsia="zh-CN" w:bidi="fr-FR"/>
              </w:rPr>
              <w:t>006 (</w:t>
            </w:r>
            <w:r w:rsidRPr="00F0379B">
              <w:rPr>
                <w:rFonts w:ascii="Cambria" w:eastAsia="MS Gothic" w:hAnsi="Cambria" w:cs="Cambria"/>
                <w:color w:val="000000"/>
                <w:sz w:val="20"/>
                <w:szCs w:val="20"/>
                <w:lang w:eastAsia="zh-CN" w:bidi="fr-FR"/>
              </w:rPr>
              <w:t>de 4 de febrero de 2026) por la cual se adoptan y aplican en la República de Panamá las medidas de conservación y ordenación para el atún rojo del Atlántico este y Mediterráneo (</w:t>
            </w:r>
            <w:proofErr w:type="spellStart"/>
            <w:r w:rsidRPr="00F0379B">
              <w:rPr>
                <w:rFonts w:ascii="Cambria" w:eastAsia="MS Gothic" w:hAnsi="Cambria" w:cs="Cambria"/>
                <w:i/>
                <w:iCs/>
                <w:color w:val="000000"/>
                <w:sz w:val="20"/>
                <w:szCs w:val="20"/>
                <w:lang w:eastAsia="zh-CN" w:bidi="fr-FR"/>
              </w:rPr>
              <w:t>Thunnus</w:t>
            </w:r>
            <w:proofErr w:type="spellEnd"/>
            <w:r w:rsidRPr="00F0379B">
              <w:rPr>
                <w:rFonts w:ascii="Cambria" w:eastAsia="MS Gothic" w:hAnsi="Cambria" w:cs="Cambria"/>
                <w:i/>
                <w:iCs/>
                <w:color w:val="000000"/>
                <w:sz w:val="20"/>
                <w:szCs w:val="20"/>
                <w:lang w:eastAsia="zh-CN" w:bidi="fr-FR"/>
              </w:rPr>
              <w:t xml:space="preserve"> </w:t>
            </w:r>
            <w:proofErr w:type="spellStart"/>
            <w:r w:rsidRPr="00F0379B">
              <w:rPr>
                <w:rFonts w:ascii="Cambria" w:eastAsia="MS Gothic" w:hAnsi="Cambria" w:cs="Cambria"/>
                <w:i/>
                <w:iCs/>
                <w:color w:val="000000"/>
                <w:sz w:val="20"/>
                <w:szCs w:val="20"/>
                <w:lang w:eastAsia="zh-CN" w:bidi="fr-FR"/>
              </w:rPr>
              <w:t>thynnus</w:t>
            </w:r>
            <w:proofErr w:type="spellEnd"/>
            <w:r w:rsidRPr="00F0379B">
              <w:rPr>
                <w:rFonts w:ascii="Cambria" w:eastAsia="MS Gothic" w:hAnsi="Cambria" w:cs="Cambria"/>
                <w:color w:val="000000"/>
                <w:sz w:val="20"/>
                <w:szCs w:val="20"/>
                <w:lang w:eastAsia="zh-CN" w:bidi="fr-FR"/>
              </w:rPr>
              <w:t>), conforme a la Recomendación 25-04</w:t>
            </w:r>
          </w:p>
        </w:tc>
        <w:tc>
          <w:tcPr>
            <w:tcW w:w="1842" w:type="dxa"/>
            <w:tcBorders>
              <w:top w:val="single" w:sz="4" w:space="0" w:color="000000"/>
              <w:left w:val="single" w:sz="4" w:space="0" w:color="000000"/>
              <w:bottom w:val="single" w:sz="4" w:space="0" w:color="000000"/>
              <w:right w:val="single" w:sz="4" w:space="0" w:color="000000"/>
            </w:tcBorders>
          </w:tcPr>
          <w:p w14:paraId="440FCD75" w14:textId="77777777" w:rsidR="009123AC" w:rsidRPr="00F0379B" w:rsidRDefault="009123AC" w:rsidP="009123AC">
            <w:pPr>
              <w:widowControl w:val="0"/>
              <w:suppressAutoHyphens/>
              <w:snapToGrid w:val="0"/>
              <w:spacing w:after="0" w:line="240" w:lineRule="auto"/>
              <w:jc w:val="both"/>
              <w:rPr>
                <w:rFonts w:ascii="Cambria" w:eastAsia="MS Gothic" w:hAnsi="Cambria" w:cs="Cambria"/>
                <w:color w:val="000000"/>
                <w:sz w:val="20"/>
                <w:szCs w:val="20"/>
                <w:lang w:eastAsia="zh-CN" w:bidi="fr-FR"/>
              </w:rPr>
            </w:pPr>
          </w:p>
        </w:tc>
      </w:tr>
      <w:tr w:rsidR="009123AC" w:rsidRPr="00F0379B" w14:paraId="01A0E341" w14:textId="77777777" w:rsidTr="00CA749B">
        <w:tc>
          <w:tcPr>
            <w:tcW w:w="453" w:type="dxa"/>
            <w:tcBorders>
              <w:top w:val="single" w:sz="4" w:space="0" w:color="000000"/>
              <w:left w:val="single" w:sz="4" w:space="0" w:color="000000"/>
              <w:bottom w:val="single" w:sz="4" w:space="0" w:color="000000"/>
              <w:right w:val="single" w:sz="4" w:space="0" w:color="000000"/>
            </w:tcBorders>
          </w:tcPr>
          <w:p w14:paraId="03068C73"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7</w:t>
            </w:r>
          </w:p>
        </w:tc>
        <w:tc>
          <w:tcPr>
            <w:tcW w:w="1952" w:type="dxa"/>
            <w:tcBorders>
              <w:top w:val="single" w:sz="4" w:space="0" w:color="000000"/>
              <w:left w:val="single" w:sz="4" w:space="0" w:color="000000"/>
              <w:bottom w:val="single" w:sz="4" w:space="0" w:color="000000"/>
              <w:right w:val="single" w:sz="4" w:space="0" w:color="000000"/>
            </w:tcBorders>
          </w:tcPr>
          <w:p w14:paraId="2D46CE7A"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VMS (</w:t>
            </w:r>
            <w:r w:rsidRPr="00F0379B">
              <w:rPr>
                <w:rFonts w:ascii="Cambria" w:eastAsia="MS Gothic" w:hAnsi="Cambria" w:cs="Cambria"/>
                <w:b/>
                <w:color w:val="000000"/>
                <w:sz w:val="20"/>
                <w:szCs w:val="20"/>
                <w:lang w:val="fr-BE" w:eastAsia="zh-CN" w:bidi="fr-FR"/>
              </w:rPr>
              <w:t>párrs. </w:t>
            </w:r>
            <w:r w:rsidRPr="00F0379B">
              <w:rPr>
                <w:rFonts w:ascii="Cambria" w:eastAsia="MS Gothic" w:hAnsi="Cambria" w:cs="Cambria"/>
                <w:b/>
                <w:color w:val="000000"/>
                <w:sz w:val="20"/>
                <w:szCs w:val="20"/>
                <w:lang w:eastAsia="zh-CN" w:bidi="fr-FR"/>
              </w:rPr>
              <w:t>222-228)</w:t>
            </w:r>
          </w:p>
        </w:tc>
        <w:tc>
          <w:tcPr>
            <w:tcW w:w="2551" w:type="dxa"/>
            <w:tcBorders>
              <w:top w:val="single" w:sz="4" w:space="0" w:color="000000"/>
              <w:left w:val="single" w:sz="4" w:space="0" w:color="000000"/>
              <w:bottom w:val="single" w:sz="4" w:space="0" w:color="000000"/>
              <w:right w:val="single" w:sz="4" w:space="0" w:color="000000"/>
            </w:tcBorders>
          </w:tcPr>
          <w:p w14:paraId="106BE8BB" w14:textId="69AE8AE5"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 xml:space="preserve">Panamá cuenta con un sistema de seguimiento de buques (VMS) para todos sus buques con licencia comercial de pesca internacional de captura y actividades relacionadas a la pesca. </w:t>
            </w:r>
            <w:r w:rsidR="009D2975" w:rsidRPr="00F0379B">
              <w:rPr>
                <w:rFonts w:ascii="Cambria" w:eastAsia="MS Gothic" w:hAnsi="Cambria" w:cs="Cambria"/>
                <w:color w:val="000000"/>
                <w:sz w:val="20"/>
                <w:szCs w:val="20"/>
                <w:lang w:eastAsia="zh-CN" w:bidi="fr-FR"/>
              </w:rPr>
              <w:t>Estos buques tienen</w:t>
            </w:r>
            <w:r w:rsidRPr="00F0379B">
              <w:rPr>
                <w:rFonts w:ascii="Cambria" w:eastAsia="MS Gothic" w:hAnsi="Cambria" w:cs="Cambria"/>
                <w:color w:val="000000"/>
                <w:sz w:val="20"/>
                <w:szCs w:val="20"/>
                <w:lang w:eastAsia="zh-CN" w:bidi="fr-FR"/>
              </w:rPr>
              <w:t xml:space="preserve"> la obligación de transmitir posiciones por VMS cada hora. </w:t>
            </w:r>
          </w:p>
          <w:p w14:paraId="16CC0037" w14:textId="77777777"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 xml:space="preserve">De igual forma, la trasmisión de datos VMS a la Secretaría de ICCAT por parte de cada buque pesquero autorizado sujeto al requisito de VMS en el marco de la Rec. 25-04 se iniciará como mínimo cinco días antes y continuará como mínimo cinco días después del periodo de autorización, a menos que el buque sea eliminado de las listas de buque autorizados.  </w:t>
            </w:r>
          </w:p>
        </w:tc>
        <w:tc>
          <w:tcPr>
            <w:tcW w:w="2262" w:type="dxa"/>
            <w:tcBorders>
              <w:top w:val="single" w:sz="4" w:space="0" w:color="000000"/>
              <w:left w:val="single" w:sz="4" w:space="0" w:color="000000"/>
              <w:bottom w:val="single" w:sz="4" w:space="0" w:color="000000"/>
              <w:right w:val="single" w:sz="4" w:space="0" w:color="000000"/>
            </w:tcBorders>
          </w:tcPr>
          <w:p w14:paraId="2B30ECE3"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Resolución ADM/ARAP No. 006 (de 4 de febrero de 2026) por la cual se adoptan y aplican en la República de Panamá las medidas de conservación y ordenación para el atún rojo del Atlántico Este y Mediterráneo (</w:t>
            </w:r>
            <w:proofErr w:type="spellStart"/>
            <w:r w:rsidRPr="00F0379B">
              <w:rPr>
                <w:rFonts w:ascii="Cambria" w:eastAsia="MS Gothic" w:hAnsi="Cambria" w:cs="Cambria"/>
                <w:color w:val="000000"/>
                <w:sz w:val="20"/>
                <w:szCs w:val="20"/>
                <w:lang w:eastAsia="zh-CN" w:bidi="fr-FR"/>
              </w:rPr>
              <w:t>Thunnus</w:t>
            </w:r>
            <w:proofErr w:type="spellEnd"/>
            <w:r w:rsidRPr="00F0379B">
              <w:rPr>
                <w:rFonts w:ascii="Cambria" w:eastAsia="MS Gothic" w:hAnsi="Cambria" w:cs="Cambria"/>
                <w:color w:val="000000"/>
                <w:sz w:val="20"/>
                <w:szCs w:val="20"/>
                <w:lang w:eastAsia="zh-CN" w:bidi="fr-FR"/>
              </w:rPr>
              <w:t xml:space="preserve"> </w:t>
            </w:r>
            <w:proofErr w:type="spellStart"/>
            <w:r w:rsidRPr="00F0379B">
              <w:rPr>
                <w:rFonts w:ascii="Cambria" w:eastAsia="MS Gothic" w:hAnsi="Cambria" w:cs="Cambria"/>
                <w:color w:val="000000"/>
                <w:sz w:val="20"/>
                <w:szCs w:val="20"/>
                <w:lang w:eastAsia="zh-CN" w:bidi="fr-FR"/>
              </w:rPr>
              <w:t>thynnus</w:t>
            </w:r>
            <w:proofErr w:type="spellEnd"/>
            <w:r w:rsidRPr="00F0379B">
              <w:rPr>
                <w:rFonts w:ascii="Cambria" w:eastAsia="MS Gothic" w:hAnsi="Cambria" w:cs="Cambria"/>
                <w:color w:val="000000"/>
                <w:sz w:val="20"/>
                <w:szCs w:val="20"/>
                <w:lang w:eastAsia="zh-CN" w:bidi="fr-FR"/>
              </w:rPr>
              <w:t>), conforme a la Recomendación 25-04</w:t>
            </w:r>
          </w:p>
          <w:p w14:paraId="0EFC8F11"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0A094769"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 xml:space="preserve">Ley 204 de 18 de marzo de 2021 </w:t>
            </w:r>
            <w:r w:rsidRPr="00F0379B">
              <w:rPr>
                <w:rFonts w:ascii="Cambria" w:eastAsia="MS Gothic" w:hAnsi="Cambria" w:cs="Cambria"/>
                <w:iCs/>
                <w:color w:val="000000"/>
                <w:sz w:val="20"/>
                <w:szCs w:val="20"/>
                <w:lang w:eastAsia="zh-CN" w:bidi="fr-FR"/>
              </w:rPr>
              <w:t>que regula la pesca y acuicultura en la República de Panamá</w:t>
            </w:r>
            <w:r w:rsidRPr="00F0379B">
              <w:rPr>
                <w:rFonts w:ascii="Cambria" w:eastAsia="MS Gothic" w:hAnsi="Cambria" w:cs="Cambria"/>
                <w:color w:val="000000"/>
                <w:sz w:val="20"/>
                <w:szCs w:val="20"/>
                <w:lang w:eastAsia="zh-CN" w:bidi="fr-FR"/>
              </w:rPr>
              <w:t xml:space="preserve">. </w:t>
            </w:r>
          </w:p>
          <w:p w14:paraId="21053E85"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613C30B5" w14:textId="77777777"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 xml:space="preserve">Decreto 13 de 1 de noviembre de 2023, que reglamenta la Ley 204 de 2021. </w:t>
            </w:r>
          </w:p>
        </w:tc>
        <w:tc>
          <w:tcPr>
            <w:tcW w:w="1842" w:type="dxa"/>
            <w:tcBorders>
              <w:top w:val="single" w:sz="4" w:space="0" w:color="000000"/>
              <w:left w:val="single" w:sz="4" w:space="0" w:color="000000"/>
              <w:bottom w:val="single" w:sz="4" w:space="0" w:color="000000"/>
              <w:right w:val="single" w:sz="4" w:space="0" w:color="000000"/>
            </w:tcBorders>
          </w:tcPr>
          <w:p w14:paraId="5D257907" w14:textId="77777777" w:rsidR="009123AC" w:rsidRPr="00F0379B" w:rsidRDefault="009123AC" w:rsidP="009123AC">
            <w:pPr>
              <w:widowControl w:val="0"/>
              <w:suppressAutoHyphens/>
              <w:snapToGrid w:val="0"/>
              <w:spacing w:after="0" w:line="240" w:lineRule="auto"/>
              <w:rPr>
                <w:rFonts w:ascii="Cambria" w:eastAsia="MS Gothic" w:hAnsi="Cambria" w:cs="Cambria"/>
                <w:color w:val="000000"/>
                <w:sz w:val="20"/>
                <w:szCs w:val="20"/>
                <w:lang w:eastAsia="zh-CN" w:bidi="fr-FR"/>
              </w:rPr>
            </w:pPr>
          </w:p>
        </w:tc>
      </w:tr>
      <w:tr w:rsidR="009123AC" w:rsidRPr="00F0379B" w14:paraId="39CDDBEC" w14:textId="77777777" w:rsidTr="00CA749B">
        <w:tc>
          <w:tcPr>
            <w:tcW w:w="453" w:type="dxa"/>
            <w:tcBorders>
              <w:top w:val="single" w:sz="4" w:space="0" w:color="000000"/>
              <w:left w:val="single" w:sz="4" w:space="0" w:color="000000"/>
              <w:bottom w:val="single" w:sz="4" w:space="0" w:color="000000"/>
              <w:right w:val="single" w:sz="4" w:space="0" w:color="000000"/>
            </w:tcBorders>
          </w:tcPr>
          <w:p w14:paraId="143AE2B2"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8</w:t>
            </w:r>
          </w:p>
        </w:tc>
        <w:tc>
          <w:tcPr>
            <w:tcW w:w="1952" w:type="dxa"/>
            <w:tcBorders>
              <w:top w:val="single" w:sz="4" w:space="0" w:color="000000"/>
              <w:left w:val="single" w:sz="4" w:space="0" w:color="000000"/>
              <w:bottom w:val="single" w:sz="4" w:space="0" w:color="000000"/>
              <w:right w:val="single" w:sz="4" w:space="0" w:color="000000"/>
            </w:tcBorders>
          </w:tcPr>
          <w:p w14:paraId="32179557"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Programa de observadores de las CPC (párrs. 95-100)</w:t>
            </w:r>
          </w:p>
        </w:tc>
        <w:tc>
          <w:tcPr>
            <w:tcW w:w="2551" w:type="dxa"/>
            <w:tcBorders>
              <w:top w:val="single" w:sz="4" w:space="0" w:color="000000"/>
              <w:left w:val="single" w:sz="4" w:space="0" w:color="000000"/>
              <w:bottom w:val="single" w:sz="4" w:space="0" w:color="000000"/>
              <w:right w:val="single" w:sz="4" w:space="0" w:color="000000"/>
            </w:tcBorders>
          </w:tcPr>
          <w:p w14:paraId="4DC9054E" w14:textId="77777777"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Los buques que enarbolan pabellón panameño se encuentran fuera de los segmentos de flota definidos en el párrafo 95 para efectos del cumplimiento de las tasas de cobertura del programa nacional de observadores a bordo.</w:t>
            </w:r>
          </w:p>
        </w:tc>
        <w:tc>
          <w:tcPr>
            <w:tcW w:w="2262" w:type="dxa"/>
            <w:tcBorders>
              <w:top w:val="single" w:sz="4" w:space="0" w:color="000000"/>
              <w:left w:val="single" w:sz="4" w:space="0" w:color="000000"/>
              <w:bottom w:val="single" w:sz="4" w:space="0" w:color="000000"/>
              <w:right w:val="single" w:sz="4" w:space="0" w:color="000000"/>
            </w:tcBorders>
          </w:tcPr>
          <w:p w14:paraId="33DD699A" w14:textId="4B25338C"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 xml:space="preserve">Resolución ADM/ARAP No. </w:t>
            </w:r>
            <w:r w:rsidR="009D2975" w:rsidRPr="00F0379B">
              <w:rPr>
                <w:rFonts w:ascii="Cambria" w:eastAsia="MS Gothic" w:hAnsi="Cambria" w:cs="Cambria"/>
                <w:color w:val="000000"/>
                <w:sz w:val="20"/>
                <w:szCs w:val="20"/>
                <w:lang w:eastAsia="zh-CN" w:bidi="fr-FR"/>
              </w:rPr>
              <w:t>006 (</w:t>
            </w:r>
            <w:r w:rsidRPr="00F0379B">
              <w:rPr>
                <w:rFonts w:ascii="Cambria" w:eastAsia="MS Gothic" w:hAnsi="Cambria" w:cs="Cambria"/>
                <w:color w:val="000000"/>
                <w:sz w:val="20"/>
                <w:szCs w:val="20"/>
                <w:lang w:eastAsia="zh-CN" w:bidi="fr-FR"/>
              </w:rPr>
              <w:t>de 4 de febrero de 2026) por la cual se adoptan y aplican en la República de Panamá las medidas de conservación y ordenación para el atún rojo del Atlántico este y Mediterráneo (</w:t>
            </w:r>
            <w:proofErr w:type="spellStart"/>
            <w:r w:rsidRPr="00F0379B">
              <w:rPr>
                <w:rFonts w:ascii="Cambria" w:eastAsia="MS Gothic" w:hAnsi="Cambria" w:cs="Cambria"/>
                <w:i/>
                <w:iCs/>
                <w:color w:val="000000"/>
                <w:sz w:val="20"/>
                <w:szCs w:val="20"/>
                <w:lang w:eastAsia="zh-CN" w:bidi="fr-FR"/>
              </w:rPr>
              <w:t>Thunnus</w:t>
            </w:r>
            <w:proofErr w:type="spellEnd"/>
            <w:r w:rsidRPr="00F0379B">
              <w:rPr>
                <w:rFonts w:ascii="Cambria" w:eastAsia="MS Gothic" w:hAnsi="Cambria" w:cs="Cambria"/>
                <w:i/>
                <w:iCs/>
                <w:color w:val="000000"/>
                <w:sz w:val="20"/>
                <w:szCs w:val="20"/>
                <w:lang w:eastAsia="zh-CN" w:bidi="fr-FR"/>
              </w:rPr>
              <w:t xml:space="preserve"> </w:t>
            </w:r>
            <w:proofErr w:type="spellStart"/>
            <w:r w:rsidRPr="00F0379B">
              <w:rPr>
                <w:rFonts w:ascii="Cambria" w:eastAsia="MS Gothic" w:hAnsi="Cambria" w:cs="Cambria"/>
                <w:i/>
                <w:iCs/>
                <w:color w:val="000000"/>
                <w:sz w:val="20"/>
                <w:szCs w:val="20"/>
                <w:lang w:eastAsia="zh-CN" w:bidi="fr-FR"/>
              </w:rPr>
              <w:t>thynnus</w:t>
            </w:r>
            <w:proofErr w:type="spellEnd"/>
            <w:r w:rsidRPr="00F0379B">
              <w:rPr>
                <w:rFonts w:ascii="Cambria" w:eastAsia="MS Gothic" w:hAnsi="Cambria" w:cs="Cambria"/>
                <w:color w:val="000000"/>
                <w:sz w:val="20"/>
                <w:szCs w:val="20"/>
                <w:lang w:eastAsia="zh-CN" w:bidi="fr-FR"/>
              </w:rPr>
              <w:t>), conforme a la Recomendación 25-04</w:t>
            </w:r>
          </w:p>
          <w:p w14:paraId="5028F616"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4E758C39"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0E914592"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3111F5E1"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74A5B671" w14:textId="77777777" w:rsidR="009D2975" w:rsidRPr="00F0379B" w:rsidRDefault="009D2975"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7626A3DD" w14:textId="77777777" w:rsidR="009D2975" w:rsidRPr="00F0379B" w:rsidRDefault="009D2975" w:rsidP="009123AC">
            <w:pPr>
              <w:widowControl w:val="0"/>
              <w:suppressAutoHyphens/>
              <w:spacing w:after="0" w:line="240" w:lineRule="auto"/>
              <w:jc w:val="both"/>
              <w:rPr>
                <w:rFonts w:ascii="Cambria" w:eastAsia="MS Gothic" w:hAnsi="Cambria" w:cs="Cambria"/>
                <w:color w:val="000000"/>
                <w:sz w:val="20"/>
                <w:szCs w:val="20"/>
                <w:lang w:eastAsia="zh-CN" w:bidi="fr-FR"/>
              </w:rPr>
            </w:pPr>
          </w:p>
        </w:tc>
        <w:tc>
          <w:tcPr>
            <w:tcW w:w="1842" w:type="dxa"/>
            <w:tcBorders>
              <w:top w:val="single" w:sz="4" w:space="0" w:color="000000"/>
              <w:left w:val="single" w:sz="4" w:space="0" w:color="000000"/>
              <w:bottom w:val="single" w:sz="4" w:space="0" w:color="000000"/>
              <w:right w:val="single" w:sz="4" w:space="0" w:color="000000"/>
            </w:tcBorders>
          </w:tcPr>
          <w:p w14:paraId="43694D78" w14:textId="77777777" w:rsidR="009123AC" w:rsidRPr="00F0379B" w:rsidRDefault="009123AC" w:rsidP="009123AC">
            <w:pPr>
              <w:widowControl w:val="0"/>
              <w:suppressAutoHyphens/>
              <w:snapToGrid w:val="0"/>
              <w:spacing w:after="0" w:line="240" w:lineRule="auto"/>
              <w:jc w:val="both"/>
              <w:rPr>
                <w:rFonts w:ascii="Cambria" w:eastAsia="MS Gothic" w:hAnsi="Cambria" w:cs="Cambria"/>
                <w:color w:val="000000"/>
                <w:sz w:val="20"/>
                <w:szCs w:val="20"/>
                <w:lang w:eastAsia="zh-CN" w:bidi="fr-FR"/>
              </w:rPr>
            </w:pPr>
          </w:p>
        </w:tc>
      </w:tr>
      <w:tr w:rsidR="009123AC" w:rsidRPr="00F0379B" w14:paraId="5AF39265" w14:textId="77777777" w:rsidTr="00CA749B">
        <w:tc>
          <w:tcPr>
            <w:tcW w:w="453" w:type="dxa"/>
            <w:tcBorders>
              <w:top w:val="single" w:sz="4" w:space="0" w:color="000000"/>
              <w:left w:val="single" w:sz="4" w:space="0" w:color="000000"/>
              <w:bottom w:val="single" w:sz="4" w:space="0" w:color="000000"/>
              <w:right w:val="single" w:sz="4" w:space="0" w:color="000000"/>
            </w:tcBorders>
          </w:tcPr>
          <w:p w14:paraId="297AB2B8"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9</w:t>
            </w:r>
          </w:p>
        </w:tc>
        <w:tc>
          <w:tcPr>
            <w:tcW w:w="1952" w:type="dxa"/>
            <w:tcBorders>
              <w:top w:val="single" w:sz="4" w:space="0" w:color="000000"/>
              <w:left w:val="single" w:sz="4" w:space="0" w:color="000000"/>
              <w:bottom w:val="single" w:sz="4" w:space="0" w:color="000000"/>
              <w:right w:val="single" w:sz="4" w:space="0" w:color="000000"/>
            </w:tcBorders>
          </w:tcPr>
          <w:p w14:paraId="63270958" w14:textId="77777777" w:rsidR="009123AC" w:rsidRPr="00F0379B" w:rsidRDefault="009123AC" w:rsidP="009123AC">
            <w:pPr>
              <w:widowControl w:val="0"/>
              <w:suppressAutoHyphens/>
              <w:spacing w:after="0" w:line="240" w:lineRule="auto"/>
              <w:rPr>
                <w:rFonts w:ascii="Cambria" w:eastAsia="MS Gothic" w:hAnsi="Cambria" w:cs="Cambria"/>
                <w:b/>
                <w:color w:val="000000"/>
                <w:sz w:val="20"/>
                <w:szCs w:val="20"/>
                <w:lang w:val="pt-BR" w:eastAsia="zh-CN" w:bidi="fr-FR"/>
              </w:rPr>
            </w:pPr>
            <w:r w:rsidRPr="00F0379B">
              <w:rPr>
                <w:rFonts w:ascii="Cambria" w:eastAsia="MS Gothic" w:hAnsi="Cambria" w:cs="Cambria"/>
                <w:b/>
                <w:color w:val="000000"/>
                <w:sz w:val="20"/>
                <w:szCs w:val="20"/>
                <w:lang w:val="pt-BR" w:eastAsia="zh-CN" w:bidi="fr-FR"/>
              </w:rPr>
              <w:t xml:space="preserve">Programa regional de observadores </w:t>
            </w:r>
          </w:p>
          <w:p w14:paraId="6B9E6044"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val="pt-BR" w:eastAsia="zh-CN" w:bidi="fr-FR"/>
              </w:rPr>
              <w:t xml:space="preserve">(párrs. </w:t>
            </w:r>
            <w:r w:rsidRPr="00F0379B">
              <w:rPr>
                <w:rFonts w:ascii="Cambria" w:eastAsia="MS Gothic" w:hAnsi="Cambria" w:cs="Cambria"/>
                <w:b/>
                <w:color w:val="000000"/>
                <w:sz w:val="20"/>
                <w:szCs w:val="20"/>
                <w:lang w:eastAsia="zh-CN" w:bidi="fr-FR"/>
              </w:rPr>
              <w:t>101-107)</w:t>
            </w:r>
          </w:p>
        </w:tc>
        <w:tc>
          <w:tcPr>
            <w:tcW w:w="2551" w:type="dxa"/>
            <w:tcBorders>
              <w:top w:val="single" w:sz="4" w:space="0" w:color="000000"/>
              <w:left w:val="single" w:sz="4" w:space="0" w:color="000000"/>
              <w:bottom w:val="single" w:sz="4" w:space="0" w:color="000000"/>
              <w:right w:val="single" w:sz="4" w:space="0" w:color="000000"/>
            </w:tcBorders>
          </w:tcPr>
          <w:p w14:paraId="35DFEEBD" w14:textId="77777777"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 xml:space="preserve">No aplica </w:t>
            </w:r>
          </w:p>
        </w:tc>
        <w:tc>
          <w:tcPr>
            <w:tcW w:w="2262" w:type="dxa"/>
            <w:tcBorders>
              <w:top w:val="single" w:sz="4" w:space="0" w:color="000000"/>
              <w:left w:val="single" w:sz="4" w:space="0" w:color="000000"/>
              <w:bottom w:val="single" w:sz="4" w:space="0" w:color="000000"/>
              <w:right w:val="single" w:sz="4" w:space="0" w:color="000000"/>
            </w:tcBorders>
          </w:tcPr>
          <w:p w14:paraId="6AD6A100" w14:textId="0035CEA9"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 xml:space="preserve">Resolución ADM/ARAP No. </w:t>
            </w:r>
            <w:r w:rsidR="009D2975" w:rsidRPr="00F0379B">
              <w:rPr>
                <w:rFonts w:ascii="Cambria" w:eastAsia="MS Gothic" w:hAnsi="Cambria" w:cs="Cambria"/>
                <w:color w:val="000000"/>
                <w:sz w:val="20"/>
                <w:szCs w:val="20"/>
                <w:lang w:eastAsia="zh-CN" w:bidi="fr-FR"/>
              </w:rPr>
              <w:t>006 (</w:t>
            </w:r>
            <w:r w:rsidRPr="00F0379B">
              <w:rPr>
                <w:rFonts w:ascii="Cambria" w:eastAsia="MS Gothic" w:hAnsi="Cambria" w:cs="Cambria"/>
                <w:color w:val="000000"/>
                <w:sz w:val="20"/>
                <w:szCs w:val="20"/>
                <w:lang w:eastAsia="zh-CN" w:bidi="fr-FR"/>
              </w:rPr>
              <w:t>de 4 de febrero de 2026) por la cual se adoptan y aplican en la República de Panamá las medidas de conservación y ordenación para el atún rojo del Atlántico este y Mediterráneo (</w:t>
            </w:r>
            <w:proofErr w:type="spellStart"/>
            <w:r w:rsidRPr="00F0379B">
              <w:rPr>
                <w:rFonts w:ascii="Cambria" w:eastAsia="MS Gothic" w:hAnsi="Cambria" w:cs="Cambria"/>
                <w:i/>
                <w:iCs/>
                <w:color w:val="000000"/>
                <w:sz w:val="20"/>
                <w:szCs w:val="20"/>
                <w:lang w:eastAsia="zh-CN" w:bidi="fr-FR"/>
              </w:rPr>
              <w:t>Thunnus</w:t>
            </w:r>
            <w:proofErr w:type="spellEnd"/>
            <w:r w:rsidRPr="00F0379B">
              <w:rPr>
                <w:rFonts w:ascii="Cambria" w:eastAsia="MS Gothic" w:hAnsi="Cambria" w:cs="Cambria"/>
                <w:i/>
                <w:iCs/>
                <w:color w:val="000000"/>
                <w:sz w:val="20"/>
                <w:szCs w:val="20"/>
                <w:lang w:eastAsia="zh-CN" w:bidi="fr-FR"/>
              </w:rPr>
              <w:t xml:space="preserve"> </w:t>
            </w:r>
            <w:proofErr w:type="spellStart"/>
            <w:r w:rsidRPr="00F0379B">
              <w:rPr>
                <w:rFonts w:ascii="Cambria" w:eastAsia="MS Gothic" w:hAnsi="Cambria" w:cs="Cambria"/>
                <w:i/>
                <w:iCs/>
                <w:color w:val="000000"/>
                <w:sz w:val="20"/>
                <w:szCs w:val="20"/>
                <w:lang w:eastAsia="zh-CN" w:bidi="fr-FR"/>
              </w:rPr>
              <w:t>thynnus</w:t>
            </w:r>
            <w:proofErr w:type="spellEnd"/>
            <w:r w:rsidRPr="00F0379B">
              <w:rPr>
                <w:rFonts w:ascii="Cambria" w:eastAsia="MS Gothic" w:hAnsi="Cambria" w:cs="Cambria"/>
                <w:color w:val="000000"/>
                <w:sz w:val="20"/>
                <w:szCs w:val="20"/>
                <w:lang w:eastAsia="zh-CN" w:bidi="fr-FR"/>
              </w:rPr>
              <w:t>), conforme a la Recomendación 25-04</w:t>
            </w:r>
          </w:p>
        </w:tc>
        <w:tc>
          <w:tcPr>
            <w:tcW w:w="1842" w:type="dxa"/>
            <w:tcBorders>
              <w:top w:val="single" w:sz="4" w:space="0" w:color="000000"/>
              <w:left w:val="single" w:sz="4" w:space="0" w:color="000000"/>
              <w:bottom w:val="single" w:sz="4" w:space="0" w:color="000000"/>
              <w:right w:val="single" w:sz="4" w:space="0" w:color="000000"/>
            </w:tcBorders>
          </w:tcPr>
          <w:p w14:paraId="46EB5CC2" w14:textId="77777777" w:rsidR="009123AC" w:rsidRPr="00F0379B" w:rsidRDefault="009123AC" w:rsidP="009123AC">
            <w:pPr>
              <w:widowControl w:val="0"/>
              <w:suppressAutoHyphens/>
              <w:spacing w:after="0" w:line="240" w:lineRule="auto"/>
              <w:jc w:val="center"/>
              <w:rPr>
                <w:rFonts w:ascii="Cambria" w:eastAsia="MS Gothic" w:hAnsi="Cambria" w:cs="Cambria"/>
                <w:color w:val="000000"/>
                <w:sz w:val="20"/>
                <w:szCs w:val="20"/>
                <w:lang w:eastAsia="zh-CN" w:bidi="fr-FR"/>
              </w:rPr>
            </w:pPr>
          </w:p>
          <w:p w14:paraId="4E525DB6" w14:textId="77777777" w:rsidR="009123AC" w:rsidRPr="00F0379B" w:rsidRDefault="009123AC" w:rsidP="009123AC">
            <w:pPr>
              <w:widowControl w:val="0"/>
              <w:suppressAutoHyphens/>
              <w:spacing w:after="0" w:line="240" w:lineRule="auto"/>
              <w:jc w:val="center"/>
              <w:rPr>
                <w:rFonts w:ascii="Cambria" w:eastAsia="MS Gothic" w:hAnsi="Cambria" w:cs="Cambria"/>
                <w:color w:val="000000"/>
                <w:sz w:val="20"/>
                <w:szCs w:val="20"/>
                <w:lang w:eastAsia="zh-CN" w:bidi="fr-FR"/>
              </w:rPr>
            </w:pPr>
          </w:p>
          <w:p w14:paraId="48E1E3C9" w14:textId="77777777" w:rsidR="009123AC" w:rsidRPr="00F0379B" w:rsidRDefault="009123AC" w:rsidP="009123AC">
            <w:pPr>
              <w:widowControl w:val="0"/>
              <w:suppressAutoHyphens/>
              <w:spacing w:after="0" w:line="240" w:lineRule="auto"/>
              <w:jc w:val="center"/>
              <w:rPr>
                <w:rFonts w:ascii="Cambria" w:eastAsia="MS Gothic" w:hAnsi="Cambria" w:cs="Cambria"/>
                <w:color w:val="000000"/>
                <w:sz w:val="20"/>
                <w:szCs w:val="20"/>
                <w:lang w:eastAsia="zh-CN" w:bidi="fr-FR"/>
              </w:rPr>
            </w:pPr>
          </w:p>
          <w:p w14:paraId="1CEC799A" w14:textId="77777777" w:rsidR="009123AC" w:rsidRPr="00F0379B" w:rsidRDefault="009123AC" w:rsidP="009123AC">
            <w:pPr>
              <w:widowControl w:val="0"/>
              <w:suppressAutoHyphens/>
              <w:spacing w:after="0" w:line="240" w:lineRule="auto"/>
              <w:jc w:val="center"/>
              <w:rPr>
                <w:rFonts w:ascii="Cambria" w:eastAsia="MS Gothic" w:hAnsi="Cambria" w:cs="Cambria"/>
                <w:color w:val="000000"/>
                <w:sz w:val="20"/>
                <w:szCs w:val="20"/>
                <w:lang w:eastAsia="zh-CN" w:bidi="fr-FR"/>
              </w:rPr>
            </w:pPr>
          </w:p>
          <w:p w14:paraId="3701CBC8" w14:textId="241B4E6C" w:rsidR="009123AC" w:rsidRPr="00F0379B" w:rsidRDefault="009123AC" w:rsidP="009123AC">
            <w:pPr>
              <w:widowControl w:val="0"/>
              <w:suppressAutoHyphens/>
              <w:spacing w:after="0" w:line="240" w:lineRule="auto"/>
              <w:jc w:val="center"/>
              <w:rPr>
                <w:rFonts w:ascii="Cambria" w:eastAsia="MS Gothic" w:hAnsi="Cambria" w:cs="Cambria"/>
                <w:color w:val="000000"/>
                <w:sz w:val="20"/>
                <w:szCs w:val="20"/>
                <w:lang w:eastAsia="zh-CN" w:bidi="fr-FR"/>
              </w:rPr>
            </w:pPr>
          </w:p>
        </w:tc>
      </w:tr>
      <w:tr w:rsidR="009123AC" w:rsidRPr="00F0379B" w14:paraId="53877DF2" w14:textId="77777777" w:rsidTr="00CA749B">
        <w:tc>
          <w:tcPr>
            <w:tcW w:w="453" w:type="dxa"/>
            <w:tcBorders>
              <w:top w:val="single" w:sz="4" w:space="0" w:color="000000"/>
              <w:left w:val="single" w:sz="4" w:space="0" w:color="000000"/>
              <w:bottom w:val="single" w:sz="4" w:space="0" w:color="000000"/>
              <w:right w:val="single" w:sz="4" w:space="0" w:color="000000"/>
            </w:tcBorders>
          </w:tcPr>
          <w:p w14:paraId="4D440542"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10</w:t>
            </w:r>
          </w:p>
        </w:tc>
        <w:tc>
          <w:tcPr>
            <w:tcW w:w="1952" w:type="dxa"/>
            <w:tcBorders>
              <w:top w:val="single" w:sz="4" w:space="0" w:color="000000"/>
              <w:left w:val="single" w:sz="4" w:space="0" w:color="000000"/>
              <w:bottom w:val="single" w:sz="4" w:space="0" w:color="000000"/>
              <w:right w:val="single" w:sz="4" w:space="0" w:color="000000"/>
            </w:tcBorders>
          </w:tcPr>
          <w:p w14:paraId="458A8347"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Legislación nacional</w:t>
            </w:r>
          </w:p>
        </w:tc>
        <w:tc>
          <w:tcPr>
            <w:tcW w:w="2551" w:type="dxa"/>
            <w:tcBorders>
              <w:top w:val="single" w:sz="4" w:space="0" w:color="000000"/>
              <w:left w:val="single" w:sz="4" w:space="0" w:color="000000"/>
              <w:bottom w:val="single" w:sz="4" w:space="0" w:color="000000"/>
              <w:right w:val="single" w:sz="4" w:space="0" w:color="000000"/>
            </w:tcBorders>
          </w:tcPr>
          <w:p w14:paraId="6DDB0D83" w14:textId="77777777"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 xml:space="preserve">Existen legislaciones nacionales generales y específicas. </w:t>
            </w:r>
          </w:p>
        </w:tc>
        <w:tc>
          <w:tcPr>
            <w:tcW w:w="2262" w:type="dxa"/>
            <w:tcBorders>
              <w:top w:val="single" w:sz="4" w:space="0" w:color="000000"/>
              <w:left w:val="single" w:sz="4" w:space="0" w:color="000000"/>
              <w:bottom w:val="single" w:sz="4" w:space="0" w:color="000000"/>
              <w:right w:val="single" w:sz="4" w:space="0" w:color="000000"/>
            </w:tcBorders>
          </w:tcPr>
          <w:p w14:paraId="07A248D0"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12"/>
                <w:szCs w:val="12"/>
                <w:lang w:eastAsia="zh-CN" w:bidi="fr-FR"/>
              </w:rPr>
            </w:pPr>
            <w:r w:rsidRPr="00F0379B">
              <w:rPr>
                <w:rFonts w:ascii="Cambria" w:eastAsia="MS Gothic" w:hAnsi="Cambria" w:cs="Cambria"/>
                <w:color w:val="000000"/>
                <w:sz w:val="20"/>
                <w:szCs w:val="20"/>
                <w:lang w:eastAsia="zh-CN" w:bidi="fr-FR"/>
              </w:rPr>
              <w:t xml:space="preserve">Ley 204 de 18 de marzo de 2021, que regula la pesca y acuicultura en la República de Panamá. </w:t>
            </w:r>
          </w:p>
          <w:p w14:paraId="77D00E87"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12"/>
                <w:szCs w:val="12"/>
                <w:lang w:eastAsia="zh-CN" w:bidi="fr-FR"/>
              </w:rPr>
            </w:pPr>
          </w:p>
          <w:p w14:paraId="03CA4F60"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Decreto 13 de 1 de noviembre de 2023, que reglamenta la Ley 204 de 2021</w:t>
            </w:r>
          </w:p>
          <w:p w14:paraId="0353D2F2"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41D042D0"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val="pt-BR" w:eastAsia="zh-CN" w:bidi="fr-FR"/>
              </w:rPr>
            </w:pPr>
            <w:r w:rsidRPr="00F0379B">
              <w:rPr>
                <w:rFonts w:ascii="Cambria" w:eastAsia="MS Gothic" w:hAnsi="Cambria" w:cs="Cambria"/>
                <w:color w:val="000000"/>
                <w:sz w:val="20"/>
                <w:szCs w:val="20"/>
                <w:lang w:val="pt-BR" w:eastAsia="zh-CN" w:bidi="fr-FR"/>
              </w:rPr>
              <w:t xml:space="preserve">Res. ADM/ARAP N° 049 de 5 </w:t>
            </w:r>
            <w:proofErr w:type="spellStart"/>
            <w:r w:rsidRPr="00F0379B">
              <w:rPr>
                <w:rFonts w:ascii="Cambria" w:eastAsia="MS Gothic" w:hAnsi="Cambria" w:cs="Cambria"/>
                <w:color w:val="000000"/>
                <w:sz w:val="20"/>
                <w:szCs w:val="20"/>
                <w:lang w:val="pt-BR" w:eastAsia="zh-CN" w:bidi="fr-FR"/>
              </w:rPr>
              <w:t>octubre</w:t>
            </w:r>
            <w:proofErr w:type="spellEnd"/>
            <w:r w:rsidRPr="00F0379B">
              <w:rPr>
                <w:rFonts w:ascii="Cambria" w:eastAsia="MS Gothic" w:hAnsi="Cambria" w:cs="Cambria"/>
                <w:color w:val="000000"/>
                <w:sz w:val="20"/>
                <w:szCs w:val="20"/>
                <w:lang w:val="pt-BR" w:eastAsia="zh-CN" w:bidi="fr-FR"/>
              </w:rPr>
              <w:t xml:space="preserve"> de 2021</w:t>
            </w:r>
          </w:p>
          <w:p w14:paraId="6DA0088B"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val="pt-BR" w:eastAsia="zh-CN" w:bidi="fr-FR"/>
              </w:rPr>
            </w:pPr>
            <w:r w:rsidRPr="00F0379B">
              <w:rPr>
                <w:rFonts w:ascii="Cambria" w:eastAsia="MS Gothic" w:hAnsi="Cambria" w:cs="Cambria"/>
                <w:color w:val="000000"/>
                <w:sz w:val="20"/>
                <w:szCs w:val="20"/>
                <w:lang w:val="pt-BR" w:eastAsia="zh-CN" w:bidi="fr-FR"/>
              </w:rPr>
              <w:t xml:space="preserve">Res. ADM/ARAP No. 092 de 18 de </w:t>
            </w:r>
            <w:proofErr w:type="spellStart"/>
            <w:r w:rsidRPr="00F0379B">
              <w:rPr>
                <w:rFonts w:ascii="Cambria" w:eastAsia="MS Gothic" w:hAnsi="Cambria" w:cs="Cambria"/>
                <w:color w:val="000000"/>
                <w:sz w:val="20"/>
                <w:szCs w:val="20"/>
                <w:lang w:val="pt-BR" w:eastAsia="zh-CN" w:bidi="fr-FR"/>
              </w:rPr>
              <w:t>noviembre</w:t>
            </w:r>
            <w:proofErr w:type="spellEnd"/>
            <w:r w:rsidRPr="00F0379B">
              <w:rPr>
                <w:rFonts w:ascii="Cambria" w:eastAsia="MS Gothic" w:hAnsi="Cambria" w:cs="Cambria"/>
                <w:color w:val="000000"/>
                <w:sz w:val="20"/>
                <w:szCs w:val="20"/>
                <w:lang w:val="pt-BR" w:eastAsia="zh-CN" w:bidi="fr-FR"/>
              </w:rPr>
              <w:t xml:space="preserve"> de 2024, que </w:t>
            </w:r>
            <w:proofErr w:type="gramStart"/>
            <w:r w:rsidRPr="00F0379B">
              <w:rPr>
                <w:rFonts w:ascii="Cambria" w:eastAsia="MS Gothic" w:hAnsi="Cambria" w:cs="Cambria"/>
                <w:color w:val="000000"/>
                <w:sz w:val="20"/>
                <w:szCs w:val="20"/>
                <w:lang w:val="pt-BR" w:eastAsia="zh-CN" w:bidi="fr-FR"/>
              </w:rPr>
              <w:t>regula</w:t>
            </w:r>
            <w:proofErr w:type="gramEnd"/>
            <w:r w:rsidRPr="00F0379B">
              <w:rPr>
                <w:rFonts w:ascii="Cambria" w:eastAsia="MS Gothic" w:hAnsi="Cambria" w:cs="Cambria"/>
                <w:color w:val="000000"/>
                <w:sz w:val="20"/>
                <w:szCs w:val="20"/>
                <w:lang w:val="pt-BR" w:eastAsia="zh-CN" w:bidi="fr-FR"/>
              </w:rPr>
              <w:t xml:space="preserve"> los requisitos para realizar transbordos, para buques de pesca comercial de </w:t>
            </w:r>
            <w:proofErr w:type="spellStart"/>
            <w:r w:rsidRPr="00F0379B">
              <w:rPr>
                <w:rFonts w:ascii="Cambria" w:eastAsia="MS Gothic" w:hAnsi="Cambria" w:cs="Cambria"/>
                <w:color w:val="000000"/>
                <w:sz w:val="20"/>
                <w:szCs w:val="20"/>
                <w:lang w:val="pt-BR" w:eastAsia="zh-CN" w:bidi="fr-FR"/>
              </w:rPr>
              <w:t>servicio</w:t>
            </w:r>
            <w:proofErr w:type="spellEnd"/>
            <w:r w:rsidRPr="00F0379B">
              <w:rPr>
                <w:rFonts w:ascii="Cambria" w:eastAsia="MS Gothic" w:hAnsi="Cambria" w:cs="Cambria"/>
                <w:color w:val="000000"/>
                <w:sz w:val="20"/>
                <w:szCs w:val="20"/>
                <w:lang w:val="pt-BR" w:eastAsia="zh-CN" w:bidi="fr-FR"/>
              </w:rPr>
              <w:t xml:space="preserve"> internacional de captura y de </w:t>
            </w:r>
            <w:proofErr w:type="spellStart"/>
            <w:r w:rsidRPr="00F0379B">
              <w:rPr>
                <w:rFonts w:ascii="Cambria" w:eastAsia="MS Gothic" w:hAnsi="Cambria" w:cs="Cambria"/>
                <w:color w:val="000000"/>
                <w:sz w:val="20"/>
                <w:szCs w:val="20"/>
                <w:lang w:val="pt-BR" w:eastAsia="zh-CN" w:bidi="fr-FR"/>
              </w:rPr>
              <w:t>actividades</w:t>
            </w:r>
            <w:proofErr w:type="spellEnd"/>
            <w:r w:rsidRPr="00F0379B">
              <w:rPr>
                <w:rFonts w:ascii="Cambria" w:eastAsia="MS Gothic" w:hAnsi="Cambria" w:cs="Cambria"/>
                <w:color w:val="000000"/>
                <w:sz w:val="20"/>
                <w:szCs w:val="20"/>
                <w:lang w:val="pt-BR" w:eastAsia="zh-CN" w:bidi="fr-FR"/>
              </w:rPr>
              <w:t xml:space="preserve"> relacionadas </w:t>
            </w:r>
            <w:proofErr w:type="spellStart"/>
            <w:r w:rsidRPr="00F0379B">
              <w:rPr>
                <w:rFonts w:ascii="Cambria" w:eastAsia="MS Gothic" w:hAnsi="Cambria" w:cs="Cambria"/>
                <w:color w:val="000000"/>
                <w:sz w:val="20"/>
                <w:szCs w:val="20"/>
                <w:lang w:val="pt-BR" w:eastAsia="zh-CN" w:bidi="fr-FR"/>
              </w:rPr>
              <w:t>con</w:t>
            </w:r>
            <w:proofErr w:type="spellEnd"/>
            <w:r w:rsidRPr="00F0379B">
              <w:rPr>
                <w:rFonts w:ascii="Cambria" w:eastAsia="MS Gothic" w:hAnsi="Cambria" w:cs="Cambria"/>
                <w:color w:val="000000"/>
                <w:sz w:val="20"/>
                <w:szCs w:val="20"/>
                <w:lang w:val="pt-BR" w:eastAsia="zh-CN" w:bidi="fr-FR"/>
              </w:rPr>
              <w:t xml:space="preserve"> la pesca de </w:t>
            </w:r>
            <w:proofErr w:type="spellStart"/>
            <w:r w:rsidRPr="00F0379B">
              <w:rPr>
                <w:rFonts w:ascii="Cambria" w:eastAsia="MS Gothic" w:hAnsi="Cambria" w:cs="Cambria"/>
                <w:color w:val="000000"/>
                <w:sz w:val="20"/>
                <w:szCs w:val="20"/>
                <w:lang w:val="pt-BR" w:eastAsia="zh-CN" w:bidi="fr-FR"/>
              </w:rPr>
              <w:t>bandera</w:t>
            </w:r>
            <w:proofErr w:type="spellEnd"/>
            <w:r w:rsidRPr="00F0379B">
              <w:rPr>
                <w:rFonts w:ascii="Cambria" w:eastAsia="MS Gothic" w:hAnsi="Cambria" w:cs="Cambria"/>
                <w:color w:val="000000"/>
                <w:sz w:val="20"/>
                <w:szCs w:val="20"/>
                <w:lang w:val="pt-BR" w:eastAsia="zh-CN" w:bidi="fr-FR"/>
              </w:rPr>
              <w:t xml:space="preserve"> </w:t>
            </w:r>
            <w:proofErr w:type="spellStart"/>
            <w:r w:rsidRPr="00F0379B">
              <w:rPr>
                <w:rFonts w:ascii="Cambria" w:eastAsia="MS Gothic" w:hAnsi="Cambria" w:cs="Cambria"/>
                <w:color w:val="000000"/>
                <w:sz w:val="20"/>
                <w:szCs w:val="20"/>
                <w:lang w:val="pt-BR" w:eastAsia="zh-CN" w:bidi="fr-FR"/>
              </w:rPr>
              <w:t>panameña</w:t>
            </w:r>
            <w:proofErr w:type="spellEnd"/>
            <w:r w:rsidRPr="00F0379B">
              <w:rPr>
                <w:rFonts w:ascii="Cambria" w:eastAsia="MS Gothic" w:hAnsi="Cambria" w:cs="Cambria"/>
                <w:color w:val="000000"/>
                <w:sz w:val="20"/>
                <w:szCs w:val="20"/>
                <w:lang w:val="pt-BR" w:eastAsia="zh-CN" w:bidi="fr-FR"/>
              </w:rPr>
              <w:t>.</w:t>
            </w:r>
          </w:p>
          <w:p w14:paraId="2F74AB51"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val="pt-BR" w:eastAsia="zh-CN" w:bidi="fr-FR"/>
              </w:rPr>
            </w:pPr>
          </w:p>
          <w:p w14:paraId="5E7DBECF" w14:textId="77777777" w:rsidR="00C148C2"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 xml:space="preserve">Res. ADM/ARAP No. 048 de 30 de agosto de 2023 que implementa el uso obligatorio de e-LAND como plataforma electrónica oficial para el registro de desembarque de buques de pesca y actividades relacionadas con la pesca de pabellón nacional de servicio internacional, en puertos nacionales autorizados o en puertos de terceros países, así como de pabellón extranjero, en puertos nacionales autorizados.  </w:t>
            </w:r>
          </w:p>
          <w:p w14:paraId="485FDC8B" w14:textId="77777777" w:rsidR="00C148C2" w:rsidRPr="00F0379B" w:rsidRDefault="00C148C2"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29DD0EC8" w14:textId="190DFAEC"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208CC5A8" w14:textId="77777777" w:rsidR="009123AC" w:rsidRPr="00F0379B" w:rsidRDefault="009123AC" w:rsidP="009123AC">
            <w:pPr>
              <w:widowControl w:val="0"/>
              <w:suppressAutoHyphens/>
              <w:snapToGrid w:val="0"/>
              <w:spacing w:after="0" w:line="240" w:lineRule="auto"/>
              <w:rPr>
                <w:rFonts w:ascii="Cambria" w:eastAsia="MS Gothic" w:hAnsi="Cambria" w:cs="Cambria"/>
                <w:color w:val="000000"/>
                <w:sz w:val="20"/>
                <w:szCs w:val="20"/>
                <w:lang w:eastAsia="zh-CN" w:bidi="fr-FR"/>
              </w:rPr>
            </w:pPr>
          </w:p>
        </w:tc>
      </w:tr>
      <w:tr w:rsidR="009123AC" w:rsidRPr="00F0379B" w14:paraId="3F3DBC4E" w14:textId="77777777" w:rsidTr="00CA749B">
        <w:tc>
          <w:tcPr>
            <w:tcW w:w="453" w:type="dxa"/>
            <w:tcBorders>
              <w:top w:val="single" w:sz="4" w:space="0" w:color="000000"/>
              <w:left w:val="single" w:sz="4" w:space="0" w:color="000000"/>
              <w:bottom w:val="single" w:sz="4" w:space="0" w:color="000000"/>
              <w:right w:val="single" w:sz="4" w:space="0" w:color="000000"/>
            </w:tcBorders>
          </w:tcPr>
          <w:p w14:paraId="0FF7846F" w14:textId="77777777" w:rsidR="009123AC" w:rsidRPr="00F0379B" w:rsidRDefault="009123AC" w:rsidP="009123AC">
            <w:pPr>
              <w:widowControl w:val="0"/>
              <w:suppressAutoHyphens/>
              <w:snapToGrid w:val="0"/>
              <w:spacing w:after="0" w:line="240" w:lineRule="auto"/>
              <w:rPr>
                <w:rFonts w:ascii="Cambria" w:eastAsia="MS Gothic" w:hAnsi="Cambria" w:cs="Cambria"/>
                <w:i/>
                <w:color w:val="000000"/>
                <w:sz w:val="20"/>
                <w:szCs w:val="20"/>
                <w:lang w:eastAsia="zh-CN" w:bidi="fr-FR"/>
              </w:rPr>
            </w:pPr>
          </w:p>
        </w:tc>
        <w:tc>
          <w:tcPr>
            <w:tcW w:w="1952" w:type="dxa"/>
            <w:tcBorders>
              <w:top w:val="single" w:sz="4" w:space="0" w:color="000000"/>
              <w:left w:val="single" w:sz="4" w:space="0" w:color="000000"/>
              <w:bottom w:val="single" w:sz="4" w:space="0" w:color="000000"/>
              <w:right w:val="single" w:sz="4" w:space="0" w:color="000000"/>
            </w:tcBorders>
          </w:tcPr>
          <w:p w14:paraId="25A04FCC" w14:textId="77777777" w:rsidR="009123AC" w:rsidRPr="00F0379B" w:rsidRDefault="009123AC" w:rsidP="009123AC">
            <w:pPr>
              <w:widowControl w:val="0"/>
              <w:suppressAutoHyphens/>
              <w:spacing w:after="0" w:line="240" w:lineRule="auto"/>
              <w:rPr>
                <w:rFonts w:ascii="Cambria" w:eastAsia="MS Gothic" w:hAnsi="Cambria" w:cs="Cambria"/>
                <w:i/>
                <w:color w:val="000000"/>
                <w:sz w:val="20"/>
                <w:szCs w:val="20"/>
                <w:lang w:eastAsia="zh-CN" w:bidi="fr-FR"/>
              </w:rPr>
            </w:pPr>
            <w:r w:rsidRPr="00F0379B">
              <w:rPr>
                <w:rFonts w:ascii="Cambria" w:eastAsia="MS Gothic" w:hAnsi="Cambria" w:cs="Cambria"/>
                <w:i/>
                <w:color w:val="000000"/>
                <w:sz w:val="20"/>
                <w:szCs w:val="20"/>
                <w:lang w:eastAsia="zh-CN" w:bidi="fr-FR"/>
              </w:rPr>
              <w:t>Otros requisitos, como:</w:t>
            </w:r>
          </w:p>
          <w:p w14:paraId="122204CD" w14:textId="77777777" w:rsidR="009123AC" w:rsidRPr="00F0379B" w:rsidRDefault="009123AC" w:rsidP="009123AC">
            <w:pPr>
              <w:widowControl w:val="0"/>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i/>
                <w:color w:val="000000"/>
                <w:sz w:val="20"/>
                <w:szCs w:val="20"/>
                <w:lang w:eastAsia="zh-CN" w:bidi="fr-FR"/>
              </w:rPr>
              <w:t>programa de marcado (párr. 44). etc.</w:t>
            </w:r>
          </w:p>
        </w:tc>
        <w:tc>
          <w:tcPr>
            <w:tcW w:w="2551" w:type="dxa"/>
            <w:tcBorders>
              <w:top w:val="single" w:sz="4" w:space="0" w:color="000000"/>
              <w:left w:val="single" w:sz="4" w:space="0" w:color="000000"/>
              <w:bottom w:val="single" w:sz="4" w:space="0" w:color="000000"/>
              <w:right w:val="single" w:sz="4" w:space="0" w:color="000000"/>
            </w:tcBorders>
          </w:tcPr>
          <w:p w14:paraId="3E1EEF16" w14:textId="77777777" w:rsidR="009123AC" w:rsidRPr="00F0379B" w:rsidRDefault="009123AC" w:rsidP="009123AC">
            <w:pPr>
              <w:widowControl w:val="0"/>
              <w:suppressAutoHyphens/>
              <w:spacing w:after="0" w:line="240" w:lineRule="auto"/>
              <w:jc w:val="both"/>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zh-CN" w:bidi="fr-FR"/>
              </w:rPr>
              <w:t xml:space="preserve">Panamá no lleva a cabo pesquerías deportivas de captura y liberación en el Atlántico nororiental. </w:t>
            </w:r>
          </w:p>
        </w:tc>
        <w:tc>
          <w:tcPr>
            <w:tcW w:w="2262" w:type="dxa"/>
            <w:tcBorders>
              <w:top w:val="single" w:sz="4" w:space="0" w:color="000000"/>
              <w:left w:val="single" w:sz="4" w:space="0" w:color="000000"/>
              <w:bottom w:val="single" w:sz="4" w:space="0" w:color="000000"/>
              <w:right w:val="single" w:sz="4" w:space="0" w:color="000000"/>
            </w:tcBorders>
          </w:tcPr>
          <w:p w14:paraId="43C6E4D3" w14:textId="77777777" w:rsidR="009123AC" w:rsidRPr="00F0379B" w:rsidRDefault="009123AC" w:rsidP="009123AC">
            <w:pPr>
              <w:widowControl w:val="0"/>
              <w:suppressAutoHyphens/>
              <w:snapToGrid w:val="0"/>
              <w:spacing w:after="0" w:line="240" w:lineRule="auto"/>
              <w:rPr>
                <w:rFonts w:ascii="Cambria" w:eastAsia="MS Gothic" w:hAnsi="Cambria" w:cs="Cambria"/>
                <w:color w:val="000000"/>
                <w:sz w:val="20"/>
                <w:szCs w:val="20"/>
                <w:lang w:eastAsia="zh-CN" w:bidi="fr-FR"/>
              </w:rPr>
            </w:pPr>
          </w:p>
        </w:tc>
        <w:tc>
          <w:tcPr>
            <w:tcW w:w="1842" w:type="dxa"/>
            <w:tcBorders>
              <w:top w:val="single" w:sz="4" w:space="0" w:color="000000"/>
              <w:left w:val="single" w:sz="4" w:space="0" w:color="000000"/>
              <w:bottom w:val="single" w:sz="4" w:space="0" w:color="000000"/>
              <w:right w:val="single" w:sz="4" w:space="0" w:color="000000"/>
            </w:tcBorders>
          </w:tcPr>
          <w:p w14:paraId="40455795" w14:textId="77777777" w:rsidR="009123AC" w:rsidRPr="00F0379B" w:rsidRDefault="009123AC" w:rsidP="009123AC">
            <w:pPr>
              <w:widowControl w:val="0"/>
              <w:suppressAutoHyphens/>
              <w:snapToGrid w:val="0"/>
              <w:spacing w:after="0" w:line="240" w:lineRule="auto"/>
              <w:rPr>
                <w:rFonts w:ascii="Cambria" w:eastAsia="MS Gothic" w:hAnsi="Cambria" w:cs="Cambria"/>
                <w:color w:val="000000"/>
                <w:sz w:val="20"/>
                <w:szCs w:val="20"/>
                <w:lang w:eastAsia="zh-CN" w:bidi="fr-FR"/>
              </w:rPr>
            </w:pPr>
          </w:p>
        </w:tc>
      </w:tr>
    </w:tbl>
    <w:p w14:paraId="3E6DD99F" w14:textId="77777777" w:rsidR="009123AC" w:rsidRPr="00F0379B" w:rsidRDefault="009123AC" w:rsidP="009123AC">
      <w:pPr>
        <w:widowControl w:val="0"/>
        <w:suppressAutoHyphens/>
        <w:spacing w:after="0" w:line="240" w:lineRule="auto"/>
        <w:rPr>
          <w:rFonts w:ascii="Cambria" w:eastAsia="MS Gothic" w:hAnsi="Cambria" w:cs="Cambria"/>
          <w:color w:val="000000"/>
          <w:sz w:val="20"/>
          <w:szCs w:val="20"/>
          <w:lang w:eastAsia="zh-CN" w:bidi="fr-FR"/>
        </w:rPr>
      </w:pPr>
    </w:p>
    <w:p w14:paraId="17428813" w14:textId="77777777" w:rsidR="009123AC" w:rsidRPr="00F0379B" w:rsidRDefault="009123AC" w:rsidP="009123AC">
      <w:pPr>
        <w:widowControl w:val="0"/>
        <w:suppressAutoHyphens/>
        <w:spacing w:after="0" w:line="240" w:lineRule="auto"/>
        <w:jc w:val="both"/>
        <w:rPr>
          <w:rFonts w:ascii="Cambria" w:eastAsia="MS Gothic" w:hAnsi="Cambria" w:cs="Cambria"/>
          <w:b/>
          <w:bCs/>
          <w:i/>
          <w:iCs/>
          <w:color w:val="000000"/>
          <w:sz w:val="20"/>
          <w:szCs w:val="20"/>
          <w:lang w:eastAsia="ja-JP" w:bidi="fr-FR"/>
        </w:rPr>
      </w:pPr>
      <w:r w:rsidRPr="00F0379B">
        <w:rPr>
          <w:rFonts w:ascii="Cambria" w:eastAsia="MS Gothic" w:hAnsi="Cambria" w:cs="Cambria"/>
          <w:b/>
          <w:bCs/>
          <w:i/>
          <w:iCs/>
          <w:color w:val="000000"/>
          <w:sz w:val="20"/>
          <w:szCs w:val="20"/>
          <w:lang w:eastAsia="zh-CN" w:bidi="fr-FR"/>
        </w:rPr>
        <w:t xml:space="preserve">1.e) Puertos designados </w:t>
      </w:r>
      <w:r w:rsidRPr="00F0379B">
        <w:rPr>
          <w:rFonts w:ascii="Cambria" w:eastAsia="MS Gothic" w:hAnsi="Cambria" w:cs="Cambria"/>
          <w:b/>
          <w:bCs/>
          <w:i/>
          <w:iCs/>
          <w:color w:val="000000"/>
          <w:sz w:val="20"/>
          <w:szCs w:val="20"/>
          <w:lang w:eastAsia="ja-JP" w:bidi="fr-FR"/>
        </w:rPr>
        <w:t>(párr. 80)</w:t>
      </w:r>
    </w:p>
    <w:p w14:paraId="6E6AF62D" w14:textId="77777777" w:rsidR="009123AC" w:rsidRPr="00F0379B" w:rsidRDefault="009123AC" w:rsidP="009123AC">
      <w:pPr>
        <w:widowControl w:val="0"/>
        <w:suppressAutoHyphens/>
        <w:spacing w:after="0" w:line="240" w:lineRule="auto"/>
        <w:jc w:val="both"/>
        <w:rPr>
          <w:rFonts w:ascii="Cambria" w:eastAsia="MS Gothic" w:hAnsi="Cambria" w:cs="Cambria"/>
          <w:b/>
          <w:bCs/>
          <w:i/>
          <w:iCs/>
          <w:color w:val="000000"/>
          <w:sz w:val="20"/>
          <w:szCs w:val="20"/>
          <w:lang w:eastAsia="ja-JP" w:bidi="fr-FR"/>
        </w:rPr>
      </w:pPr>
    </w:p>
    <w:p w14:paraId="1872FBCF"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La lista de los principales puertos designados para el desembarque y transbordo de atún rojo para la temporada de 2026 se detalla a continuación, sin perjuicio del cumplimiento de los requisitos de notificación previa, inspección y validación por parte del Estado rector del puerto:</w:t>
      </w:r>
    </w:p>
    <w:p w14:paraId="0E32F790" w14:textId="77777777" w:rsidR="009123AC" w:rsidRPr="00F0379B" w:rsidRDefault="009123AC" w:rsidP="009123AC">
      <w:pPr>
        <w:widowControl w:val="0"/>
        <w:suppressAutoHyphens/>
        <w:spacing w:after="0" w:line="240" w:lineRule="auto"/>
        <w:ind w:left="720"/>
        <w:contextualSpacing/>
        <w:jc w:val="both"/>
        <w:rPr>
          <w:rFonts w:ascii="Cambria" w:eastAsia="MS Gothic" w:hAnsi="Cambria" w:cs="Cambria"/>
          <w:color w:val="000000"/>
          <w:sz w:val="20"/>
          <w:szCs w:val="20"/>
          <w:lang w:eastAsia="zh-CN" w:bidi="fr-FR"/>
        </w:rPr>
      </w:pPr>
    </w:p>
    <w:p w14:paraId="54500E1A" w14:textId="77777777" w:rsidR="009123AC" w:rsidRPr="00F0379B" w:rsidRDefault="009123AC" w:rsidP="009123AC">
      <w:pPr>
        <w:widowControl w:val="0"/>
        <w:tabs>
          <w:tab w:val="left" w:pos="1134"/>
        </w:tabs>
        <w:suppressAutoHyphens/>
        <w:spacing w:after="0" w:line="240" w:lineRule="auto"/>
        <w:ind w:left="720"/>
        <w:contextualSpacing/>
        <w:jc w:val="both"/>
        <w:rPr>
          <w:rFonts w:ascii="Cambria" w:eastAsia="MS Gothic" w:hAnsi="Cambria" w:cs="Cambria"/>
          <w:color w:val="000000"/>
          <w:sz w:val="20"/>
          <w:szCs w:val="20"/>
          <w:lang w:val="it-IT" w:eastAsia="zh-CN" w:bidi="fr-FR"/>
        </w:rPr>
      </w:pPr>
      <w:r w:rsidRPr="00F0379B">
        <w:rPr>
          <w:rFonts w:ascii="Cambria" w:eastAsia="MS Gothic" w:hAnsi="Cambria" w:cs="Cambria"/>
          <w:color w:val="000000"/>
          <w:sz w:val="20"/>
          <w:szCs w:val="20"/>
          <w:lang w:val="it-IT" w:eastAsia="zh-CN" w:bidi="fr-FR"/>
        </w:rPr>
        <w:t>a)</w:t>
      </w:r>
      <w:r w:rsidRPr="00F0379B">
        <w:rPr>
          <w:rFonts w:ascii="Cambria" w:eastAsia="MS Gothic" w:hAnsi="Cambria" w:cs="Cambria"/>
          <w:color w:val="000000"/>
          <w:sz w:val="20"/>
          <w:szCs w:val="20"/>
          <w:lang w:val="it-IT" w:eastAsia="zh-CN" w:bidi="fr-FR"/>
        </w:rPr>
        <w:tab/>
      </w:r>
      <w:proofErr w:type="spellStart"/>
      <w:r w:rsidRPr="00F0379B">
        <w:rPr>
          <w:rFonts w:ascii="Cambria" w:eastAsia="MS Gothic" w:hAnsi="Cambria" w:cs="Cambria"/>
          <w:color w:val="000000"/>
          <w:sz w:val="20"/>
          <w:szCs w:val="20"/>
          <w:lang w:val="it-IT" w:eastAsia="zh-CN" w:bidi="fr-FR"/>
        </w:rPr>
        <w:t>Japón</w:t>
      </w:r>
      <w:proofErr w:type="spellEnd"/>
      <w:r w:rsidRPr="00F0379B">
        <w:rPr>
          <w:rFonts w:ascii="Cambria" w:eastAsia="MS Gothic" w:hAnsi="Cambria" w:cs="Cambria"/>
          <w:color w:val="000000"/>
          <w:sz w:val="20"/>
          <w:szCs w:val="20"/>
          <w:lang w:val="it-IT" w:eastAsia="zh-CN" w:bidi="fr-FR"/>
        </w:rPr>
        <w:t>: Shimizu, Yokosuka</w:t>
      </w:r>
    </w:p>
    <w:p w14:paraId="1E39DD87" w14:textId="77777777" w:rsidR="009123AC" w:rsidRPr="00F0379B" w:rsidRDefault="009123AC" w:rsidP="009123AC">
      <w:pPr>
        <w:widowControl w:val="0"/>
        <w:tabs>
          <w:tab w:val="left" w:pos="1134"/>
        </w:tabs>
        <w:suppressAutoHyphens/>
        <w:spacing w:after="0" w:line="240" w:lineRule="auto"/>
        <w:ind w:left="720"/>
        <w:contextualSpacing/>
        <w:jc w:val="both"/>
        <w:rPr>
          <w:rFonts w:ascii="Cambria" w:eastAsia="MS Gothic" w:hAnsi="Cambria" w:cs="Cambria"/>
          <w:color w:val="000000"/>
          <w:sz w:val="20"/>
          <w:szCs w:val="20"/>
          <w:lang w:val="it-IT" w:eastAsia="zh-CN" w:bidi="fr-FR"/>
        </w:rPr>
      </w:pPr>
      <w:r w:rsidRPr="00F0379B">
        <w:rPr>
          <w:rFonts w:ascii="Cambria" w:eastAsia="MS Gothic" w:hAnsi="Cambria" w:cs="Cambria"/>
          <w:color w:val="000000"/>
          <w:sz w:val="20"/>
          <w:szCs w:val="20"/>
          <w:lang w:val="it-IT" w:eastAsia="zh-CN" w:bidi="fr-FR"/>
        </w:rPr>
        <w:t>b)</w:t>
      </w:r>
      <w:r w:rsidRPr="00F0379B">
        <w:rPr>
          <w:rFonts w:ascii="Cambria" w:eastAsia="MS Gothic" w:hAnsi="Cambria" w:cs="Cambria"/>
          <w:color w:val="000000"/>
          <w:sz w:val="20"/>
          <w:szCs w:val="20"/>
          <w:lang w:val="it-IT" w:eastAsia="zh-CN" w:bidi="fr-FR"/>
        </w:rPr>
        <w:tab/>
        <w:t>Malta: Valletta</w:t>
      </w:r>
    </w:p>
    <w:p w14:paraId="2CF454F8" w14:textId="77777777" w:rsidR="009123AC" w:rsidRPr="00F0379B" w:rsidRDefault="009123AC" w:rsidP="009123AC">
      <w:pPr>
        <w:widowControl w:val="0"/>
        <w:tabs>
          <w:tab w:val="left" w:pos="1134"/>
        </w:tabs>
        <w:suppressAutoHyphens/>
        <w:spacing w:after="0" w:line="240" w:lineRule="auto"/>
        <w:ind w:left="720"/>
        <w:contextualSpacing/>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c)</w:t>
      </w:r>
      <w:r w:rsidRPr="00F0379B">
        <w:rPr>
          <w:rFonts w:ascii="Cambria" w:eastAsia="MS Gothic" w:hAnsi="Cambria" w:cs="Cambria"/>
          <w:color w:val="000000"/>
          <w:sz w:val="20"/>
          <w:szCs w:val="20"/>
          <w:lang w:eastAsia="zh-CN" w:bidi="fr-FR"/>
        </w:rPr>
        <w:tab/>
        <w:t>República de Corea: Busan</w:t>
      </w:r>
    </w:p>
    <w:p w14:paraId="346C682A" w14:textId="77777777" w:rsidR="009123AC" w:rsidRPr="00F0379B" w:rsidRDefault="009123AC" w:rsidP="009123AC">
      <w:pPr>
        <w:widowControl w:val="0"/>
        <w:tabs>
          <w:tab w:val="left" w:pos="1134"/>
        </w:tabs>
        <w:suppressAutoHyphens/>
        <w:spacing w:after="0" w:line="240" w:lineRule="auto"/>
        <w:ind w:left="720"/>
        <w:contextualSpacing/>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d)</w:t>
      </w:r>
      <w:r w:rsidRPr="00F0379B">
        <w:rPr>
          <w:rFonts w:ascii="Cambria" w:eastAsia="MS Gothic" w:hAnsi="Cambria" w:cs="Cambria"/>
          <w:color w:val="000000"/>
          <w:sz w:val="20"/>
          <w:szCs w:val="20"/>
          <w:lang w:eastAsia="zh-CN" w:bidi="fr-FR"/>
        </w:rPr>
        <w:tab/>
        <w:t>España: Cádiz, Cartagena, Algeciras</w:t>
      </w:r>
    </w:p>
    <w:p w14:paraId="3DE4E455" w14:textId="77777777" w:rsidR="009123AC" w:rsidRPr="00F0379B" w:rsidRDefault="009123AC" w:rsidP="009123AC">
      <w:pPr>
        <w:widowControl w:val="0"/>
        <w:tabs>
          <w:tab w:val="left" w:pos="1134"/>
        </w:tabs>
        <w:suppressAutoHyphens/>
        <w:spacing w:after="0" w:line="240" w:lineRule="auto"/>
        <w:ind w:left="720"/>
        <w:contextualSpacing/>
        <w:jc w:val="both"/>
        <w:rPr>
          <w:rFonts w:ascii="Cambria" w:eastAsia="MS Gothic" w:hAnsi="Cambria" w:cs="Cambria"/>
          <w:color w:val="000000"/>
          <w:sz w:val="20"/>
          <w:szCs w:val="20"/>
          <w:lang w:val="pt-BR" w:eastAsia="zh-CN" w:bidi="fr-FR"/>
        </w:rPr>
      </w:pPr>
      <w:r w:rsidRPr="00F0379B">
        <w:rPr>
          <w:rFonts w:ascii="Cambria" w:eastAsia="MS Gothic" w:hAnsi="Cambria" w:cs="Cambria"/>
          <w:color w:val="000000"/>
          <w:sz w:val="20"/>
          <w:szCs w:val="20"/>
          <w:lang w:val="pt-BR" w:eastAsia="zh-CN" w:bidi="fr-FR"/>
        </w:rPr>
        <w:t>e)</w:t>
      </w:r>
      <w:r w:rsidRPr="00F0379B">
        <w:rPr>
          <w:rFonts w:ascii="Cambria" w:eastAsia="MS Gothic" w:hAnsi="Cambria" w:cs="Cambria"/>
          <w:color w:val="000000"/>
          <w:sz w:val="20"/>
          <w:szCs w:val="20"/>
          <w:lang w:val="pt-BR" w:eastAsia="zh-CN" w:bidi="fr-FR"/>
        </w:rPr>
        <w:tab/>
        <w:t>Cabo Verde: Mindelo</w:t>
      </w:r>
    </w:p>
    <w:p w14:paraId="111858E3" w14:textId="77777777" w:rsidR="009123AC" w:rsidRPr="00F0379B" w:rsidRDefault="009123AC" w:rsidP="009123AC">
      <w:pPr>
        <w:widowControl w:val="0"/>
        <w:tabs>
          <w:tab w:val="left" w:pos="1134"/>
        </w:tabs>
        <w:suppressAutoHyphens/>
        <w:spacing w:after="0" w:line="240" w:lineRule="auto"/>
        <w:ind w:left="720"/>
        <w:contextualSpacing/>
        <w:jc w:val="both"/>
        <w:rPr>
          <w:rFonts w:ascii="Cambria" w:eastAsia="MS Gothic" w:hAnsi="Cambria" w:cs="Cambria"/>
          <w:color w:val="000000"/>
          <w:sz w:val="20"/>
          <w:szCs w:val="20"/>
          <w:lang w:val="pt-BR" w:eastAsia="zh-CN" w:bidi="fr-FR"/>
        </w:rPr>
      </w:pPr>
      <w:r w:rsidRPr="00F0379B">
        <w:rPr>
          <w:rFonts w:ascii="Cambria" w:eastAsia="MS Gothic" w:hAnsi="Cambria" w:cs="Cambria"/>
          <w:color w:val="000000"/>
          <w:sz w:val="20"/>
          <w:szCs w:val="20"/>
          <w:lang w:val="pt-BR" w:eastAsia="zh-CN" w:bidi="fr-FR"/>
        </w:rPr>
        <w:t>f)</w:t>
      </w:r>
      <w:r w:rsidRPr="00F0379B">
        <w:rPr>
          <w:rFonts w:ascii="Cambria" w:eastAsia="MS Gothic" w:hAnsi="Cambria" w:cs="Cambria"/>
          <w:color w:val="000000"/>
          <w:sz w:val="20"/>
          <w:szCs w:val="20"/>
          <w:lang w:val="pt-BR" w:eastAsia="zh-CN" w:bidi="fr-FR"/>
        </w:rPr>
        <w:tab/>
      </w:r>
      <w:proofErr w:type="spellStart"/>
      <w:r w:rsidRPr="00F0379B">
        <w:rPr>
          <w:rFonts w:ascii="Cambria" w:eastAsia="MS Gothic" w:hAnsi="Cambria" w:cs="Cambria"/>
          <w:color w:val="000000"/>
          <w:sz w:val="20"/>
          <w:szCs w:val="20"/>
          <w:lang w:val="pt-BR" w:eastAsia="zh-CN" w:bidi="fr-FR"/>
        </w:rPr>
        <w:t>Mauritania</w:t>
      </w:r>
      <w:proofErr w:type="spellEnd"/>
      <w:r w:rsidRPr="00F0379B">
        <w:rPr>
          <w:rFonts w:ascii="Cambria" w:eastAsia="MS Gothic" w:hAnsi="Cambria" w:cs="Cambria"/>
          <w:color w:val="000000"/>
          <w:sz w:val="20"/>
          <w:szCs w:val="20"/>
          <w:lang w:val="pt-BR" w:eastAsia="zh-CN" w:bidi="fr-FR"/>
        </w:rPr>
        <w:t xml:space="preserve">: </w:t>
      </w:r>
      <w:proofErr w:type="spellStart"/>
      <w:r w:rsidRPr="00F0379B">
        <w:rPr>
          <w:rFonts w:ascii="Cambria" w:eastAsia="MS Gothic" w:hAnsi="Cambria" w:cs="Cambria"/>
          <w:color w:val="000000"/>
          <w:sz w:val="20"/>
          <w:szCs w:val="20"/>
          <w:lang w:val="pt-BR" w:eastAsia="zh-CN" w:bidi="fr-FR"/>
        </w:rPr>
        <w:t>Nouadhibou</w:t>
      </w:r>
      <w:proofErr w:type="spellEnd"/>
    </w:p>
    <w:p w14:paraId="6E16C54B" w14:textId="77777777" w:rsidR="009123AC" w:rsidRPr="00F0379B" w:rsidRDefault="009123AC" w:rsidP="009123AC">
      <w:pPr>
        <w:widowControl w:val="0"/>
        <w:tabs>
          <w:tab w:val="left" w:pos="1134"/>
        </w:tabs>
        <w:suppressAutoHyphens/>
        <w:spacing w:after="0" w:line="240" w:lineRule="auto"/>
        <w:ind w:left="720"/>
        <w:contextualSpacing/>
        <w:jc w:val="both"/>
        <w:rPr>
          <w:rFonts w:ascii="Cambria" w:eastAsia="MS Gothic" w:hAnsi="Cambria" w:cs="Cambria"/>
          <w:color w:val="000000"/>
          <w:sz w:val="20"/>
          <w:szCs w:val="20"/>
          <w:lang w:val="pt-BR" w:eastAsia="zh-CN" w:bidi="fr-FR"/>
        </w:rPr>
      </w:pPr>
      <w:r w:rsidRPr="00F0379B">
        <w:rPr>
          <w:rFonts w:ascii="Cambria" w:eastAsia="MS Gothic" w:hAnsi="Cambria" w:cs="Cambria"/>
          <w:color w:val="000000"/>
          <w:sz w:val="20"/>
          <w:szCs w:val="20"/>
          <w:lang w:val="pt-BR" w:eastAsia="zh-CN" w:bidi="fr-FR"/>
        </w:rPr>
        <w:t>g)</w:t>
      </w:r>
      <w:r w:rsidRPr="00F0379B">
        <w:rPr>
          <w:rFonts w:ascii="Cambria" w:eastAsia="MS Gothic" w:hAnsi="Cambria" w:cs="Cambria"/>
          <w:color w:val="000000"/>
          <w:sz w:val="20"/>
          <w:szCs w:val="20"/>
          <w:lang w:val="pt-BR" w:eastAsia="zh-CN" w:bidi="fr-FR"/>
        </w:rPr>
        <w:tab/>
        <w:t xml:space="preserve">Reino de </w:t>
      </w:r>
      <w:proofErr w:type="spellStart"/>
      <w:r w:rsidRPr="00F0379B">
        <w:rPr>
          <w:rFonts w:ascii="Cambria" w:eastAsia="MS Gothic" w:hAnsi="Cambria" w:cs="Cambria"/>
          <w:color w:val="000000"/>
          <w:sz w:val="20"/>
          <w:szCs w:val="20"/>
          <w:lang w:val="pt-BR" w:eastAsia="zh-CN" w:bidi="fr-FR"/>
        </w:rPr>
        <w:t>Marruecos</w:t>
      </w:r>
      <w:proofErr w:type="spellEnd"/>
      <w:r w:rsidRPr="00F0379B">
        <w:rPr>
          <w:rFonts w:ascii="Cambria" w:eastAsia="MS Gothic" w:hAnsi="Cambria" w:cs="Cambria"/>
          <w:color w:val="000000"/>
          <w:sz w:val="20"/>
          <w:szCs w:val="20"/>
          <w:lang w:val="pt-BR" w:eastAsia="zh-CN" w:bidi="fr-FR"/>
        </w:rPr>
        <w:t xml:space="preserve">: Larache, </w:t>
      </w:r>
      <w:proofErr w:type="spellStart"/>
      <w:r w:rsidRPr="00F0379B">
        <w:rPr>
          <w:rFonts w:ascii="Cambria" w:eastAsia="MS Gothic" w:hAnsi="Cambria" w:cs="Cambria"/>
          <w:color w:val="000000"/>
          <w:sz w:val="20"/>
          <w:szCs w:val="20"/>
          <w:lang w:val="pt-BR" w:eastAsia="zh-CN" w:bidi="fr-FR"/>
        </w:rPr>
        <w:t>Tánger</w:t>
      </w:r>
      <w:proofErr w:type="spellEnd"/>
    </w:p>
    <w:p w14:paraId="7A9BBD5D" w14:textId="77777777" w:rsidR="009123AC" w:rsidRPr="00F0379B" w:rsidRDefault="009123AC" w:rsidP="009123AC">
      <w:pPr>
        <w:widowControl w:val="0"/>
        <w:tabs>
          <w:tab w:val="left" w:pos="1134"/>
        </w:tabs>
        <w:suppressAutoHyphens/>
        <w:spacing w:after="0" w:line="240" w:lineRule="auto"/>
        <w:ind w:left="720"/>
        <w:contextualSpacing/>
        <w:jc w:val="both"/>
        <w:rPr>
          <w:rFonts w:ascii="Cambria" w:eastAsia="MS Gothic" w:hAnsi="Cambria" w:cs="Cambria"/>
          <w:color w:val="000000"/>
          <w:sz w:val="20"/>
          <w:szCs w:val="20"/>
          <w:lang w:val="pt-BR" w:eastAsia="zh-CN" w:bidi="fr-FR"/>
        </w:rPr>
      </w:pPr>
      <w:r w:rsidRPr="00F0379B">
        <w:rPr>
          <w:rFonts w:ascii="Cambria" w:eastAsia="MS Gothic" w:hAnsi="Cambria" w:cs="Cambria"/>
          <w:color w:val="000000"/>
          <w:sz w:val="20"/>
          <w:szCs w:val="20"/>
          <w:lang w:val="pt-BR" w:eastAsia="zh-CN" w:bidi="fr-FR"/>
        </w:rPr>
        <w:t>h)</w:t>
      </w:r>
      <w:r w:rsidRPr="00F0379B">
        <w:rPr>
          <w:rFonts w:ascii="Cambria" w:eastAsia="MS Gothic" w:hAnsi="Cambria" w:cs="Cambria"/>
          <w:color w:val="000000"/>
          <w:sz w:val="20"/>
          <w:szCs w:val="20"/>
          <w:lang w:val="pt-BR" w:eastAsia="zh-CN" w:bidi="fr-FR"/>
        </w:rPr>
        <w:tab/>
      </w:r>
      <w:proofErr w:type="spellStart"/>
      <w:r w:rsidRPr="00F0379B">
        <w:rPr>
          <w:rFonts w:ascii="Cambria" w:eastAsia="MS Gothic" w:hAnsi="Cambria" w:cs="Cambria"/>
          <w:color w:val="000000"/>
          <w:sz w:val="20"/>
          <w:szCs w:val="20"/>
          <w:lang w:val="pt-BR" w:eastAsia="zh-CN" w:bidi="fr-FR"/>
        </w:rPr>
        <w:t>Túnez</w:t>
      </w:r>
      <w:proofErr w:type="spellEnd"/>
      <w:r w:rsidRPr="00F0379B">
        <w:rPr>
          <w:rFonts w:ascii="Cambria" w:eastAsia="MS Gothic" w:hAnsi="Cambria" w:cs="Cambria"/>
          <w:color w:val="000000"/>
          <w:sz w:val="20"/>
          <w:szCs w:val="20"/>
          <w:lang w:val="pt-BR" w:eastAsia="zh-CN" w:bidi="fr-FR"/>
        </w:rPr>
        <w:t xml:space="preserve">: </w:t>
      </w:r>
      <w:proofErr w:type="spellStart"/>
      <w:r w:rsidRPr="00F0379B">
        <w:rPr>
          <w:rFonts w:ascii="Cambria" w:eastAsia="MS Gothic" w:hAnsi="Cambria" w:cs="Cambria"/>
          <w:color w:val="000000"/>
          <w:sz w:val="20"/>
          <w:szCs w:val="20"/>
          <w:lang w:val="pt-BR" w:eastAsia="zh-CN" w:bidi="fr-FR"/>
        </w:rPr>
        <w:t>Sfax</w:t>
      </w:r>
      <w:proofErr w:type="spellEnd"/>
      <w:r w:rsidRPr="00F0379B">
        <w:rPr>
          <w:rFonts w:ascii="Cambria" w:eastAsia="MS Gothic" w:hAnsi="Cambria" w:cs="Cambria"/>
          <w:color w:val="000000"/>
          <w:sz w:val="20"/>
          <w:szCs w:val="20"/>
          <w:lang w:val="pt-BR" w:eastAsia="zh-CN" w:bidi="fr-FR"/>
        </w:rPr>
        <w:t xml:space="preserve">, </w:t>
      </w:r>
      <w:proofErr w:type="spellStart"/>
      <w:r w:rsidRPr="00F0379B">
        <w:rPr>
          <w:rFonts w:ascii="Cambria" w:eastAsia="MS Gothic" w:hAnsi="Cambria" w:cs="Cambria"/>
          <w:color w:val="000000"/>
          <w:sz w:val="20"/>
          <w:szCs w:val="20"/>
          <w:lang w:val="pt-BR" w:eastAsia="zh-CN" w:bidi="fr-FR"/>
        </w:rPr>
        <w:t>Sousse</w:t>
      </w:r>
      <w:proofErr w:type="spellEnd"/>
    </w:p>
    <w:p w14:paraId="43BC8103" w14:textId="77777777" w:rsidR="009123AC" w:rsidRPr="00F0379B" w:rsidRDefault="009123AC" w:rsidP="009123AC">
      <w:pPr>
        <w:widowControl w:val="0"/>
        <w:tabs>
          <w:tab w:val="left" w:pos="1134"/>
        </w:tabs>
        <w:suppressAutoHyphens/>
        <w:spacing w:after="0" w:line="240" w:lineRule="auto"/>
        <w:ind w:left="720"/>
        <w:contextualSpacing/>
        <w:jc w:val="both"/>
        <w:rPr>
          <w:rFonts w:ascii="Cambria" w:eastAsia="MS Gothic" w:hAnsi="Cambria" w:cs="Cambria"/>
          <w:color w:val="000000"/>
          <w:sz w:val="20"/>
          <w:szCs w:val="20"/>
          <w:lang w:val="pt-BR" w:eastAsia="zh-CN" w:bidi="fr-FR"/>
        </w:rPr>
      </w:pPr>
      <w:r w:rsidRPr="00F0379B">
        <w:rPr>
          <w:rFonts w:ascii="Cambria" w:eastAsia="MS Gothic" w:hAnsi="Cambria" w:cs="Cambria"/>
          <w:color w:val="000000"/>
          <w:sz w:val="20"/>
          <w:szCs w:val="20"/>
          <w:lang w:val="pt-BR" w:eastAsia="zh-CN" w:bidi="fr-FR"/>
        </w:rPr>
        <w:t xml:space="preserve">i)   </w:t>
      </w:r>
      <w:proofErr w:type="spellStart"/>
      <w:r w:rsidRPr="00F0379B">
        <w:rPr>
          <w:rFonts w:ascii="Cambria" w:eastAsia="MS Gothic" w:hAnsi="Cambria" w:cs="Cambria"/>
          <w:color w:val="000000"/>
          <w:sz w:val="20"/>
          <w:szCs w:val="20"/>
          <w:lang w:val="pt-BR" w:eastAsia="zh-CN" w:bidi="fr-FR"/>
        </w:rPr>
        <w:t>Ghana</w:t>
      </w:r>
      <w:proofErr w:type="spellEnd"/>
      <w:r w:rsidRPr="00F0379B">
        <w:rPr>
          <w:rFonts w:ascii="Cambria" w:eastAsia="MS Gothic" w:hAnsi="Cambria" w:cs="Cambria"/>
          <w:color w:val="000000"/>
          <w:sz w:val="20"/>
          <w:szCs w:val="20"/>
          <w:lang w:val="pt-BR" w:eastAsia="zh-CN" w:bidi="fr-FR"/>
        </w:rPr>
        <w:t>: Tema</w:t>
      </w:r>
    </w:p>
    <w:p w14:paraId="31AE1D0B" w14:textId="77777777" w:rsidR="009123AC" w:rsidRPr="00F0379B" w:rsidRDefault="009123AC" w:rsidP="009123AC">
      <w:pPr>
        <w:widowControl w:val="0"/>
        <w:tabs>
          <w:tab w:val="left" w:pos="1134"/>
        </w:tabs>
        <w:suppressAutoHyphens/>
        <w:spacing w:after="0" w:line="240" w:lineRule="auto"/>
        <w:ind w:left="720"/>
        <w:contextualSpacing/>
        <w:jc w:val="both"/>
        <w:rPr>
          <w:rFonts w:ascii="Cambria" w:eastAsia="MS Gothic" w:hAnsi="Cambria" w:cs="Cambria"/>
          <w:color w:val="000000"/>
          <w:sz w:val="20"/>
          <w:szCs w:val="20"/>
          <w:lang w:val="pt-BR" w:eastAsia="zh-CN" w:bidi="fr-FR"/>
        </w:rPr>
      </w:pPr>
      <w:r w:rsidRPr="00F0379B">
        <w:rPr>
          <w:rFonts w:ascii="Cambria" w:eastAsia="MS Gothic" w:hAnsi="Cambria" w:cs="Cambria"/>
          <w:color w:val="000000"/>
          <w:sz w:val="20"/>
          <w:szCs w:val="20"/>
          <w:lang w:val="pt-BR" w:eastAsia="zh-CN" w:bidi="fr-FR"/>
        </w:rPr>
        <w:t xml:space="preserve">j)  </w:t>
      </w:r>
      <w:r w:rsidRPr="00F0379B">
        <w:rPr>
          <w:rFonts w:ascii="Times New Roman" w:eastAsia="MS Gothic" w:hAnsi="Times New Roman" w:cs="Times New Roman"/>
          <w:i/>
          <w:iCs/>
          <w:color w:val="FF0000"/>
          <w:sz w:val="24"/>
          <w:szCs w:val="24"/>
          <w:lang w:val="pt-BR" w:eastAsia="zh-CN" w:bidi="fr-FR"/>
        </w:rPr>
        <w:t xml:space="preserve"> </w:t>
      </w:r>
      <w:proofErr w:type="spellStart"/>
      <w:r w:rsidRPr="00F0379B">
        <w:rPr>
          <w:rFonts w:ascii="Cambria" w:eastAsia="MS Gothic" w:hAnsi="Cambria" w:cs="Cambria"/>
          <w:color w:val="000000"/>
          <w:sz w:val="20"/>
          <w:szCs w:val="20"/>
          <w:lang w:val="pt-BR" w:eastAsia="zh-CN" w:bidi="fr-FR"/>
        </w:rPr>
        <w:t>Grecia</w:t>
      </w:r>
      <w:proofErr w:type="spellEnd"/>
      <w:r w:rsidRPr="00F0379B">
        <w:rPr>
          <w:rFonts w:ascii="Cambria" w:eastAsia="MS Gothic" w:hAnsi="Cambria" w:cs="Cambria"/>
          <w:color w:val="000000"/>
          <w:sz w:val="20"/>
          <w:szCs w:val="20"/>
          <w:lang w:val="pt-BR" w:eastAsia="zh-CN" w:bidi="fr-FR"/>
        </w:rPr>
        <w:t xml:space="preserve">: </w:t>
      </w:r>
      <w:proofErr w:type="spellStart"/>
      <w:r w:rsidRPr="00F0379B">
        <w:rPr>
          <w:rFonts w:ascii="Cambria" w:eastAsia="MS Gothic" w:hAnsi="Cambria" w:cs="Cambria"/>
          <w:color w:val="000000"/>
          <w:sz w:val="20"/>
          <w:szCs w:val="20"/>
          <w:lang w:val="pt-BR" w:eastAsia="zh-CN" w:bidi="fr-FR"/>
        </w:rPr>
        <w:t>Perama</w:t>
      </w:r>
      <w:proofErr w:type="spellEnd"/>
      <w:r w:rsidRPr="00F0379B">
        <w:rPr>
          <w:rFonts w:ascii="Cambria" w:eastAsia="MS Gothic" w:hAnsi="Cambria" w:cs="Cambria"/>
          <w:color w:val="000000"/>
          <w:sz w:val="20"/>
          <w:szCs w:val="20"/>
          <w:lang w:val="pt-BR" w:eastAsia="zh-CN" w:bidi="fr-FR"/>
        </w:rPr>
        <w:t xml:space="preserve"> </w:t>
      </w:r>
      <w:proofErr w:type="spellStart"/>
      <w:r w:rsidRPr="00F0379B">
        <w:rPr>
          <w:rFonts w:ascii="Cambria" w:eastAsia="MS Gothic" w:hAnsi="Cambria" w:cs="Cambria"/>
          <w:color w:val="000000"/>
          <w:sz w:val="20"/>
          <w:szCs w:val="20"/>
          <w:lang w:val="pt-BR" w:eastAsia="zh-CN" w:bidi="fr-FR"/>
        </w:rPr>
        <w:t>Peiraia</w:t>
      </w:r>
      <w:proofErr w:type="spellEnd"/>
    </w:p>
    <w:p w14:paraId="7F9CF760" w14:textId="77777777" w:rsidR="009123AC" w:rsidRPr="00F0379B" w:rsidRDefault="009123AC" w:rsidP="009123AC">
      <w:pPr>
        <w:widowControl w:val="0"/>
        <w:tabs>
          <w:tab w:val="left" w:pos="1134"/>
        </w:tabs>
        <w:suppressAutoHyphens/>
        <w:spacing w:after="0" w:line="240" w:lineRule="auto"/>
        <w:ind w:left="720"/>
        <w:contextualSpacing/>
        <w:jc w:val="both"/>
        <w:rPr>
          <w:rFonts w:ascii="Cambria" w:eastAsia="MS Gothic" w:hAnsi="Cambria" w:cs="Cambria"/>
          <w:color w:val="000000"/>
          <w:sz w:val="20"/>
          <w:szCs w:val="20"/>
          <w:lang w:val="pt-BR" w:eastAsia="zh-CN" w:bidi="fr-FR"/>
        </w:rPr>
      </w:pPr>
      <w:r w:rsidRPr="00F0379B">
        <w:rPr>
          <w:rFonts w:ascii="Cambria" w:eastAsia="MS Gothic" w:hAnsi="Cambria" w:cs="Cambria"/>
          <w:color w:val="000000"/>
          <w:sz w:val="20"/>
          <w:szCs w:val="20"/>
          <w:lang w:val="pt-BR" w:eastAsia="zh-CN" w:bidi="fr-FR"/>
        </w:rPr>
        <w:t>k)</w:t>
      </w:r>
      <w:r w:rsidRPr="00F0379B">
        <w:rPr>
          <w:rFonts w:ascii="Times New Roman" w:eastAsia="MS Gothic" w:hAnsi="Times New Roman" w:cs="Times New Roman"/>
          <w:i/>
          <w:iCs/>
          <w:color w:val="FF0000"/>
          <w:sz w:val="24"/>
          <w:szCs w:val="24"/>
          <w:lang w:val="pt-BR" w:eastAsia="zh-CN" w:bidi="fr-FR"/>
        </w:rPr>
        <w:t xml:space="preserve">  </w:t>
      </w:r>
      <w:r w:rsidRPr="00F0379B">
        <w:rPr>
          <w:rFonts w:ascii="Cambria" w:eastAsia="MS Gothic" w:hAnsi="Cambria" w:cs="Cambria"/>
          <w:color w:val="000000"/>
          <w:sz w:val="20"/>
          <w:szCs w:val="20"/>
          <w:lang w:val="pt-BR" w:eastAsia="zh-CN" w:bidi="fr-FR"/>
        </w:rPr>
        <w:t>Türkiye: Izmir</w:t>
      </w:r>
    </w:p>
    <w:p w14:paraId="43CB098C" w14:textId="77777777" w:rsidR="009123AC" w:rsidRPr="00F0379B" w:rsidRDefault="009123AC" w:rsidP="009123AC">
      <w:pPr>
        <w:widowControl w:val="0"/>
        <w:tabs>
          <w:tab w:val="left" w:pos="1134"/>
        </w:tabs>
        <w:suppressAutoHyphens/>
        <w:spacing w:after="0" w:line="240" w:lineRule="auto"/>
        <w:ind w:left="720"/>
        <w:contextualSpacing/>
        <w:jc w:val="both"/>
        <w:rPr>
          <w:rFonts w:ascii="Cambria" w:eastAsia="MS Gothic" w:hAnsi="Cambria" w:cs="Cambria"/>
          <w:color w:val="000000"/>
          <w:sz w:val="20"/>
          <w:szCs w:val="20"/>
          <w:lang w:val="pt-BR" w:eastAsia="zh-CN" w:bidi="fr-FR"/>
        </w:rPr>
      </w:pPr>
    </w:p>
    <w:p w14:paraId="5F3A1A72"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r w:rsidRPr="00F0379B">
        <w:rPr>
          <w:rFonts w:ascii="Cambria" w:eastAsia="MS Gothic" w:hAnsi="Cambria" w:cs="Cambria"/>
          <w:color w:val="000000"/>
          <w:sz w:val="20"/>
          <w:szCs w:val="20"/>
          <w:lang w:eastAsia="zh-CN" w:bidi="fr-FR"/>
        </w:rPr>
        <w:t>Adicionalmente, de los puertos identificado en el presente Plan anual de pesca, indicamos que los buques de bandera panameña autorizados para realizar actividades relacionadas con el atún rojo del Atlántico este y Mediterráneo, clasificados dentro de la categoría “Otros buques de atún rojo”, podrán efectuar desembarques y/o transbordos en cualquiera de los puertos designados para el desembarque y transbordo de atún rojo que se encuentren oficialmente listados y vigentes en la página web de la Secretaría de ICCAT.</w:t>
      </w:r>
    </w:p>
    <w:p w14:paraId="53157868"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79B90452" w14:textId="77777777" w:rsidR="009123AC" w:rsidRPr="00F0379B" w:rsidRDefault="009123AC" w:rsidP="009123AC">
      <w:pPr>
        <w:widowControl w:val="0"/>
        <w:suppressAutoHyphens/>
        <w:spacing w:after="0" w:line="240" w:lineRule="auto"/>
        <w:jc w:val="both"/>
        <w:rPr>
          <w:rFonts w:ascii="Cambria" w:eastAsia="MS Gothic" w:hAnsi="Cambria" w:cs="Cambria"/>
          <w:b/>
          <w:bCs/>
          <w:color w:val="000000"/>
          <w:sz w:val="20"/>
          <w:szCs w:val="20"/>
          <w:lang w:eastAsia="zh-CN" w:bidi="fr-FR"/>
        </w:rPr>
      </w:pPr>
      <w:r w:rsidRPr="00F0379B">
        <w:rPr>
          <w:rFonts w:ascii="Cambria" w:eastAsia="MS Gothic" w:hAnsi="Cambria" w:cs="Cambria"/>
          <w:color w:val="000000"/>
          <w:sz w:val="20"/>
          <w:szCs w:val="20"/>
          <w:lang w:eastAsia="zh-CN" w:bidi="fr-FR"/>
        </w:rPr>
        <w:t>Las operaciones de desembarque y transbordo solo podrán realizarse en los puertos antes indicados, siempre que se efectúen bajo supervisión de la autoridad competente del Estado rector del puerto y de conformidad con las disposiciones establecidas en la Recomendación 25-04 de ICCAT y en la normativa nacional aplicable.</w:t>
      </w:r>
    </w:p>
    <w:p w14:paraId="49E7B620" w14:textId="77777777" w:rsidR="009123AC" w:rsidRPr="00F0379B" w:rsidRDefault="009123AC" w:rsidP="009123AC">
      <w:pPr>
        <w:widowControl w:val="0"/>
        <w:suppressAutoHyphens/>
        <w:spacing w:after="0" w:line="240" w:lineRule="auto"/>
        <w:rPr>
          <w:rFonts w:ascii="Cambria" w:eastAsia="MS Gothic" w:hAnsi="Cambria" w:cs="Cambria"/>
          <w:b/>
          <w:bCs/>
          <w:color w:val="000000"/>
          <w:sz w:val="20"/>
          <w:szCs w:val="20"/>
          <w:lang w:eastAsia="zh-CN" w:bidi="fr-FR"/>
        </w:rPr>
      </w:pPr>
    </w:p>
    <w:p w14:paraId="5942B8AC" w14:textId="77777777" w:rsidR="009123AC" w:rsidRPr="00F0379B" w:rsidRDefault="009123AC" w:rsidP="009123AC">
      <w:pPr>
        <w:widowControl w:val="0"/>
        <w:suppressAutoHyphens/>
        <w:spacing w:after="0" w:line="240" w:lineRule="auto"/>
        <w:rPr>
          <w:rFonts w:ascii="Cambria" w:eastAsia="MS Gothic" w:hAnsi="Cambria" w:cs="Cambria"/>
          <w:b/>
          <w:bCs/>
          <w:color w:val="000000"/>
          <w:sz w:val="20"/>
          <w:szCs w:val="20"/>
          <w:lang w:eastAsia="zh-CN" w:bidi="fr-FR"/>
        </w:rPr>
      </w:pPr>
    </w:p>
    <w:p w14:paraId="6FB39086" w14:textId="77777777" w:rsidR="009123AC" w:rsidRPr="00F0379B" w:rsidRDefault="009123AC" w:rsidP="00CE0EC8">
      <w:pPr>
        <w:widowControl w:val="0"/>
        <w:numPr>
          <w:ilvl w:val="0"/>
          <w:numId w:val="6"/>
        </w:numPr>
        <w:tabs>
          <w:tab w:val="left" w:pos="426"/>
        </w:tabs>
        <w:suppressAutoHyphens/>
        <w:spacing w:after="0" w:line="240" w:lineRule="auto"/>
        <w:ind w:left="426" w:hanging="426"/>
        <w:contextualSpacing/>
        <w:jc w:val="both"/>
        <w:rPr>
          <w:rFonts w:ascii="Cambria" w:eastAsia="MS Gothic" w:hAnsi="Cambria" w:cs="Cambria"/>
          <w:b/>
          <w:color w:val="000000"/>
          <w:sz w:val="20"/>
          <w:szCs w:val="20"/>
          <w:lang w:eastAsia="zh-CN" w:bidi="fr-FR"/>
        </w:rPr>
      </w:pPr>
      <w:r w:rsidRPr="00F0379B">
        <w:rPr>
          <w:rFonts w:ascii="Cambria" w:eastAsia="MS Gothic" w:hAnsi="Cambria" w:cs="Cambria"/>
          <w:b/>
          <w:color w:val="000000"/>
          <w:sz w:val="20"/>
          <w:szCs w:val="20"/>
          <w:lang w:eastAsia="zh-CN" w:bidi="fr-FR"/>
        </w:rPr>
        <w:t>Plan anual de ordenación de la capacidad pesquera (párrs. 14-21)</w:t>
      </w:r>
    </w:p>
    <w:p w14:paraId="56BC500D" w14:textId="77777777" w:rsidR="009123AC" w:rsidRPr="00F0379B" w:rsidRDefault="009123AC" w:rsidP="009123AC">
      <w:pPr>
        <w:widowControl w:val="0"/>
        <w:tabs>
          <w:tab w:val="left" w:pos="426"/>
        </w:tabs>
        <w:suppressAutoHyphens/>
        <w:spacing w:after="0" w:line="240" w:lineRule="auto"/>
        <w:ind w:left="426"/>
        <w:contextualSpacing/>
        <w:jc w:val="both"/>
        <w:rPr>
          <w:rFonts w:ascii="Cambria" w:eastAsia="MS Gothic" w:hAnsi="Cambria" w:cs="Cambria"/>
          <w:b/>
          <w:color w:val="000000"/>
          <w:sz w:val="20"/>
          <w:szCs w:val="20"/>
          <w:lang w:eastAsia="zh-CN" w:bidi="fr-FR"/>
        </w:rPr>
      </w:pPr>
    </w:p>
    <w:p w14:paraId="1157E7CE" w14:textId="77777777" w:rsidR="009123AC" w:rsidRPr="00F0379B" w:rsidRDefault="009123AC" w:rsidP="009123AC">
      <w:pPr>
        <w:widowControl w:val="0"/>
        <w:tabs>
          <w:tab w:val="left" w:pos="426"/>
        </w:tabs>
        <w:suppressAutoHyphens/>
        <w:spacing w:after="0" w:line="240" w:lineRule="auto"/>
        <w:jc w:val="both"/>
        <w:rPr>
          <w:rFonts w:ascii="Cambria" w:eastAsia="MS Gothic" w:hAnsi="Cambria" w:cs="Cambria"/>
          <w:i/>
          <w:color w:val="000000"/>
          <w:sz w:val="20"/>
          <w:szCs w:val="20"/>
          <w:lang w:eastAsia="ja-JP" w:bidi="fr-FR"/>
        </w:rPr>
      </w:pPr>
      <w:r w:rsidRPr="00F0379B">
        <w:rPr>
          <w:rFonts w:ascii="Cambria" w:eastAsia="MS Gothic" w:hAnsi="Cambria" w:cs="Cambria"/>
          <w:color w:val="000000"/>
          <w:sz w:val="20"/>
          <w:szCs w:val="20"/>
          <w:lang w:eastAsia="zh-CN" w:bidi="fr-FR"/>
        </w:rPr>
        <w:t xml:space="preserve">No aplica. Panamá no ha iniciado el desarrollo de su pesquería y ha trasferido la cuota de atún rojo al Reino de Marruecos, informado a las miembros mediante circular ICCAT # 00468- 2026 </w:t>
      </w:r>
    </w:p>
    <w:p w14:paraId="74647E95" w14:textId="77777777" w:rsidR="009123AC" w:rsidRPr="00F0379B" w:rsidRDefault="009123AC" w:rsidP="009123AC">
      <w:pPr>
        <w:widowControl w:val="0"/>
        <w:suppressAutoHyphens/>
        <w:spacing w:after="0" w:line="240" w:lineRule="auto"/>
        <w:jc w:val="both"/>
        <w:rPr>
          <w:rFonts w:ascii="Cambria" w:eastAsia="MS Gothic" w:hAnsi="Cambria" w:cs="Cambria"/>
          <w:i/>
          <w:color w:val="000000"/>
          <w:sz w:val="20"/>
          <w:szCs w:val="20"/>
          <w:lang w:eastAsia="ja-JP" w:bidi="fr-FR"/>
        </w:rPr>
      </w:pPr>
    </w:p>
    <w:p w14:paraId="4E591589" w14:textId="77777777" w:rsidR="009123AC" w:rsidRPr="00F0379B" w:rsidRDefault="009123AC" w:rsidP="009123AC">
      <w:pPr>
        <w:widowControl w:val="0"/>
        <w:suppressAutoHyphens/>
        <w:spacing w:after="0" w:line="240" w:lineRule="auto"/>
        <w:jc w:val="both"/>
        <w:rPr>
          <w:rFonts w:ascii="Cambria" w:eastAsia="MS Gothic" w:hAnsi="Cambria" w:cs="Cambria"/>
          <w:i/>
          <w:color w:val="000000"/>
          <w:sz w:val="20"/>
          <w:szCs w:val="20"/>
          <w:lang w:eastAsia="ja-JP" w:bidi="fr-FR"/>
        </w:rPr>
      </w:pPr>
    </w:p>
    <w:p w14:paraId="4A9C08E7" w14:textId="77777777" w:rsidR="009123AC" w:rsidRPr="00F0379B" w:rsidRDefault="009123AC" w:rsidP="00CE0EC8">
      <w:pPr>
        <w:widowControl w:val="0"/>
        <w:numPr>
          <w:ilvl w:val="0"/>
          <w:numId w:val="6"/>
        </w:numPr>
        <w:suppressAutoHyphens/>
        <w:spacing w:after="0" w:line="240" w:lineRule="auto"/>
        <w:ind w:left="426" w:hanging="426"/>
        <w:contextualSpacing/>
        <w:jc w:val="both"/>
        <w:rPr>
          <w:rFonts w:ascii="Cambria" w:eastAsia="MS Gothic" w:hAnsi="Cambria" w:cs="Cambria"/>
          <w:b/>
          <w:color w:val="000000"/>
          <w:sz w:val="20"/>
          <w:szCs w:val="20"/>
          <w:lang w:eastAsia="zh-CN" w:bidi="fr-FR"/>
        </w:rPr>
      </w:pPr>
      <w:r w:rsidRPr="00F0379B">
        <w:rPr>
          <w:rFonts w:ascii="Cambria" w:eastAsia="MS Gothic" w:hAnsi="Cambria" w:cs="Cambria"/>
          <w:b/>
          <w:color w:val="000000"/>
          <w:sz w:val="20"/>
          <w:szCs w:val="20"/>
          <w:lang w:eastAsia="zh-CN" w:bidi="fr-FR"/>
        </w:rPr>
        <w:t>Plan anual de ordenación de la cría (párrs. 22-23), si es aplicable</w:t>
      </w:r>
    </w:p>
    <w:p w14:paraId="5F0E617B" w14:textId="77777777" w:rsidR="009123AC" w:rsidRPr="00F0379B" w:rsidRDefault="009123AC" w:rsidP="009123AC">
      <w:pPr>
        <w:widowControl w:val="0"/>
        <w:suppressAutoHyphens/>
        <w:spacing w:after="0" w:line="240" w:lineRule="auto"/>
        <w:ind w:left="426"/>
        <w:contextualSpacing/>
        <w:jc w:val="both"/>
        <w:rPr>
          <w:rFonts w:ascii="Cambria" w:eastAsia="MS Gothic" w:hAnsi="Cambria" w:cs="Cambria"/>
          <w:b/>
          <w:color w:val="000000"/>
          <w:sz w:val="20"/>
          <w:szCs w:val="20"/>
          <w:lang w:eastAsia="zh-CN" w:bidi="fr-FR"/>
        </w:rPr>
      </w:pPr>
    </w:p>
    <w:p w14:paraId="45BE842D" w14:textId="77777777" w:rsidR="009123AC" w:rsidRPr="00F0379B" w:rsidRDefault="009123AC" w:rsidP="009123AC">
      <w:pPr>
        <w:widowControl w:val="0"/>
        <w:suppressAutoHyphens/>
        <w:spacing w:after="0" w:line="240" w:lineRule="auto"/>
        <w:jc w:val="both"/>
        <w:rPr>
          <w:rFonts w:ascii="Cambria" w:eastAsia="MS Gothic" w:hAnsi="Cambria" w:cs="Cambria"/>
          <w:b/>
          <w:color w:val="000000"/>
          <w:sz w:val="20"/>
          <w:szCs w:val="20"/>
          <w:lang w:eastAsia="ja-JP" w:bidi="fr-FR"/>
        </w:rPr>
      </w:pPr>
      <w:r w:rsidRPr="00F0379B">
        <w:rPr>
          <w:rFonts w:ascii="Cambria" w:eastAsia="MS Gothic" w:hAnsi="Cambria" w:cs="Cambria"/>
          <w:color w:val="000000"/>
          <w:sz w:val="20"/>
          <w:szCs w:val="20"/>
          <w:lang w:eastAsia="zh-CN" w:bidi="fr-FR"/>
        </w:rPr>
        <w:t xml:space="preserve">No aplica. Panamá no es una CPC de granja. </w:t>
      </w:r>
    </w:p>
    <w:p w14:paraId="38E179AE" w14:textId="77777777" w:rsidR="009123AC" w:rsidRPr="00F0379B" w:rsidRDefault="009123AC" w:rsidP="009123AC">
      <w:pPr>
        <w:widowControl w:val="0"/>
        <w:suppressAutoHyphens/>
        <w:spacing w:after="0" w:line="240" w:lineRule="auto"/>
        <w:rPr>
          <w:rFonts w:ascii="Cambria" w:eastAsia="MS Gothic" w:hAnsi="Cambria" w:cs="Cambria"/>
          <w:b/>
          <w:color w:val="000000"/>
          <w:sz w:val="20"/>
          <w:szCs w:val="20"/>
          <w:lang w:eastAsia="ja-JP" w:bidi="fr-FR"/>
        </w:rPr>
      </w:pPr>
    </w:p>
    <w:p w14:paraId="3D05DF0E" w14:textId="77777777" w:rsidR="009123AC" w:rsidRPr="00F0379B" w:rsidRDefault="009123AC" w:rsidP="009123AC">
      <w:pPr>
        <w:widowControl w:val="0"/>
        <w:suppressAutoHyphens/>
        <w:spacing w:after="0" w:line="240" w:lineRule="auto"/>
        <w:rPr>
          <w:rFonts w:ascii="Cambria" w:eastAsia="MS Gothic" w:hAnsi="Cambria" w:cs="Cambria"/>
          <w:b/>
          <w:color w:val="000000"/>
          <w:sz w:val="20"/>
          <w:szCs w:val="20"/>
          <w:lang w:eastAsia="ja-JP" w:bidi="fr-FR"/>
        </w:rPr>
      </w:pPr>
    </w:p>
    <w:p w14:paraId="254AE392" w14:textId="77777777" w:rsidR="009123AC" w:rsidRPr="00F0379B" w:rsidRDefault="009123AC" w:rsidP="00CE0EC8">
      <w:pPr>
        <w:widowControl w:val="0"/>
        <w:numPr>
          <w:ilvl w:val="0"/>
          <w:numId w:val="6"/>
        </w:numPr>
        <w:tabs>
          <w:tab w:val="left" w:pos="426"/>
        </w:tabs>
        <w:suppressAutoHyphens/>
        <w:spacing w:after="0" w:line="240" w:lineRule="auto"/>
        <w:ind w:left="426" w:hanging="426"/>
        <w:contextualSpacing/>
        <w:jc w:val="both"/>
        <w:rPr>
          <w:rFonts w:ascii="Cambria" w:eastAsia="MS Gothic" w:hAnsi="Cambria" w:cs="Cambria"/>
          <w:b/>
          <w:bCs/>
          <w:color w:val="000000"/>
          <w:sz w:val="20"/>
          <w:szCs w:val="20"/>
          <w:lang w:eastAsia="zh-CN" w:bidi="fr-FR"/>
        </w:rPr>
      </w:pPr>
      <w:r w:rsidRPr="00F0379B">
        <w:rPr>
          <w:rFonts w:ascii="Cambria" w:eastAsia="MS Gothic" w:hAnsi="Cambria" w:cs="Cambria"/>
          <w:b/>
          <w:bCs/>
          <w:color w:val="000000"/>
          <w:sz w:val="20"/>
          <w:szCs w:val="20"/>
          <w:lang w:eastAsia="zh-CN" w:bidi="fr-FR"/>
        </w:rPr>
        <w:t xml:space="preserve">Plan de acuicultura anual (párr. 10 e) de la </w:t>
      </w:r>
      <w:hyperlink r:id="rId193" w:history="1">
        <w:r w:rsidRPr="00F0379B">
          <w:rPr>
            <w:rFonts w:ascii="Cambria" w:eastAsia="MS Gothic" w:hAnsi="Cambria" w:cs="Cambria"/>
            <w:b/>
            <w:bCs/>
            <w:color w:val="0563C1"/>
            <w:sz w:val="20"/>
            <w:szCs w:val="20"/>
            <w:lang w:eastAsia="zh-CN" w:bidi="fr-FR"/>
          </w:rPr>
          <w:t xml:space="preserve">Rec. 24-05 </w:t>
        </w:r>
      </w:hyperlink>
      <w:r w:rsidRPr="00F0379B">
        <w:rPr>
          <w:rFonts w:ascii="Cambria" w:eastAsia="MS Gothic" w:hAnsi="Cambria" w:cs="Cambria"/>
          <w:b/>
          <w:bCs/>
          <w:color w:val="000000"/>
          <w:sz w:val="20"/>
          <w:szCs w:val="20"/>
          <w:lang w:eastAsia="zh-CN" w:bidi="fr-FR"/>
        </w:rPr>
        <w:t xml:space="preserve">de conformidad con la </w:t>
      </w:r>
      <w:hyperlink r:id="rId194" w:history="1">
        <w:r w:rsidRPr="00F0379B">
          <w:rPr>
            <w:rFonts w:ascii="Cambria" w:eastAsia="MS Gothic" w:hAnsi="Cambria" w:cs="Cambria"/>
            <w:b/>
            <w:bCs/>
            <w:color w:val="0563C1"/>
            <w:sz w:val="20"/>
            <w:szCs w:val="20"/>
            <w:lang w:eastAsia="zh-CN" w:bidi="fr-FR"/>
          </w:rPr>
          <w:t>Rec. 24-07</w:t>
        </w:r>
      </w:hyperlink>
      <w:r w:rsidRPr="00F0379B">
        <w:rPr>
          <w:rFonts w:ascii="Cambria" w:eastAsia="MS Gothic" w:hAnsi="Cambria" w:cs="Cambria"/>
          <w:b/>
          <w:bCs/>
          <w:color w:val="000000"/>
          <w:sz w:val="20"/>
          <w:szCs w:val="20"/>
          <w:lang w:eastAsia="zh-CN" w:bidi="fr-FR"/>
        </w:rPr>
        <w:t>), si es aplicable</w:t>
      </w:r>
    </w:p>
    <w:p w14:paraId="45091674" w14:textId="77777777" w:rsidR="009123AC" w:rsidRPr="00F0379B" w:rsidRDefault="009123AC" w:rsidP="009123AC">
      <w:pPr>
        <w:widowControl w:val="0"/>
        <w:tabs>
          <w:tab w:val="left" w:pos="426"/>
        </w:tabs>
        <w:suppressAutoHyphens/>
        <w:spacing w:after="0" w:line="240" w:lineRule="auto"/>
        <w:ind w:left="426"/>
        <w:contextualSpacing/>
        <w:rPr>
          <w:rFonts w:ascii="Cambria" w:eastAsia="MS Gothic" w:hAnsi="Cambria" w:cs="Cambria"/>
          <w:b/>
          <w:bCs/>
          <w:color w:val="000000"/>
          <w:sz w:val="20"/>
          <w:szCs w:val="20"/>
          <w:lang w:eastAsia="zh-CN" w:bidi="fr-FR"/>
        </w:rPr>
      </w:pPr>
    </w:p>
    <w:p w14:paraId="08AF45BF" w14:textId="77777777" w:rsidR="009123AC" w:rsidRPr="00F0379B" w:rsidRDefault="009123AC" w:rsidP="009123AC">
      <w:pPr>
        <w:widowControl w:val="0"/>
        <w:tabs>
          <w:tab w:val="left" w:pos="426"/>
        </w:tabs>
        <w:suppressAutoHyphens/>
        <w:spacing w:after="0" w:line="240" w:lineRule="auto"/>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t xml:space="preserve">No aplica. Panamá no desarrolla actividades de cría de atún rojo. </w:t>
      </w:r>
    </w:p>
    <w:p w14:paraId="0D3AB68D" w14:textId="7A1DDABF" w:rsidR="004F0315" w:rsidRPr="00F0379B" w:rsidRDefault="004F0315">
      <w:pPr>
        <w:spacing w:line="259" w:lineRule="auto"/>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br w:type="page"/>
      </w:r>
    </w:p>
    <w:p w14:paraId="2079FEB0" w14:textId="77777777" w:rsidR="009123AC" w:rsidRPr="00F0379B" w:rsidRDefault="009123AC" w:rsidP="00CE0EC8">
      <w:pPr>
        <w:widowControl w:val="0"/>
        <w:numPr>
          <w:ilvl w:val="0"/>
          <w:numId w:val="6"/>
        </w:numPr>
        <w:suppressAutoHyphens/>
        <w:spacing w:after="0" w:line="240" w:lineRule="auto"/>
        <w:ind w:left="426" w:hanging="426"/>
        <w:contextualSpacing/>
        <w:jc w:val="both"/>
        <w:rPr>
          <w:rFonts w:ascii="Cambria" w:eastAsia="MS Gothic" w:hAnsi="Cambria" w:cs="Cambria"/>
          <w:b/>
          <w:color w:val="000000"/>
          <w:sz w:val="20"/>
          <w:szCs w:val="20"/>
          <w:lang w:eastAsia="zh-CN" w:bidi="fr-FR"/>
        </w:rPr>
      </w:pPr>
      <w:r w:rsidRPr="00F0379B">
        <w:rPr>
          <w:rFonts w:ascii="Cambria" w:eastAsia="MS Gothic" w:hAnsi="Cambria" w:cs="Cambria"/>
          <w:b/>
          <w:color w:val="000000"/>
          <w:sz w:val="20"/>
          <w:szCs w:val="20"/>
          <w:lang w:eastAsia="zh-CN" w:bidi="fr-FR"/>
        </w:rPr>
        <w:t>Plan de inspección, control y seguimiento</w:t>
      </w:r>
    </w:p>
    <w:p w14:paraId="032C7A03" w14:textId="77777777" w:rsidR="009123AC" w:rsidRPr="00F0379B" w:rsidRDefault="009123AC" w:rsidP="009123AC">
      <w:pPr>
        <w:widowControl w:val="0"/>
        <w:suppressAutoHyphens/>
        <w:spacing w:after="0" w:line="240" w:lineRule="auto"/>
        <w:rPr>
          <w:rFonts w:ascii="Cambria" w:eastAsia="MS Gothic" w:hAnsi="Cambria" w:cs="Cambria"/>
          <w:b/>
          <w:color w:val="000000"/>
          <w:sz w:val="20"/>
          <w:szCs w:val="20"/>
          <w:lang w:eastAsia="zh-CN" w:bidi="fr-FR"/>
        </w:rPr>
      </w:pPr>
    </w:p>
    <w:p w14:paraId="5C5170EC" w14:textId="77777777" w:rsidR="009123AC" w:rsidRPr="00F0379B" w:rsidRDefault="009123AC" w:rsidP="009123AC">
      <w:pPr>
        <w:widowControl w:val="0"/>
        <w:suppressAutoHyphens/>
        <w:spacing w:after="0" w:line="240" w:lineRule="auto"/>
        <w:rPr>
          <w:rFonts w:ascii="Cambria" w:eastAsia="MS Gothic" w:hAnsi="Cambria" w:cs="Cambria"/>
          <w:b/>
          <w:i/>
          <w:iCs/>
          <w:color w:val="000000"/>
          <w:sz w:val="20"/>
          <w:szCs w:val="20"/>
          <w:lang w:eastAsia="zh-CN" w:bidi="fr-FR"/>
        </w:rPr>
      </w:pPr>
      <w:r w:rsidRPr="00F0379B">
        <w:rPr>
          <w:rFonts w:ascii="Cambria" w:eastAsia="MS Gothic" w:hAnsi="Cambria" w:cs="Cambria"/>
          <w:b/>
          <w:i/>
          <w:iCs/>
          <w:color w:val="000000"/>
          <w:sz w:val="20"/>
          <w:szCs w:val="20"/>
          <w:lang w:eastAsia="zh-CN" w:bidi="fr-FR"/>
        </w:rPr>
        <w:t>5 a) Inspección, control y seguimiento de la CPC (párr. 10c)</w:t>
      </w:r>
    </w:p>
    <w:p w14:paraId="3B65F18B" w14:textId="77777777" w:rsidR="009123AC" w:rsidRPr="00F0379B" w:rsidRDefault="009123AC" w:rsidP="009123AC">
      <w:pPr>
        <w:widowControl w:val="0"/>
        <w:suppressAutoHyphens/>
        <w:spacing w:after="0" w:line="240" w:lineRule="auto"/>
        <w:rPr>
          <w:rFonts w:ascii="Cambria" w:eastAsia="MS Gothic" w:hAnsi="Cambria" w:cs="Cambria"/>
          <w:b/>
          <w:i/>
          <w:iCs/>
          <w:color w:val="000000"/>
          <w:sz w:val="20"/>
          <w:szCs w:val="20"/>
          <w:lang w:eastAsia="zh-CN" w:bidi="fr-FR"/>
        </w:rPr>
      </w:pPr>
    </w:p>
    <w:p w14:paraId="50F029E0"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t>Panamá aplica las medidas de inspección, control y seguimiento de la pesca de conformidad con su normativa nacional vigente y con las Recomendaciones de ICCAT aplicables. Dichas medidas se implementan a través del sistema nacional de monitoreo, control y vigilancia para el año 2026.</w:t>
      </w:r>
    </w:p>
    <w:p w14:paraId="2883620C"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p>
    <w:p w14:paraId="535540DF"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t>Actualmente, Panamá mantiene doce (12) buques inscritos en el Registro de buques de ICCAT en la categoría de “Otros buques”, incluidos buques de transporte y buques de transformación, que participan en actividades relacionadas con el atún rojo.</w:t>
      </w:r>
    </w:p>
    <w:p w14:paraId="08A6950A"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p>
    <w:p w14:paraId="79B054EE"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t>La Autoridad de los Recursos Acuáticos de Panamá (ARAP), a través de su Dirección General de Inspección, Vigilancia y Control, es responsable de garantizar que los buques de bandera panameña y las actividades relacionadas con la pesca cumplan con las disposiciones nacionales e internacionales, incluidas las relativas al Sistema de Seguimiento de Buques (VMS).</w:t>
      </w:r>
    </w:p>
    <w:p w14:paraId="7CB7266B"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p>
    <w:p w14:paraId="1949CFBC" w14:textId="1A4CB201"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t>El marco normativo nacional se encuentra establecido en la Ley 204 de 18 de marzo de 2021 y su reglamentación mediante el Decreto Ejecutivo N.</w:t>
      </w:r>
      <w:r w:rsidR="009D2975" w:rsidRPr="00F0379B">
        <w:rPr>
          <w:rFonts w:ascii="Cambria" w:eastAsia="MS Gothic" w:hAnsi="Cambria" w:cs="Cambria"/>
          <w:iCs/>
          <w:color w:val="000000"/>
          <w:sz w:val="20"/>
          <w:szCs w:val="20"/>
          <w:lang w:eastAsia="zh-CN" w:bidi="fr-FR"/>
        </w:rPr>
        <w:t>º</w:t>
      </w:r>
      <w:r w:rsidRPr="00F0379B">
        <w:rPr>
          <w:rFonts w:ascii="Cambria" w:eastAsia="MS Gothic" w:hAnsi="Cambria" w:cs="Cambria"/>
          <w:iCs/>
          <w:color w:val="000000"/>
          <w:sz w:val="20"/>
          <w:szCs w:val="20"/>
          <w:lang w:eastAsia="zh-CN" w:bidi="fr-FR"/>
        </w:rPr>
        <w:t xml:space="preserve"> 13 de 1 de noviembre de 2023, los cuales contemplan, entre otras medidas:</w:t>
      </w:r>
    </w:p>
    <w:p w14:paraId="3FB31253"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p>
    <w:p w14:paraId="53D2C860" w14:textId="77777777" w:rsidR="009123AC" w:rsidRPr="00F0379B" w:rsidRDefault="009123AC" w:rsidP="00CE0EC8">
      <w:pPr>
        <w:widowControl w:val="0"/>
        <w:numPr>
          <w:ilvl w:val="0"/>
          <w:numId w:val="86"/>
        </w:numPr>
        <w:suppressAutoHyphens/>
        <w:spacing w:after="0" w:line="240" w:lineRule="auto"/>
        <w:contextualSpacing/>
        <w:jc w:val="both"/>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t>La obligatoriedad de instalar, mantener y operar un sistema VMS a bordo de los buques sujetos a seguimiento;</w:t>
      </w:r>
    </w:p>
    <w:p w14:paraId="585DFCFD" w14:textId="77777777" w:rsidR="009123AC" w:rsidRPr="00F0379B" w:rsidRDefault="009123AC" w:rsidP="00CE0EC8">
      <w:pPr>
        <w:widowControl w:val="0"/>
        <w:numPr>
          <w:ilvl w:val="0"/>
          <w:numId w:val="86"/>
        </w:numPr>
        <w:suppressAutoHyphens/>
        <w:spacing w:after="0" w:line="240" w:lineRule="auto"/>
        <w:contextualSpacing/>
        <w:jc w:val="both"/>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t>La exigencia de una Carta de no objeción emitida por ARAP como requisito para el registro del buque o el cambio de actividad;</w:t>
      </w:r>
    </w:p>
    <w:p w14:paraId="28BF6841" w14:textId="77777777" w:rsidR="009123AC" w:rsidRPr="00F0379B" w:rsidRDefault="009123AC" w:rsidP="00CE0EC8">
      <w:pPr>
        <w:widowControl w:val="0"/>
        <w:numPr>
          <w:ilvl w:val="0"/>
          <w:numId w:val="86"/>
        </w:numPr>
        <w:suppressAutoHyphens/>
        <w:spacing w:after="0" w:line="240" w:lineRule="auto"/>
        <w:contextualSpacing/>
        <w:jc w:val="both"/>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t>La obligación de contar con un certificado de baliza vigente para la obtención o renovación de licencias de pesca de servicio internacional;</w:t>
      </w:r>
    </w:p>
    <w:p w14:paraId="520F4022" w14:textId="77777777" w:rsidR="009123AC" w:rsidRPr="00F0379B" w:rsidRDefault="009123AC" w:rsidP="00CE0EC8">
      <w:pPr>
        <w:widowControl w:val="0"/>
        <w:numPr>
          <w:ilvl w:val="0"/>
          <w:numId w:val="86"/>
        </w:numPr>
        <w:suppressAutoHyphens/>
        <w:spacing w:after="0" w:line="240" w:lineRule="auto"/>
        <w:contextualSpacing/>
        <w:jc w:val="both"/>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t>La tipificación como infracción grave de la interrupción injustificada de las transmisiones VMS por un período superior a veinticuatro (24) horas consecutivas.</w:t>
      </w:r>
    </w:p>
    <w:p w14:paraId="2E1C2CDF" w14:textId="77777777" w:rsidR="009123AC" w:rsidRPr="00F0379B" w:rsidRDefault="009123AC" w:rsidP="009123AC">
      <w:pPr>
        <w:widowControl w:val="0"/>
        <w:suppressAutoHyphens/>
        <w:spacing w:after="0" w:line="240" w:lineRule="auto"/>
        <w:ind w:left="720"/>
        <w:contextualSpacing/>
        <w:jc w:val="both"/>
        <w:rPr>
          <w:rFonts w:ascii="Cambria" w:eastAsia="MS Gothic" w:hAnsi="Cambria" w:cs="Cambria"/>
          <w:iCs/>
          <w:color w:val="000000"/>
          <w:sz w:val="20"/>
          <w:szCs w:val="20"/>
          <w:lang w:eastAsia="zh-CN" w:bidi="fr-FR"/>
        </w:rPr>
      </w:pPr>
    </w:p>
    <w:p w14:paraId="09F23CA9"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t>De conformidad con la Recomendación 25-04 de ICCAT, los buques sujetos al requisito de VMS transmitirán datos a la Secretaría de ICCAT al menos cinco (5) días antes y cinco (5) días después del período de autorización, sin interrupciones durante su permanencia en puerto, salvo que exista un sistema formal de notificación de entrada y salida.</w:t>
      </w:r>
    </w:p>
    <w:p w14:paraId="2D0DC41C"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p>
    <w:p w14:paraId="0429402A"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r w:rsidRPr="00F0379B">
        <w:rPr>
          <w:rFonts w:ascii="Cambria" w:eastAsia="MS Gothic" w:hAnsi="Cambria" w:cs="Cambria"/>
          <w:i/>
          <w:color w:val="000000"/>
          <w:sz w:val="20"/>
          <w:szCs w:val="20"/>
          <w:lang w:eastAsia="zh-CN" w:bidi="fr-FR"/>
        </w:rPr>
        <w:t>Seguimiento y control de transbordos</w:t>
      </w:r>
    </w:p>
    <w:p w14:paraId="3D8F4481"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p>
    <w:p w14:paraId="3C43DA03"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t>Los transbordos de atún rojo en el Atlántico este y el Mediterráneo solo se permitirán en puertos designados por las CPC, conforme a los párrafos 80 a 84 de la Recomendación 25-04 de ICCAT y a la normativa nacional aplicable.</w:t>
      </w:r>
    </w:p>
    <w:p w14:paraId="120F7411"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p>
    <w:p w14:paraId="75E474E2"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t>Se prohíbe desembarcar o transbordar desde los buques de captura, así como desde los buques de transformación y desde los buques auxiliares cualquier cantidad de atún rojo pescado en el Atlántico este y el Mediterráneo fuera de los puertos designados por las CPC con arreglo a los párrafos 80 y 81. Sin embargo, de forma excepcional, no está prohibido el transporte de atún rojo muerto, sacrificado en una almadraba/jaula, a un buque transformador utilizando un buque auxiliar.</w:t>
      </w:r>
    </w:p>
    <w:p w14:paraId="5864F198"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p>
    <w:p w14:paraId="339538D9" w14:textId="77777777" w:rsidR="009123AC" w:rsidRPr="00F0379B" w:rsidRDefault="009123AC" w:rsidP="009123AC">
      <w:pPr>
        <w:widowControl w:val="0"/>
        <w:suppressAutoHyphens/>
        <w:spacing w:after="0" w:line="240" w:lineRule="auto"/>
        <w:jc w:val="both"/>
        <w:rPr>
          <w:rFonts w:ascii="Cambria" w:eastAsia="MS Gothic" w:hAnsi="Cambria" w:cs="Cambria"/>
          <w:iCs/>
          <w:color w:val="FF0000"/>
          <w:sz w:val="20"/>
          <w:szCs w:val="20"/>
          <w:lang w:eastAsia="zh-CN" w:bidi="fr-FR"/>
        </w:rPr>
      </w:pPr>
      <w:r w:rsidRPr="00F0379B">
        <w:rPr>
          <w:rFonts w:ascii="Cambria" w:eastAsia="MS Gothic" w:hAnsi="Cambria" w:cs="Cambria"/>
          <w:iCs/>
          <w:color w:val="000000"/>
          <w:sz w:val="20"/>
          <w:szCs w:val="20"/>
          <w:lang w:eastAsia="zh-CN" w:bidi="fr-FR"/>
        </w:rPr>
        <w:t>Todo transbordo requerirá autorización previa de la CPC del pabellón del buque que realiza la operación. El capitán o representante del buque deberá completar y transmitir la Declaración de transbordo al Centro de Control y Seguimiento Pesquero (CCSP) de ARAP y a la autoridad del Estado rector del puerto, dentro de los plazos establecidos.</w:t>
      </w:r>
    </w:p>
    <w:p w14:paraId="7EB2B47F" w14:textId="77777777" w:rsidR="009123AC" w:rsidRPr="00F0379B" w:rsidRDefault="009123AC" w:rsidP="009123AC">
      <w:pPr>
        <w:widowControl w:val="0"/>
        <w:suppressAutoHyphens/>
        <w:spacing w:after="0" w:line="240" w:lineRule="auto"/>
        <w:jc w:val="both"/>
        <w:rPr>
          <w:rFonts w:ascii="Cambria" w:eastAsia="MS Gothic" w:hAnsi="Cambria" w:cs="Cambria"/>
          <w:iCs/>
          <w:color w:val="FF0000"/>
          <w:sz w:val="20"/>
          <w:szCs w:val="20"/>
          <w:lang w:eastAsia="zh-CN" w:bidi="fr-FR"/>
        </w:rPr>
      </w:pPr>
    </w:p>
    <w:p w14:paraId="28C359E9" w14:textId="77777777" w:rsidR="009123AC" w:rsidRPr="00F0379B" w:rsidRDefault="009123AC" w:rsidP="009123AC">
      <w:pPr>
        <w:widowControl w:val="0"/>
        <w:suppressAutoHyphens/>
        <w:spacing w:after="0" w:line="240" w:lineRule="auto"/>
        <w:jc w:val="both"/>
        <w:rPr>
          <w:rFonts w:ascii="Cambria" w:eastAsia="MS Gothic" w:hAnsi="Cambria" w:cs="Cambria"/>
          <w:iCs/>
          <w:color w:val="FF0000"/>
          <w:sz w:val="20"/>
          <w:szCs w:val="20"/>
          <w:lang w:eastAsia="zh-CN" w:bidi="fr-FR"/>
        </w:rPr>
      </w:pPr>
      <w:r w:rsidRPr="00F0379B">
        <w:rPr>
          <w:rFonts w:ascii="Cambria" w:eastAsia="MS Gothic" w:hAnsi="Cambria" w:cs="Cambria"/>
          <w:iCs/>
          <w:color w:val="000000"/>
          <w:sz w:val="20"/>
          <w:szCs w:val="20"/>
          <w:lang w:eastAsia="zh-CN" w:bidi="fr-FR"/>
        </w:rPr>
        <w:t>El CCSP de la ARAP coordinará con la autoridad del Estado rector del puerto la recepción del informe del transbordo dentro de los cinco (5) días siguientes a la finalización de la operación.</w:t>
      </w:r>
    </w:p>
    <w:p w14:paraId="695CF72A" w14:textId="77777777" w:rsidR="009123AC" w:rsidRPr="00F0379B" w:rsidRDefault="009123AC" w:rsidP="009123AC">
      <w:pPr>
        <w:widowControl w:val="0"/>
        <w:suppressAutoHyphens/>
        <w:spacing w:after="0" w:line="240" w:lineRule="auto"/>
        <w:jc w:val="both"/>
        <w:rPr>
          <w:rFonts w:ascii="Cambria" w:eastAsia="MS Gothic" w:hAnsi="Cambria" w:cs="Cambria"/>
          <w:iCs/>
          <w:color w:val="FF0000"/>
          <w:sz w:val="20"/>
          <w:szCs w:val="20"/>
          <w:lang w:eastAsia="zh-CN" w:bidi="fr-FR"/>
        </w:rPr>
      </w:pPr>
    </w:p>
    <w:p w14:paraId="2E82F6F4"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t>Las disposiciones de esta Recomendación no afectarán a la entrada en puerto de un buque pesquero de una CPC, de conformidad con las leyes internacionales, por razones de fuerza mayor o de peligro.</w:t>
      </w:r>
    </w:p>
    <w:p w14:paraId="7148A94F"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p>
    <w:p w14:paraId="0B941E29" w14:textId="77777777" w:rsidR="009123AC" w:rsidRPr="00F0379B" w:rsidRDefault="009123AC" w:rsidP="009123AC">
      <w:pPr>
        <w:spacing w:line="259" w:lineRule="auto"/>
        <w:rPr>
          <w:rFonts w:ascii="Cambria" w:eastAsia="MS Gothic" w:hAnsi="Cambria" w:cs="Cambria"/>
          <w:i/>
          <w:color w:val="000000"/>
          <w:sz w:val="20"/>
          <w:szCs w:val="20"/>
          <w:lang w:eastAsia="zh-CN" w:bidi="fr-FR"/>
        </w:rPr>
      </w:pPr>
      <w:r w:rsidRPr="00F0379B">
        <w:rPr>
          <w:rFonts w:ascii="Cambria" w:eastAsia="MS Gothic" w:hAnsi="Cambria" w:cs="Cambria"/>
          <w:i/>
          <w:color w:val="000000"/>
          <w:sz w:val="20"/>
          <w:szCs w:val="20"/>
          <w:lang w:eastAsia="zh-CN" w:bidi="fr-FR"/>
        </w:rPr>
        <w:br w:type="page"/>
      </w:r>
    </w:p>
    <w:p w14:paraId="4C55B215"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r w:rsidRPr="00F0379B">
        <w:rPr>
          <w:rFonts w:ascii="Cambria" w:eastAsia="MS Gothic" w:hAnsi="Cambria" w:cs="Cambria"/>
          <w:i/>
          <w:color w:val="000000"/>
          <w:sz w:val="20"/>
          <w:szCs w:val="20"/>
          <w:lang w:eastAsia="zh-CN" w:bidi="fr-FR"/>
        </w:rPr>
        <w:t>Seguimiento y control de los desembarques</w:t>
      </w:r>
    </w:p>
    <w:p w14:paraId="0E9DA965"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p>
    <w:p w14:paraId="51785265"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t>Antes de la entrada en cualquier puerto, los patrones o representantes de los buques notificarán los desembarques a las autoridades pertinentes del puerto, al menos 4 horas antes de la hora estimada de llegada o dentro del plazo que establezca la CPC del puerto de descarga.</w:t>
      </w:r>
    </w:p>
    <w:p w14:paraId="0FFDCA35"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p>
    <w:p w14:paraId="1642FABE"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t>La notificación incluirá, a) el número de identificación externa y el nombre del buque pesquero; b) la fecha y la hora estimadas de llegada a puerto; c) el puerto de destino y los fines de la escala, como desembarque, transbordo o acceso a servicios; d) la estimación de la cantidad de atún rojo retenida a bordo; e) la información sobre la zona geográfica donde se realizó la captura, como lo establece el párrafo 85 de la   Rec. 25-04. Además se informará al mismo tiempo, a través de una copia de correo electrónico, al CCSP de la ARAP.</w:t>
      </w:r>
    </w:p>
    <w:p w14:paraId="229A1A4D"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p>
    <w:p w14:paraId="0CEFB632" w14:textId="77777777" w:rsidR="009123AC" w:rsidRPr="00F0379B" w:rsidRDefault="009123AC" w:rsidP="009123AC">
      <w:pPr>
        <w:widowControl w:val="0"/>
        <w:suppressAutoHyphens/>
        <w:spacing w:after="0" w:line="240" w:lineRule="auto"/>
        <w:jc w:val="both"/>
        <w:rPr>
          <w:rFonts w:ascii="Cambria" w:eastAsia="MS Gothic" w:hAnsi="Cambria" w:cs="Cambria"/>
          <w:iCs/>
          <w:color w:val="000000"/>
          <w:sz w:val="20"/>
          <w:szCs w:val="20"/>
          <w:lang w:eastAsia="zh-CN" w:bidi="fr-FR"/>
        </w:rPr>
      </w:pPr>
      <w:r w:rsidRPr="00F0379B">
        <w:rPr>
          <w:rFonts w:ascii="Cambria" w:eastAsia="MS Gothic" w:hAnsi="Cambria" w:cs="Cambria"/>
          <w:iCs/>
          <w:color w:val="000000"/>
          <w:sz w:val="20"/>
          <w:szCs w:val="20"/>
          <w:lang w:eastAsia="zh-CN" w:bidi="fr-FR"/>
        </w:rPr>
        <w:t>Estas disposiciones se aplican sin perjuicio del cumplimiento de los requisitos nacionales sobre notificación de entrada a puerto y desembarque.</w:t>
      </w:r>
    </w:p>
    <w:p w14:paraId="632D54CF" w14:textId="77777777" w:rsidR="009123AC" w:rsidRPr="00F0379B" w:rsidRDefault="009123AC" w:rsidP="009123AC">
      <w:pPr>
        <w:widowControl w:val="0"/>
        <w:suppressAutoHyphens/>
        <w:spacing w:after="0" w:line="240" w:lineRule="auto"/>
        <w:rPr>
          <w:rFonts w:ascii="Cambria" w:eastAsia="MS Gothic" w:hAnsi="Cambria" w:cs="Cambria"/>
          <w:iCs/>
          <w:color w:val="000000"/>
          <w:sz w:val="20"/>
          <w:szCs w:val="20"/>
          <w:lang w:eastAsia="zh-CN" w:bidi="fr-FR"/>
        </w:rPr>
      </w:pPr>
    </w:p>
    <w:p w14:paraId="5D1B6F53" w14:textId="77777777" w:rsidR="009123AC" w:rsidRPr="00F0379B" w:rsidRDefault="009123AC" w:rsidP="009123AC">
      <w:pPr>
        <w:widowControl w:val="0"/>
        <w:suppressAutoHyphens/>
        <w:spacing w:after="0" w:line="240" w:lineRule="auto"/>
        <w:rPr>
          <w:rFonts w:ascii="Cambria" w:eastAsia="MS Gothic" w:hAnsi="Cambria" w:cs="Cambria"/>
          <w:b/>
          <w:iCs/>
          <w:color w:val="000000"/>
          <w:sz w:val="20"/>
          <w:szCs w:val="20"/>
          <w:lang w:eastAsia="zh-CN" w:bidi="fr-FR"/>
        </w:rPr>
      </w:pPr>
      <w:r w:rsidRPr="00F0379B">
        <w:rPr>
          <w:rFonts w:ascii="Cambria" w:eastAsia="MS Gothic" w:hAnsi="Cambria" w:cs="Cambria"/>
          <w:iCs/>
          <w:color w:val="000000"/>
          <w:sz w:val="20"/>
          <w:szCs w:val="20"/>
          <w:lang w:eastAsia="zh-CN" w:bidi="fr-FR"/>
        </w:rPr>
        <w:t>Puntos de contacto</w:t>
      </w:r>
    </w:p>
    <w:p w14:paraId="008AB319" w14:textId="77777777" w:rsidR="009123AC" w:rsidRPr="00F0379B" w:rsidRDefault="009123AC" w:rsidP="009123AC">
      <w:pPr>
        <w:widowControl w:val="0"/>
        <w:suppressAutoHyphens/>
        <w:spacing w:after="0" w:line="240" w:lineRule="auto"/>
        <w:rPr>
          <w:rFonts w:ascii="Cambria" w:eastAsia="MS Gothic" w:hAnsi="Cambria" w:cs="Cambria"/>
          <w:b/>
          <w:iCs/>
          <w:color w:val="000000"/>
          <w:sz w:val="20"/>
          <w:szCs w:val="20"/>
          <w:lang w:eastAsia="zh-CN" w:bidi="fr-FR"/>
        </w:rPr>
      </w:pPr>
    </w:p>
    <w:tbl>
      <w:tblPr>
        <w:tblW w:w="0" w:type="auto"/>
        <w:tblInd w:w="108" w:type="dxa"/>
        <w:tblLayout w:type="fixed"/>
        <w:tblLook w:val="0000" w:firstRow="0" w:lastRow="0" w:firstColumn="0" w:lastColumn="0" w:noHBand="0" w:noVBand="0"/>
      </w:tblPr>
      <w:tblGrid>
        <w:gridCol w:w="5742"/>
        <w:gridCol w:w="3322"/>
      </w:tblGrid>
      <w:tr w:rsidR="009123AC" w:rsidRPr="00F0379B" w14:paraId="43375C0D" w14:textId="77777777" w:rsidTr="00CA749B">
        <w:tc>
          <w:tcPr>
            <w:tcW w:w="9064" w:type="dxa"/>
            <w:gridSpan w:val="2"/>
            <w:tcBorders>
              <w:top w:val="single" w:sz="4" w:space="0" w:color="000000"/>
              <w:left w:val="single" w:sz="4" w:space="0" w:color="000000"/>
              <w:bottom w:val="single" w:sz="4" w:space="0" w:color="000000"/>
              <w:right w:val="single" w:sz="4" w:space="0" w:color="000000"/>
            </w:tcBorders>
          </w:tcPr>
          <w:p w14:paraId="640587CB" w14:textId="77777777" w:rsidR="009123AC" w:rsidRPr="00F0379B" w:rsidRDefault="009123AC" w:rsidP="009123AC">
            <w:pPr>
              <w:widowControl w:val="0"/>
              <w:suppressAutoHyphens/>
              <w:spacing w:after="0" w:line="240" w:lineRule="auto"/>
              <w:contextualSpacing/>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i/>
                <w:iCs/>
                <w:color w:val="000000"/>
                <w:sz w:val="20"/>
                <w:szCs w:val="20"/>
                <w:lang w:eastAsia="zh-CN" w:bidi="fr-FR"/>
              </w:rPr>
              <w:t>Autoridad de control competente de Panamá responsable de la aplicación del presente plan de seguimiento, control e inspección</w:t>
            </w:r>
          </w:p>
        </w:tc>
      </w:tr>
      <w:tr w:rsidR="009123AC" w:rsidRPr="00F0379B" w14:paraId="6A78A621" w14:textId="77777777" w:rsidTr="00CA749B">
        <w:tc>
          <w:tcPr>
            <w:tcW w:w="9064" w:type="dxa"/>
            <w:gridSpan w:val="2"/>
            <w:tcBorders>
              <w:top w:val="single" w:sz="4" w:space="0" w:color="000000"/>
              <w:left w:val="single" w:sz="4" w:space="0" w:color="000000"/>
              <w:bottom w:val="single" w:sz="4" w:space="0" w:color="000000"/>
              <w:right w:val="single" w:sz="4" w:space="0" w:color="000000"/>
            </w:tcBorders>
          </w:tcPr>
          <w:p w14:paraId="3DD333D7"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ar-SA"/>
              </w:rPr>
              <w:t>Dirección General de Inspección Vigilancia y Control</w:t>
            </w:r>
          </w:p>
        </w:tc>
      </w:tr>
      <w:tr w:rsidR="009123AC" w:rsidRPr="00F0379B" w14:paraId="1E6619A4" w14:textId="77777777" w:rsidTr="00CA749B">
        <w:tc>
          <w:tcPr>
            <w:tcW w:w="9064" w:type="dxa"/>
            <w:gridSpan w:val="2"/>
            <w:tcBorders>
              <w:top w:val="single" w:sz="4" w:space="0" w:color="000000"/>
              <w:left w:val="single" w:sz="4" w:space="0" w:color="000000"/>
              <w:bottom w:val="single" w:sz="4" w:space="0" w:color="000000"/>
              <w:right w:val="single" w:sz="4" w:space="0" w:color="000000"/>
            </w:tcBorders>
          </w:tcPr>
          <w:p w14:paraId="318A36D3" w14:textId="77777777" w:rsidR="009123AC" w:rsidRPr="00F0379B" w:rsidRDefault="009123AC" w:rsidP="009123AC">
            <w:pPr>
              <w:widowControl w:val="0"/>
              <w:suppressAutoHyphens/>
              <w:spacing w:after="0" w:line="240" w:lineRule="auto"/>
              <w:contextualSpacing/>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b/>
                <w:bCs/>
                <w:color w:val="000000"/>
                <w:sz w:val="20"/>
                <w:szCs w:val="20"/>
                <w:lang w:eastAsia="zh-CN" w:bidi="fr-FR"/>
              </w:rPr>
              <w:t>Lista de puntos de contacto</w:t>
            </w:r>
          </w:p>
        </w:tc>
      </w:tr>
      <w:tr w:rsidR="009123AC" w:rsidRPr="00F0379B" w14:paraId="2C1D4494" w14:textId="77777777" w:rsidTr="00CA749B">
        <w:tc>
          <w:tcPr>
            <w:tcW w:w="5742" w:type="dxa"/>
            <w:tcBorders>
              <w:top w:val="single" w:sz="4" w:space="0" w:color="000000"/>
              <w:left w:val="single" w:sz="4" w:space="0" w:color="000000"/>
              <w:bottom w:val="single" w:sz="4" w:space="0" w:color="000000"/>
              <w:right w:val="single" w:sz="4" w:space="0" w:color="000000"/>
            </w:tcBorders>
          </w:tcPr>
          <w:p w14:paraId="4DF26C03" w14:textId="77777777" w:rsidR="009123AC" w:rsidRPr="00F0379B" w:rsidRDefault="009123AC" w:rsidP="009123AC">
            <w:pPr>
              <w:widowControl w:val="0"/>
              <w:suppressAutoHyphens/>
              <w:spacing w:after="0" w:line="240" w:lineRule="auto"/>
              <w:contextualSpacing/>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Nombre y apellido</w:t>
            </w:r>
          </w:p>
        </w:tc>
        <w:tc>
          <w:tcPr>
            <w:tcW w:w="3322" w:type="dxa"/>
            <w:tcBorders>
              <w:top w:val="single" w:sz="4" w:space="0" w:color="000000"/>
              <w:left w:val="single" w:sz="4" w:space="0" w:color="000000"/>
              <w:bottom w:val="single" w:sz="4" w:space="0" w:color="000000"/>
              <w:right w:val="single" w:sz="4" w:space="0" w:color="000000"/>
            </w:tcBorders>
          </w:tcPr>
          <w:p w14:paraId="68269B36" w14:textId="77777777" w:rsidR="009123AC" w:rsidRPr="00F0379B" w:rsidRDefault="009123AC" w:rsidP="009123AC">
            <w:pPr>
              <w:widowControl w:val="0"/>
              <w:suppressAutoHyphens/>
              <w:spacing w:after="0" w:line="240" w:lineRule="auto"/>
              <w:contextualSpacing/>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20"/>
                <w:szCs w:val="20"/>
                <w:lang w:eastAsia="zh-CN" w:bidi="fr-FR"/>
              </w:rPr>
              <w:t>Correo electrónico</w:t>
            </w:r>
          </w:p>
        </w:tc>
      </w:tr>
      <w:tr w:rsidR="009123AC" w:rsidRPr="00F0379B" w14:paraId="5EEF2109" w14:textId="77777777" w:rsidTr="00CA749B">
        <w:tc>
          <w:tcPr>
            <w:tcW w:w="5742" w:type="dxa"/>
            <w:tcBorders>
              <w:top w:val="single" w:sz="4" w:space="0" w:color="000000"/>
              <w:left w:val="single" w:sz="4" w:space="0" w:color="000000"/>
              <w:bottom w:val="single" w:sz="4" w:space="0" w:color="000000"/>
              <w:right w:val="single" w:sz="4" w:space="0" w:color="000000"/>
            </w:tcBorders>
          </w:tcPr>
          <w:p w14:paraId="79DCB30F"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ar-SA"/>
              </w:rPr>
              <w:t xml:space="preserve">Pablo Amaris - Director </w:t>
            </w:r>
          </w:p>
        </w:tc>
        <w:tc>
          <w:tcPr>
            <w:tcW w:w="3322" w:type="dxa"/>
            <w:tcBorders>
              <w:top w:val="single" w:sz="4" w:space="0" w:color="000000"/>
              <w:left w:val="single" w:sz="4" w:space="0" w:color="000000"/>
              <w:bottom w:val="single" w:sz="4" w:space="0" w:color="000000"/>
              <w:right w:val="single" w:sz="4" w:space="0" w:color="000000"/>
            </w:tcBorders>
          </w:tcPr>
          <w:p w14:paraId="22CE49BA"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hyperlink r:id="rId195" w:history="1">
              <w:r w:rsidRPr="00F0379B">
                <w:rPr>
                  <w:rFonts w:ascii="Cambria" w:eastAsia="MS Gothic" w:hAnsi="Cambria" w:cs="Cambria"/>
                  <w:color w:val="0563C1"/>
                  <w:sz w:val="20"/>
                  <w:szCs w:val="20"/>
                  <w:lang w:eastAsia="ar-SA"/>
                </w:rPr>
                <w:t>pamaris@arap.gob.pa</w:t>
              </w:r>
            </w:hyperlink>
            <w:r w:rsidRPr="00F0379B">
              <w:rPr>
                <w:rFonts w:ascii="Cambria" w:eastAsia="MS Gothic" w:hAnsi="Cambria" w:cs="Cambria"/>
                <w:color w:val="000000"/>
                <w:sz w:val="20"/>
                <w:szCs w:val="20"/>
                <w:lang w:eastAsia="ar-SA"/>
              </w:rPr>
              <w:t xml:space="preserve"> </w:t>
            </w:r>
          </w:p>
        </w:tc>
      </w:tr>
      <w:tr w:rsidR="009123AC" w:rsidRPr="00F0379B" w14:paraId="694BAC2A" w14:textId="77777777" w:rsidTr="00CA749B">
        <w:tc>
          <w:tcPr>
            <w:tcW w:w="5742" w:type="dxa"/>
            <w:tcBorders>
              <w:top w:val="single" w:sz="4" w:space="0" w:color="000000"/>
              <w:left w:val="single" w:sz="4" w:space="0" w:color="000000"/>
              <w:bottom w:val="single" w:sz="4" w:space="0" w:color="000000"/>
              <w:right w:val="single" w:sz="4" w:space="0" w:color="000000"/>
            </w:tcBorders>
          </w:tcPr>
          <w:p w14:paraId="16D34684"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ar-SA"/>
              </w:rPr>
              <w:t xml:space="preserve">Carlos Lacasa - Jefe de departamento de Inspección </w:t>
            </w:r>
          </w:p>
        </w:tc>
        <w:tc>
          <w:tcPr>
            <w:tcW w:w="3322" w:type="dxa"/>
            <w:tcBorders>
              <w:top w:val="single" w:sz="4" w:space="0" w:color="000000"/>
              <w:left w:val="single" w:sz="4" w:space="0" w:color="000000"/>
              <w:bottom w:val="single" w:sz="4" w:space="0" w:color="000000"/>
              <w:right w:val="single" w:sz="4" w:space="0" w:color="000000"/>
            </w:tcBorders>
          </w:tcPr>
          <w:p w14:paraId="4244ED2D"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hyperlink r:id="rId196" w:history="1">
              <w:r w:rsidRPr="00F0379B">
                <w:rPr>
                  <w:rFonts w:ascii="Cambria" w:eastAsia="MS Gothic" w:hAnsi="Cambria" w:cs="Cambria"/>
                  <w:color w:val="0563C1"/>
                  <w:sz w:val="20"/>
                  <w:szCs w:val="20"/>
                  <w:lang w:eastAsia="ar-SA"/>
                </w:rPr>
                <w:t>clacasa@arap.gob.pa</w:t>
              </w:r>
            </w:hyperlink>
            <w:r w:rsidRPr="00F0379B">
              <w:rPr>
                <w:rFonts w:ascii="Cambria" w:eastAsia="MS Gothic" w:hAnsi="Cambria" w:cs="Cambria"/>
                <w:color w:val="000000"/>
                <w:sz w:val="20"/>
                <w:szCs w:val="20"/>
                <w:lang w:eastAsia="ar-SA"/>
              </w:rPr>
              <w:t xml:space="preserve"> </w:t>
            </w:r>
          </w:p>
        </w:tc>
      </w:tr>
      <w:tr w:rsidR="009123AC" w:rsidRPr="00F0379B" w14:paraId="74AC33F3" w14:textId="77777777" w:rsidTr="00CA749B">
        <w:tc>
          <w:tcPr>
            <w:tcW w:w="5742" w:type="dxa"/>
            <w:tcBorders>
              <w:top w:val="single" w:sz="4" w:space="0" w:color="000000"/>
              <w:left w:val="single" w:sz="4" w:space="0" w:color="000000"/>
              <w:bottom w:val="single" w:sz="4" w:space="0" w:color="000000"/>
              <w:right w:val="single" w:sz="4" w:space="0" w:color="000000"/>
            </w:tcBorders>
          </w:tcPr>
          <w:p w14:paraId="1718B8C7"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20"/>
                <w:szCs w:val="20"/>
                <w:lang w:eastAsia="ar-SA"/>
              </w:rPr>
              <w:t xml:space="preserve">Iván Terrado - Jefe de Centro de Monitoreo </w:t>
            </w:r>
          </w:p>
        </w:tc>
        <w:tc>
          <w:tcPr>
            <w:tcW w:w="3322" w:type="dxa"/>
            <w:tcBorders>
              <w:top w:val="single" w:sz="4" w:space="0" w:color="000000"/>
              <w:left w:val="single" w:sz="4" w:space="0" w:color="000000"/>
              <w:bottom w:val="single" w:sz="4" w:space="0" w:color="000000"/>
              <w:right w:val="single" w:sz="4" w:space="0" w:color="000000"/>
            </w:tcBorders>
          </w:tcPr>
          <w:p w14:paraId="2A7564E3"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hyperlink r:id="rId197" w:history="1">
              <w:r w:rsidRPr="00F0379B">
                <w:rPr>
                  <w:rFonts w:ascii="Cambria" w:eastAsia="MS Gothic" w:hAnsi="Cambria" w:cs="Cambria"/>
                  <w:color w:val="0563C1"/>
                  <w:sz w:val="20"/>
                  <w:szCs w:val="20"/>
                  <w:lang w:eastAsia="ar-SA"/>
                </w:rPr>
                <w:t>iterrado@arap.gob.pa</w:t>
              </w:r>
            </w:hyperlink>
            <w:r w:rsidRPr="00F0379B">
              <w:rPr>
                <w:rFonts w:ascii="Cambria" w:eastAsia="MS Gothic" w:hAnsi="Cambria" w:cs="Cambria"/>
                <w:color w:val="000000"/>
                <w:sz w:val="20"/>
                <w:szCs w:val="20"/>
                <w:lang w:eastAsia="ar-SA"/>
              </w:rPr>
              <w:t xml:space="preserve"> </w:t>
            </w:r>
          </w:p>
        </w:tc>
      </w:tr>
      <w:tr w:rsidR="009123AC" w:rsidRPr="00F0379B" w14:paraId="0BB00B97" w14:textId="77777777" w:rsidTr="00CA749B">
        <w:tc>
          <w:tcPr>
            <w:tcW w:w="5742" w:type="dxa"/>
            <w:tcBorders>
              <w:top w:val="single" w:sz="4" w:space="0" w:color="000000"/>
              <w:left w:val="single" w:sz="4" w:space="0" w:color="000000"/>
              <w:bottom w:val="single" w:sz="4" w:space="0" w:color="000000"/>
              <w:right w:val="single" w:sz="4" w:space="0" w:color="000000"/>
            </w:tcBorders>
          </w:tcPr>
          <w:p w14:paraId="0D51E92B"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proofErr w:type="spellStart"/>
            <w:r w:rsidRPr="00F0379B">
              <w:rPr>
                <w:rFonts w:ascii="Cambria" w:eastAsia="MS Gothic" w:hAnsi="Cambria" w:cs="Cambria"/>
                <w:color w:val="000000"/>
                <w:sz w:val="20"/>
                <w:szCs w:val="20"/>
                <w:lang w:eastAsia="ar-SA"/>
              </w:rPr>
              <w:t>cc.</w:t>
            </w:r>
            <w:proofErr w:type="spellEnd"/>
            <w:r w:rsidRPr="00F0379B">
              <w:rPr>
                <w:rFonts w:ascii="Cambria" w:eastAsia="MS Gothic" w:hAnsi="Cambria" w:cs="Cambria"/>
                <w:color w:val="000000"/>
                <w:sz w:val="20"/>
                <w:szCs w:val="20"/>
                <w:lang w:eastAsia="ar-SA"/>
              </w:rPr>
              <w:t xml:space="preserve"> a la Dirección de inspección </w:t>
            </w:r>
          </w:p>
        </w:tc>
        <w:tc>
          <w:tcPr>
            <w:tcW w:w="3322" w:type="dxa"/>
            <w:tcBorders>
              <w:top w:val="single" w:sz="4" w:space="0" w:color="000000"/>
              <w:left w:val="single" w:sz="4" w:space="0" w:color="000000"/>
              <w:bottom w:val="single" w:sz="4" w:space="0" w:color="000000"/>
              <w:right w:val="single" w:sz="4" w:space="0" w:color="000000"/>
            </w:tcBorders>
          </w:tcPr>
          <w:p w14:paraId="1A6ABBB7"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hyperlink r:id="rId198" w:history="1">
              <w:r w:rsidRPr="00F0379B">
                <w:rPr>
                  <w:rFonts w:ascii="Cambria" w:eastAsia="MS Gothic" w:hAnsi="Cambria" w:cs="Cambria"/>
                  <w:color w:val="0563C1"/>
                  <w:sz w:val="20"/>
                  <w:szCs w:val="20"/>
                  <w:lang w:eastAsia="ar-SA"/>
                </w:rPr>
                <w:t>ivc@arap.gob.pa</w:t>
              </w:r>
            </w:hyperlink>
            <w:r w:rsidRPr="00F0379B">
              <w:rPr>
                <w:rFonts w:ascii="Cambria" w:eastAsia="MS Gothic" w:hAnsi="Cambria" w:cs="Cambria"/>
                <w:color w:val="000000"/>
                <w:sz w:val="20"/>
                <w:szCs w:val="20"/>
                <w:lang w:eastAsia="ar-SA"/>
              </w:rPr>
              <w:t xml:space="preserve"> </w:t>
            </w:r>
          </w:p>
        </w:tc>
      </w:tr>
      <w:tr w:rsidR="009123AC" w:rsidRPr="00F0379B" w14:paraId="57D1D542" w14:textId="77777777" w:rsidTr="00CA749B">
        <w:tc>
          <w:tcPr>
            <w:tcW w:w="5742" w:type="dxa"/>
            <w:tcBorders>
              <w:top w:val="single" w:sz="4" w:space="0" w:color="000000"/>
              <w:left w:val="single" w:sz="4" w:space="0" w:color="000000"/>
              <w:bottom w:val="single" w:sz="4" w:space="0" w:color="000000"/>
              <w:right w:val="single" w:sz="4" w:space="0" w:color="000000"/>
            </w:tcBorders>
          </w:tcPr>
          <w:p w14:paraId="7BB9447E"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proofErr w:type="spellStart"/>
            <w:r w:rsidRPr="00F0379B">
              <w:rPr>
                <w:rFonts w:ascii="Cambria" w:eastAsia="MS Gothic" w:hAnsi="Cambria" w:cs="Cambria"/>
                <w:color w:val="000000"/>
                <w:sz w:val="20"/>
                <w:szCs w:val="20"/>
                <w:lang w:eastAsia="ar-SA"/>
              </w:rPr>
              <w:t>cc.</w:t>
            </w:r>
            <w:proofErr w:type="spellEnd"/>
            <w:r w:rsidRPr="00F0379B">
              <w:rPr>
                <w:rFonts w:ascii="Cambria" w:eastAsia="MS Gothic" w:hAnsi="Cambria" w:cs="Cambria"/>
                <w:color w:val="000000"/>
                <w:sz w:val="20"/>
                <w:szCs w:val="20"/>
                <w:lang w:eastAsia="ar-SA"/>
              </w:rPr>
              <w:t xml:space="preserve"> al Centro de Monitoreo pesquero </w:t>
            </w:r>
          </w:p>
        </w:tc>
        <w:tc>
          <w:tcPr>
            <w:tcW w:w="3322" w:type="dxa"/>
            <w:tcBorders>
              <w:top w:val="single" w:sz="4" w:space="0" w:color="000000"/>
              <w:left w:val="single" w:sz="4" w:space="0" w:color="000000"/>
              <w:bottom w:val="single" w:sz="4" w:space="0" w:color="000000"/>
              <w:right w:val="single" w:sz="4" w:space="0" w:color="000000"/>
            </w:tcBorders>
          </w:tcPr>
          <w:p w14:paraId="0D858F29"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hyperlink r:id="rId199" w:history="1">
              <w:r w:rsidRPr="00F0379B">
                <w:rPr>
                  <w:rFonts w:ascii="Cambria" w:eastAsia="MS Gothic" w:hAnsi="Cambria" w:cs="Cambria"/>
                  <w:color w:val="0563C1"/>
                  <w:sz w:val="20"/>
                  <w:szCs w:val="20"/>
                  <w:lang w:eastAsia="ar-SA"/>
                </w:rPr>
                <w:t>monitoreo@arap.gob.pa</w:t>
              </w:r>
            </w:hyperlink>
          </w:p>
        </w:tc>
      </w:tr>
      <w:tr w:rsidR="009123AC" w:rsidRPr="00F0379B" w14:paraId="3ACEC739" w14:textId="77777777" w:rsidTr="00CA749B">
        <w:tc>
          <w:tcPr>
            <w:tcW w:w="5742" w:type="dxa"/>
            <w:tcBorders>
              <w:top w:val="single" w:sz="4" w:space="0" w:color="000000"/>
              <w:left w:val="single" w:sz="4" w:space="0" w:color="000000"/>
              <w:bottom w:val="single" w:sz="4" w:space="0" w:color="000000"/>
              <w:right w:val="single" w:sz="4" w:space="0" w:color="000000"/>
            </w:tcBorders>
          </w:tcPr>
          <w:p w14:paraId="27EF3C1D"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proofErr w:type="spellStart"/>
            <w:r w:rsidRPr="00F0379B">
              <w:rPr>
                <w:rFonts w:ascii="Cambria" w:eastAsia="MS Gothic" w:hAnsi="Cambria" w:cs="Cambria"/>
                <w:color w:val="000000"/>
                <w:sz w:val="20"/>
                <w:szCs w:val="20"/>
                <w:lang w:eastAsia="ar-SA"/>
              </w:rPr>
              <w:t>cc.</w:t>
            </w:r>
            <w:proofErr w:type="spellEnd"/>
            <w:r w:rsidRPr="00F0379B">
              <w:rPr>
                <w:rFonts w:ascii="Cambria" w:eastAsia="MS Gothic" w:hAnsi="Cambria" w:cs="Cambria"/>
                <w:color w:val="000000"/>
                <w:sz w:val="20"/>
                <w:szCs w:val="20"/>
                <w:lang w:eastAsia="ar-SA"/>
              </w:rPr>
              <w:t xml:space="preserve"> Unidad para el Seguimiento de los Organismos Regionales de Ordenación Pesquera (USOROP)</w:t>
            </w:r>
          </w:p>
        </w:tc>
        <w:tc>
          <w:tcPr>
            <w:tcW w:w="3322" w:type="dxa"/>
            <w:tcBorders>
              <w:top w:val="single" w:sz="4" w:space="0" w:color="000000"/>
              <w:left w:val="single" w:sz="4" w:space="0" w:color="000000"/>
              <w:bottom w:val="single" w:sz="4" w:space="0" w:color="000000"/>
              <w:right w:val="single" w:sz="4" w:space="0" w:color="000000"/>
            </w:tcBorders>
          </w:tcPr>
          <w:p w14:paraId="1FE1F709"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563C1"/>
                <w:sz w:val="20"/>
                <w:szCs w:val="20"/>
                <w:lang w:eastAsia="ar-SA"/>
              </w:rPr>
              <w:t>hsfs@arap.gob.pa</w:t>
            </w:r>
          </w:p>
        </w:tc>
      </w:tr>
      <w:tr w:rsidR="009123AC" w:rsidRPr="00F0379B" w14:paraId="079B28EA" w14:textId="77777777" w:rsidTr="00CA749B">
        <w:tc>
          <w:tcPr>
            <w:tcW w:w="5742" w:type="dxa"/>
            <w:tcBorders>
              <w:top w:val="single" w:sz="4" w:space="0" w:color="000000"/>
              <w:left w:val="single" w:sz="4" w:space="0" w:color="000000"/>
              <w:bottom w:val="single" w:sz="4" w:space="0" w:color="000000"/>
              <w:right w:val="single" w:sz="4" w:space="0" w:color="000000"/>
            </w:tcBorders>
          </w:tcPr>
          <w:p w14:paraId="29BD9CF7"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proofErr w:type="spellStart"/>
            <w:r w:rsidRPr="00F0379B">
              <w:rPr>
                <w:rFonts w:ascii="Cambria" w:eastAsia="MS Gothic" w:hAnsi="Cambria" w:cs="Cambria"/>
                <w:color w:val="000000"/>
                <w:sz w:val="20"/>
                <w:szCs w:val="20"/>
                <w:lang w:eastAsia="ar-SA"/>
              </w:rPr>
              <w:t>cc.</w:t>
            </w:r>
            <w:proofErr w:type="spellEnd"/>
            <w:r w:rsidRPr="00F0379B">
              <w:rPr>
                <w:rFonts w:ascii="Cambria" w:eastAsia="MS Gothic" w:hAnsi="Cambria" w:cs="Cambria"/>
                <w:color w:val="000000"/>
                <w:sz w:val="20"/>
                <w:szCs w:val="20"/>
                <w:lang w:eastAsia="ar-SA"/>
              </w:rPr>
              <w:t xml:space="preserve"> Administración General de ARAP</w:t>
            </w:r>
          </w:p>
        </w:tc>
        <w:tc>
          <w:tcPr>
            <w:tcW w:w="3322" w:type="dxa"/>
            <w:tcBorders>
              <w:top w:val="single" w:sz="4" w:space="0" w:color="000000"/>
              <w:left w:val="single" w:sz="4" w:space="0" w:color="000000"/>
              <w:bottom w:val="single" w:sz="4" w:space="0" w:color="000000"/>
              <w:right w:val="single" w:sz="4" w:space="0" w:color="000000"/>
            </w:tcBorders>
          </w:tcPr>
          <w:p w14:paraId="6A3B7F9A"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563C1"/>
                <w:sz w:val="20"/>
                <w:szCs w:val="20"/>
                <w:lang w:eastAsia="ar-SA"/>
              </w:rPr>
              <w:t xml:space="preserve">administraciongeneral@arap.gob.pa </w:t>
            </w:r>
          </w:p>
        </w:tc>
      </w:tr>
    </w:tbl>
    <w:p w14:paraId="667D570C" w14:textId="77777777" w:rsidR="009123AC" w:rsidRPr="00F0379B" w:rsidRDefault="009123AC" w:rsidP="009123AC">
      <w:pPr>
        <w:widowControl w:val="0"/>
        <w:suppressAutoHyphens/>
        <w:spacing w:after="0" w:line="240" w:lineRule="auto"/>
        <w:jc w:val="both"/>
        <w:rPr>
          <w:rFonts w:ascii="Cambria" w:eastAsia="MS Gothic" w:hAnsi="Cambria" w:cs="Cambria"/>
          <w:b/>
          <w:color w:val="000000"/>
          <w:sz w:val="20"/>
          <w:szCs w:val="20"/>
          <w:lang w:eastAsia="zh-CN" w:bidi="fr-FR"/>
        </w:rPr>
      </w:pPr>
    </w:p>
    <w:p w14:paraId="7181507B" w14:textId="77777777" w:rsidR="009123AC" w:rsidRPr="00F0379B" w:rsidRDefault="009123AC" w:rsidP="009123AC">
      <w:pPr>
        <w:widowControl w:val="0"/>
        <w:suppressAutoHyphens/>
        <w:spacing w:after="0" w:line="240" w:lineRule="auto"/>
        <w:rPr>
          <w:rFonts w:ascii="Cambria" w:eastAsia="MS Gothic" w:hAnsi="Cambria" w:cs="Cambria"/>
          <w:b/>
          <w:color w:val="000000"/>
          <w:sz w:val="20"/>
          <w:szCs w:val="20"/>
          <w:lang w:eastAsia="zh-CN" w:bidi="fr-FR"/>
        </w:rPr>
      </w:pPr>
    </w:p>
    <w:p w14:paraId="08F978D2" w14:textId="77777777" w:rsidR="009123AC" w:rsidRPr="00F0379B" w:rsidRDefault="009123AC" w:rsidP="009123AC">
      <w:pPr>
        <w:widowControl w:val="0"/>
        <w:tabs>
          <w:tab w:val="left" w:pos="426"/>
        </w:tabs>
        <w:suppressAutoHyphens/>
        <w:spacing w:after="0" w:line="240" w:lineRule="auto"/>
        <w:rPr>
          <w:rFonts w:ascii="Cambria" w:eastAsia="MS Gothic" w:hAnsi="Cambria" w:cs="Cambria"/>
          <w:iCs/>
          <w:color w:val="000000"/>
          <w:sz w:val="20"/>
          <w:szCs w:val="20"/>
          <w:lang w:eastAsia="zh-CN" w:bidi="fr-FR"/>
        </w:rPr>
      </w:pPr>
      <w:r w:rsidRPr="00F0379B">
        <w:rPr>
          <w:rFonts w:ascii="Cambria" w:eastAsia="MS Gothic" w:hAnsi="Cambria" w:cs="Cambria"/>
          <w:b/>
          <w:i/>
          <w:color w:val="000000"/>
          <w:sz w:val="20"/>
          <w:szCs w:val="20"/>
          <w:lang w:eastAsia="zh-CN" w:bidi="fr-FR"/>
        </w:rPr>
        <w:t>5 b)</w:t>
      </w:r>
      <w:r w:rsidRPr="00F0379B">
        <w:rPr>
          <w:rFonts w:ascii="Cambria" w:eastAsia="MS Gothic" w:hAnsi="Cambria" w:cs="Cambria"/>
          <w:b/>
          <w:i/>
          <w:color w:val="000000"/>
          <w:sz w:val="20"/>
          <w:szCs w:val="20"/>
          <w:lang w:eastAsia="zh-CN" w:bidi="fr-FR"/>
        </w:rPr>
        <w:tab/>
        <w:t>Programa conjunto de Inspección internacional (párrs. 232-235)</w:t>
      </w:r>
    </w:p>
    <w:p w14:paraId="659CC6C3" w14:textId="77777777" w:rsidR="009123AC" w:rsidRPr="00F0379B" w:rsidRDefault="009123AC" w:rsidP="009123AC">
      <w:pPr>
        <w:widowControl w:val="0"/>
        <w:tabs>
          <w:tab w:val="left" w:pos="426"/>
        </w:tabs>
        <w:suppressAutoHyphens/>
        <w:spacing w:after="0" w:line="240" w:lineRule="auto"/>
        <w:rPr>
          <w:rFonts w:ascii="Cambria" w:eastAsia="MS Gothic" w:hAnsi="Cambria" w:cs="Cambria"/>
          <w:iCs/>
          <w:color w:val="000000"/>
          <w:sz w:val="20"/>
          <w:szCs w:val="20"/>
          <w:lang w:eastAsia="zh-CN" w:bidi="fr-FR"/>
        </w:rPr>
      </w:pPr>
    </w:p>
    <w:p w14:paraId="4A8202B4" w14:textId="77777777" w:rsidR="009123AC" w:rsidRPr="00F0379B" w:rsidRDefault="009123AC" w:rsidP="009123AC">
      <w:pPr>
        <w:widowControl w:val="0"/>
        <w:tabs>
          <w:tab w:val="left" w:pos="426"/>
        </w:tabs>
        <w:suppressAutoHyphens/>
        <w:spacing w:after="0" w:line="240" w:lineRule="auto"/>
        <w:rPr>
          <w:rFonts w:ascii="Cambria" w:eastAsia="MS Gothic" w:hAnsi="Cambria" w:cs="Cambria"/>
          <w:color w:val="000000"/>
          <w:sz w:val="20"/>
          <w:szCs w:val="20"/>
          <w:lang w:eastAsia="zh-CN" w:bidi="fr-FR"/>
        </w:rPr>
      </w:pPr>
      <w:r w:rsidRPr="00F0379B">
        <w:rPr>
          <w:rFonts w:ascii="Cambria" w:eastAsia="MS Gothic" w:hAnsi="Cambria" w:cs="Cambria"/>
          <w:iCs/>
          <w:color w:val="000000"/>
          <w:sz w:val="20"/>
          <w:szCs w:val="20"/>
          <w:lang w:eastAsia="zh-CN" w:bidi="fr-FR"/>
        </w:rPr>
        <w:t xml:space="preserve">No aplica. </w:t>
      </w:r>
    </w:p>
    <w:p w14:paraId="78AE8163"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59A6B68A"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6BB5A479" w14:textId="77777777" w:rsidR="009123AC" w:rsidRPr="00F0379B" w:rsidRDefault="009123AC" w:rsidP="00CE0EC8">
      <w:pPr>
        <w:widowControl w:val="0"/>
        <w:numPr>
          <w:ilvl w:val="0"/>
          <w:numId w:val="6"/>
        </w:numPr>
        <w:suppressAutoHyphens/>
        <w:spacing w:after="0" w:line="240" w:lineRule="auto"/>
        <w:ind w:left="426" w:hanging="426"/>
        <w:contextualSpacing/>
        <w:jc w:val="both"/>
        <w:rPr>
          <w:rFonts w:ascii="Cambria" w:eastAsia="MS Gothic" w:hAnsi="Cambria" w:cs="Cambria"/>
          <w:color w:val="000000"/>
          <w:sz w:val="20"/>
          <w:szCs w:val="20"/>
          <w:lang w:eastAsia="zh-CN" w:bidi="fr-FR"/>
        </w:rPr>
      </w:pPr>
      <w:r w:rsidRPr="00F0379B">
        <w:rPr>
          <w:rFonts w:ascii="Cambria" w:eastAsia="MS Gothic" w:hAnsi="Cambria" w:cs="Cambria"/>
          <w:b/>
          <w:color w:val="000000"/>
          <w:sz w:val="20"/>
          <w:szCs w:val="20"/>
          <w:lang w:eastAsia="zh-CN" w:bidi="fr-FR"/>
        </w:rPr>
        <w:t>Otros</w:t>
      </w:r>
    </w:p>
    <w:p w14:paraId="327395B7" w14:textId="77777777" w:rsidR="009123AC" w:rsidRPr="00F0379B" w:rsidRDefault="009123AC" w:rsidP="009123AC">
      <w:pPr>
        <w:widowControl w:val="0"/>
        <w:suppressAutoHyphens/>
        <w:spacing w:after="0" w:line="240" w:lineRule="auto"/>
        <w:jc w:val="both"/>
        <w:rPr>
          <w:rFonts w:ascii="Cambria" w:eastAsia="MS Gothic" w:hAnsi="Cambria" w:cs="Cambria"/>
          <w:color w:val="000000"/>
          <w:sz w:val="20"/>
          <w:szCs w:val="20"/>
          <w:lang w:eastAsia="zh-CN" w:bidi="fr-FR"/>
        </w:rPr>
      </w:pPr>
    </w:p>
    <w:p w14:paraId="17436CB8" w14:textId="77777777" w:rsidR="009123AC" w:rsidRPr="00F0379B" w:rsidRDefault="009123AC" w:rsidP="009123AC">
      <w:pPr>
        <w:widowControl w:val="0"/>
        <w:suppressAutoHyphens/>
        <w:spacing w:after="0" w:line="240" w:lineRule="auto"/>
        <w:jc w:val="both"/>
        <w:rPr>
          <w:rFonts w:ascii="Cambria" w:eastAsia="MS Gothic" w:hAnsi="Cambria" w:cs="Cambria"/>
          <w:b/>
          <w:bCs/>
          <w:color w:val="000000"/>
          <w:sz w:val="20"/>
          <w:szCs w:val="20"/>
          <w:lang w:eastAsia="zh-CN" w:bidi="fr-FR"/>
        </w:rPr>
        <w:sectPr w:rsidR="009123AC" w:rsidRPr="00F0379B" w:rsidSect="009123AC">
          <w:headerReference w:type="default" r:id="rId200"/>
          <w:footerReference w:type="default" r:id="rId201"/>
          <w:pgSz w:w="11906" w:h="16838"/>
          <w:pgMar w:top="1418" w:right="1418" w:bottom="1418" w:left="1418" w:header="851" w:footer="1134" w:gutter="0"/>
          <w:cols w:space="720"/>
          <w:docGrid w:linePitch="360"/>
        </w:sectPr>
      </w:pPr>
      <w:r w:rsidRPr="00F0379B">
        <w:rPr>
          <w:rFonts w:ascii="Cambria" w:eastAsia="MS Gothic" w:hAnsi="Cambria" w:cs="Cambria"/>
          <w:color w:val="000000"/>
          <w:sz w:val="20"/>
          <w:szCs w:val="20"/>
          <w:lang w:eastAsia="zh-CN" w:bidi="fr-FR"/>
        </w:rPr>
        <w:t xml:space="preserve">No aplica. </w:t>
      </w:r>
    </w:p>
    <w:p w14:paraId="10AE7D27" w14:textId="77777777" w:rsidR="009123AC" w:rsidRPr="00F0379B" w:rsidRDefault="009123AC" w:rsidP="009123AC">
      <w:pPr>
        <w:suppressAutoHyphens/>
        <w:spacing w:after="0" w:line="240" w:lineRule="auto"/>
        <w:rPr>
          <w:rFonts w:ascii="Cambria" w:eastAsia="MS Gothic" w:hAnsi="Cambria" w:cs="Cambria"/>
          <w:b/>
          <w:bCs/>
          <w:color w:val="000000"/>
          <w:sz w:val="20"/>
          <w:szCs w:val="20"/>
          <w:lang w:eastAsia="zh-CN" w:bidi="fr-FR"/>
        </w:rPr>
      </w:pPr>
      <w:r w:rsidRPr="00F0379B">
        <w:rPr>
          <w:rFonts w:ascii="Cambria" w:eastAsia="MS Gothic" w:hAnsi="Cambria" w:cs="Cambria"/>
          <w:b/>
          <w:bCs/>
          <w:color w:val="000000"/>
          <w:sz w:val="20"/>
          <w:szCs w:val="20"/>
          <w:lang w:eastAsia="zh-CN" w:bidi="fr-FR"/>
        </w:rPr>
        <w:t>Tabla de capacidad</w:t>
      </w:r>
    </w:p>
    <w:p w14:paraId="1103FE63" w14:textId="77777777" w:rsidR="009123AC" w:rsidRPr="00F0379B" w:rsidRDefault="009123AC" w:rsidP="009123AC">
      <w:pPr>
        <w:suppressAutoHyphens/>
        <w:spacing w:after="0" w:line="240" w:lineRule="auto"/>
        <w:rPr>
          <w:rFonts w:ascii="Cambria" w:eastAsia="MS Gothic" w:hAnsi="Cambria" w:cs="Cambria"/>
          <w:b/>
          <w:bCs/>
          <w:color w:val="000000"/>
          <w:sz w:val="20"/>
          <w:szCs w:val="20"/>
          <w:lang w:eastAsia="zh-CN" w:bidi="fr-FR"/>
        </w:rPr>
      </w:pPr>
    </w:p>
    <w:tbl>
      <w:tblPr>
        <w:tblW w:w="0" w:type="auto"/>
        <w:jc w:val="center"/>
        <w:tblLayout w:type="fixed"/>
        <w:tblLook w:val="0000" w:firstRow="0" w:lastRow="0" w:firstColumn="0" w:lastColumn="0" w:noHBand="0" w:noVBand="0"/>
      </w:tblPr>
      <w:tblGrid>
        <w:gridCol w:w="3624"/>
        <w:gridCol w:w="2563"/>
        <w:gridCol w:w="572"/>
        <w:gridCol w:w="570"/>
        <w:gridCol w:w="572"/>
        <w:gridCol w:w="570"/>
        <w:gridCol w:w="571"/>
        <w:gridCol w:w="572"/>
        <w:gridCol w:w="570"/>
        <w:gridCol w:w="253"/>
        <w:gridCol w:w="570"/>
        <w:gridCol w:w="571"/>
        <w:gridCol w:w="572"/>
        <w:gridCol w:w="570"/>
        <w:gridCol w:w="572"/>
        <w:gridCol w:w="570"/>
        <w:gridCol w:w="572"/>
      </w:tblGrid>
      <w:tr w:rsidR="009123AC" w:rsidRPr="00F0379B" w14:paraId="5F7F69C8" w14:textId="77777777" w:rsidTr="00CA749B">
        <w:trPr>
          <w:trHeight w:val="23"/>
          <w:jc w:val="center"/>
        </w:trPr>
        <w:tc>
          <w:tcPr>
            <w:tcW w:w="3624" w:type="dxa"/>
            <w:tcBorders>
              <w:top w:val="single" w:sz="4" w:space="0" w:color="000000"/>
              <w:left w:val="single" w:sz="4" w:space="0" w:color="000000"/>
              <w:bottom w:val="single" w:sz="4" w:space="0" w:color="000000"/>
              <w:right w:val="single" w:sz="4" w:space="0" w:color="000000"/>
            </w:tcBorders>
            <w:vAlign w:val="center"/>
          </w:tcPr>
          <w:p w14:paraId="6142DECD" w14:textId="77777777" w:rsidR="009123AC" w:rsidRPr="00F0379B" w:rsidRDefault="009123AC" w:rsidP="009123AC">
            <w:pPr>
              <w:keepNext/>
              <w:suppressAutoHyphens/>
              <w:spacing w:after="0" w:line="240" w:lineRule="auto"/>
              <w:jc w:val="center"/>
              <w:outlineLvl w:val="1"/>
              <w:rPr>
                <w:rFonts w:ascii="Times New Roman" w:eastAsia="MS Gothic" w:hAnsi="Times New Roman" w:cs="Times New Roman"/>
                <w:color w:val="000000"/>
                <w:sz w:val="24"/>
                <w:szCs w:val="24"/>
                <w:lang w:eastAsia="zh-CN" w:bidi="fr-FR"/>
              </w:rPr>
            </w:pPr>
            <w:r w:rsidRPr="00F0379B">
              <w:rPr>
                <w:rFonts w:ascii="Cambria" w:eastAsia="MS Gothic" w:hAnsi="Cambria" w:cs="Cambria"/>
                <w:i/>
                <w:color w:val="000000"/>
                <w:sz w:val="16"/>
                <w:szCs w:val="16"/>
                <w:lang w:eastAsia="zh-CN" w:bidi="fr-FR"/>
              </w:rPr>
              <w:t>Tipo de buque atunero</w:t>
            </w:r>
          </w:p>
        </w:tc>
        <w:tc>
          <w:tcPr>
            <w:tcW w:w="2563" w:type="dxa"/>
            <w:tcBorders>
              <w:top w:val="single" w:sz="4" w:space="0" w:color="000000"/>
              <w:left w:val="single" w:sz="4" w:space="0" w:color="000000"/>
              <w:bottom w:val="single" w:sz="4" w:space="0" w:color="000000"/>
              <w:right w:val="single" w:sz="4" w:space="0" w:color="000000"/>
            </w:tcBorders>
            <w:vAlign w:val="center"/>
          </w:tcPr>
          <w:p w14:paraId="5D6A3936"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val="en-US" w:eastAsia="ja-JP"/>
              </w:rPr>
            </w:pPr>
          </w:p>
        </w:tc>
        <w:tc>
          <w:tcPr>
            <w:tcW w:w="1714" w:type="dxa"/>
            <w:gridSpan w:val="3"/>
            <w:tcBorders>
              <w:top w:val="single" w:sz="4" w:space="0" w:color="000000"/>
              <w:left w:val="single" w:sz="4" w:space="0" w:color="000000"/>
              <w:bottom w:val="single" w:sz="4" w:space="0" w:color="000000"/>
              <w:right w:val="single" w:sz="4" w:space="0" w:color="000000"/>
            </w:tcBorders>
          </w:tcPr>
          <w:p w14:paraId="4F21A52F"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i/>
                <w:color w:val="000000"/>
                <w:sz w:val="16"/>
                <w:szCs w:val="16"/>
                <w:lang w:eastAsia="zh-CN" w:bidi="fr-FR"/>
              </w:rPr>
              <w:t>Años de referencia</w:t>
            </w:r>
          </w:p>
        </w:tc>
        <w:tc>
          <w:tcPr>
            <w:tcW w:w="2283" w:type="dxa"/>
            <w:gridSpan w:val="4"/>
            <w:tcBorders>
              <w:top w:val="single" w:sz="4" w:space="0" w:color="000000"/>
              <w:left w:val="single" w:sz="4" w:space="0" w:color="000000"/>
              <w:bottom w:val="single" w:sz="4" w:space="0" w:color="000000"/>
              <w:right w:val="single" w:sz="4" w:space="0" w:color="000000"/>
            </w:tcBorders>
            <w:vAlign w:val="center"/>
          </w:tcPr>
          <w:p w14:paraId="58CACA60"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i/>
                <w:color w:val="000000"/>
                <w:sz w:val="16"/>
                <w:szCs w:val="16"/>
                <w:lang w:eastAsia="zh-CN" w:bidi="fr-FR"/>
              </w:rPr>
              <w:t>N.º de buques</w:t>
            </w: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6C29798" w14:textId="77777777" w:rsidR="009123AC" w:rsidRPr="00F0379B" w:rsidRDefault="009123AC" w:rsidP="009123AC">
            <w:pPr>
              <w:suppressAutoHyphens/>
              <w:snapToGrid w:val="0"/>
              <w:spacing w:after="0" w:line="240" w:lineRule="auto"/>
              <w:jc w:val="center"/>
              <w:rPr>
                <w:rFonts w:ascii="Cambria" w:eastAsia="Times New Roman" w:hAnsi="Cambria" w:cs="Cambria"/>
                <w:color w:val="000000"/>
                <w:sz w:val="16"/>
                <w:szCs w:val="16"/>
                <w:lang w:val="en-US" w:eastAsia="ja-JP"/>
              </w:rPr>
            </w:pPr>
          </w:p>
        </w:tc>
        <w:tc>
          <w:tcPr>
            <w:tcW w:w="1713" w:type="dxa"/>
            <w:gridSpan w:val="3"/>
            <w:tcBorders>
              <w:top w:val="single" w:sz="4" w:space="0" w:color="000000"/>
              <w:left w:val="single" w:sz="4" w:space="0" w:color="000000"/>
              <w:bottom w:val="single" w:sz="4" w:space="0" w:color="000000"/>
              <w:right w:val="single" w:sz="4" w:space="0" w:color="000000"/>
            </w:tcBorders>
          </w:tcPr>
          <w:p w14:paraId="223E9071"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i/>
                <w:color w:val="000000"/>
                <w:sz w:val="16"/>
                <w:szCs w:val="16"/>
                <w:lang w:eastAsia="zh-CN" w:bidi="fr-FR"/>
              </w:rPr>
              <w:t>Años de referencia</w:t>
            </w:r>
          </w:p>
        </w:tc>
        <w:tc>
          <w:tcPr>
            <w:tcW w:w="2284" w:type="dxa"/>
            <w:gridSpan w:val="4"/>
            <w:tcBorders>
              <w:top w:val="single" w:sz="4" w:space="0" w:color="000000"/>
              <w:left w:val="single" w:sz="4" w:space="0" w:color="000000"/>
              <w:bottom w:val="single" w:sz="4" w:space="0" w:color="000000"/>
              <w:right w:val="single" w:sz="4" w:space="0" w:color="000000"/>
            </w:tcBorders>
          </w:tcPr>
          <w:p w14:paraId="5537FA05"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i/>
                <w:color w:val="000000"/>
                <w:sz w:val="16"/>
                <w:szCs w:val="16"/>
                <w:lang w:eastAsia="zh-CN" w:bidi="fr-FR"/>
              </w:rPr>
              <w:t>Capacidad de pesca</w:t>
            </w:r>
          </w:p>
        </w:tc>
      </w:tr>
      <w:tr w:rsidR="009123AC" w:rsidRPr="00F0379B" w14:paraId="64BEFB3B" w14:textId="77777777" w:rsidTr="00CA749B">
        <w:trPr>
          <w:trHeight w:val="23"/>
          <w:jc w:val="center"/>
        </w:trPr>
        <w:tc>
          <w:tcPr>
            <w:tcW w:w="3624" w:type="dxa"/>
            <w:tcBorders>
              <w:top w:val="single" w:sz="4" w:space="0" w:color="000000"/>
              <w:left w:val="single" w:sz="4" w:space="0" w:color="000000"/>
              <w:bottom w:val="single" w:sz="12" w:space="0" w:color="000000"/>
              <w:right w:val="single" w:sz="4" w:space="0" w:color="000000"/>
            </w:tcBorders>
            <w:vAlign w:val="center"/>
          </w:tcPr>
          <w:p w14:paraId="360A00F0"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Tipo</w:t>
            </w:r>
          </w:p>
        </w:tc>
        <w:tc>
          <w:tcPr>
            <w:tcW w:w="2563" w:type="dxa"/>
            <w:tcBorders>
              <w:top w:val="single" w:sz="4" w:space="0" w:color="000000"/>
              <w:left w:val="single" w:sz="4" w:space="0" w:color="000000"/>
              <w:bottom w:val="single" w:sz="12" w:space="0" w:color="000000"/>
              <w:right w:val="single" w:sz="4" w:space="0" w:color="000000"/>
            </w:tcBorders>
            <w:vAlign w:val="center"/>
          </w:tcPr>
          <w:p w14:paraId="38D2C484"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Mejores tasas de captura definidas por el SCRS en 2009 (t)</w:t>
            </w:r>
          </w:p>
        </w:tc>
        <w:tc>
          <w:tcPr>
            <w:tcW w:w="572" w:type="dxa"/>
            <w:tcBorders>
              <w:top w:val="single" w:sz="4" w:space="0" w:color="000000"/>
              <w:left w:val="single" w:sz="4" w:space="0" w:color="000000"/>
              <w:bottom w:val="single" w:sz="12" w:space="0" w:color="000000"/>
              <w:right w:val="single" w:sz="4" w:space="0" w:color="000000"/>
            </w:tcBorders>
            <w:vAlign w:val="center"/>
          </w:tcPr>
          <w:p w14:paraId="08C9C0D1"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2006</w:t>
            </w:r>
          </w:p>
        </w:tc>
        <w:tc>
          <w:tcPr>
            <w:tcW w:w="570" w:type="dxa"/>
            <w:tcBorders>
              <w:top w:val="single" w:sz="4" w:space="0" w:color="000000"/>
              <w:left w:val="single" w:sz="4" w:space="0" w:color="000000"/>
              <w:bottom w:val="single" w:sz="12" w:space="0" w:color="000000"/>
              <w:right w:val="single" w:sz="4" w:space="0" w:color="000000"/>
            </w:tcBorders>
            <w:vAlign w:val="center"/>
          </w:tcPr>
          <w:p w14:paraId="3EF6C2A1"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2008</w:t>
            </w:r>
          </w:p>
        </w:tc>
        <w:tc>
          <w:tcPr>
            <w:tcW w:w="572" w:type="dxa"/>
            <w:tcBorders>
              <w:top w:val="single" w:sz="4" w:space="0" w:color="000000"/>
              <w:left w:val="single" w:sz="4" w:space="0" w:color="000000"/>
              <w:bottom w:val="single" w:sz="12" w:space="0" w:color="000000"/>
              <w:right w:val="single" w:sz="4" w:space="0" w:color="000000"/>
            </w:tcBorders>
            <w:vAlign w:val="center"/>
          </w:tcPr>
          <w:p w14:paraId="1B9576E1"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2018</w:t>
            </w:r>
          </w:p>
        </w:tc>
        <w:tc>
          <w:tcPr>
            <w:tcW w:w="570" w:type="dxa"/>
            <w:tcBorders>
              <w:top w:val="single" w:sz="4" w:space="0" w:color="000000"/>
              <w:left w:val="single" w:sz="4" w:space="0" w:color="000000"/>
              <w:bottom w:val="single" w:sz="12" w:space="0" w:color="000000"/>
              <w:right w:val="single" w:sz="4" w:space="0" w:color="000000"/>
            </w:tcBorders>
            <w:vAlign w:val="center"/>
          </w:tcPr>
          <w:p w14:paraId="4FFE47CA"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2023</w:t>
            </w:r>
          </w:p>
        </w:tc>
        <w:tc>
          <w:tcPr>
            <w:tcW w:w="571" w:type="dxa"/>
            <w:tcBorders>
              <w:top w:val="single" w:sz="4" w:space="0" w:color="000000"/>
              <w:left w:val="single" w:sz="4" w:space="0" w:color="000000"/>
              <w:bottom w:val="single" w:sz="12" w:space="0" w:color="000000"/>
              <w:right w:val="single" w:sz="4" w:space="0" w:color="000000"/>
            </w:tcBorders>
            <w:vAlign w:val="center"/>
          </w:tcPr>
          <w:p w14:paraId="6914F71B"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2024</w:t>
            </w:r>
          </w:p>
        </w:tc>
        <w:tc>
          <w:tcPr>
            <w:tcW w:w="572" w:type="dxa"/>
            <w:tcBorders>
              <w:top w:val="single" w:sz="4" w:space="0" w:color="000000"/>
              <w:left w:val="single" w:sz="4" w:space="0" w:color="000000"/>
              <w:bottom w:val="single" w:sz="12" w:space="0" w:color="000000"/>
              <w:right w:val="single" w:sz="4" w:space="0" w:color="000000"/>
            </w:tcBorders>
            <w:vAlign w:val="center"/>
          </w:tcPr>
          <w:p w14:paraId="6458C822"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2025</w:t>
            </w:r>
          </w:p>
        </w:tc>
        <w:tc>
          <w:tcPr>
            <w:tcW w:w="570" w:type="dxa"/>
            <w:tcBorders>
              <w:top w:val="single" w:sz="4" w:space="0" w:color="000000"/>
              <w:left w:val="single" w:sz="4" w:space="0" w:color="000000"/>
              <w:bottom w:val="single" w:sz="12" w:space="0" w:color="000000"/>
              <w:right w:val="single" w:sz="4" w:space="0" w:color="000000"/>
            </w:tcBorders>
            <w:vAlign w:val="center"/>
          </w:tcPr>
          <w:p w14:paraId="3D02ADD3"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2026</w:t>
            </w:r>
          </w:p>
        </w:tc>
        <w:tc>
          <w:tcPr>
            <w:tcW w:w="253" w:type="dxa"/>
            <w:tcBorders>
              <w:top w:val="single" w:sz="4" w:space="0" w:color="000000"/>
              <w:left w:val="single" w:sz="4" w:space="0" w:color="000000"/>
              <w:bottom w:val="single" w:sz="12" w:space="0" w:color="000000"/>
              <w:right w:val="single" w:sz="4" w:space="0" w:color="000000"/>
            </w:tcBorders>
            <w:shd w:val="clear" w:color="auto" w:fill="D9D9D9"/>
            <w:vAlign w:val="center"/>
          </w:tcPr>
          <w:p w14:paraId="2AD33997"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val="en-US" w:eastAsia="ja-JP"/>
              </w:rPr>
            </w:pPr>
          </w:p>
        </w:tc>
        <w:tc>
          <w:tcPr>
            <w:tcW w:w="570" w:type="dxa"/>
            <w:tcBorders>
              <w:top w:val="single" w:sz="4" w:space="0" w:color="000000"/>
              <w:left w:val="single" w:sz="4" w:space="0" w:color="000000"/>
              <w:bottom w:val="single" w:sz="12" w:space="0" w:color="000000"/>
              <w:right w:val="single" w:sz="4" w:space="0" w:color="000000"/>
            </w:tcBorders>
            <w:vAlign w:val="center"/>
          </w:tcPr>
          <w:p w14:paraId="045529B4"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2006</w:t>
            </w:r>
          </w:p>
        </w:tc>
        <w:tc>
          <w:tcPr>
            <w:tcW w:w="571" w:type="dxa"/>
            <w:tcBorders>
              <w:top w:val="single" w:sz="4" w:space="0" w:color="000000"/>
              <w:left w:val="single" w:sz="4" w:space="0" w:color="000000"/>
              <w:bottom w:val="single" w:sz="12" w:space="0" w:color="000000"/>
              <w:right w:val="single" w:sz="4" w:space="0" w:color="000000"/>
            </w:tcBorders>
            <w:vAlign w:val="center"/>
          </w:tcPr>
          <w:p w14:paraId="522D9BAE"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2008</w:t>
            </w:r>
          </w:p>
        </w:tc>
        <w:tc>
          <w:tcPr>
            <w:tcW w:w="572" w:type="dxa"/>
            <w:tcBorders>
              <w:top w:val="single" w:sz="4" w:space="0" w:color="000000"/>
              <w:left w:val="single" w:sz="4" w:space="0" w:color="000000"/>
              <w:bottom w:val="single" w:sz="12" w:space="0" w:color="000000"/>
              <w:right w:val="single" w:sz="4" w:space="0" w:color="000000"/>
            </w:tcBorders>
            <w:vAlign w:val="center"/>
          </w:tcPr>
          <w:p w14:paraId="3ABA5261"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2018</w:t>
            </w:r>
          </w:p>
        </w:tc>
        <w:tc>
          <w:tcPr>
            <w:tcW w:w="570" w:type="dxa"/>
            <w:tcBorders>
              <w:top w:val="single" w:sz="4" w:space="0" w:color="000000"/>
              <w:left w:val="single" w:sz="4" w:space="0" w:color="000000"/>
              <w:bottom w:val="single" w:sz="12" w:space="0" w:color="000000"/>
              <w:right w:val="single" w:sz="4" w:space="0" w:color="000000"/>
            </w:tcBorders>
            <w:vAlign w:val="center"/>
          </w:tcPr>
          <w:p w14:paraId="18F729DC"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2023</w:t>
            </w:r>
          </w:p>
        </w:tc>
        <w:tc>
          <w:tcPr>
            <w:tcW w:w="572" w:type="dxa"/>
            <w:tcBorders>
              <w:top w:val="single" w:sz="4" w:space="0" w:color="000000"/>
              <w:left w:val="single" w:sz="4" w:space="0" w:color="000000"/>
              <w:bottom w:val="single" w:sz="12" w:space="0" w:color="000000"/>
              <w:right w:val="single" w:sz="4" w:space="0" w:color="000000"/>
            </w:tcBorders>
            <w:vAlign w:val="center"/>
          </w:tcPr>
          <w:p w14:paraId="5D0D8F7F"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2024</w:t>
            </w:r>
          </w:p>
        </w:tc>
        <w:tc>
          <w:tcPr>
            <w:tcW w:w="570" w:type="dxa"/>
            <w:tcBorders>
              <w:top w:val="single" w:sz="4" w:space="0" w:color="000000"/>
              <w:left w:val="single" w:sz="4" w:space="0" w:color="000000"/>
              <w:bottom w:val="single" w:sz="12" w:space="0" w:color="000000"/>
              <w:right w:val="single" w:sz="4" w:space="0" w:color="000000"/>
            </w:tcBorders>
            <w:vAlign w:val="center"/>
          </w:tcPr>
          <w:p w14:paraId="6C46EC47"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2025</w:t>
            </w:r>
          </w:p>
        </w:tc>
        <w:tc>
          <w:tcPr>
            <w:tcW w:w="572" w:type="dxa"/>
            <w:tcBorders>
              <w:top w:val="single" w:sz="4" w:space="0" w:color="000000"/>
              <w:left w:val="single" w:sz="4" w:space="0" w:color="000000"/>
              <w:bottom w:val="single" w:sz="12" w:space="0" w:color="000000"/>
              <w:right w:val="single" w:sz="4" w:space="0" w:color="000000"/>
            </w:tcBorders>
            <w:vAlign w:val="center"/>
          </w:tcPr>
          <w:p w14:paraId="77E34445"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2026</w:t>
            </w:r>
          </w:p>
        </w:tc>
      </w:tr>
      <w:tr w:rsidR="009123AC" w:rsidRPr="00F0379B" w14:paraId="0B1FAF32" w14:textId="77777777" w:rsidTr="00CA749B">
        <w:trPr>
          <w:trHeight w:val="247"/>
          <w:jc w:val="center"/>
        </w:trPr>
        <w:tc>
          <w:tcPr>
            <w:tcW w:w="3624" w:type="dxa"/>
            <w:tcBorders>
              <w:top w:val="single" w:sz="12" w:space="0" w:color="000000"/>
              <w:left w:val="single" w:sz="12" w:space="0" w:color="000000"/>
              <w:bottom w:val="single" w:sz="4" w:space="0" w:color="000000"/>
              <w:right w:val="single" w:sz="4" w:space="0" w:color="000000"/>
            </w:tcBorders>
            <w:vAlign w:val="center"/>
          </w:tcPr>
          <w:p w14:paraId="0DB9037E"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Cerqueros de más de 40 m</w:t>
            </w:r>
          </w:p>
        </w:tc>
        <w:tc>
          <w:tcPr>
            <w:tcW w:w="2563" w:type="dxa"/>
            <w:tcBorders>
              <w:top w:val="single" w:sz="12" w:space="0" w:color="000000"/>
              <w:left w:val="single" w:sz="4" w:space="0" w:color="000000"/>
              <w:bottom w:val="single" w:sz="4" w:space="0" w:color="000000"/>
              <w:right w:val="single" w:sz="4" w:space="0" w:color="000000"/>
            </w:tcBorders>
            <w:vAlign w:val="center"/>
          </w:tcPr>
          <w:p w14:paraId="0DC7B252"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70,66</w:t>
            </w:r>
          </w:p>
        </w:tc>
        <w:tc>
          <w:tcPr>
            <w:tcW w:w="572" w:type="dxa"/>
            <w:tcBorders>
              <w:top w:val="single" w:sz="12" w:space="0" w:color="000000"/>
              <w:left w:val="single" w:sz="4" w:space="0" w:color="000000"/>
              <w:bottom w:val="single" w:sz="4" w:space="0" w:color="000000"/>
              <w:right w:val="single" w:sz="4" w:space="0" w:color="000000"/>
            </w:tcBorders>
          </w:tcPr>
          <w:p w14:paraId="4110BA72"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12" w:space="0" w:color="000000"/>
              <w:left w:val="single" w:sz="4" w:space="0" w:color="000000"/>
              <w:bottom w:val="single" w:sz="4" w:space="0" w:color="000000"/>
              <w:right w:val="single" w:sz="4" w:space="0" w:color="000000"/>
            </w:tcBorders>
            <w:vAlign w:val="center"/>
          </w:tcPr>
          <w:p w14:paraId="39CD8C45"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2" w:type="dxa"/>
            <w:tcBorders>
              <w:top w:val="single" w:sz="12" w:space="0" w:color="000000"/>
              <w:left w:val="single" w:sz="4" w:space="0" w:color="000000"/>
              <w:bottom w:val="single" w:sz="4" w:space="0" w:color="000000"/>
              <w:right w:val="single" w:sz="4" w:space="0" w:color="000000"/>
            </w:tcBorders>
            <w:vAlign w:val="center"/>
          </w:tcPr>
          <w:p w14:paraId="1D8AF947"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0" w:type="dxa"/>
            <w:tcBorders>
              <w:top w:val="single" w:sz="12" w:space="0" w:color="000000"/>
              <w:left w:val="single" w:sz="4" w:space="0" w:color="000000"/>
              <w:bottom w:val="single" w:sz="4" w:space="0" w:color="000000"/>
              <w:right w:val="single" w:sz="4" w:space="0" w:color="000000"/>
            </w:tcBorders>
            <w:vAlign w:val="center"/>
          </w:tcPr>
          <w:p w14:paraId="7789D3D5"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1" w:type="dxa"/>
            <w:tcBorders>
              <w:top w:val="single" w:sz="12" w:space="0" w:color="000000"/>
              <w:left w:val="single" w:sz="4" w:space="0" w:color="000000"/>
              <w:bottom w:val="single" w:sz="4" w:space="0" w:color="000000"/>
              <w:right w:val="single" w:sz="4" w:space="0" w:color="000000"/>
            </w:tcBorders>
            <w:vAlign w:val="center"/>
          </w:tcPr>
          <w:p w14:paraId="7D9097AC"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2" w:type="dxa"/>
            <w:tcBorders>
              <w:top w:val="single" w:sz="12" w:space="0" w:color="000000"/>
              <w:left w:val="single" w:sz="4" w:space="0" w:color="000000"/>
              <w:bottom w:val="single" w:sz="4" w:space="0" w:color="000000"/>
              <w:right w:val="single" w:sz="4" w:space="0" w:color="000000"/>
            </w:tcBorders>
          </w:tcPr>
          <w:p w14:paraId="2F17A715"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val="en-US" w:eastAsia="ja-JP"/>
              </w:rPr>
            </w:pPr>
          </w:p>
        </w:tc>
        <w:tc>
          <w:tcPr>
            <w:tcW w:w="570" w:type="dxa"/>
            <w:tcBorders>
              <w:top w:val="single" w:sz="12" w:space="0" w:color="000000"/>
              <w:left w:val="single" w:sz="4" w:space="0" w:color="000000"/>
              <w:bottom w:val="single" w:sz="4" w:space="0" w:color="000000"/>
              <w:right w:val="single" w:sz="4" w:space="0" w:color="000000"/>
            </w:tcBorders>
          </w:tcPr>
          <w:p w14:paraId="3971A560"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12" w:space="0" w:color="000000"/>
              <w:left w:val="single" w:sz="4" w:space="0" w:color="000000"/>
              <w:bottom w:val="single" w:sz="4" w:space="0" w:color="000000"/>
              <w:right w:val="single" w:sz="4" w:space="0" w:color="000000"/>
            </w:tcBorders>
            <w:shd w:val="clear" w:color="auto" w:fill="D9D9D9"/>
            <w:vAlign w:val="center"/>
          </w:tcPr>
          <w:p w14:paraId="57E2180F"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0" w:type="dxa"/>
            <w:tcBorders>
              <w:top w:val="single" w:sz="12" w:space="0" w:color="000000"/>
              <w:left w:val="single" w:sz="4" w:space="0" w:color="000000"/>
              <w:bottom w:val="single" w:sz="4" w:space="0" w:color="000000"/>
              <w:right w:val="single" w:sz="4" w:space="0" w:color="000000"/>
            </w:tcBorders>
          </w:tcPr>
          <w:p w14:paraId="17C1DC88"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1" w:type="dxa"/>
            <w:tcBorders>
              <w:top w:val="single" w:sz="12" w:space="0" w:color="000000"/>
              <w:left w:val="single" w:sz="4" w:space="0" w:color="000000"/>
              <w:bottom w:val="single" w:sz="4" w:space="0" w:color="000000"/>
              <w:right w:val="single" w:sz="4" w:space="0" w:color="000000"/>
            </w:tcBorders>
            <w:vAlign w:val="center"/>
          </w:tcPr>
          <w:p w14:paraId="03360229"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2" w:type="dxa"/>
            <w:tcBorders>
              <w:top w:val="single" w:sz="12" w:space="0" w:color="000000"/>
              <w:left w:val="single" w:sz="4" w:space="0" w:color="000000"/>
              <w:bottom w:val="single" w:sz="4" w:space="0" w:color="000000"/>
              <w:right w:val="single" w:sz="4" w:space="0" w:color="000000"/>
            </w:tcBorders>
            <w:vAlign w:val="center"/>
          </w:tcPr>
          <w:p w14:paraId="49FD8D93"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12" w:space="0" w:color="000000"/>
              <w:left w:val="single" w:sz="4" w:space="0" w:color="000000"/>
              <w:bottom w:val="single" w:sz="4" w:space="0" w:color="000000"/>
              <w:right w:val="single" w:sz="4" w:space="0" w:color="000000"/>
            </w:tcBorders>
            <w:vAlign w:val="center"/>
          </w:tcPr>
          <w:p w14:paraId="1F2D2077"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12" w:space="0" w:color="000000"/>
              <w:left w:val="single" w:sz="4" w:space="0" w:color="000000"/>
              <w:bottom w:val="single" w:sz="4" w:space="0" w:color="000000"/>
              <w:right w:val="single" w:sz="4" w:space="0" w:color="000000"/>
            </w:tcBorders>
            <w:vAlign w:val="center"/>
          </w:tcPr>
          <w:p w14:paraId="21433A77"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12" w:space="0" w:color="000000"/>
              <w:left w:val="single" w:sz="4" w:space="0" w:color="000000"/>
              <w:bottom w:val="single" w:sz="4" w:space="0" w:color="000000"/>
              <w:right w:val="single" w:sz="4" w:space="0" w:color="000000"/>
            </w:tcBorders>
          </w:tcPr>
          <w:p w14:paraId="2B26BAC7"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12" w:space="0" w:color="000000"/>
              <w:left w:val="single" w:sz="4" w:space="0" w:color="000000"/>
              <w:bottom w:val="single" w:sz="4" w:space="0" w:color="000000"/>
              <w:right w:val="single" w:sz="12" w:space="0" w:color="000000"/>
            </w:tcBorders>
          </w:tcPr>
          <w:p w14:paraId="07D82C14"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r>
      <w:tr w:rsidR="009123AC" w:rsidRPr="00F0379B" w14:paraId="3C767C49" w14:textId="77777777" w:rsidTr="00CA749B">
        <w:trPr>
          <w:trHeight w:val="23"/>
          <w:jc w:val="center"/>
        </w:trPr>
        <w:tc>
          <w:tcPr>
            <w:tcW w:w="3624" w:type="dxa"/>
            <w:tcBorders>
              <w:top w:val="single" w:sz="4" w:space="0" w:color="000000"/>
              <w:left w:val="single" w:sz="12" w:space="0" w:color="000000"/>
              <w:bottom w:val="single" w:sz="4" w:space="0" w:color="000000"/>
              <w:right w:val="single" w:sz="4" w:space="0" w:color="000000"/>
            </w:tcBorders>
            <w:vAlign w:val="center"/>
          </w:tcPr>
          <w:p w14:paraId="5990BFEB"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Cerqueros entre 24 y 40 m</w:t>
            </w:r>
          </w:p>
        </w:tc>
        <w:tc>
          <w:tcPr>
            <w:tcW w:w="2563" w:type="dxa"/>
            <w:tcBorders>
              <w:top w:val="single" w:sz="4" w:space="0" w:color="000000"/>
              <w:left w:val="single" w:sz="4" w:space="0" w:color="000000"/>
              <w:bottom w:val="single" w:sz="4" w:space="0" w:color="000000"/>
              <w:right w:val="single" w:sz="4" w:space="0" w:color="000000"/>
            </w:tcBorders>
            <w:vAlign w:val="center"/>
          </w:tcPr>
          <w:p w14:paraId="211F8166"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49,78</w:t>
            </w:r>
          </w:p>
        </w:tc>
        <w:tc>
          <w:tcPr>
            <w:tcW w:w="572" w:type="dxa"/>
            <w:tcBorders>
              <w:top w:val="single" w:sz="4" w:space="0" w:color="000000"/>
              <w:left w:val="single" w:sz="4" w:space="0" w:color="000000"/>
              <w:bottom w:val="single" w:sz="4" w:space="0" w:color="000000"/>
              <w:right w:val="single" w:sz="4" w:space="0" w:color="000000"/>
            </w:tcBorders>
          </w:tcPr>
          <w:p w14:paraId="50B3F687"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23057608"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238DD458"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1317F9BB"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19D43288"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tcPr>
          <w:p w14:paraId="7CA35CB3"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val="en-US" w:eastAsia="ja-JP"/>
              </w:rPr>
            </w:pPr>
          </w:p>
        </w:tc>
        <w:tc>
          <w:tcPr>
            <w:tcW w:w="570" w:type="dxa"/>
            <w:tcBorders>
              <w:top w:val="single" w:sz="4" w:space="0" w:color="000000"/>
              <w:left w:val="single" w:sz="4" w:space="0" w:color="000000"/>
              <w:bottom w:val="single" w:sz="4" w:space="0" w:color="000000"/>
              <w:right w:val="single" w:sz="4" w:space="0" w:color="000000"/>
            </w:tcBorders>
          </w:tcPr>
          <w:p w14:paraId="2228424E"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8466CD"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0" w:type="dxa"/>
            <w:tcBorders>
              <w:top w:val="single" w:sz="4" w:space="0" w:color="000000"/>
              <w:left w:val="single" w:sz="4" w:space="0" w:color="000000"/>
              <w:bottom w:val="single" w:sz="4" w:space="0" w:color="000000"/>
              <w:right w:val="single" w:sz="4" w:space="0" w:color="000000"/>
            </w:tcBorders>
          </w:tcPr>
          <w:p w14:paraId="5B68B6B7"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5B366837"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5148E8BC"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75155D91"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4FB38BBF"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tcPr>
          <w:p w14:paraId="3604F2D5"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12" w:space="0" w:color="000000"/>
            </w:tcBorders>
          </w:tcPr>
          <w:p w14:paraId="76E4A40D"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r>
      <w:tr w:rsidR="009123AC" w:rsidRPr="00F0379B" w14:paraId="7E3C4FDD" w14:textId="77777777" w:rsidTr="00CA749B">
        <w:trPr>
          <w:trHeight w:val="23"/>
          <w:jc w:val="center"/>
        </w:trPr>
        <w:tc>
          <w:tcPr>
            <w:tcW w:w="3624" w:type="dxa"/>
            <w:tcBorders>
              <w:top w:val="single" w:sz="4" w:space="0" w:color="000000"/>
              <w:left w:val="single" w:sz="12" w:space="0" w:color="000000"/>
              <w:bottom w:val="single" w:sz="4" w:space="0" w:color="000000"/>
              <w:right w:val="single" w:sz="4" w:space="0" w:color="000000"/>
            </w:tcBorders>
            <w:vAlign w:val="center"/>
          </w:tcPr>
          <w:p w14:paraId="288AD636"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Cerqueros de menos de 24 m</w:t>
            </w:r>
          </w:p>
        </w:tc>
        <w:tc>
          <w:tcPr>
            <w:tcW w:w="2563" w:type="dxa"/>
            <w:tcBorders>
              <w:top w:val="single" w:sz="4" w:space="0" w:color="000000"/>
              <w:left w:val="single" w:sz="4" w:space="0" w:color="000000"/>
              <w:bottom w:val="single" w:sz="4" w:space="0" w:color="000000"/>
              <w:right w:val="single" w:sz="4" w:space="0" w:color="000000"/>
            </w:tcBorders>
            <w:vAlign w:val="center"/>
          </w:tcPr>
          <w:p w14:paraId="7148995A"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33,68</w:t>
            </w:r>
          </w:p>
        </w:tc>
        <w:tc>
          <w:tcPr>
            <w:tcW w:w="572" w:type="dxa"/>
            <w:tcBorders>
              <w:top w:val="single" w:sz="4" w:space="0" w:color="000000"/>
              <w:left w:val="single" w:sz="4" w:space="0" w:color="000000"/>
              <w:bottom w:val="single" w:sz="4" w:space="0" w:color="000000"/>
              <w:right w:val="single" w:sz="4" w:space="0" w:color="000000"/>
            </w:tcBorders>
          </w:tcPr>
          <w:p w14:paraId="092FF355"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0F96AB12"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222D84F1"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4751DC41"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2A7B8720"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tcPr>
          <w:p w14:paraId="5FFBA479"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val="en-US" w:eastAsia="ja-JP"/>
              </w:rPr>
            </w:pPr>
          </w:p>
        </w:tc>
        <w:tc>
          <w:tcPr>
            <w:tcW w:w="570" w:type="dxa"/>
            <w:tcBorders>
              <w:top w:val="single" w:sz="4" w:space="0" w:color="000000"/>
              <w:left w:val="single" w:sz="4" w:space="0" w:color="000000"/>
              <w:bottom w:val="single" w:sz="4" w:space="0" w:color="000000"/>
              <w:right w:val="single" w:sz="4" w:space="0" w:color="000000"/>
            </w:tcBorders>
          </w:tcPr>
          <w:p w14:paraId="53E1AB98"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80C6CE"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0" w:type="dxa"/>
            <w:tcBorders>
              <w:top w:val="single" w:sz="4" w:space="0" w:color="000000"/>
              <w:left w:val="single" w:sz="4" w:space="0" w:color="000000"/>
              <w:bottom w:val="single" w:sz="4" w:space="0" w:color="000000"/>
              <w:right w:val="single" w:sz="4" w:space="0" w:color="000000"/>
            </w:tcBorders>
          </w:tcPr>
          <w:p w14:paraId="4E57857B"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0EA8A5D0"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76EDE624"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1FA2DB28"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45BE4C8C"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tcPr>
          <w:p w14:paraId="308B677C"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12" w:space="0" w:color="000000"/>
            </w:tcBorders>
          </w:tcPr>
          <w:p w14:paraId="6F0DC49B"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r>
      <w:tr w:rsidR="009123AC" w:rsidRPr="00F0379B" w14:paraId="7FB1C7CD" w14:textId="77777777" w:rsidTr="00CA749B">
        <w:trPr>
          <w:trHeight w:val="23"/>
          <w:jc w:val="center"/>
        </w:trPr>
        <w:tc>
          <w:tcPr>
            <w:tcW w:w="3624" w:type="dxa"/>
            <w:tcBorders>
              <w:top w:val="single" w:sz="4" w:space="0" w:color="000000"/>
              <w:left w:val="single" w:sz="12" w:space="0" w:color="000000"/>
              <w:bottom w:val="single" w:sz="4" w:space="0" w:color="000000"/>
              <w:right w:val="single" w:sz="4" w:space="0" w:color="000000"/>
            </w:tcBorders>
            <w:vAlign w:val="center"/>
          </w:tcPr>
          <w:p w14:paraId="6AD0BE4E"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Total flota de cerco</w:t>
            </w:r>
          </w:p>
        </w:tc>
        <w:tc>
          <w:tcPr>
            <w:tcW w:w="2563" w:type="dxa"/>
            <w:tcBorders>
              <w:top w:val="single" w:sz="4" w:space="0" w:color="000000"/>
              <w:left w:val="single" w:sz="4" w:space="0" w:color="000000"/>
              <w:bottom w:val="single" w:sz="4" w:space="0" w:color="000000"/>
              <w:right w:val="single" w:sz="4" w:space="0" w:color="000000"/>
            </w:tcBorders>
            <w:vAlign w:val="center"/>
          </w:tcPr>
          <w:p w14:paraId="65219B43"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2" w:type="dxa"/>
            <w:tcBorders>
              <w:top w:val="single" w:sz="4" w:space="0" w:color="000000"/>
              <w:left w:val="single" w:sz="4" w:space="0" w:color="000000"/>
              <w:bottom w:val="single" w:sz="4" w:space="0" w:color="000000"/>
              <w:right w:val="single" w:sz="4" w:space="0" w:color="000000"/>
            </w:tcBorders>
          </w:tcPr>
          <w:p w14:paraId="554E4CF4"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37EB10E5"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4FF3FC61"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5E25F140"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zh-CN" w:bidi="fr-FR"/>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70A5002F"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tcPr>
          <w:p w14:paraId="05050669"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val="en-US" w:eastAsia="ja-JP"/>
              </w:rPr>
            </w:pPr>
          </w:p>
        </w:tc>
        <w:tc>
          <w:tcPr>
            <w:tcW w:w="570" w:type="dxa"/>
            <w:tcBorders>
              <w:top w:val="single" w:sz="4" w:space="0" w:color="000000"/>
              <w:left w:val="single" w:sz="4" w:space="0" w:color="000000"/>
              <w:bottom w:val="single" w:sz="4" w:space="0" w:color="000000"/>
              <w:right w:val="single" w:sz="4" w:space="0" w:color="000000"/>
            </w:tcBorders>
          </w:tcPr>
          <w:p w14:paraId="2CD39D06"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val="en-US" w:eastAsia="ja-JP"/>
              </w:rPr>
            </w:pP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3BAF78"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 </w:t>
            </w:r>
          </w:p>
        </w:tc>
        <w:tc>
          <w:tcPr>
            <w:tcW w:w="570" w:type="dxa"/>
            <w:tcBorders>
              <w:top w:val="single" w:sz="4" w:space="0" w:color="000000"/>
              <w:left w:val="single" w:sz="4" w:space="0" w:color="000000"/>
              <w:bottom w:val="single" w:sz="4" w:space="0" w:color="000000"/>
              <w:right w:val="single" w:sz="4" w:space="0" w:color="000000"/>
            </w:tcBorders>
          </w:tcPr>
          <w:p w14:paraId="05C76298"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4D1E0615"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13DC3B8F"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02E58DF5"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3B839B8A"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tcPr>
          <w:p w14:paraId="42F2C511"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12" w:space="0" w:color="000000"/>
            </w:tcBorders>
          </w:tcPr>
          <w:p w14:paraId="767EF60A"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val="en-US" w:eastAsia="ja-JP"/>
              </w:rPr>
            </w:pPr>
          </w:p>
        </w:tc>
      </w:tr>
      <w:tr w:rsidR="009123AC" w:rsidRPr="00F0379B" w14:paraId="7C787AF8" w14:textId="77777777" w:rsidTr="00CA749B">
        <w:trPr>
          <w:trHeight w:val="23"/>
          <w:jc w:val="center"/>
        </w:trPr>
        <w:tc>
          <w:tcPr>
            <w:tcW w:w="3624" w:type="dxa"/>
            <w:tcBorders>
              <w:top w:val="single" w:sz="4" w:space="0" w:color="000000"/>
              <w:left w:val="single" w:sz="12" w:space="0" w:color="000000"/>
              <w:bottom w:val="single" w:sz="4" w:space="0" w:color="000000"/>
              <w:right w:val="single" w:sz="4" w:space="0" w:color="000000"/>
            </w:tcBorders>
            <w:vAlign w:val="center"/>
          </w:tcPr>
          <w:p w14:paraId="624B1282"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Palangreros de más de 40 m</w:t>
            </w:r>
          </w:p>
        </w:tc>
        <w:tc>
          <w:tcPr>
            <w:tcW w:w="2563" w:type="dxa"/>
            <w:tcBorders>
              <w:top w:val="single" w:sz="4" w:space="0" w:color="000000"/>
              <w:left w:val="single" w:sz="4" w:space="0" w:color="000000"/>
              <w:bottom w:val="single" w:sz="4" w:space="0" w:color="000000"/>
              <w:right w:val="single" w:sz="4" w:space="0" w:color="000000"/>
            </w:tcBorders>
            <w:vAlign w:val="center"/>
          </w:tcPr>
          <w:p w14:paraId="7511FBFC"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25</w:t>
            </w:r>
          </w:p>
        </w:tc>
        <w:tc>
          <w:tcPr>
            <w:tcW w:w="572" w:type="dxa"/>
            <w:tcBorders>
              <w:top w:val="single" w:sz="4" w:space="0" w:color="000000"/>
              <w:left w:val="single" w:sz="4" w:space="0" w:color="000000"/>
              <w:bottom w:val="single" w:sz="4" w:space="0" w:color="000000"/>
              <w:right w:val="single" w:sz="4" w:space="0" w:color="000000"/>
            </w:tcBorders>
          </w:tcPr>
          <w:p w14:paraId="4DFCEEED"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7B66E804"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35DFCD33"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65CFFF28"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777C955E"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tcPr>
          <w:p w14:paraId="017B3050"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val="en-US" w:eastAsia="ja-JP"/>
              </w:rPr>
            </w:pPr>
          </w:p>
        </w:tc>
        <w:tc>
          <w:tcPr>
            <w:tcW w:w="570" w:type="dxa"/>
            <w:tcBorders>
              <w:top w:val="single" w:sz="4" w:space="0" w:color="000000"/>
              <w:left w:val="single" w:sz="4" w:space="0" w:color="000000"/>
              <w:bottom w:val="single" w:sz="4" w:space="0" w:color="000000"/>
              <w:right w:val="single" w:sz="4" w:space="0" w:color="000000"/>
            </w:tcBorders>
          </w:tcPr>
          <w:p w14:paraId="6DF91599"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BE72B1"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0" w:type="dxa"/>
            <w:tcBorders>
              <w:top w:val="single" w:sz="4" w:space="0" w:color="000000"/>
              <w:left w:val="single" w:sz="4" w:space="0" w:color="000000"/>
              <w:bottom w:val="single" w:sz="4" w:space="0" w:color="000000"/>
              <w:right w:val="single" w:sz="4" w:space="0" w:color="000000"/>
            </w:tcBorders>
          </w:tcPr>
          <w:p w14:paraId="3042A2BB"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07699CC7"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79B044A6"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7A4683A5"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7E354E25"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tcPr>
          <w:p w14:paraId="5E03CF5C"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12" w:space="0" w:color="000000"/>
            </w:tcBorders>
          </w:tcPr>
          <w:p w14:paraId="5336E83E"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r>
      <w:tr w:rsidR="009123AC" w:rsidRPr="00F0379B" w14:paraId="2BA78924" w14:textId="77777777" w:rsidTr="00CA749B">
        <w:trPr>
          <w:trHeight w:val="23"/>
          <w:jc w:val="center"/>
        </w:trPr>
        <w:tc>
          <w:tcPr>
            <w:tcW w:w="3624" w:type="dxa"/>
            <w:tcBorders>
              <w:top w:val="single" w:sz="4" w:space="0" w:color="000000"/>
              <w:left w:val="single" w:sz="12" w:space="0" w:color="000000"/>
              <w:bottom w:val="single" w:sz="4" w:space="0" w:color="000000"/>
              <w:right w:val="single" w:sz="4" w:space="0" w:color="000000"/>
            </w:tcBorders>
            <w:vAlign w:val="center"/>
          </w:tcPr>
          <w:p w14:paraId="3512843D"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Palangreros entre 24 y 40 m</w:t>
            </w:r>
          </w:p>
        </w:tc>
        <w:tc>
          <w:tcPr>
            <w:tcW w:w="2563" w:type="dxa"/>
            <w:tcBorders>
              <w:top w:val="single" w:sz="4" w:space="0" w:color="000000"/>
              <w:left w:val="single" w:sz="4" w:space="0" w:color="000000"/>
              <w:bottom w:val="single" w:sz="4" w:space="0" w:color="000000"/>
              <w:right w:val="single" w:sz="4" w:space="0" w:color="000000"/>
            </w:tcBorders>
            <w:vAlign w:val="center"/>
          </w:tcPr>
          <w:p w14:paraId="2267F3A6"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5,68</w:t>
            </w:r>
          </w:p>
        </w:tc>
        <w:tc>
          <w:tcPr>
            <w:tcW w:w="572" w:type="dxa"/>
            <w:tcBorders>
              <w:top w:val="single" w:sz="4" w:space="0" w:color="000000"/>
              <w:left w:val="single" w:sz="4" w:space="0" w:color="000000"/>
              <w:bottom w:val="single" w:sz="4" w:space="0" w:color="000000"/>
              <w:right w:val="single" w:sz="4" w:space="0" w:color="000000"/>
            </w:tcBorders>
          </w:tcPr>
          <w:p w14:paraId="08FAF8D5"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1F28A879"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75D3DA0F"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5B6162D0"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4218BF05"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tcPr>
          <w:p w14:paraId="4A650D84"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val="en-US" w:eastAsia="ja-JP"/>
              </w:rPr>
            </w:pPr>
          </w:p>
        </w:tc>
        <w:tc>
          <w:tcPr>
            <w:tcW w:w="570" w:type="dxa"/>
            <w:tcBorders>
              <w:top w:val="single" w:sz="4" w:space="0" w:color="000000"/>
              <w:left w:val="single" w:sz="4" w:space="0" w:color="000000"/>
              <w:bottom w:val="single" w:sz="4" w:space="0" w:color="000000"/>
              <w:right w:val="single" w:sz="4" w:space="0" w:color="000000"/>
            </w:tcBorders>
          </w:tcPr>
          <w:p w14:paraId="21C44D9B"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E2062F"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0" w:type="dxa"/>
            <w:tcBorders>
              <w:top w:val="single" w:sz="4" w:space="0" w:color="000000"/>
              <w:left w:val="single" w:sz="4" w:space="0" w:color="000000"/>
              <w:bottom w:val="single" w:sz="4" w:space="0" w:color="000000"/>
              <w:right w:val="single" w:sz="4" w:space="0" w:color="000000"/>
            </w:tcBorders>
          </w:tcPr>
          <w:p w14:paraId="3413E881"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7ACB75E1"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6A76217C"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50EF8FDA"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116E7710"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tcPr>
          <w:p w14:paraId="55DA649F"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12" w:space="0" w:color="000000"/>
            </w:tcBorders>
          </w:tcPr>
          <w:p w14:paraId="3653105D"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r>
      <w:tr w:rsidR="009123AC" w:rsidRPr="00F0379B" w14:paraId="029F39F0" w14:textId="77777777" w:rsidTr="00CA749B">
        <w:trPr>
          <w:trHeight w:val="23"/>
          <w:jc w:val="center"/>
        </w:trPr>
        <w:tc>
          <w:tcPr>
            <w:tcW w:w="3624" w:type="dxa"/>
            <w:tcBorders>
              <w:top w:val="single" w:sz="4" w:space="0" w:color="000000"/>
              <w:left w:val="single" w:sz="12" w:space="0" w:color="000000"/>
              <w:bottom w:val="single" w:sz="4" w:space="0" w:color="000000"/>
              <w:right w:val="single" w:sz="4" w:space="0" w:color="000000"/>
            </w:tcBorders>
            <w:vAlign w:val="center"/>
          </w:tcPr>
          <w:p w14:paraId="5544FD3F"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Palangreros de menos de 24 m</w:t>
            </w:r>
          </w:p>
        </w:tc>
        <w:tc>
          <w:tcPr>
            <w:tcW w:w="2563" w:type="dxa"/>
            <w:tcBorders>
              <w:top w:val="single" w:sz="4" w:space="0" w:color="000000"/>
              <w:left w:val="single" w:sz="4" w:space="0" w:color="000000"/>
              <w:bottom w:val="single" w:sz="4" w:space="0" w:color="000000"/>
              <w:right w:val="single" w:sz="4" w:space="0" w:color="000000"/>
            </w:tcBorders>
            <w:vAlign w:val="center"/>
          </w:tcPr>
          <w:p w14:paraId="52B44B8D"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5</w:t>
            </w:r>
          </w:p>
        </w:tc>
        <w:tc>
          <w:tcPr>
            <w:tcW w:w="572" w:type="dxa"/>
            <w:tcBorders>
              <w:top w:val="single" w:sz="4" w:space="0" w:color="000000"/>
              <w:left w:val="single" w:sz="4" w:space="0" w:color="000000"/>
              <w:bottom w:val="single" w:sz="4" w:space="0" w:color="000000"/>
              <w:right w:val="single" w:sz="4" w:space="0" w:color="000000"/>
            </w:tcBorders>
          </w:tcPr>
          <w:p w14:paraId="69C34F1D"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04BF0526"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2F352EB7"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264DE6E4" w14:textId="77777777" w:rsidR="009123AC" w:rsidRPr="00F0379B" w:rsidRDefault="009123AC" w:rsidP="009123AC">
            <w:pPr>
              <w:suppressAutoHyphens/>
              <w:snapToGrid w:val="0"/>
              <w:spacing w:after="0" w:line="240" w:lineRule="auto"/>
              <w:jc w:val="center"/>
              <w:rPr>
                <w:rFonts w:ascii="Cambria" w:eastAsia="Times New Roman" w:hAnsi="Cambria" w:cs="Cambria"/>
                <w:color w:val="000000"/>
                <w:sz w:val="16"/>
                <w:szCs w:val="16"/>
                <w:lang w:eastAsia="zh-CN" w:bidi="fr-FR"/>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159F8C73"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tcPr>
          <w:p w14:paraId="24DBE687"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val="en-US" w:eastAsia="ja-JP"/>
              </w:rPr>
            </w:pPr>
          </w:p>
        </w:tc>
        <w:tc>
          <w:tcPr>
            <w:tcW w:w="570" w:type="dxa"/>
            <w:tcBorders>
              <w:top w:val="single" w:sz="4" w:space="0" w:color="000000"/>
              <w:left w:val="single" w:sz="4" w:space="0" w:color="000000"/>
              <w:bottom w:val="single" w:sz="4" w:space="0" w:color="000000"/>
              <w:right w:val="single" w:sz="4" w:space="0" w:color="000000"/>
            </w:tcBorders>
          </w:tcPr>
          <w:p w14:paraId="23279F36"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13B01C"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0" w:type="dxa"/>
            <w:tcBorders>
              <w:top w:val="single" w:sz="4" w:space="0" w:color="000000"/>
              <w:left w:val="single" w:sz="4" w:space="0" w:color="000000"/>
              <w:bottom w:val="single" w:sz="4" w:space="0" w:color="000000"/>
              <w:right w:val="single" w:sz="4" w:space="0" w:color="000000"/>
            </w:tcBorders>
          </w:tcPr>
          <w:p w14:paraId="085805AE"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33DEA014"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7EAFFE1F"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40B4E9D1"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777AC8D2"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tcPr>
          <w:p w14:paraId="3C770E96"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12" w:space="0" w:color="000000"/>
            </w:tcBorders>
          </w:tcPr>
          <w:p w14:paraId="3E77525B"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r>
      <w:tr w:rsidR="009123AC" w:rsidRPr="00F0379B" w14:paraId="7790F78C" w14:textId="77777777" w:rsidTr="00CA749B">
        <w:trPr>
          <w:trHeight w:val="23"/>
          <w:jc w:val="center"/>
        </w:trPr>
        <w:tc>
          <w:tcPr>
            <w:tcW w:w="3624" w:type="dxa"/>
            <w:tcBorders>
              <w:top w:val="single" w:sz="4" w:space="0" w:color="000000"/>
              <w:left w:val="single" w:sz="12" w:space="0" w:color="000000"/>
              <w:bottom w:val="single" w:sz="4" w:space="0" w:color="000000"/>
              <w:right w:val="single" w:sz="4" w:space="0" w:color="000000"/>
            </w:tcBorders>
            <w:vAlign w:val="center"/>
          </w:tcPr>
          <w:p w14:paraId="317E6D9A"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Total flota de palangre</w:t>
            </w:r>
          </w:p>
        </w:tc>
        <w:tc>
          <w:tcPr>
            <w:tcW w:w="2563" w:type="dxa"/>
            <w:tcBorders>
              <w:top w:val="single" w:sz="4" w:space="0" w:color="000000"/>
              <w:left w:val="single" w:sz="4" w:space="0" w:color="000000"/>
              <w:bottom w:val="single" w:sz="4" w:space="0" w:color="000000"/>
              <w:right w:val="single" w:sz="4" w:space="0" w:color="000000"/>
            </w:tcBorders>
            <w:vAlign w:val="center"/>
          </w:tcPr>
          <w:p w14:paraId="5A3F7660"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2" w:type="dxa"/>
            <w:tcBorders>
              <w:top w:val="single" w:sz="4" w:space="0" w:color="000000"/>
              <w:left w:val="single" w:sz="4" w:space="0" w:color="000000"/>
              <w:bottom w:val="single" w:sz="4" w:space="0" w:color="000000"/>
              <w:right w:val="single" w:sz="4" w:space="0" w:color="000000"/>
            </w:tcBorders>
          </w:tcPr>
          <w:p w14:paraId="4FAD3204"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4264A7EF"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2A8B458E"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3BF8283C"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3A2C62DC"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tcPr>
          <w:p w14:paraId="53D95C53"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val="en-US" w:eastAsia="ja-JP"/>
              </w:rPr>
            </w:pPr>
          </w:p>
        </w:tc>
        <w:tc>
          <w:tcPr>
            <w:tcW w:w="570" w:type="dxa"/>
            <w:tcBorders>
              <w:top w:val="single" w:sz="4" w:space="0" w:color="000000"/>
              <w:left w:val="single" w:sz="4" w:space="0" w:color="000000"/>
              <w:bottom w:val="single" w:sz="4" w:space="0" w:color="000000"/>
              <w:right w:val="single" w:sz="4" w:space="0" w:color="000000"/>
            </w:tcBorders>
          </w:tcPr>
          <w:p w14:paraId="54B7C427"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val="en-US" w:eastAsia="ja-JP"/>
              </w:rPr>
            </w:pP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ECEA81"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 </w:t>
            </w:r>
          </w:p>
        </w:tc>
        <w:tc>
          <w:tcPr>
            <w:tcW w:w="570" w:type="dxa"/>
            <w:tcBorders>
              <w:top w:val="single" w:sz="4" w:space="0" w:color="000000"/>
              <w:left w:val="single" w:sz="4" w:space="0" w:color="000000"/>
              <w:bottom w:val="single" w:sz="4" w:space="0" w:color="000000"/>
              <w:right w:val="single" w:sz="4" w:space="0" w:color="000000"/>
            </w:tcBorders>
          </w:tcPr>
          <w:p w14:paraId="23ED24A4"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5BA36FE2"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280815CF"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59395E78"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08EA0B3F"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tcPr>
          <w:p w14:paraId="15BE27B6"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12" w:space="0" w:color="000000"/>
            </w:tcBorders>
          </w:tcPr>
          <w:p w14:paraId="3B0630F5"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val="en-US" w:eastAsia="ja-JP"/>
              </w:rPr>
            </w:pPr>
          </w:p>
        </w:tc>
      </w:tr>
      <w:tr w:rsidR="009123AC" w:rsidRPr="00F0379B" w14:paraId="33DC59E6" w14:textId="77777777" w:rsidTr="00CA749B">
        <w:trPr>
          <w:trHeight w:val="221"/>
          <w:jc w:val="center"/>
        </w:trPr>
        <w:tc>
          <w:tcPr>
            <w:tcW w:w="3624" w:type="dxa"/>
            <w:tcBorders>
              <w:top w:val="single" w:sz="4" w:space="0" w:color="000000"/>
              <w:left w:val="single" w:sz="12" w:space="0" w:color="000000"/>
              <w:bottom w:val="single" w:sz="4" w:space="0" w:color="000000"/>
              <w:right w:val="single" w:sz="4" w:space="0" w:color="000000"/>
            </w:tcBorders>
            <w:vAlign w:val="center"/>
          </w:tcPr>
          <w:p w14:paraId="0F75C02E"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Cebo vivo</w:t>
            </w:r>
          </w:p>
        </w:tc>
        <w:tc>
          <w:tcPr>
            <w:tcW w:w="2563" w:type="dxa"/>
            <w:tcBorders>
              <w:top w:val="single" w:sz="4" w:space="0" w:color="000000"/>
              <w:left w:val="single" w:sz="4" w:space="0" w:color="000000"/>
              <w:bottom w:val="single" w:sz="4" w:space="0" w:color="000000"/>
              <w:right w:val="single" w:sz="4" w:space="0" w:color="000000"/>
            </w:tcBorders>
            <w:vAlign w:val="center"/>
          </w:tcPr>
          <w:p w14:paraId="335A642D"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19,75</w:t>
            </w:r>
          </w:p>
        </w:tc>
        <w:tc>
          <w:tcPr>
            <w:tcW w:w="572" w:type="dxa"/>
            <w:tcBorders>
              <w:top w:val="single" w:sz="4" w:space="0" w:color="000000"/>
              <w:left w:val="single" w:sz="4" w:space="0" w:color="000000"/>
              <w:bottom w:val="single" w:sz="4" w:space="0" w:color="000000"/>
              <w:right w:val="single" w:sz="4" w:space="0" w:color="000000"/>
            </w:tcBorders>
          </w:tcPr>
          <w:p w14:paraId="2DC1E66B"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02B16912"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6B1894FA"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291838EE"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zh-CN" w:bidi="fr-FR"/>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214CC17A"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tcPr>
          <w:p w14:paraId="18A735F2"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val="en-US" w:eastAsia="ja-JP"/>
              </w:rPr>
            </w:pPr>
          </w:p>
        </w:tc>
        <w:tc>
          <w:tcPr>
            <w:tcW w:w="570" w:type="dxa"/>
            <w:tcBorders>
              <w:top w:val="single" w:sz="4" w:space="0" w:color="000000"/>
              <w:left w:val="single" w:sz="4" w:space="0" w:color="000000"/>
              <w:bottom w:val="single" w:sz="4" w:space="0" w:color="000000"/>
              <w:right w:val="single" w:sz="4" w:space="0" w:color="000000"/>
            </w:tcBorders>
          </w:tcPr>
          <w:p w14:paraId="61CD4979"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888884"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 </w:t>
            </w:r>
          </w:p>
        </w:tc>
        <w:tc>
          <w:tcPr>
            <w:tcW w:w="570" w:type="dxa"/>
            <w:tcBorders>
              <w:top w:val="single" w:sz="4" w:space="0" w:color="000000"/>
              <w:left w:val="single" w:sz="4" w:space="0" w:color="000000"/>
              <w:bottom w:val="single" w:sz="4" w:space="0" w:color="000000"/>
              <w:right w:val="single" w:sz="4" w:space="0" w:color="000000"/>
            </w:tcBorders>
          </w:tcPr>
          <w:p w14:paraId="5FE9F676"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2DA0E3C9"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104F6479"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50CE3040"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111DED3B"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tcPr>
          <w:p w14:paraId="4422AC14"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12" w:space="0" w:color="000000"/>
            </w:tcBorders>
          </w:tcPr>
          <w:p w14:paraId="01304539"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bCs/>
                <w:color w:val="000000"/>
                <w:sz w:val="16"/>
                <w:szCs w:val="16"/>
                <w:lang w:val="en-US" w:eastAsia="ja-JP"/>
              </w:rPr>
              <w:t>0</w:t>
            </w:r>
          </w:p>
        </w:tc>
      </w:tr>
      <w:tr w:rsidR="009123AC" w:rsidRPr="00F0379B" w14:paraId="1681D57A" w14:textId="77777777" w:rsidTr="00CA749B">
        <w:trPr>
          <w:trHeight w:val="23"/>
          <w:jc w:val="center"/>
        </w:trPr>
        <w:tc>
          <w:tcPr>
            <w:tcW w:w="3624" w:type="dxa"/>
            <w:tcBorders>
              <w:top w:val="single" w:sz="4" w:space="0" w:color="000000"/>
              <w:left w:val="single" w:sz="12" w:space="0" w:color="000000"/>
              <w:bottom w:val="single" w:sz="4" w:space="0" w:color="000000"/>
              <w:right w:val="single" w:sz="4" w:space="0" w:color="000000"/>
            </w:tcBorders>
            <w:vAlign w:val="center"/>
          </w:tcPr>
          <w:p w14:paraId="27719D41"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Liña de mano</w:t>
            </w:r>
          </w:p>
        </w:tc>
        <w:tc>
          <w:tcPr>
            <w:tcW w:w="2563" w:type="dxa"/>
            <w:tcBorders>
              <w:top w:val="single" w:sz="4" w:space="0" w:color="000000"/>
              <w:left w:val="single" w:sz="4" w:space="0" w:color="000000"/>
              <w:bottom w:val="single" w:sz="4" w:space="0" w:color="000000"/>
              <w:right w:val="single" w:sz="4" w:space="0" w:color="000000"/>
            </w:tcBorders>
            <w:vAlign w:val="center"/>
          </w:tcPr>
          <w:p w14:paraId="4CAA9DA4"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5</w:t>
            </w:r>
          </w:p>
        </w:tc>
        <w:tc>
          <w:tcPr>
            <w:tcW w:w="572" w:type="dxa"/>
            <w:tcBorders>
              <w:top w:val="single" w:sz="4" w:space="0" w:color="000000"/>
              <w:left w:val="single" w:sz="4" w:space="0" w:color="000000"/>
              <w:bottom w:val="single" w:sz="4" w:space="0" w:color="000000"/>
              <w:right w:val="single" w:sz="4" w:space="0" w:color="000000"/>
            </w:tcBorders>
          </w:tcPr>
          <w:p w14:paraId="486E88A9"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537DA917"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16CCAE33"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4543A202"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4EAB0B81"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tcPr>
          <w:p w14:paraId="12E53978"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val="en-US" w:eastAsia="ja-JP"/>
              </w:rPr>
            </w:pPr>
          </w:p>
        </w:tc>
        <w:tc>
          <w:tcPr>
            <w:tcW w:w="570" w:type="dxa"/>
            <w:tcBorders>
              <w:top w:val="single" w:sz="4" w:space="0" w:color="000000"/>
              <w:left w:val="single" w:sz="4" w:space="0" w:color="000000"/>
              <w:bottom w:val="single" w:sz="4" w:space="0" w:color="000000"/>
              <w:right w:val="single" w:sz="4" w:space="0" w:color="000000"/>
            </w:tcBorders>
          </w:tcPr>
          <w:p w14:paraId="7EDA6FC1"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FE440A"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0" w:type="dxa"/>
            <w:tcBorders>
              <w:top w:val="single" w:sz="4" w:space="0" w:color="000000"/>
              <w:left w:val="single" w:sz="4" w:space="0" w:color="000000"/>
              <w:bottom w:val="single" w:sz="4" w:space="0" w:color="000000"/>
              <w:right w:val="single" w:sz="4" w:space="0" w:color="000000"/>
            </w:tcBorders>
          </w:tcPr>
          <w:p w14:paraId="6184F019"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43FBDF53"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30B350BD"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6A2D377A"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63B634D6"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tcPr>
          <w:p w14:paraId="6015D6B3"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12" w:space="0" w:color="000000"/>
            </w:tcBorders>
          </w:tcPr>
          <w:p w14:paraId="40DA6C84"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r>
      <w:tr w:rsidR="009123AC" w:rsidRPr="00F0379B" w14:paraId="5060CD88" w14:textId="77777777" w:rsidTr="00CA749B">
        <w:trPr>
          <w:trHeight w:val="23"/>
          <w:jc w:val="center"/>
        </w:trPr>
        <w:tc>
          <w:tcPr>
            <w:tcW w:w="3624" w:type="dxa"/>
            <w:tcBorders>
              <w:top w:val="single" w:sz="4" w:space="0" w:color="000000"/>
              <w:left w:val="single" w:sz="12" w:space="0" w:color="000000"/>
              <w:bottom w:val="single" w:sz="4" w:space="0" w:color="000000"/>
              <w:right w:val="single" w:sz="4" w:space="0" w:color="000000"/>
            </w:tcBorders>
            <w:vAlign w:val="center"/>
          </w:tcPr>
          <w:p w14:paraId="0DE774C7"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Arrastreros</w:t>
            </w:r>
          </w:p>
        </w:tc>
        <w:tc>
          <w:tcPr>
            <w:tcW w:w="2563" w:type="dxa"/>
            <w:tcBorders>
              <w:top w:val="single" w:sz="4" w:space="0" w:color="000000"/>
              <w:left w:val="single" w:sz="4" w:space="0" w:color="000000"/>
              <w:bottom w:val="single" w:sz="4" w:space="0" w:color="000000"/>
              <w:right w:val="single" w:sz="4" w:space="0" w:color="000000"/>
            </w:tcBorders>
            <w:vAlign w:val="center"/>
          </w:tcPr>
          <w:p w14:paraId="0377A667"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10</w:t>
            </w:r>
          </w:p>
        </w:tc>
        <w:tc>
          <w:tcPr>
            <w:tcW w:w="572" w:type="dxa"/>
            <w:tcBorders>
              <w:top w:val="single" w:sz="4" w:space="0" w:color="000000"/>
              <w:left w:val="single" w:sz="4" w:space="0" w:color="000000"/>
              <w:bottom w:val="single" w:sz="4" w:space="0" w:color="000000"/>
              <w:right w:val="single" w:sz="4" w:space="0" w:color="000000"/>
            </w:tcBorders>
          </w:tcPr>
          <w:p w14:paraId="2037620F"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07B9AC79"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791A5B52"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032E4FEE"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22BD09BF"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tcPr>
          <w:p w14:paraId="492BA547"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val="en-US" w:eastAsia="ja-JP"/>
              </w:rPr>
            </w:pPr>
          </w:p>
        </w:tc>
        <w:tc>
          <w:tcPr>
            <w:tcW w:w="570" w:type="dxa"/>
            <w:tcBorders>
              <w:top w:val="single" w:sz="4" w:space="0" w:color="000000"/>
              <w:left w:val="single" w:sz="4" w:space="0" w:color="000000"/>
              <w:bottom w:val="single" w:sz="4" w:space="0" w:color="000000"/>
              <w:right w:val="single" w:sz="4" w:space="0" w:color="000000"/>
            </w:tcBorders>
          </w:tcPr>
          <w:p w14:paraId="2A706AD0"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BE751F"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0" w:type="dxa"/>
            <w:tcBorders>
              <w:top w:val="single" w:sz="4" w:space="0" w:color="000000"/>
              <w:left w:val="single" w:sz="4" w:space="0" w:color="000000"/>
              <w:bottom w:val="single" w:sz="4" w:space="0" w:color="000000"/>
              <w:right w:val="single" w:sz="4" w:space="0" w:color="000000"/>
            </w:tcBorders>
          </w:tcPr>
          <w:p w14:paraId="669FEBA5"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201FFA6D"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05D6E724"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206E04C1"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37B92E30"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tcPr>
          <w:p w14:paraId="562DCB9E"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12" w:space="0" w:color="000000"/>
            </w:tcBorders>
          </w:tcPr>
          <w:p w14:paraId="35E9409E"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r>
      <w:tr w:rsidR="009123AC" w:rsidRPr="00F0379B" w14:paraId="40DF01BF" w14:textId="77777777" w:rsidTr="00CA749B">
        <w:trPr>
          <w:trHeight w:val="23"/>
          <w:jc w:val="center"/>
        </w:trPr>
        <w:tc>
          <w:tcPr>
            <w:tcW w:w="3624" w:type="dxa"/>
            <w:tcBorders>
              <w:top w:val="single" w:sz="4" w:space="0" w:color="000000"/>
              <w:left w:val="single" w:sz="12" w:space="0" w:color="000000"/>
              <w:bottom w:val="single" w:sz="4" w:space="0" w:color="000000"/>
              <w:right w:val="single" w:sz="4" w:space="0" w:color="000000"/>
            </w:tcBorders>
            <w:vAlign w:val="center"/>
          </w:tcPr>
          <w:p w14:paraId="2CB9B5F8"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Almadrabas</w:t>
            </w:r>
          </w:p>
        </w:tc>
        <w:tc>
          <w:tcPr>
            <w:tcW w:w="2563" w:type="dxa"/>
            <w:tcBorders>
              <w:top w:val="single" w:sz="4" w:space="0" w:color="000000"/>
              <w:left w:val="single" w:sz="4" w:space="0" w:color="000000"/>
              <w:bottom w:val="single" w:sz="4" w:space="0" w:color="000000"/>
              <w:right w:val="single" w:sz="4" w:space="0" w:color="000000"/>
            </w:tcBorders>
            <w:vAlign w:val="center"/>
          </w:tcPr>
          <w:p w14:paraId="6B86C395"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130</w:t>
            </w:r>
          </w:p>
        </w:tc>
        <w:tc>
          <w:tcPr>
            <w:tcW w:w="572" w:type="dxa"/>
            <w:tcBorders>
              <w:top w:val="single" w:sz="4" w:space="0" w:color="000000"/>
              <w:left w:val="single" w:sz="4" w:space="0" w:color="000000"/>
              <w:bottom w:val="single" w:sz="4" w:space="0" w:color="000000"/>
              <w:right w:val="single" w:sz="4" w:space="0" w:color="000000"/>
            </w:tcBorders>
          </w:tcPr>
          <w:p w14:paraId="2C0A18D3"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1A672D7F"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0349289F"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28A81A2E"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zh-CN" w:bidi="fr-FR"/>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540115F4"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tcPr>
          <w:p w14:paraId="48B407CF"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val="en-US" w:eastAsia="ja-JP"/>
              </w:rPr>
            </w:pPr>
          </w:p>
        </w:tc>
        <w:tc>
          <w:tcPr>
            <w:tcW w:w="570" w:type="dxa"/>
            <w:tcBorders>
              <w:top w:val="single" w:sz="4" w:space="0" w:color="000000"/>
              <w:left w:val="single" w:sz="4" w:space="0" w:color="000000"/>
              <w:bottom w:val="single" w:sz="4" w:space="0" w:color="000000"/>
              <w:right w:val="single" w:sz="4" w:space="0" w:color="000000"/>
            </w:tcBorders>
          </w:tcPr>
          <w:p w14:paraId="3D9C65B1"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3F61ACE"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 </w:t>
            </w:r>
          </w:p>
        </w:tc>
        <w:tc>
          <w:tcPr>
            <w:tcW w:w="570" w:type="dxa"/>
            <w:tcBorders>
              <w:top w:val="single" w:sz="4" w:space="0" w:color="000000"/>
              <w:left w:val="single" w:sz="4" w:space="0" w:color="000000"/>
              <w:bottom w:val="single" w:sz="4" w:space="0" w:color="000000"/>
              <w:right w:val="single" w:sz="4" w:space="0" w:color="000000"/>
            </w:tcBorders>
          </w:tcPr>
          <w:p w14:paraId="036F3312"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5C06F209"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11801B77"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7AAA4FB0"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72BFFA43"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tcPr>
          <w:p w14:paraId="49F0C8C3"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12" w:space="0" w:color="000000"/>
            </w:tcBorders>
          </w:tcPr>
          <w:p w14:paraId="3552B463"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bCs/>
                <w:color w:val="000000"/>
                <w:sz w:val="16"/>
                <w:szCs w:val="16"/>
                <w:lang w:val="en-US" w:eastAsia="ja-JP"/>
              </w:rPr>
              <w:t>0</w:t>
            </w:r>
          </w:p>
        </w:tc>
      </w:tr>
      <w:tr w:rsidR="009123AC" w:rsidRPr="00F0379B" w14:paraId="42543C09" w14:textId="77777777" w:rsidTr="00CA749B">
        <w:trPr>
          <w:trHeight w:val="23"/>
          <w:jc w:val="center"/>
        </w:trPr>
        <w:tc>
          <w:tcPr>
            <w:tcW w:w="3624" w:type="dxa"/>
            <w:tcBorders>
              <w:top w:val="single" w:sz="4" w:space="0" w:color="000000"/>
              <w:left w:val="single" w:sz="12" w:space="0" w:color="000000"/>
              <w:bottom w:val="single" w:sz="4" w:space="0" w:color="000000"/>
              <w:right w:val="single" w:sz="4" w:space="0" w:color="000000"/>
            </w:tcBorders>
            <w:vAlign w:val="center"/>
          </w:tcPr>
          <w:p w14:paraId="4652D6AD"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Pequeños barcos costeros</w:t>
            </w:r>
          </w:p>
        </w:tc>
        <w:tc>
          <w:tcPr>
            <w:tcW w:w="2563" w:type="dxa"/>
            <w:tcBorders>
              <w:top w:val="single" w:sz="4" w:space="0" w:color="000000"/>
              <w:left w:val="single" w:sz="4" w:space="0" w:color="000000"/>
              <w:bottom w:val="single" w:sz="4" w:space="0" w:color="000000"/>
              <w:right w:val="single" w:sz="4" w:space="0" w:color="000000"/>
            </w:tcBorders>
            <w:vAlign w:val="center"/>
          </w:tcPr>
          <w:p w14:paraId="73027FF7"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N/A</w:t>
            </w:r>
          </w:p>
        </w:tc>
        <w:tc>
          <w:tcPr>
            <w:tcW w:w="572" w:type="dxa"/>
            <w:tcBorders>
              <w:top w:val="single" w:sz="4" w:space="0" w:color="000000"/>
              <w:left w:val="single" w:sz="4" w:space="0" w:color="000000"/>
              <w:bottom w:val="single" w:sz="4" w:space="0" w:color="000000"/>
              <w:right w:val="single" w:sz="4" w:space="0" w:color="000000"/>
            </w:tcBorders>
          </w:tcPr>
          <w:p w14:paraId="41F40DC2"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4AC09C06"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5A2E7622"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4376DC08"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zh-CN" w:bidi="fr-FR"/>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41E3E50A"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tcPr>
          <w:p w14:paraId="5ED68B12"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val="en-US" w:eastAsia="ja-JP"/>
              </w:rPr>
            </w:pPr>
          </w:p>
        </w:tc>
        <w:tc>
          <w:tcPr>
            <w:tcW w:w="570" w:type="dxa"/>
            <w:tcBorders>
              <w:top w:val="single" w:sz="4" w:space="0" w:color="000000"/>
              <w:left w:val="single" w:sz="4" w:space="0" w:color="000000"/>
              <w:bottom w:val="single" w:sz="4" w:space="0" w:color="000000"/>
              <w:right w:val="single" w:sz="4" w:space="0" w:color="000000"/>
            </w:tcBorders>
          </w:tcPr>
          <w:p w14:paraId="67A21498"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FFCEA01"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 </w:t>
            </w:r>
          </w:p>
        </w:tc>
        <w:tc>
          <w:tcPr>
            <w:tcW w:w="570" w:type="dxa"/>
            <w:tcBorders>
              <w:top w:val="single" w:sz="4" w:space="0" w:color="000000"/>
              <w:left w:val="single" w:sz="4" w:space="0" w:color="000000"/>
              <w:bottom w:val="single" w:sz="4" w:space="0" w:color="000000"/>
              <w:right w:val="single" w:sz="4" w:space="0" w:color="000000"/>
            </w:tcBorders>
          </w:tcPr>
          <w:p w14:paraId="34A9F996"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77D8C56F"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521B1A46"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74CBDF72"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4C480775"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tcPr>
          <w:p w14:paraId="0252F4D7"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12" w:space="0" w:color="000000"/>
            </w:tcBorders>
          </w:tcPr>
          <w:p w14:paraId="43878DB5"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bCs/>
                <w:color w:val="000000"/>
                <w:sz w:val="16"/>
                <w:szCs w:val="16"/>
                <w:lang w:val="en-US" w:eastAsia="ja-JP"/>
              </w:rPr>
              <w:t>0</w:t>
            </w:r>
          </w:p>
        </w:tc>
      </w:tr>
      <w:tr w:rsidR="009123AC" w:rsidRPr="00F0379B" w14:paraId="3A816343" w14:textId="77777777" w:rsidTr="00CA749B">
        <w:trPr>
          <w:trHeight w:val="23"/>
          <w:jc w:val="center"/>
        </w:trPr>
        <w:tc>
          <w:tcPr>
            <w:tcW w:w="3624" w:type="dxa"/>
            <w:tcBorders>
              <w:top w:val="single" w:sz="4" w:space="0" w:color="000000"/>
              <w:left w:val="single" w:sz="12" w:space="0" w:color="000000"/>
              <w:bottom w:val="single" w:sz="4" w:space="0" w:color="000000"/>
              <w:right w:val="single" w:sz="4" w:space="0" w:color="000000"/>
            </w:tcBorders>
            <w:vAlign w:val="center"/>
          </w:tcPr>
          <w:p w14:paraId="34900999"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Otros (especificar)</w:t>
            </w:r>
          </w:p>
        </w:tc>
        <w:tc>
          <w:tcPr>
            <w:tcW w:w="2563" w:type="dxa"/>
            <w:tcBorders>
              <w:top w:val="single" w:sz="4" w:space="0" w:color="000000"/>
              <w:left w:val="single" w:sz="4" w:space="0" w:color="000000"/>
              <w:bottom w:val="single" w:sz="4" w:space="0" w:color="000000"/>
              <w:right w:val="single" w:sz="4" w:space="0" w:color="000000"/>
            </w:tcBorders>
            <w:vAlign w:val="center"/>
          </w:tcPr>
          <w:p w14:paraId="14CD14BE"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5</w:t>
            </w:r>
          </w:p>
        </w:tc>
        <w:tc>
          <w:tcPr>
            <w:tcW w:w="572" w:type="dxa"/>
            <w:tcBorders>
              <w:top w:val="single" w:sz="4" w:space="0" w:color="000000"/>
              <w:left w:val="single" w:sz="4" w:space="0" w:color="000000"/>
              <w:bottom w:val="single" w:sz="4" w:space="0" w:color="000000"/>
              <w:right w:val="single" w:sz="4" w:space="0" w:color="000000"/>
            </w:tcBorders>
          </w:tcPr>
          <w:p w14:paraId="1AA16E8E"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3E1AF389"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2AFDA038"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5EF848D4"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zh-CN" w:bidi="fr-FR"/>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760EC79A"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tcPr>
          <w:p w14:paraId="300C4FF0"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val="en-US" w:eastAsia="ja-JP"/>
              </w:rPr>
            </w:pPr>
          </w:p>
        </w:tc>
        <w:tc>
          <w:tcPr>
            <w:tcW w:w="570" w:type="dxa"/>
            <w:tcBorders>
              <w:top w:val="single" w:sz="4" w:space="0" w:color="000000"/>
              <w:left w:val="single" w:sz="4" w:space="0" w:color="000000"/>
              <w:bottom w:val="single" w:sz="4" w:space="0" w:color="000000"/>
              <w:right w:val="single" w:sz="4" w:space="0" w:color="000000"/>
            </w:tcBorders>
          </w:tcPr>
          <w:p w14:paraId="636380BA"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4E57E7"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 </w:t>
            </w:r>
          </w:p>
        </w:tc>
        <w:tc>
          <w:tcPr>
            <w:tcW w:w="570" w:type="dxa"/>
            <w:tcBorders>
              <w:top w:val="single" w:sz="4" w:space="0" w:color="000000"/>
              <w:left w:val="single" w:sz="4" w:space="0" w:color="000000"/>
              <w:bottom w:val="single" w:sz="4" w:space="0" w:color="000000"/>
              <w:right w:val="single" w:sz="4" w:space="0" w:color="000000"/>
            </w:tcBorders>
          </w:tcPr>
          <w:p w14:paraId="078F2E2F"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1AEB7EE5"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576FC50C"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75E73D7D"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432EE656"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tcPr>
          <w:p w14:paraId="794749E1"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12" w:space="0" w:color="000000"/>
            </w:tcBorders>
          </w:tcPr>
          <w:p w14:paraId="3EEA385F"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bCs/>
                <w:color w:val="000000"/>
                <w:sz w:val="16"/>
                <w:szCs w:val="16"/>
                <w:lang w:val="en-US" w:eastAsia="ja-JP"/>
              </w:rPr>
              <w:t>0</w:t>
            </w:r>
          </w:p>
        </w:tc>
      </w:tr>
      <w:tr w:rsidR="009123AC" w:rsidRPr="00F0379B" w14:paraId="55ADFD57" w14:textId="77777777" w:rsidTr="00CA749B">
        <w:trPr>
          <w:trHeight w:val="23"/>
          <w:jc w:val="center"/>
        </w:trPr>
        <w:tc>
          <w:tcPr>
            <w:tcW w:w="3624" w:type="dxa"/>
            <w:tcBorders>
              <w:top w:val="single" w:sz="4" w:space="0" w:color="000000"/>
              <w:left w:val="single" w:sz="12" w:space="0" w:color="000000"/>
              <w:bottom w:val="single" w:sz="12" w:space="0" w:color="000000"/>
              <w:right w:val="single" w:sz="4" w:space="0" w:color="000000"/>
            </w:tcBorders>
            <w:vAlign w:val="center"/>
          </w:tcPr>
          <w:p w14:paraId="10C9D783"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Capacidad pesquera/flota total</w:t>
            </w:r>
          </w:p>
        </w:tc>
        <w:tc>
          <w:tcPr>
            <w:tcW w:w="2563" w:type="dxa"/>
            <w:tcBorders>
              <w:top w:val="single" w:sz="4" w:space="0" w:color="000000"/>
              <w:left w:val="single" w:sz="4" w:space="0" w:color="000000"/>
              <w:bottom w:val="single" w:sz="12" w:space="0" w:color="000000"/>
              <w:right w:val="single" w:sz="4" w:space="0" w:color="000000"/>
            </w:tcBorders>
            <w:vAlign w:val="center"/>
          </w:tcPr>
          <w:p w14:paraId="2A5D6BB9" w14:textId="77777777" w:rsidR="009123AC" w:rsidRPr="00F0379B" w:rsidRDefault="009123AC" w:rsidP="009123AC">
            <w:pPr>
              <w:suppressAutoHyphens/>
              <w:spacing w:after="0" w:line="240" w:lineRule="auto"/>
              <w:jc w:val="right"/>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2" w:type="dxa"/>
            <w:tcBorders>
              <w:top w:val="single" w:sz="4" w:space="0" w:color="000000"/>
              <w:left w:val="single" w:sz="4" w:space="0" w:color="000000"/>
              <w:bottom w:val="single" w:sz="12" w:space="0" w:color="000000"/>
              <w:right w:val="single" w:sz="4" w:space="0" w:color="000000"/>
            </w:tcBorders>
          </w:tcPr>
          <w:p w14:paraId="5CFA5559"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ja-JP"/>
              </w:rPr>
            </w:pPr>
          </w:p>
        </w:tc>
        <w:tc>
          <w:tcPr>
            <w:tcW w:w="570" w:type="dxa"/>
            <w:tcBorders>
              <w:top w:val="single" w:sz="4" w:space="0" w:color="000000"/>
              <w:left w:val="single" w:sz="4" w:space="0" w:color="000000"/>
              <w:bottom w:val="single" w:sz="12" w:space="0" w:color="000000"/>
              <w:right w:val="single" w:sz="4" w:space="0" w:color="000000"/>
            </w:tcBorders>
            <w:vAlign w:val="center"/>
          </w:tcPr>
          <w:p w14:paraId="0AA91991"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ja-JP"/>
              </w:rPr>
            </w:pPr>
          </w:p>
        </w:tc>
        <w:tc>
          <w:tcPr>
            <w:tcW w:w="572" w:type="dxa"/>
            <w:tcBorders>
              <w:top w:val="single" w:sz="4" w:space="0" w:color="000000"/>
              <w:left w:val="single" w:sz="4" w:space="0" w:color="000000"/>
              <w:bottom w:val="single" w:sz="12" w:space="0" w:color="000000"/>
              <w:right w:val="single" w:sz="4" w:space="0" w:color="000000"/>
            </w:tcBorders>
            <w:vAlign w:val="center"/>
          </w:tcPr>
          <w:p w14:paraId="1446882D"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zh-CN" w:bidi="fr-FR"/>
              </w:rPr>
            </w:pPr>
          </w:p>
        </w:tc>
        <w:tc>
          <w:tcPr>
            <w:tcW w:w="570" w:type="dxa"/>
            <w:tcBorders>
              <w:top w:val="single" w:sz="4" w:space="0" w:color="000000"/>
              <w:left w:val="single" w:sz="4" w:space="0" w:color="000000"/>
              <w:bottom w:val="single" w:sz="12" w:space="0" w:color="000000"/>
              <w:right w:val="single" w:sz="4" w:space="0" w:color="000000"/>
            </w:tcBorders>
            <w:vAlign w:val="center"/>
          </w:tcPr>
          <w:p w14:paraId="70E2D82C"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zh-CN" w:bidi="fr-FR"/>
              </w:rPr>
            </w:pPr>
          </w:p>
        </w:tc>
        <w:tc>
          <w:tcPr>
            <w:tcW w:w="571" w:type="dxa"/>
            <w:tcBorders>
              <w:top w:val="single" w:sz="4" w:space="0" w:color="000000"/>
              <w:left w:val="single" w:sz="4" w:space="0" w:color="000000"/>
              <w:bottom w:val="single" w:sz="12" w:space="0" w:color="000000"/>
              <w:right w:val="single" w:sz="4" w:space="0" w:color="000000"/>
            </w:tcBorders>
            <w:vAlign w:val="center"/>
          </w:tcPr>
          <w:p w14:paraId="498C082B"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zh-CN" w:bidi="fr-FR"/>
              </w:rPr>
            </w:pPr>
          </w:p>
        </w:tc>
        <w:tc>
          <w:tcPr>
            <w:tcW w:w="572" w:type="dxa"/>
            <w:tcBorders>
              <w:top w:val="single" w:sz="4" w:space="0" w:color="000000"/>
              <w:left w:val="single" w:sz="4" w:space="0" w:color="000000"/>
              <w:bottom w:val="single" w:sz="12" w:space="0" w:color="000000"/>
              <w:right w:val="single" w:sz="4" w:space="0" w:color="000000"/>
            </w:tcBorders>
          </w:tcPr>
          <w:p w14:paraId="1C2240F3"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val="en-US" w:eastAsia="ja-JP"/>
              </w:rPr>
            </w:pPr>
          </w:p>
        </w:tc>
        <w:tc>
          <w:tcPr>
            <w:tcW w:w="570" w:type="dxa"/>
            <w:tcBorders>
              <w:top w:val="single" w:sz="4" w:space="0" w:color="000000"/>
              <w:left w:val="single" w:sz="4" w:space="0" w:color="000000"/>
              <w:bottom w:val="single" w:sz="12" w:space="0" w:color="000000"/>
              <w:right w:val="single" w:sz="4" w:space="0" w:color="000000"/>
            </w:tcBorders>
          </w:tcPr>
          <w:p w14:paraId="69227042"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12" w:space="0" w:color="000000"/>
              <w:right w:val="single" w:sz="4" w:space="0" w:color="000000"/>
            </w:tcBorders>
            <w:shd w:val="clear" w:color="auto" w:fill="D9D9D9"/>
            <w:vAlign w:val="center"/>
          </w:tcPr>
          <w:p w14:paraId="693986D7"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 </w:t>
            </w:r>
          </w:p>
        </w:tc>
        <w:tc>
          <w:tcPr>
            <w:tcW w:w="570" w:type="dxa"/>
            <w:tcBorders>
              <w:top w:val="single" w:sz="4" w:space="0" w:color="000000"/>
              <w:left w:val="single" w:sz="4" w:space="0" w:color="000000"/>
              <w:bottom w:val="single" w:sz="12" w:space="0" w:color="000000"/>
              <w:right w:val="single" w:sz="4" w:space="0" w:color="000000"/>
            </w:tcBorders>
          </w:tcPr>
          <w:p w14:paraId="5EF6D167"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1" w:type="dxa"/>
            <w:tcBorders>
              <w:top w:val="single" w:sz="4" w:space="0" w:color="000000"/>
              <w:left w:val="single" w:sz="4" w:space="0" w:color="000000"/>
              <w:bottom w:val="single" w:sz="12" w:space="0" w:color="000000"/>
              <w:right w:val="single" w:sz="4" w:space="0" w:color="000000"/>
            </w:tcBorders>
            <w:vAlign w:val="center"/>
          </w:tcPr>
          <w:p w14:paraId="3DCC3A74"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12" w:space="0" w:color="000000"/>
              <w:right w:val="single" w:sz="4" w:space="0" w:color="000000"/>
            </w:tcBorders>
            <w:vAlign w:val="center"/>
          </w:tcPr>
          <w:p w14:paraId="5EEB4C68"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0" w:type="dxa"/>
            <w:tcBorders>
              <w:top w:val="single" w:sz="4" w:space="0" w:color="000000"/>
              <w:left w:val="single" w:sz="4" w:space="0" w:color="000000"/>
              <w:bottom w:val="single" w:sz="12" w:space="0" w:color="000000"/>
              <w:right w:val="single" w:sz="4" w:space="0" w:color="000000"/>
            </w:tcBorders>
            <w:vAlign w:val="center"/>
          </w:tcPr>
          <w:p w14:paraId="03DF0A93"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2" w:type="dxa"/>
            <w:tcBorders>
              <w:top w:val="single" w:sz="4" w:space="0" w:color="000000"/>
              <w:left w:val="single" w:sz="4" w:space="0" w:color="000000"/>
              <w:bottom w:val="single" w:sz="12" w:space="0" w:color="000000"/>
              <w:right w:val="single" w:sz="4" w:space="0" w:color="000000"/>
            </w:tcBorders>
            <w:vAlign w:val="center"/>
          </w:tcPr>
          <w:p w14:paraId="1EA5663F"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0" w:type="dxa"/>
            <w:tcBorders>
              <w:top w:val="single" w:sz="4" w:space="0" w:color="000000"/>
              <w:left w:val="single" w:sz="4" w:space="0" w:color="000000"/>
              <w:bottom w:val="single" w:sz="12" w:space="0" w:color="000000"/>
              <w:right w:val="single" w:sz="4" w:space="0" w:color="000000"/>
            </w:tcBorders>
          </w:tcPr>
          <w:p w14:paraId="4A50453E"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zh-CN" w:bidi="fr-FR"/>
              </w:rPr>
            </w:pPr>
          </w:p>
        </w:tc>
        <w:tc>
          <w:tcPr>
            <w:tcW w:w="572" w:type="dxa"/>
            <w:tcBorders>
              <w:top w:val="single" w:sz="4" w:space="0" w:color="000000"/>
              <w:left w:val="single" w:sz="4" w:space="0" w:color="000000"/>
              <w:bottom w:val="single" w:sz="12" w:space="0" w:color="000000"/>
              <w:right w:val="single" w:sz="12" w:space="0" w:color="000000"/>
            </w:tcBorders>
          </w:tcPr>
          <w:p w14:paraId="047D4ADF"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bCs/>
                <w:color w:val="000000"/>
                <w:sz w:val="16"/>
                <w:szCs w:val="16"/>
                <w:lang w:val="en-US" w:eastAsia="ja-JP"/>
              </w:rPr>
              <w:t>0</w:t>
            </w:r>
          </w:p>
        </w:tc>
      </w:tr>
      <w:tr w:rsidR="009123AC" w:rsidRPr="00F0379B" w14:paraId="6E7BF33F" w14:textId="77777777" w:rsidTr="00CA749B">
        <w:trPr>
          <w:trHeight w:val="23"/>
          <w:jc w:val="center"/>
        </w:trPr>
        <w:tc>
          <w:tcPr>
            <w:tcW w:w="3624" w:type="dxa"/>
            <w:tcBorders>
              <w:top w:val="single" w:sz="12" w:space="0" w:color="000000"/>
              <w:left w:val="single" w:sz="12" w:space="0" w:color="000000"/>
              <w:bottom w:val="single" w:sz="4" w:space="0" w:color="000000"/>
              <w:right w:val="single" w:sz="4" w:space="0" w:color="000000"/>
            </w:tcBorders>
            <w:shd w:val="clear" w:color="auto" w:fill="D9D9D9"/>
            <w:vAlign w:val="center"/>
          </w:tcPr>
          <w:p w14:paraId="0EDCD284"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Cuota inicial</w:t>
            </w:r>
          </w:p>
        </w:tc>
        <w:tc>
          <w:tcPr>
            <w:tcW w:w="2563" w:type="dxa"/>
            <w:tcBorders>
              <w:top w:val="single" w:sz="12" w:space="0" w:color="000000"/>
              <w:left w:val="single" w:sz="4" w:space="0" w:color="000000"/>
              <w:bottom w:val="single" w:sz="4" w:space="0" w:color="000000"/>
              <w:right w:val="single" w:sz="4" w:space="0" w:color="000000"/>
            </w:tcBorders>
            <w:shd w:val="clear" w:color="auto" w:fill="D9D9D9"/>
            <w:vAlign w:val="center"/>
          </w:tcPr>
          <w:p w14:paraId="4884D89C" w14:textId="77777777" w:rsidR="009123AC" w:rsidRPr="00F0379B" w:rsidRDefault="009123AC" w:rsidP="009123AC">
            <w:pPr>
              <w:suppressAutoHyphens/>
              <w:spacing w:after="0" w:line="240" w:lineRule="auto"/>
              <w:jc w:val="right"/>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2" w:type="dxa"/>
            <w:tcBorders>
              <w:top w:val="single" w:sz="12" w:space="0" w:color="000000"/>
              <w:left w:val="single" w:sz="4" w:space="0" w:color="000000"/>
              <w:bottom w:val="single" w:sz="4" w:space="0" w:color="000000"/>
              <w:right w:val="single" w:sz="4" w:space="0" w:color="000000"/>
            </w:tcBorders>
            <w:shd w:val="clear" w:color="auto" w:fill="D9D9D9"/>
          </w:tcPr>
          <w:p w14:paraId="2B76BD87"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12" w:space="0" w:color="000000"/>
              <w:left w:val="single" w:sz="4" w:space="0" w:color="000000"/>
              <w:bottom w:val="single" w:sz="4" w:space="0" w:color="000000"/>
              <w:right w:val="single" w:sz="4" w:space="0" w:color="000000"/>
            </w:tcBorders>
            <w:shd w:val="clear" w:color="auto" w:fill="D9D9D9"/>
            <w:vAlign w:val="center"/>
          </w:tcPr>
          <w:p w14:paraId="0551AA41"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2" w:type="dxa"/>
            <w:tcBorders>
              <w:top w:val="single" w:sz="12" w:space="0" w:color="000000"/>
              <w:left w:val="single" w:sz="4" w:space="0" w:color="000000"/>
              <w:bottom w:val="single" w:sz="4" w:space="0" w:color="000000"/>
              <w:right w:val="single" w:sz="4" w:space="0" w:color="000000"/>
            </w:tcBorders>
            <w:shd w:val="clear" w:color="auto" w:fill="D9D9D9"/>
            <w:vAlign w:val="center"/>
          </w:tcPr>
          <w:p w14:paraId="28FD3AA9"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0" w:type="dxa"/>
            <w:tcBorders>
              <w:top w:val="single" w:sz="12" w:space="0" w:color="000000"/>
              <w:left w:val="single" w:sz="4" w:space="0" w:color="000000"/>
              <w:bottom w:val="single" w:sz="4" w:space="0" w:color="000000"/>
              <w:right w:val="single" w:sz="4" w:space="0" w:color="000000"/>
            </w:tcBorders>
            <w:shd w:val="clear" w:color="auto" w:fill="D9D9D9"/>
            <w:vAlign w:val="center"/>
          </w:tcPr>
          <w:p w14:paraId="15C01DF8"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1" w:type="dxa"/>
            <w:tcBorders>
              <w:top w:val="single" w:sz="12" w:space="0" w:color="000000"/>
              <w:left w:val="single" w:sz="4" w:space="0" w:color="000000"/>
              <w:bottom w:val="single" w:sz="4" w:space="0" w:color="000000"/>
              <w:right w:val="single" w:sz="4" w:space="0" w:color="000000"/>
            </w:tcBorders>
            <w:shd w:val="clear" w:color="auto" w:fill="D9D9D9"/>
            <w:vAlign w:val="center"/>
          </w:tcPr>
          <w:p w14:paraId="064A6BE5"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2" w:type="dxa"/>
            <w:tcBorders>
              <w:top w:val="single" w:sz="12" w:space="0" w:color="000000"/>
              <w:left w:val="single" w:sz="4" w:space="0" w:color="000000"/>
              <w:bottom w:val="single" w:sz="4" w:space="0" w:color="000000"/>
              <w:right w:val="single" w:sz="4" w:space="0" w:color="000000"/>
            </w:tcBorders>
            <w:shd w:val="clear" w:color="auto" w:fill="D9D9D9"/>
          </w:tcPr>
          <w:p w14:paraId="7019D787"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val="en-US" w:eastAsia="ja-JP"/>
              </w:rPr>
            </w:pPr>
          </w:p>
        </w:tc>
        <w:tc>
          <w:tcPr>
            <w:tcW w:w="570" w:type="dxa"/>
            <w:tcBorders>
              <w:top w:val="single" w:sz="12" w:space="0" w:color="000000"/>
              <w:left w:val="single" w:sz="4" w:space="0" w:color="000000"/>
              <w:bottom w:val="single" w:sz="4" w:space="0" w:color="000000"/>
              <w:right w:val="single" w:sz="4" w:space="0" w:color="000000"/>
            </w:tcBorders>
            <w:shd w:val="clear" w:color="auto" w:fill="D9D9D9"/>
          </w:tcPr>
          <w:p w14:paraId="2A6E3DBF"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12" w:space="0" w:color="000000"/>
              <w:left w:val="single" w:sz="4" w:space="0" w:color="000000"/>
              <w:bottom w:val="single" w:sz="4" w:space="0" w:color="000000"/>
              <w:right w:val="single" w:sz="4" w:space="0" w:color="000000"/>
            </w:tcBorders>
            <w:shd w:val="clear" w:color="auto" w:fill="D9D9D9"/>
            <w:vAlign w:val="center"/>
          </w:tcPr>
          <w:p w14:paraId="62438AD9"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0" w:type="dxa"/>
            <w:tcBorders>
              <w:top w:val="single" w:sz="12" w:space="0" w:color="000000"/>
              <w:left w:val="single" w:sz="4" w:space="0" w:color="000000"/>
              <w:bottom w:val="single" w:sz="4" w:space="0" w:color="000000"/>
              <w:right w:val="single" w:sz="4" w:space="0" w:color="000000"/>
            </w:tcBorders>
            <w:shd w:val="clear" w:color="auto" w:fill="D9D9D9"/>
          </w:tcPr>
          <w:p w14:paraId="54328517"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1" w:type="dxa"/>
            <w:tcBorders>
              <w:top w:val="single" w:sz="12" w:space="0" w:color="000000"/>
              <w:left w:val="single" w:sz="4" w:space="0" w:color="000000"/>
              <w:bottom w:val="single" w:sz="4" w:space="0" w:color="000000"/>
              <w:right w:val="single" w:sz="4" w:space="0" w:color="000000"/>
            </w:tcBorders>
            <w:shd w:val="clear" w:color="auto" w:fill="D9D9D9"/>
            <w:vAlign w:val="center"/>
          </w:tcPr>
          <w:p w14:paraId="3128B087"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2" w:type="dxa"/>
            <w:tcBorders>
              <w:top w:val="single" w:sz="12" w:space="0" w:color="000000"/>
              <w:left w:val="single" w:sz="4" w:space="0" w:color="000000"/>
              <w:bottom w:val="single" w:sz="4" w:space="0" w:color="000000"/>
              <w:right w:val="single" w:sz="4" w:space="0" w:color="000000"/>
            </w:tcBorders>
            <w:shd w:val="clear" w:color="auto" w:fill="D9D9D9"/>
            <w:vAlign w:val="center"/>
          </w:tcPr>
          <w:p w14:paraId="0108F779"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12" w:space="0" w:color="000000"/>
              <w:left w:val="single" w:sz="4" w:space="0" w:color="000000"/>
              <w:bottom w:val="single" w:sz="4" w:space="0" w:color="000000"/>
              <w:right w:val="single" w:sz="4" w:space="0" w:color="000000"/>
            </w:tcBorders>
            <w:shd w:val="clear" w:color="auto" w:fill="D9D9D9"/>
            <w:vAlign w:val="center"/>
          </w:tcPr>
          <w:p w14:paraId="500A9AEC"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12" w:space="0" w:color="000000"/>
              <w:left w:val="single" w:sz="4" w:space="0" w:color="000000"/>
              <w:bottom w:val="single" w:sz="4" w:space="0" w:color="000000"/>
              <w:right w:val="single" w:sz="4" w:space="0" w:color="000000"/>
            </w:tcBorders>
            <w:shd w:val="clear" w:color="auto" w:fill="D9D9D9"/>
            <w:vAlign w:val="center"/>
          </w:tcPr>
          <w:p w14:paraId="41E631E4"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12" w:space="0" w:color="000000"/>
              <w:left w:val="single" w:sz="4" w:space="0" w:color="000000"/>
              <w:bottom w:val="single" w:sz="4" w:space="0" w:color="000000"/>
              <w:right w:val="single" w:sz="4" w:space="0" w:color="000000"/>
            </w:tcBorders>
            <w:shd w:val="clear" w:color="auto" w:fill="D9D9D9"/>
          </w:tcPr>
          <w:p w14:paraId="3714DB2F"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12" w:space="0" w:color="000000"/>
              <w:left w:val="single" w:sz="4" w:space="0" w:color="000000"/>
              <w:bottom w:val="single" w:sz="4" w:space="0" w:color="000000"/>
              <w:right w:val="single" w:sz="12" w:space="0" w:color="000000"/>
            </w:tcBorders>
            <w:shd w:val="clear" w:color="auto" w:fill="D9D9D9"/>
          </w:tcPr>
          <w:p w14:paraId="36296E5F"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55</w:t>
            </w:r>
          </w:p>
        </w:tc>
      </w:tr>
      <w:tr w:rsidR="009123AC" w:rsidRPr="00F0379B" w14:paraId="65C4ECBC" w14:textId="77777777" w:rsidTr="00CA749B">
        <w:trPr>
          <w:trHeight w:val="23"/>
          <w:jc w:val="center"/>
        </w:trPr>
        <w:tc>
          <w:tcPr>
            <w:tcW w:w="3624" w:type="dxa"/>
            <w:tcBorders>
              <w:top w:val="single" w:sz="4" w:space="0" w:color="000000"/>
              <w:left w:val="single" w:sz="12" w:space="0" w:color="000000"/>
              <w:bottom w:val="single" w:sz="12" w:space="0" w:color="000000"/>
              <w:right w:val="single" w:sz="4" w:space="0" w:color="000000"/>
            </w:tcBorders>
            <w:shd w:val="clear" w:color="auto" w:fill="D9D9D9"/>
            <w:vAlign w:val="center"/>
          </w:tcPr>
          <w:p w14:paraId="242FB5B1"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Cuota ajustada (si procede)</w:t>
            </w:r>
          </w:p>
        </w:tc>
        <w:tc>
          <w:tcPr>
            <w:tcW w:w="2563" w:type="dxa"/>
            <w:tcBorders>
              <w:top w:val="single" w:sz="4" w:space="0" w:color="000000"/>
              <w:left w:val="single" w:sz="4" w:space="0" w:color="000000"/>
              <w:bottom w:val="single" w:sz="12" w:space="0" w:color="000000"/>
              <w:right w:val="single" w:sz="4" w:space="0" w:color="000000"/>
            </w:tcBorders>
            <w:shd w:val="clear" w:color="auto" w:fill="D9D9D9"/>
            <w:vAlign w:val="center"/>
          </w:tcPr>
          <w:p w14:paraId="555A203D" w14:textId="77777777" w:rsidR="009123AC" w:rsidRPr="00F0379B" w:rsidRDefault="009123AC" w:rsidP="009123AC">
            <w:pPr>
              <w:suppressAutoHyphens/>
              <w:snapToGrid w:val="0"/>
              <w:spacing w:after="0" w:line="240" w:lineRule="auto"/>
              <w:jc w:val="right"/>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12" w:space="0" w:color="000000"/>
              <w:right w:val="single" w:sz="4" w:space="0" w:color="000000"/>
            </w:tcBorders>
            <w:shd w:val="clear" w:color="auto" w:fill="D9D9D9"/>
          </w:tcPr>
          <w:p w14:paraId="7D93B54C"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12" w:space="0" w:color="000000"/>
              <w:right w:val="single" w:sz="4" w:space="0" w:color="000000"/>
            </w:tcBorders>
            <w:shd w:val="clear" w:color="auto" w:fill="D9D9D9"/>
            <w:vAlign w:val="center"/>
          </w:tcPr>
          <w:p w14:paraId="269F2F74"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12" w:space="0" w:color="000000"/>
              <w:right w:val="single" w:sz="4" w:space="0" w:color="000000"/>
            </w:tcBorders>
            <w:shd w:val="clear" w:color="auto" w:fill="D9D9D9"/>
            <w:vAlign w:val="center"/>
          </w:tcPr>
          <w:p w14:paraId="43EC3EF2"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12" w:space="0" w:color="000000"/>
              <w:right w:val="single" w:sz="4" w:space="0" w:color="000000"/>
            </w:tcBorders>
            <w:shd w:val="clear" w:color="auto" w:fill="D9D9D9"/>
            <w:vAlign w:val="center"/>
          </w:tcPr>
          <w:p w14:paraId="5937A088"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val="en-US" w:eastAsia="ja-JP"/>
              </w:rPr>
            </w:pPr>
          </w:p>
        </w:tc>
        <w:tc>
          <w:tcPr>
            <w:tcW w:w="571" w:type="dxa"/>
            <w:tcBorders>
              <w:top w:val="single" w:sz="4" w:space="0" w:color="000000"/>
              <w:left w:val="single" w:sz="4" w:space="0" w:color="000000"/>
              <w:bottom w:val="single" w:sz="12" w:space="0" w:color="000000"/>
              <w:right w:val="single" w:sz="4" w:space="0" w:color="000000"/>
            </w:tcBorders>
            <w:shd w:val="clear" w:color="auto" w:fill="D9D9D9"/>
            <w:vAlign w:val="center"/>
          </w:tcPr>
          <w:p w14:paraId="46165A59"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val="en-US" w:eastAsia="ja-JP"/>
              </w:rPr>
            </w:pPr>
          </w:p>
        </w:tc>
        <w:tc>
          <w:tcPr>
            <w:tcW w:w="572" w:type="dxa"/>
            <w:tcBorders>
              <w:top w:val="single" w:sz="4" w:space="0" w:color="000000"/>
              <w:left w:val="single" w:sz="4" w:space="0" w:color="000000"/>
              <w:bottom w:val="single" w:sz="12" w:space="0" w:color="000000"/>
              <w:right w:val="single" w:sz="4" w:space="0" w:color="000000"/>
            </w:tcBorders>
            <w:shd w:val="clear" w:color="auto" w:fill="D9D9D9"/>
          </w:tcPr>
          <w:p w14:paraId="6294D31C"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val="en-US" w:eastAsia="ja-JP"/>
              </w:rPr>
            </w:pPr>
          </w:p>
        </w:tc>
        <w:tc>
          <w:tcPr>
            <w:tcW w:w="570" w:type="dxa"/>
            <w:tcBorders>
              <w:top w:val="single" w:sz="4" w:space="0" w:color="000000"/>
              <w:left w:val="single" w:sz="4" w:space="0" w:color="000000"/>
              <w:bottom w:val="single" w:sz="12" w:space="0" w:color="000000"/>
              <w:right w:val="single" w:sz="4" w:space="0" w:color="000000"/>
            </w:tcBorders>
            <w:shd w:val="clear" w:color="auto" w:fill="D9D9D9"/>
          </w:tcPr>
          <w:p w14:paraId="0273BDA8"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12" w:space="0" w:color="000000"/>
              <w:right w:val="single" w:sz="4" w:space="0" w:color="000000"/>
            </w:tcBorders>
            <w:shd w:val="clear" w:color="auto" w:fill="D9D9D9"/>
            <w:vAlign w:val="center"/>
          </w:tcPr>
          <w:p w14:paraId="2D3F7966"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val="en-US" w:eastAsia="ja-JP"/>
              </w:rPr>
            </w:pPr>
          </w:p>
        </w:tc>
        <w:tc>
          <w:tcPr>
            <w:tcW w:w="570" w:type="dxa"/>
            <w:tcBorders>
              <w:top w:val="single" w:sz="4" w:space="0" w:color="000000"/>
              <w:left w:val="single" w:sz="4" w:space="0" w:color="000000"/>
              <w:bottom w:val="single" w:sz="12" w:space="0" w:color="000000"/>
              <w:right w:val="single" w:sz="4" w:space="0" w:color="000000"/>
            </w:tcBorders>
            <w:shd w:val="clear" w:color="auto" w:fill="D9D9D9"/>
          </w:tcPr>
          <w:p w14:paraId="77210DB4"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val="en-US" w:eastAsia="ja-JP"/>
              </w:rPr>
            </w:pPr>
          </w:p>
        </w:tc>
        <w:tc>
          <w:tcPr>
            <w:tcW w:w="571" w:type="dxa"/>
            <w:tcBorders>
              <w:top w:val="single" w:sz="4" w:space="0" w:color="000000"/>
              <w:left w:val="single" w:sz="4" w:space="0" w:color="000000"/>
              <w:bottom w:val="single" w:sz="12" w:space="0" w:color="000000"/>
              <w:right w:val="single" w:sz="4" w:space="0" w:color="000000"/>
            </w:tcBorders>
            <w:shd w:val="clear" w:color="auto" w:fill="D9D9D9"/>
            <w:vAlign w:val="center"/>
          </w:tcPr>
          <w:p w14:paraId="4A17A674"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12" w:space="0" w:color="000000"/>
              <w:right w:val="single" w:sz="4" w:space="0" w:color="000000"/>
            </w:tcBorders>
            <w:shd w:val="clear" w:color="auto" w:fill="D9D9D9"/>
            <w:vAlign w:val="center"/>
          </w:tcPr>
          <w:p w14:paraId="085997EC"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val="en-US" w:eastAsia="ja-JP"/>
              </w:rPr>
            </w:pPr>
          </w:p>
        </w:tc>
        <w:tc>
          <w:tcPr>
            <w:tcW w:w="570" w:type="dxa"/>
            <w:tcBorders>
              <w:top w:val="single" w:sz="4" w:space="0" w:color="000000"/>
              <w:left w:val="single" w:sz="4" w:space="0" w:color="000000"/>
              <w:bottom w:val="single" w:sz="12" w:space="0" w:color="000000"/>
              <w:right w:val="single" w:sz="4" w:space="0" w:color="000000"/>
            </w:tcBorders>
            <w:shd w:val="clear" w:color="auto" w:fill="D9D9D9"/>
            <w:vAlign w:val="center"/>
          </w:tcPr>
          <w:p w14:paraId="7025DBCC"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val="en-US" w:eastAsia="ja-JP"/>
              </w:rPr>
            </w:pPr>
          </w:p>
        </w:tc>
        <w:tc>
          <w:tcPr>
            <w:tcW w:w="572" w:type="dxa"/>
            <w:tcBorders>
              <w:top w:val="single" w:sz="4" w:space="0" w:color="000000"/>
              <w:left w:val="single" w:sz="4" w:space="0" w:color="000000"/>
              <w:bottom w:val="single" w:sz="12" w:space="0" w:color="000000"/>
              <w:right w:val="single" w:sz="4" w:space="0" w:color="000000"/>
            </w:tcBorders>
            <w:shd w:val="clear" w:color="auto" w:fill="D9D9D9"/>
            <w:vAlign w:val="center"/>
          </w:tcPr>
          <w:p w14:paraId="776E219C"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val="en-US" w:eastAsia="ja-JP"/>
              </w:rPr>
            </w:pPr>
          </w:p>
        </w:tc>
        <w:tc>
          <w:tcPr>
            <w:tcW w:w="570" w:type="dxa"/>
            <w:tcBorders>
              <w:top w:val="single" w:sz="4" w:space="0" w:color="000000"/>
              <w:left w:val="single" w:sz="4" w:space="0" w:color="000000"/>
              <w:bottom w:val="single" w:sz="12" w:space="0" w:color="000000"/>
              <w:right w:val="single" w:sz="4" w:space="0" w:color="000000"/>
            </w:tcBorders>
            <w:shd w:val="clear" w:color="auto" w:fill="D9D9D9"/>
          </w:tcPr>
          <w:p w14:paraId="570C4B4A"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val="en-US" w:eastAsia="ja-JP"/>
              </w:rPr>
            </w:pPr>
          </w:p>
        </w:tc>
        <w:tc>
          <w:tcPr>
            <w:tcW w:w="572" w:type="dxa"/>
            <w:tcBorders>
              <w:top w:val="single" w:sz="4" w:space="0" w:color="000000"/>
              <w:left w:val="single" w:sz="4" w:space="0" w:color="000000"/>
              <w:bottom w:val="single" w:sz="12" w:space="0" w:color="000000"/>
              <w:right w:val="single" w:sz="12" w:space="0" w:color="000000"/>
            </w:tcBorders>
            <w:shd w:val="clear" w:color="auto" w:fill="D9D9D9"/>
          </w:tcPr>
          <w:p w14:paraId="0DB14C33"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r>
      <w:tr w:rsidR="009123AC" w:rsidRPr="00F0379B" w14:paraId="736CE071" w14:textId="77777777" w:rsidTr="00CA749B">
        <w:trPr>
          <w:trHeight w:val="23"/>
          <w:jc w:val="center"/>
        </w:trPr>
        <w:tc>
          <w:tcPr>
            <w:tcW w:w="3624" w:type="dxa"/>
            <w:tcBorders>
              <w:top w:val="single" w:sz="12" w:space="0" w:color="000000"/>
              <w:left w:val="single" w:sz="12" w:space="0" w:color="000000"/>
              <w:bottom w:val="single" w:sz="4" w:space="0" w:color="000000"/>
              <w:right w:val="single" w:sz="4" w:space="0" w:color="000000"/>
            </w:tcBorders>
            <w:vAlign w:val="center"/>
          </w:tcPr>
          <w:p w14:paraId="4EBAC894"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Porcentaje asignado a captura fortuita</w:t>
            </w:r>
          </w:p>
        </w:tc>
        <w:tc>
          <w:tcPr>
            <w:tcW w:w="2563" w:type="dxa"/>
            <w:tcBorders>
              <w:top w:val="single" w:sz="12" w:space="0" w:color="000000"/>
              <w:left w:val="single" w:sz="4" w:space="0" w:color="000000"/>
              <w:bottom w:val="single" w:sz="4" w:space="0" w:color="000000"/>
              <w:right w:val="single" w:sz="4" w:space="0" w:color="000000"/>
            </w:tcBorders>
            <w:vAlign w:val="center"/>
          </w:tcPr>
          <w:p w14:paraId="6EADBF43" w14:textId="77777777" w:rsidR="009123AC" w:rsidRPr="00F0379B" w:rsidRDefault="009123AC" w:rsidP="009123AC">
            <w:pPr>
              <w:suppressAutoHyphens/>
              <w:spacing w:after="0" w:line="240" w:lineRule="auto"/>
              <w:jc w:val="right"/>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2" w:type="dxa"/>
            <w:tcBorders>
              <w:top w:val="single" w:sz="4" w:space="0" w:color="000000"/>
              <w:left w:val="single" w:sz="4" w:space="0" w:color="000000"/>
              <w:bottom w:val="single" w:sz="4" w:space="0" w:color="000000"/>
              <w:right w:val="single" w:sz="4" w:space="0" w:color="000000"/>
            </w:tcBorders>
          </w:tcPr>
          <w:p w14:paraId="1A8F63F4"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09FA4FCD"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62D41BE0"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7E3E4740"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36404B27"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tcPr>
          <w:p w14:paraId="5B8FD608"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tcPr>
          <w:p w14:paraId="3812D9F5"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12" w:space="0" w:color="000000"/>
              <w:left w:val="single" w:sz="4" w:space="0" w:color="000000"/>
              <w:bottom w:val="single" w:sz="4" w:space="0" w:color="000000"/>
              <w:right w:val="single" w:sz="4" w:space="0" w:color="000000"/>
            </w:tcBorders>
            <w:shd w:val="clear" w:color="auto" w:fill="D9D9D9"/>
            <w:vAlign w:val="center"/>
          </w:tcPr>
          <w:p w14:paraId="464058CE"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0" w:type="dxa"/>
            <w:tcBorders>
              <w:top w:val="single" w:sz="4" w:space="0" w:color="000000"/>
              <w:left w:val="single" w:sz="4" w:space="0" w:color="000000"/>
              <w:bottom w:val="single" w:sz="4" w:space="0" w:color="000000"/>
              <w:right w:val="single" w:sz="4" w:space="0" w:color="000000"/>
            </w:tcBorders>
          </w:tcPr>
          <w:p w14:paraId="2D9BB7A5"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49E1027E"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58297589"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498EF9D6"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0D136442"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4" w:space="0" w:color="000000"/>
              <w:left w:val="single" w:sz="4" w:space="0" w:color="000000"/>
              <w:bottom w:val="single" w:sz="4" w:space="0" w:color="000000"/>
              <w:right w:val="single" w:sz="4" w:space="0" w:color="000000"/>
            </w:tcBorders>
          </w:tcPr>
          <w:p w14:paraId="3BF9DF77"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12" w:space="0" w:color="000000"/>
              <w:left w:val="single" w:sz="4" w:space="0" w:color="000000"/>
              <w:bottom w:val="single" w:sz="4" w:space="0" w:color="000000"/>
              <w:right w:val="single" w:sz="12" w:space="0" w:color="000000"/>
            </w:tcBorders>
          </w:tcPr>
          <w:p w14:paraId="7BFEA780"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eastAsia="ja-JP"/>
              </w:rPr>
              <w:t>0</w:t>
            </w:r>
          </w:p>
        </w:tc>
      </w:tr>
      <w:tr w:rsidR="009123AC" w:rsidRPr="00F0379B" w14:paraId="779D07C9" w14:textId="77777777" w:rsidTr="00CA749B">
        <w:trPr>
          <w:trHeight w:val="23"/>
          <w:jc w:val="center"/>
        </w:trPr>
        <w:tc>
          <w:tcPr>
            <w:tcW w:w="3624" w:type="dxa"/>
            <w:tcBorders>
              <w:top w:val="single" w:sz="4" w:space="0" w:color="000000"/>
              <w:left w:val="single" w:sz="12" w:space="0" w:color="000000"/>
              <w:bottom w:val="single" w:sz="4" w:space="0" w:color="000000"/>
              <w:right w:val="single" w:sz="4" w:space="0" w:color="000000"/>
            </w:tcBorders>
            <w:vAlign w:val="center"/>
          </w:tcPr>
          <w:p w14:paraId="32EB5480"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Asignación a la captura fortuita</w:t>
            </w:r>
          </w:p>
        </w:tc>
        <w:tc>
          <w:tcPr>
            <w:tcW w:w="2563" w:type="dxa"/>
            <w:tcBorders>
              <w:top w:val="single" w:sz="4" w:space="0" w:color="000000"/>
              <w:left w:val="single" w:sz="4" w:space="0" w:color="000000"/>
              <w:bottom w:val="single" w:sz="4" w:space="0" w:color="000000"/>
              <w:right w:val="single" w:sz="4" w:space="0" w:color="000000"/>
            </w:tcBorders>
            <w:vAlign w:val="center"/>
          </w:tcPr>
          <w:p w14:paraId="09157950" w14:textId="77777777" w:rsidR="009123AC" w:rsidRPr="00F0379B" w:rsidRDefault="009123AC" w:rsidP="009123AC">
            <w:pPr>
              <w:suppressAutoHyphens/>
              <w:snapToGrid w:val="0"/>
              <w:spacing w:after="0" w:line="240" w:lineRule="auto"/>
              <w:jc w:val="right"/>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tcPr>
          <w:p w14:paraId="17DB9821"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5E67E7F4"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533A5DCC"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012D3301"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3E0A6350"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tcPr>
          <w:p w14:paraId="2F90C583"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tcPr>
          <w:p w14:paraId="5FF60289"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CC3AB3"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tcPr>
          <w:p w14:paraId="64F4EBAC"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vAlign w:val="center"/>
          </w:tcPr>
          <w:p w14:paraId="23020F0F"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210889AB"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5F962914"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1EB2DACE"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tcPr>
          <w:p w14:paraId="4E80D1F3"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2" w:type="dxa"/>
            <w:tcBorders>
              <w:top w:val="single" w:sz="4" w:space="0" w:color="000000"/>
              <w:left w:val="single" w:sz="4" w:space="0" w:color="000000"/>
              <w:bottom w:val="single" w:sz="4" w:space="0" w:color="000000"/>
              <w:right w:val="single" w:sz="12" w:space="0" w:color="000000"/>
            </w:tcBorders>
          </w:tcPr>
          <w:p w14:paraId="3F032B33"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eastAsia="ja-JP"/>
              </w:rPr>
              <w:t>0</w:t>
            </w:r>
          </w:p>
        </w:tc>
      </w:tr>
      <w:tr w:rsidR="009123AC" w:rsidRPr="00F0379B" w14:paraId="1019A828" w14:textId="77777777" w:rsidTr="00CA749B">
        <w:trPr>
          <w:trHeight w:val="23"/>
          <w:jc w:val="center"/>
        </w:trPr>
        <w:tc>
          <w:tcPr>
            <w:tcW w:w="3624" w:type="dxa"/>
            <w:tcBorders>
              <w:top w:val="single" w:sz="4" w:space="0" w:color="000000"/>
              <w:left w:val="single" w:sz="12" w:space="0" w:color="000000"/>
              <w:bottom w:val="single" w:sz="4" w:space="0" w:color="000000"/>
              <w:right w:val="single" w:sz="4" w:space="0" w:color="000000"/>
            </w:tcBorders>
            <w:vAlign w:val="center"/>
          </w:tcPr>
          <w:p w14:paraId="5E409611"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Cuota para investigación científica (si procede)</w:t>
            </w:r>
          </w:p>
        </w:tc>
        <w:tc>
          <w:tcPr>
            <w:tcW w:w="2563" w:type="dxa"/>
            <w:tcBorders>
              <w:top w:val="single" w:sz="4" w:space="0" w:color="000000"/>
              <w:left w:val="single" w:sz="4" w:space="0" w:color="000000"/>
              <w:bottom w:val="single" w:sz="4" w:space="0" w:color="000000"/>
              <w:right w:val="single" w:sz="4" w:space="0" w:color="000000"/>
            </w:tcBorders>
            <w:vAlign w:val="center"/>
          </w:tcPr>
          <w:p w14:paraId="6EC9E151" w14:textId="77777777" w:rsidR="009123AC" w:rsidRPr="00F0379B" w:rsidRDefault="009123AC" w:rsidP="009123AC">
            <w:pPr>
              <w:suppressAutoHyphens/>
              <w:snapToGrid w:val="0"/>
              <w:spacing w:after="0" w:line="240" w:lineRule="auto"/>
              <w:jc w:val="right"/>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tcPr>
          <w:p w14:paraId="51D5C3C8"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tcPr>
          <w:p w14:paraId="10C4A41B"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tcPr>
          <w:p w14:paraId="62D8481E"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tcPr>
          <w:p w14:paraId="1E539C77"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tcPr>
          <w:p w14:paraId="08A6347C"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tcPr>
          <w:p w14:paraId="6B3835D0"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tcPr>
          <w:p w14:paraId="66755250"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E3BAAD"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tcPr>
          <w:p w14:paraId="647D631A"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tcPr>
          <w:p w14:paraId="394FB7A2"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tcPr>
          <w:p w14:paraId="42449DDD"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tcPr>
          <w:p w14:paraId="5D690338"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tcPr>
          <w:p w14:paraId="20AD76AE"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tcPr>
          <w:p w14:paraId="39AEA3F0"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12" w:space="0" w:color="000000"/>
            </w:tcBorders>
          </w:tcPr>
          <w:p w14:paraId="7BD406E6"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bCs/>
                <w:color w:val="000000"/>
                <w:sz w:val="16"/>
                <w:szCs w:val="16"/>
                <w:lang w:eastAsia="ja-JP"/>
              </w:rPr>
              <w:t>0</w:t>
            </w:r>
          </w:p>
        </w:tc>
      </w:tr>
      <w:tr w:rsidR="009123AC" w:rsidRPr="00F0379B" w14:paraId="0A872F29" w14:textId="77777777" w:rsidTr="00CA749B">
        <w:trPr>
          <w:trHeight w:val="23"/>
          <w:jc w:val="center"/>
        </w:trPr>
        <w:tc>
          <w:tcPr>
            <w:tcW w:w="3624" w:type="dxa"/>
            <w:tcBorders>
              <w:top w:val="single" w:sz="4" w:space="0" w:color="000000"/>
              <w:left w:val="single" w:sz="12" w:space="0" w:color="000000"/>
              <w:bottom w:val="single" w:sz="4" w:space="0" w:color="000000"/>
              <w:right w:val="single" w:sz="4" w:space="0" w:color="000000"/>
            </w:tcBorders>
            <w:vAlign w:val="center"/>
          </w:tcPr>
          <w:p w14:paraId="4354D116"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Tolerancia para pesca deportiva/de recreo (si procede)</w:t>
            </w:r>
          </w:p>
        </w:tc>
        <w:tc>
          <w:tcPr>
            <w:tcW w:w="2563" w:type="dxa"/>
            <w:tcBorders>
              <w:top w:val="single" w:sz="4" w:space="0" w:color="000000"/>
              <w:left w:val="single" w:sz="4" w:space="0" w:color="000000"/>
              <w:bottom w:val="single" w:sz="4" w:space="0" w:color="000000"/>
              <w:right w:val="single" w:sz="4" w:space="0" w:color="000000"/>
            </w:tcBorders>
            <w:vAlign w:val="center"/>
          </w:tcPr>
          <w:p w14:paraId="27E60891" w14:textId="77777777" w:rsidR="009123AC" w:rsidRPr="00F0379B" w:rsidRDefault="009123AC" w:rsidP="009123AC">
            <w:pPr>
              <w:suppressAutoHyphens/>
              <w:snapToGrid w:val="0"/>
              <w:spacing w:after="0" w:line="240" w:lineRule="auto"/>
              <w:jc w:val="right"/>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tcPr>
          <w:p w14:paraId="3EE378C5"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tcPr>
          <w:p w14:paraId="379CEC18"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tcPr>
          <w:p w14:paraId="1A1A15FC"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tcPr>
          <w:p w14:paraId="75CA2009"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tcPr>
          <w:p w14:paraId="663C0203"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tcPr>
          <w:p w14:paraId="272619F6"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tcPr>
          <w:p w14:paraId="7BBEC948"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3CC3F8"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tcPr>
          <w:p w14:paraId="7336E1D3"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1" w:type="dxa"/>
            <w:tcBorders>
              <w:top w:val="single" w:sz="4" w:space="0" w:color="000000"/>
              <w:left w:val="single" w:sz="4" w:space="0" w:color="000000"/>
              <w:bottom w:val="single" w:sz="4" w:space="0" w:color="000000"/>
              <w:right w:val="single" w:sz="4" w:space="0" w:color="000000"/>
            </w:tcBorders>
          </w:tcPr>
          <w:p w14:paraId="1B82489A"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tcPr>
          <w:p w14:paraId="7027F39D"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tcPr>
          <w:p w14:paraId="47B9CCAA"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4" w:space="0" w:color="000000"/>
            </w:tcBorders>
          </w:tcPr>
          <w:p w14:paraId="3DED6EB3"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0" w:type="dxa"/>
            <w:tcBorders>
              <w:top w:val="single" w:sz="4" w:space="0" w:color="000000"/>
              <w:left w:val="single" w:sz="4" w:space="0" w:color="000000"/>
              <w:bottom w:val="single" w:sz="4" w:space="0" w:color="000000"/>
              <w:right w:val="single" w:sz="4" w:space="0" w:color="000000"/>
            </w:tcBorders>
          </w:tcPr>
          <w:p w14:paraId="58BC93CE"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4" w:space="0" w:color="000000"/>
              <w:right w:val="single" w:sz="12" w:space="0" w:color="000000"/>
            </w:tcBorders>
          </w:tcPr>
          <w:p w14:paraId="557F2A50"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bCs/>
                <w:color w:val="000000"/>
                <w:sz w:val="16"/>
                <w:szCs w:val="16"/>
                <w:lang w:eastAsia="ja-JP"/>
              </w:rPr>
              <w:t>0</w:t>
            </w:r>
          </w:p>
        </w:tc>
      </w:tr>
      <w:tr w:rsidR="009123AC" w:rsidRPr="00F0379B" w14:paraId="2D1FDAC0" w14:textId="77777777" w:rsidTr="00CA749B">
        <w:trPr>
          <w:trHeight w:val="23"/>
          <w:jc w:val="center"/>
        </w:trPr>
        <w:tc>
          <w:tcPr>
            <w:tcW w:w="3624" w:type="dxa"/>
            <w:tcBorders>
              <w:top w:val="single" w:sz="4" w:space="0" w:color="000000"/>
              <w:left w:val="single" w:sz="12" w:space="0" w:color="000000"/>
              <w:bottom w:val="single" w:sz="12" w:space="0" w:color="000000"/>
              <w:right w:val="single" w:sz="4" w:space="0" w:color="000000"/>
            </w:tcBorders>
            <w:vAlign w:val="center"/>
          </w:tcPr>
          <w:p w14:paraId="7F28E12D"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b/>
                <w:color w:val="000000"/>
                <w:sz w:val="16"/>
                <w:szCs w:val="16"/>
                <w:lang w:eastAsia="zh-CN" w:bidi="fr-FR"/>
              </w:rPr>
              <w:t xml:space="preserve">Cuota disponible </w:t>
            </w:r>
          </w:p>
        </w:tc>
        <w:tc>
          <w:tcPr>
            <w:tcW w:w="2563" w:type="dxa"/>
            <w:tcBorders>
              <w:top w:val="single" w:sz="4" w:space="0" w:color="000000"/>
              <w:left w:val="single" w:sz="4" w:space="0" w:color="000000"/>
              <w:bottom w:val="single" w:sz="12" w:space="0" w:color="000000"/>
              <w:right w:val="single" w:sz="4" w:space="0" w:color="000000"/>
            </w:tcBorders>
            <w:vAlign w:val="center"/>
          </w:tcPr>
          <w:p w14:paraId="5E537EC5" w14:textId="77777777" w:rsidR="009123AC" w:rsidRPr="00F0379B" w:rsidRDefault="009123AC" w:rsidP="009123AC">
            <w:pPr>
              <w:suppressAutoHyphens/>
              <w:snapToGrid w:val="0"/>
              <w:spacing w:after="0" w:line="240" w:lineRule="auto"/>
              <w:jc w:val="right"/>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12" w:space="0" w:color="000000"/>
              <w:right w:val="single" w:sz="4" w:space="0" w:color="000000"/>
            </w:tcBorders>
          </w:tcPr>
          <w:p w14:paraId="44333C7C" w14:textId="77777777" w:rsidR="009123AC" w:rsidRPr="00F0379B" w:rsidRDefault="009123AC" w:rsidP="009123AC">
            <w:pPr>
              <w:suppressAutoHyphens/>
              <w:snapToGrid w:val="0"/>
              <w:spacing w:after="0" w:line="240" w:lineRule="auto"/>
              <w:jc w:val="center"/>
              <w:rPr>
                <w:rFonts w:ascii="Cambria" w:eastAsia="Times New Roman" w:hAnsi="Cambria" w:cs="Calibri"/>
                <w:b/>
                <w:bCs/>
                <w:color w:val="000000"/>
                <w:sz w:val="16"/>
                <w:szCs w:val="16"/>
                <w:lang w:eastAsia="ja-JP"/>
              </w:rPr>
            </w:pPr>
          </w:p>
        </w:tc>
        <w:tc>
          <w:tcPr>
            <w:tcW w:w="570" w:type="dxa"/>
            <w:tcBorders>
              <w:top w:val="single" w:sz="4" w:space="0" w:color="000000"/>
              <w:left w:val="single" w:sz="4" w:space="0" w:color="000000"/>
              <w:bottom w:val="single" w:sz="12" w:space="0" w:color="000000"/>
              <w:right w:val="single" w:sz="4" w:space="0" w:color="000000"/>
            </w:tcBorders>
            <w:vAlign w:val="center"/>
          </w:tcPr>
          <w:p w14:paraId="7CA4309E"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ja-JP"/>
              </w:rPr>
            </w:pPr>
          </w:p>
        </w:tc>
        <w:tc>
          <w:tcPr>
            <w:tcW w:w="572" w:type="dxa"/>
            <w:tcBorders>
              <w:top w:val="single" w:sz="4" w:space="0" w:color="000000"/>
              <w:left w:val="single" w:sz="4" w:space="0" w:color="000000"/>
              <w:bottom w:val="single" w:sz="12" w:space="0" w:color="000000"/>
              <w:right w:val="single" w:sz="4" w:space="0" w:color="000000"/>
            </w:tcBorders>
            <w:vAlign w:val="center"/>
          </w:tcPr>
          <w:p w14:paraId="41EA19DB"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eastAsia="ja-JP"/>
              </w:rPr>
            </w:pPr>
          </w:p>
        </w:tc>
        <w:tc>
          <w:tcPr>
            <w:tcW w:w="570" w:type="dxa"/>
            <w:tcBorders>
              <w:top w:val="single" w:sz="4" w:space="0" w:color="000000"/>
              <w:left w:val="single" w:sz="4" w:space="0" w:color="000000"/>
              <w:bottom w:val="single" w:sz="12" w:space="0" w:color="000000"/>
              <w:right w:val="single" w:sz="4" w:space="0" w:color="000000"/>
            </w:tcBorders>
            <w:vAlign w:val="center"/>
          </w:tcPr>
          <w:p w14:paraId="4CEEB528"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val="en-US" w:eastAsia="ja-JP"/>
              </w:rPr>
            </w:pPr>
          </w:p>
        </w:tc>
        <w:tc>
          <w:tcPr>
            <w:tcW w:w="571" w:type="dxa"/>
            <w:tcBorders>
              <w:top w:val="single" w:sz="4" w:space="0" w:color="000000"/>
              <w:left w:val="single" w:sz="4" w:space="0" w:color="000000"/>
              <w:bottom w:val="single" w:sz="12" w:space="0" w:color="000000"/>
              <w:right w:val="single" w:sz="4" w:space="0" w:color="000000"/>
            </w:tcBorders>
            <w:vAlign w:val="center"/>
          </w:tcPr>
          <w:p w14:paraId="7CA8AE1F"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val="en-US" w:eastAsia="ja-JP"/>
              </w:rPr>
            </w:pPr>
          </w:p>
        </w:tc>
        <w:tc>
          <w:tcPr>
            <w:tcW w:w="572" w:type="dxa"/>
            <w:tcBorders>
              <w:top w:val="single" w:sz="4" w:space="0" w:color="000000"/>
              <w:left w:val="single" w:sz="4" w:space="0" w:color="000000"/>
              <w:bottom w:val="single" w:sz="12" w:space="0" w:color="000000"/>
              <w:right w:val="single" w:sz="4" w:space="0" w:color="000000"/>
            </w:tcBorders>
          </w:tcPr>
          <w:p w14:paraId="6E2CDF5C" w14:textId="77777777" w:rsidR="009123AC" w:rsidRPr="00F0379B" w:rsidRDefault="009123AC" w:rsidP="009123AC">
            <w:pPr>
              <w:suppressAutoHyphens/>
              <w:snapToGrid w:val="0"/>
              <w:spacing w:after="0" w:line="240" w:lineRule="auto"/>
              <w:jc w:val="center"/>
              <w:rPr>
                <w:rFonts w:ascii="Cambria" w:eastAsia="Times New Roman" w:hAnsi="Cambria" w:cs="Calibri"/>
                <w:bCs/>
                <w:color w:val="000000"/>
                <w:sz w:val="16"/>
                <w:szCs w:val="16"/>
                <w:lang w:val="en-US" w:eastAsia="ja-JP"/>
              </w:rPr>
            </w:pPr>
          </w:p>
        </w:tc>
        <w:tc>
          <w:tcPr>
            <w:tcW w:w="570" w:type="dxa"/>
            <w:tcBorders>
              <w:top w:val="single" w:sz="4" w:space="0" w:color="000000"/>
              <w:left w:val="single" w:sz="4" w:space="0" w:color="000000"/>
              <w:bottom w:val="single" w:sz="12" w:space="0" w:color="000000"/>
              <w:right w:val="single" w:sz="4" w:space="0" w:color="000000"/>
            </w:tcBorders>
          </w:tcPr>
          <w:p w14:paraId="4A81AF41"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4" w:space="0" w:color="000000"/>
              <w:left w:val="single" w:sz="4" w:space="0" w:color="000000"/>
              <w:bottom w:val="single" w:sz="12" w:space="0" w:color="000000"/>
              <w:right w:val="single" w:sz="4" w:space="0" w:color="000000"/>
            </w:tcBorders>
            <w:shd w:val="clear" w:color="auto" w:fill="D9D9D9"/>
            <w:vAlign w:val="center"/>
          </w:tcPr>
          <w:p w14:paraId="6C2D1A91"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val="en-US" w:eastAsia="ja-JP"/>
              </w:rPr>
            </w:pPr>
          </w:p>
        </w:tc>
        <w:tc>
          <w:tcPr>
            <w:tcW w:w="570" w:type="dxa"/>
            <w:tcBorders>
              <w:top w:val="single" w:sz="4" w:space="0" w:color="000000"/>
              <w:left w:val="single" w:sz="4" w:space="0" w:color="000000"/>
              <w:bottom w:val="single" w:sz="12" w:space="0" w:color="000000"/>
              <w:right w:val="single" w:sz="4" w:space="0" w:color="000000"/>
            </w:tcBorders>
          </w:tcPr>
          <w:p w14:paraId="1961113B"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val="en-US" w:eastAsia="ja-JP"/>
              </w:rPr>
            </w:pPr>
          </w:p>
        </w:tc>
        <w:tc>
          <w:tcPr>
            <w:tcW w:w="571" w:type="dxa"/>
            <w:tcBorders>
              <w:top w:val="single" w:sz="4" w:space="0" w:color="000000"/>
              <w:left w:val="single" w:sz="4" w:space="0" w:color="000000"/>
              <w:bottom w:val="single" w:sz="12" w:space="0" w:color="000000"/>
              <w:right w:val="single" w:sz="4" w:space="0" w:color="000000"/>
            </w:tcBorders>
            <w:vAlign w:val="center"/>
          </w:tcPr>
          <w:p w14:paraId="3BDED548"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eastAsia="ja-JP"/>
              </w:rPr>
            </w:pPr>
          </w:p>
        </w:tc>
        <w:tc>
          <w:tcPr>
            <w:tcW w:w="572" w:type="dxa"/>
            <w:tcBorders>
              <w:top w:val="single" w:sz="4" w:space="0" w:color="000000"/>
              <w:left w:val="single" w:sz="4" w:space="0" w:color="000000"/>
              <w:bottom w:val="single" w:sz="12" w:space="0" w:color="000000"/>
              <w:right w:val="single" w:sz="4" w:space="0" w:color="000000"/>
            </w:tcBorders>
            <w:vAlign w:val="center"/>
          </w:tcPr>
          <w:p w14:paraId="6EA9049E"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val="en-US" w:eastAsia="ja-JP"/>
              </w:rPr>
            </w:pPr>
          </w:p>
        </w:tc>
        <w:tc>
          <w:tcPr>
            <w:tcW w:w="570" w:type="dxa"/>
            <w:tcBorders>
              <w:top w:val="single" w:sz="4" w:space="0" w:color="000000"/>
              <w:left w:val="single" w:sz="4" w:space="0" w:color="000000"/>
              <w:bottom w:val="single" w:sz="12" w:space="0" w:color="000000"/>
              <w:right w:val="single" w:sz="4" w:space="0" w:color="000000"/>
            </w:tcBorders>
            <w:vAlign w:val="center"/>
          </w:tcPr>
          <w:p w14:paraId="65231CF4"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val="en-US" w:eastAsia="ja-JP"/>
              </w:rPr>
            </w:pPr>
          </w:p>
        </w:tc>
        <w:tc>
          <w:tcPr>
            <w:tcW w:w="572" w:type="dxa"/>
            <w:tcBorders>
              <w:top w:val="single" w:sz="4" w:space="0" w:color="000000"/>
              <w:left w:val="single" w:sz="4" w:space="0" w:color="000000"/>
              <w:bottom w:val="single" w:sz="12" w:space="0" w:color="000000"/>
              <w:right w:val="single" w:sz="4" w:space="0" w:color="000000"/>
            </w:tcBorders>
            <w:vAlign w:val="center"/>
          </w:tcPr>
          <w:p w14:paraId="0F1AAAB7"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val="en-US" w:eastAsia="ja-JP"/>
              </w:rPr>
            </w:pPr>
          </w:p>
        </w:tc>
        <w:tc>
          <w:tcPr>
            <w:tcW w:w="570" w:type="dxa"/>
            <w:tcBorders>
              <w:top w:val="single" w:sz="4" w:space="0" w:color="000000"/>
              <w:left w:val="single" w:sz="4" w:space="0" w:color="000000"/>
              <w:bottom w:val="single" w:sz="12" w:space="0" w:color="000000"/>
              <w:right w:val="single" w:sz="4" w:space="0" w:color="000000"/>
            </w:tcBorders>
          </w:tcPr>
          <w:p w14:paraId="0D13DB71" w14:textId="77777777" w:rsidR="009123AC" w:rsidRPr="00F0379B" w:rsidRDefault="009123AC" w:rsidP="009123AC">
            <w:pPr>
              <w:suppressAutoHyphens/>
              <w:snapToGrid w:val="0"/>
              <w:spacing w:after="0" w:line="240" w:lineRule="auto"/>
              <w:rPr>
                <w:rFonts w:ascii="Cambria" w:eastAsia="Times New Roman" w:hAnsi="Cambria" w:cs="Calibri"/>
                <w:b/>
                <w:bCs/>
                <w:color w:val="000000"/>
                <w:sz w:val="16"/>
                <w:szCs w:val="16"/>
                <w:lang w:val="en-US" w:eastAsia="ja-JP"/>
              </w:rPr>
            </w:pPr>
          </w:p>
        </w:tc>
        <w:tc>
          <w:tcPr>
            <w:tcW w:w="572" w:type="dxa"/>
            <w:tcBorders>
              <w:top w:val="single" w:sz="4" w:space="0" w:color="000000"/>
              <w:left w:val="single" w:sz="4" w:space="0" w:color="000000"/>
              <w:bottom w:val="single" w:sz="12" w:space="0" w:color="000000"/>
              <w:right w:val="single" w:sz="12" w:space="0" w:color="000000"/>
            </w:tcBorders>
          </w:tcPr>
          <w:p w14:paraId="4DD630ED"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bCs/>
                <w:color w:val="000000"/>
                <w:sz w:val="16"/>
                <w:szCs w:val="16"/>
                <w:lang w:val="en-US" w:eastAsia="ja-JP"/>
              </w:rPr>
              <w:t>0</w:t>
            </w:r>
          </w:p>
        </w:tc>
      </w:tr>
      <w:tr w:rsidR="009123AC" w:rsidRPr="00F0379B" w14:paraId="13E11B03" w14:textId="77777777" w:rsidTr="00CA749B">
        <w:trPr>
          <w:trHeight w:val="23"/>
          <w:jc w:val="center"/>
        </w:trPr>
        <w:tc>
          <w:tcPr>
            <w:tcW w:w="3624" w:type="dxa"/>
            <w:tcBorders>
              <w:top w:val="single" w:sz="12" w:space="0" w:color="000000"/>
              <w:left w:val="single" w:sz="12" w:space="0" w:color="000000"/>
              <w:bottom w:val="single" w:sz="12" w:space="0" w:color="000000"/>
              <w:right w:val="single" w:sz="4" w:space="0" w:color="000000"/>
            </w:tcBorders>
            <w:shd w:val="clear" w:color="auto" w:fill="D9D9D9"/>
            <w:vAlign w:val="center"/>
          </w:tcPr>
          <w:p w14:paraId="3A17CBBF"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proofErr w:type="spellStart"/>
            <w:r w:rsidRPr="00F0379B">
              <w:rPr>
                <w:rFonts w:ascii="Cambria" w:eastAsia="MS Gothic" w:hAnsi="Cambria" w:cs="Cambria"/>
                <w:b/>
                <w:color w:val="000000"/>
                <w:sz w:val="16"/>
                <w:szCs w:val="16"/>
                <w:lang w:eastAsia="zh-CN" w:bidi="fr-FR"/>
              </w:rPr>
              <w:t>Subcapacidad</w:t>
            </w:r>
            <w:proofErr w:type="spellEnd"/>
            <w:r w:rsidRPr="00F0379B">
              <w:rPr>
                <w:rFonts w:ascii="Cambria" w:eastAsia="MS Gothic" w:hAnsi="Cambria" w:cs="Cambria"/>
                <w:b/>
                <w:color w:val="000000"/>
                <w:sz w:val="16"/>
                <w:szCs w:val="16"/>
                <w:lang w:eastAsia="zh-CN" w:bidi="fr-FR"/>
              </w:rPr>
              <w:t>/exceso de capacidad</w:t>
            </w:r>
          </w:p>
        </w:tc>
        <w:tc>
          <w:tcPr>
            <w:tcW w:w="2563" w:type="dxa"/>
            <w:tcBorders>
              <w:top w:val="single" w:sz="12" w:space="0" w:color="000000"/>
              <w:left w:val="single" w:sz="4" w:space="0" w:color="000000"/>
              <w:bottom w:val="single" w:sz="12" w:space="0" w:color="000000"/>
              <w:right w:val="single" w:sz="4" w:space="0" w:color="000000"/>
            </w:tcBorders>
            <w:shd w:val="clear" w:color="auto" w:fill="D9D9D9"/>
            <w:vAlign w:val="center"/>
          </w:tcPr>
          <w:p w14:paraId="3DF0299D" w14:textId="77777777" w:rsidR="009123AC" w:rsidRPr="00F0379B" w:rsidRDefault="009123AC" w:rsidP="009123AC">
            <w:pPr>
              <w:suppressAutoHyphens/>
              <w:spacing w:after="0" w:line="240" w:lineRule="auto"/>
              <w:jc w:val="right"/>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2" w:type="dxa"/>
            <w:tcBorders>
              <w:top w:val="single" w:sz="12" w:space="0" w:color="000000"/>
              <w:left w:val="single" w:sz="4" w:space="0" w:color="000000"/>
              <w:bottom w:val="single" w:sz="12" w:space="0" w:color="000000"/>
              <w:right w:val="single" w:sz="4" w:space="0" w:color="000000"/>
            </w:tcBorders>
            <w:shd w:val="clear" w:color="auto" w:fill="D9D9D9"/>
          </w:tcPr>
          <w:p w14:paraId="417953F6"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0" w:type="dxa"/>
            <w:tcBorders>
              <w:top w:val="single" w:sz="12" w:space="0" w:color="000000"/>
              <w:left w:val="single" w:sz="4" w:space="0" w:color="000000"/>
              <w:bottom w:val="single" w:sz="12" w:space="0" w:color="000000"/>
              <w:right w:val="single" w:sz="4" w:space="0" w:color="000000"/>
            </w:tcBorders>
            <w:shd w:val="clear" w:color="auto" w:fill="D9D9D9"/>
            <w:vAlign w:val="center"/>
          </w:tcPr>
          <w:p w14:paraId="6696DBBB"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ja-JP"/>
              </w:rPr>
            </w:pPr>
          </w:p>
        </w:tc>
        <w:tc>
          <w:tcPr>
            <w:tcW w:w="572" w:type="dxa"/>
            <w:tcBorders>
              <w:top w:val="single" w:sz="12" w:space="0" w:color="000000"/>
              <w:left w:val="single" w:sz="4" w:space="0" w:color="000000"/>
              <w:bottom w:val="single" w:sz="12" w:space="0" w:color="000000"/>
              <w:right w:val="single" w:sz="4" w:space="0" w:color="000000"/>
            </w:tcBorders>
            <w:shd w:val="clear" w:color="auto" w:fill="D9D9D9"/>
            <w:vAlign w:val="center"/>
          </w:tcPr>
          <w:p w14:paraId="44788D32"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0" w:type="dxa"/>
            <w:tcBorders>
              <w:top w:val="single" w:sz="12" w:space="0" w:color="000000"/>
              <w:left w:val="single" w:sz="4" w:space="0" w:color="000000"/>
              <w:bottom w:val="single" w:sz="12" w:space="0" w:color="000000"/>
              <w:right w:val="single" w:sz="4" w:space="0" w:color="000000"/>
            </w:tcBorders>
            <w:shd w:val="clear" w:color="auto" w:fill="D9D9D9"/>
            <w:vAlign w:val="center"/>
          </w:tcPr>
          <w:p w14:paraId="5FCD7F18"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1" w:type="dxa"/>
            <w:tcBorders>
              <w:top w:val="single" w:sz="12" w:space="0" w:color="000000"/>
              <w:left w:val="single" w:sz="4" w:space="0" w:color="000000"/>
              <w:bottom w:val="single" w:sz="12" w:space="0" w:color="000000"/>
              <w:right w:val="single" w:sz="4" w:space="0" w:color="000000"/>
            </w:tcBorders>
            <w:shd w:val="clear" w:color="auto" w:fill="D9D9D9"/>
            <w:vAlign w:val="center"/>
          </w:tcPr>
          <w:p w14:paraId="6991A3F1"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eastAsia="zh-CN" w:bidi="fr-FR"/>
              </w:rPr>
            </w:pPr>
          </w:p>
        </w:tc>
        <w:tc>
          <w:tcPr>
            <w:tcW w:w="572" w:type="dxa"/>
            <w:tcBorders>
              <w:top w:val="single" w:sz="12" w:space="0" w:color="000000"/>
              <w:left w:val="single" w:sz="4" w:space="0" w:color="000000"/>
              <w:bottom w:val="single" w:sz="12" w:space="0" w:color="000000"/>
              <w:right w:val="single" w:sz="4" w:space="0" w:color="000000"/>
            </w:tcBorders>
            <w:shd w:val="clear" w:color="auto" w:fill="D9D9D9"/>
          </w:tcPr>
          <w:p w14:paraId="134B47CB" w14:textId="77777777" w:rsidR="009123AC" w:rsidRPr="00F0379B" w:rsidRDefault="009123AC" w:rsidP="009123AC">
            <w:pPr>
              <w:suppressAutoHyphens/>
              <w:snapToGrid w:val="0"/>
              <w:spacing w:after="0" w:line="240" w:lineRule="auto"/>
              <w:jc w:val="center"/>
              <w:rPr>
                <w:rFonts w:ascii="Cambria" w:eastAsia="Times New Roman" w:hAnsi="Cambria" w:cs="Calibri"/>
                <w:color w:val="000000"/>
                <w:sz w:val="16"/>
                <w:szCs w:val="16"/>
                <w:lang w:val="en-US" w:eastAsia="ja-JP"/>
              </w:rPr>
            </w:pPr>
          </w:p>
        </w:tc>
        <w:tc>
          <w:tcPr>
            <w:tcW w:w="570" w:type="dxa"/>
            <w:tcBorders>
              <w:top w:val="single" w:sz="12" w:space="0" w:color="000000"/>
              <w:left w:val="single" w:sz="4" w:space="0" w:color="000000"/>
              <w:bottom w:val="single" w:sz="12" w:space="0" w:color="000000"/>
              <w:right w:val="single" w:sz="4" w:space="0" w:color="000000"/>
            </w:tcBorders>
            <w:shd w:val="clear" w:color="auto" w:fill="D9D9D9"/>
          </w:tcPr>
          <w:p w14:paraId="4A0DF829" w14:textId="77777777" w:rsidR="009123AC" w:rsidRPr="00F0379B" w:rsidRDefault="009123AC" w:rsidP="009123AC">
            <w:pPr>
              <w:suppressAutoHyphens/>
              <w:spacing w:after="0" w:line="240" w:lineRule="auto"/>
              <w:jc w:val="center"/>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c>
          <w:tcPr>
            <w:tcW w:w="253" w:type="dxa"/>
            <w:tcBorders>
              <w:top w:val="single" w:sz="12" w:space="0" w:color="000000"/>
              <w:left w:val="single" w:sz="4" w:space="0" w:color="000000"/>
              <w:bottom w:val="single" w:sz="12" w:space="0" w:color="000000"/>
              <w:right w:val="single" w:sz="4" w:space="0" w:color="000000"/>
            </w:tcBorders>
            <w:shd w:val="clear" w:color="auto" w:fill="D9D9D9"/>
            <w:vAlign w:val="center"/>
          </w:tcPr>
          <w:p w14:paraId="14F60654"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MS Gothic" w:hAnsi="Cambria" w:cs="Cambria"/>
                <w:color w:val="000000"/>
                <w:sz w:val="16"/>
                <w:szCs w:val="16"/>
                <w:lang w:eastAsia="zh-CN" w:bidi="fr-FR"/>
              </w:rPr>
              <w:t> </w:t>
            </w:r>
          </w:p>
        </w:tc>
        <w:tc>
          <w:tcPr>
            <w:tcW w:w="570" w:type="dxa"/>
            <w:tcBorders>
              <w:top w:val="single" w:sz="12" w:space="0" w:color="000000"/>
              <w:left w:val="single" w:sz="4" w:space="0" w:color="000000"/>
              <w:bottom w:val="single" w:sz="12" w:space="0" w:color="000000"/>
              <w:right w:val="single" w:sz="4" w:space="0" w:color="000000"/>
            </w:tcBorders>
            <w:shd w:val="clear" w:color="auto" w:fill="D9D9D9"/>
          </w:tcPr>
          <w:p w14:paraId="3D5D784B"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1" w:type="dxa"/>
            <w:tcBorders>
              <w:top w:val="single" w:sz="12" w:space="0" w:color="000000"/>
              <w:left w:val="single" w:sz="4" w:space="0" w:color="000000"/>
              <w:bottom w:val="single" w:sz="12" w:space="0" w:color="000000"/>
              <w:right w:val="single" w:sz="4" w:space="0" w:color="000000"/>
            </w:tcBorders>
            <w:shd w:val="clear" w:color="auto" w:fill="D9D9D9"/>
            <w:vAlign w:val="center"/>
          </w:tcPr>
          <w:p w14:paraId="45DC9C6E"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ja-JP"/>
              </w:rPr>
            </w:pPr>
          </w:p>
        </w:tc>
        <w:tc>
          <w:tcPr>
            <w:tcW w:w="572" w:type="dxa"/>
            <w:tcBorders>
              <w:top w:val="single" w:sz="12" w:space="0" w:color="000000"/>
              <w:left w:val="single" w:sz="4" w:space="0" w:color="000000"/>
              <w:bottom w:val="single" w:sz="12" w:space="0" w:color="000000"/>
              <w:right w:val="single" w:sz="4" w:space="0" w:color="000000"/>
            </w:tcBorders>
            <w:shd w:val="clear" w:color="auto" w:fill="D9D9D9"/>
            <w:vAlign w:val="center"/>
          </w:tcPr>
          <w:p w14:paraId="3B69F0DE"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12" w:space="0" w:color="000000"/>
              <w:left w:val="single" w:sz="4" w:space="0" w:color="000000"/>
              <w:bottom w:val="single" w:sz="12" w:space="0" w:color="000000"/>
              <w:right w:val="single" w:sz="4" w:space="0" w:color="000000"/>
            </w:tcBorders>
            <w:shd w:val="clear" w:color="auto" w:fill="D9D9D9"/>
            <w:vAlign w:val="center"/>
          </w:tcPr>
          <w:p w14:paraId="6A4A445F"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12" w:space="0" w:color="000000"/>
              <w:left w:val="single" w:sz="4" w:space="0" w:color="000000"/>
              <w:bottom w:val="single" w:sz="12" w:space="0" w:color="000000"/>
              <w:right w:val="single" w:sz="4" w:space="0" w:color="000000"/>
            </w:tcBorders>
            <w:shd w:val="clear" w:color="auto" w:fill="D9D9D9"/>
            <w:vAlign w:val="center"/>
          </w:tcPr>
          <w:p w14:paraId="3E2DD48B"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0" w:type="dxa"/>
            <w:tcBorders>
              <w:top w:val="single" w:sz="12" w:space="0" w:color="000000"/>
              <w:left w:val="single" w:sz="4" w:space="0" w:color="000000"/>
              <w:bottom w:val="single" w:sz="12" w:space="0" w:color="000000"/>
              <w:right w:val="single" w:sz="4" w:space="0" w:color="000000"/>
            </w:tcBorders>
            <w:shd w:val="clear" w:color="auto" w:fill="D9D9D9"/>
          </w:tcPr>
          <w:p w14:paraId="7F3F9EC6" w14:textId="77777777" w:rsidR="009123AC" w:rsidRPr="00F0379B" w:rsidRDefault="009123AC" w:rsidP="009123AC">
            <w:pPr>
              <w:suppressAutoHyphens/>
              <w:snapToGrid w:val="0"/>
              <w:spacing w:after="0" w:line="240" w:lineRule="auto"/>
              <w:rPr>
                <w:rFonts w:ascii="Cambria" w:eastAsia="Times New Roman" w:hAnsi="Cambria" w:cs="Calibri"/>
                <w:color w:val="000000"/>
                <w:sz w:val="16"/>
                <w:szCs w:val="16"/>
                <w:lang w:eastAsia="zh-CN" w:bidi="fr-FR"/>
              </w:rPr>
            </w:pPr>
          </w:p>
        </w:tc>
        <w:tc>
          <w:tcPr>
            <w:tcW w:w="572" w:type="dxa"/>
            <w:tcBorders>
              <w:top w:val="single" w:sz="12" w:space="0" w:color="000000"/>
              <w:left w:val="single" w:sz="4" w:space="0" w:color="000000"/>
              <w:bottom w:val="single" w:sz="12" w:space="0" w:color="000000"/>
              <w:right w:val="single" w:sz="12" w:space="0" w:color="000000"/>
            </w:tcBorders>
            <w:shd w:val="clear" w:color="auto" w:fill="D9D9D9"/>
          </w:tcPr>
          <w:p w14:paraId="46BB20AB"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pPr>
            <w:r w:rsidRPr="00F0379B">
              <w:rPr>
                <w:rFonts w:ascii="Cambria" w:eastAsia="Times New Roman" w:hAnsi="Cambria" w:cs="Calibri"/>
                <w:color w:val="000000"/>
                <w:sz w:val="16"/>
                <w:szCs w:val="16"/>
                <w:lang w:val="en-US" w:eastAsia="ja-JP"/>
              </w:rPr>
              <w:t>0</w:t>
            </w:r>
          </w:p>
        </w:tc>
      </w:tr>
    </w:tbl>
    <w:p w14:paraId="3DD6023B" w14:textId="77777777" w:rsidR="009123AC" w:rsidRPr="00F0379B" w:rsidRDefault="009123AC" w:rsidP="009123AC">
      <w:pPr>
        <w:suppressAutoHyphens/>
        <w:spacing w:after="0" w:line="240" w:lineRule="auto"/>
        <w:rPr>
          <w:rFonts w:ascii="Cambria" w:eastAsia="MS Gothic" w:hAnsi="Cambria" w:cs="Cambria"/>
          <w:b/>
          <w:bCs/>
          <w:color w:val="000000"/>
          <w:sz w:val="20"/>
          <w:szCs w:val="20"/>
          <w:lang w:eastAsia="zh-CN" w:bidi="fr-FR"/>
        </w:rPr>
      </w:pPr>
    </w:p>
    <w:p w14:paraId="5620577E" w14:textId="77777777" w:rsidR="009123AC" w:rsidRPr="00F0379B" w:rsidRDefault="009123AC" w:rsidP="009123AC">
      <w:pPr>
        <w:tabs>
          <w:tab w:val="left" w:pos="142"/>
        </w:tabs>
        <w:suppressAutoHyphens/>
        <w:spacing w:after="0" w:line="240" w:lineRule="auto"/>
        <w:rPr>
          <w:rFonts w:ascii="Cambria" w:eastAsia="MS Gothic" w:hAnsi="Cambria" w:cs="Cambria"/>
          <w:b/>
          <w:bCs/>
          <w:color w:val="000000"/>
          <w:sz w:val="14"/>
          <w:szCs w:val="14"/>
          <w:lang w:eastAsia="zh-CN" w:bidi="fr-FR"/>
        </w:rPr>
      </w:pPr>
    </w:p>
    <w:p w14:paraId="31C9503F"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sectPr w:rsidR="009123AC" w:rsidRPr="00F0379B" w:rsidSect="009123AC">
          <w:footnotePr>
            <w:numFmt w:val="chicago"/>
          </w:footnotePr>
          <w:pgSz w:w="16838" w:h="11906" w:orient="landscape" w:code="9"/>
          <w:pgMar w:top="1418" w:right="1418" w:bottom="1418" w:left="1418" w:header="851" w:footer="1134" w:gutter="0"/>
          <w:cols w:space="425"/>
          <w:docGrid w:linePitch="360"/>
        </w:sectPr>
      </w:pPr>
    </w:p>
    <w:p w14:paraId="131841B4" w14:textId="725CC15A" w:rsidR="009123AC" w:rsidRPr="00F0379B" w:rsidRDefault="009123AC" w:rsidP="009123AC">
      <w:pPr>
        <w:widowControl w:val="0"/>
        <w:spacing w:after="0" w:line="240" w:lineRule="auto"/>
        <w:jc w:val="both"/>
        <w:rPr>
          <w:rFonts w:ascii="Cambria" w:eastAsia="MS Gothic" w:hAnsi="Cambria" w:cs="Times New Roman"/>
          <w:bCs/>
          <w:sz w:val="20"/>
          <w:szCs w:val="20"/>
          <w:lang w:eastAsia="fr-FR" w:bidi="fr-FR"/>
        </w:rPr>
      </w:pPr>
      <w:r w:rsidRPr="00F0379B">
        <w:rPr>
          <w:rFonts w:ascii="Cambria" w:eastAsia="MS Gothic" w:hAnsi="Cambria" w:cs="Times New Roman"/>
          <w:b/>
          <w:sz w:val="20"/>
          <w:szCs w:val="24"/>
          <w:lang w:eastAsia="fr-FR" w:bidi="fr-FR"/>
        </w:rPr>
        <w:t>Senegal</w:t>
      </w:r>
    </w:p>
    <w:p w14:paraId="249D4E70"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41D6F36E"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b/>
          <w:sz w:val="20"/>
          <w:szCs w:val="24"/>
          <w:lang w:eastAsia="fr-FR" w:bidi="fr-FR"/>
        </w:rPr>
        <w:t>Año del plan de pesca: 2026</w:t>
      </w:r>
    </w:p>
    <w:p w14:paraId="6E45AD82"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021E394F" w14:textId="77777777" w:rsidR="009123AC" w:rsidRPr="00F0379B" w:rsidRDefault="009123AC" w:rsidP="009123AC">
      <w:pPr>
        <w:widowControl w:val="0"/>
        <w:spacing w:after="0" w:line="240" w:lineRule="auto"/>
        <w:ind w:left="426" w:hanging="426"/>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 xml:space="preserve">1. </w:t>
      </w:r>
      <w:r w:rsidRPr="00F0379B">
        <w:rPr>
          <w:rFonts w:ascii="Cambria" w:eastAsia="MS Gothic" w:hAnsi="Cambria" w:cs="Times New Roman"/>
          <w:b/>
          <w:sz w:val="20"/>
          <w:szCs w:val="24"/>
          <w:lang w:eastAsia="fr-FR" w:bidi="fr-FR"/>
        </w:rPr>
        <w:tab/>
        <w:t>Detalles del plan anual de pesca para los buques de captura y las almadrabas</w:t>
      </w:r>
    </w:p>
    <w:p w14:paraId="5C894086"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187D30B2" w14:textId="77777777" w:rsidR="009123AC" w:rsidRPr="00F0379B" w:rsidRDefault="009123AC" w:rsidP="004F7864">
      <w:pPr>
        <w:widowControl w:val="0"/>
        <w:spacing w:after="0" w:line="240" w:lineRule="auto"/>
        <w:jc w:val="both"/>
        <w:rPr>
          <w:rFonts w:ascii="Cambria" w:eastAsia="MS Gothic" w:hAnsi="Cambria" w:cs="Times New Roman"/>
          <w:b/>
          <w:bCs/>
          <w:i/>
          <w:iCs/>
          <w:color w:val="000000"/>
          <w:sz w:val="20"/>
          <w:szCs w:val="20"/>
          <w:lang w:eastAsia="fr-FR" w:bidi="fr-FR"/>
        </w:rPr>
      </w:pPr>
      <w:r w:rsidRPr="00F0379B">
        <w:rPr>
          <w:rFonts w:ascii="Cambria" w:eastAsia="MS Gothic" w:hAnsi="Cambria" w:cs="Times New Roman"/>
          <w:b/>
          <w:i/>
          <w:color w:val="000000"/>
          <w:sz w:val="20"/>
          <w:szCs w:val="24"/>
          <w:lang w:eastAsia="fr-FR" w:bidi="fr-FR"/>
        </w:rPr>
        <w:t>1 a) Presentación (párr. 12)</w:t>
      </w:r>
    </w:p>
    <w:p w14:paraId="15C1E93E" w14:textId="77777777" w:rsidR="009123AC" w:rsidRPr="00F0379B" w:rsidRDefault="009123AC" w:rsidP="004F7864">
      <w:pPr>
        <w:widowControl w:val="0"/>
        <w:spacing w:after="0" w:line="240" w:lineRule="auto"/>
        <w:jc w:val="both"/>
        <w:rPr>
          <w:rFonts w:ascii="Cambria" w:eastAsia="MS Gothic" w:hAnsi="Cambria" w:cs="Times New Roman"/>
          <w:iCs/>
          <w:sz w:val="20"/>
          <w:szCs w:val="20"/>
          <w:lang w:eastAsia="fr-FR" w:bidi="fr-FR"/>
        </w:rPr>
      </w:pPr>
    </w:p>
    <w:p w14:paraId="4B1DBB6D" w14:textId="77777777" w:rsidR="009123AC" w:rsidRPr="00F0379B" w:rsidRDefault="009123AC" w:rsidP="004F7864">
      <w:pPr>
        <w:widowControl w:val="0"/>
        <w:tabs>
          <w:tab w:val="left" w:pos="5245"/>
        </w:tabs>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sz w:val="20"/>
          <w:szCs w:val="24"/>
          <w:lang w:eastAsia="fr-FR" w:bidi="fr-FR"/>
        </w:rPr>
        <w:t xml:space="preserve">Senegal no dispone de buques activos en la pesquería de atún rojo para explotar la cuota de cincuenta y cinco (55) t que se le ha asignado en 2026 y no tiene previsto introducir ningún buque en esta pesquería. La cuota no se utilizará en la pesca dirigida, sino que servirá para cubrir las capturas fortuitas o accidentales de atún rojo de sus cerqueros y barcos de cebo vivo que pescan túnidos tropicales. El número actual de buques es de ocho (08) cerqueros y cinco (05) barcos de cebo vivo autorizados en las pesquerías de túnidos tropicales. </w:t>
      </w:r>
    </w:p>
    <w:p w14:paraId="4EAC1E83" w14:textId="77777777" w:rsidR="009123AC" w:rsidRPr="00F0379B" w:rsidRDefault="009123AC" w:rsidP="004F7864">
      <w:pPr>
        <w:widowControl w:val="0"/>
        <w:tabs>
          <w:tab w:val="left" w:pos="5245"/>
        </w:tabs>
        <w:spacing w:after="0" w:line="240" w:lineRule="auto"/>
        <w:jc w:val="both"/>
        <w:rPr>
          <w:rFonts w:ascii="Cambria" w:eastAsia="MS Gothic" w:hAnsi="Cambria" w:cs="Times New Roman"/>
          <w:iCs/>
          <w:sz w:val="20"/>
          <w:szCs w:val="20"/>
          <w:lang w:eastAsia="fr-FR" w:bidi="fr-FR"/>
        </w:rPr>
      </w:pPr>
    </w:p>
    <w:p w14:paraId="3C1B603B" w14:textId="77777777" w:rsidR="009123AC" w:rsidRPr="00F0379B" w:rsidRDefault="009123AC" w:rsidP="004F7864">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Además, la pesca de recreo y la pesca artesanal pueden (están autorizadas) capturar de forma fortuita atún rojo en las pesquerías tropicales. </w:t>
      </w:r>
    </w:p>
    <w:p w14:paraId="796E4C80" w14:textId="77777777" w:rsidR="004F7864" w:rsidRPr="00F0379B" w:rsidRDefault="004F7864" w:rsidP="004F7864">
      <w:pPr>
        <w:widowControl w:val="0"/>
        <w:spacing w:after="0" w:line="240" w:lineRule="auto"/>
        <w:jc w:val="both"/>
        <w:rPr>
          <w:rFonts w:ascii="Cambria" w:eastAsia="MS Gothic" w:hAnsi="Cambria" w:cs="Times New Roman"/>
          <w:iCs/>
          <w:sz w:val="20"/>
          <w:szCs w:val="20"/>
          <w:lang w:eastAsia="fr-FR" w:bidi="fr-FR"/>
        </w:rPr>
      </w:pPr>
    </w:p>
    <w:p w14:paraId="01478CB5" w14:textId="77777777" w:rsidR="009123AC" w:rsidRPr="00F0379B" w:rsidRDefault="009123AC" w:rsidP="004F7864">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sz w:val="20"/>
          <w:szCs w:val="24"/>
          <w:lang w:eastAsia="fr-FR" w:bidi="fr-FR"/>
        </w:rPr>
        <w:t>La temporada de captura fortuita o accidental de atún rojo está autorizada desde el 1 de enero hasta el 31 de diciembre de 2026.</w:t>
      </w:r>
    </w:p>
    <w:p w14:paraId="32F85474" w14:textId="77777777" w:rsidR="004F7864" w:rsidRPr="00F0379B" w:rsidRDefault="004F7864" w:rsidP="004F7864">
      <w:pPr>
        <w:widowControl w:val="0"/>
        <w:spacing w:after="0" w:line="240" w:lineRule="auto"/>
        <w:jc w:val="both"/>
        <w:rPr>
          <w:rFonts w:ascii="Cambria" w:eastAsia="MS Gothic" w:hAnsi="Cambria" w:cs="Times New Roman"/>
          <w:sz w:val="20"/>
          <w:szCs w:val="24"/>
          <w:lang w:eastAsia="fr-FR" w:bidi="fr-FR"/>
        </w:rPr>
      </w:pPr>
    </w:p>
    <w:p w14:paraId="30EDA3FE" w14:textId="1779B3ED" w:rsidR="009123AC" w:rsidRPr="00F0379B" w:rsidRDefault="009123AC" w:rsidP="004F7864">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sz w:val="20"/>
          <w:szCs w:val="24"/>
          <w:lang w:eastAsia="fr-FR" w:bidi="fr-FR"/>
        </w:rPr>
        <w:t>Las actividades pesqueras, incluidas las relativas a las especies bajo el mandato de ICCAT, se rigen por el código de pesca marítima y su decreto de aplicación, así como por todas las normativas nacionales pertinentes específicas para estas especies, incluidas las relativas a la declaración de capturas.</w:t>
      </w:r>
    </w:p>
    <w:p w14:paraId="77EDFD5D" w14:textId="77777777" w:rsidR="004F7864" w:rsidRPr="00F0379B" w:rsidRDefault="004F7864" w:rsidP="004F7864">
      <w:pPr>
        <w:widowControl w:val="0"/>
        <w:spacing w:after="0" w:line="240" w:lineRule="auto"/>
        <w:jc w:val="both"/>
        <w:rPr>
          <w:rFonts w:ascii="Cambria" w:eastAsia="MS Gothic" w:hAnsi="Cambria" w:cs="Times New Roman"/>
          <w:sz w:val="20"/>
          <w:szCs w:val="24"/>
          <w:lang w:eastAsia="fr-FR" w:bidi="fr-FR"/>
        </w:rPr>
      </w:pPr>
    </w:p>
    <w:p w14:paraId="27B90F82" w14:textId="7BCCB94F" w:rsidR="009123AC" w:rsidRPr="00F0379B" w:rsidRDefault="009123AC" w:rsidP="004F7864">
      <w:pPr>
        <w:widowControl w:val="0"/>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Además, la Recomendación 24-05 de ICCAT, incorporada al ordenamiento jurídico mediante la Orden n.º 033874, de 17 de octubre de 2025, por la que se establecen las medidas de gestión del atún rojo para los buques que enarbolan pabellón senegalés.</w:t>
      </w:r>
    </w:p>
    <w:p w14:paraId="11851168" w14:textId="77777777" w:rsidR="004F7864" w:rsidRPr="00F0379B" w:rsidRDefault="004F7864" w:rsidP="004F7864">
      <w:pPr>
        <w:widowControl w:val="0"/>
        <w:spacing w:after="0" w:line="240" w:lineRule="auto"/>
        <w:jc w:val="both"/>
        <w:rPr>
          <w:rFonts w:ascii="Cambria" w:eastAsia="MS Gothic" w:hAnsi="Cambria" w:cs="Times New Roman"/>
          <w:sz w:val="20"/>
          <w:szCs w:val="24"/>
          <w:lang w:eastAsia="fr-FR" w:bidi="fr-FR"/>
        </w:rPr>
      </w:pPr>
    </w:p>
    <w:p w14:paraId="0194B11B" w14:textId="001DC7C2" w:rsidR="009123AC" w:rsidRPr="00F0379B" w:rsidRDefault="009123AC" w:rsidP="004F7864">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sz w:val="20"/>
          <w:szCs w:val="24"/>
          <w:lang w:eastAsia="fr-FR" w:bidi="fr-FR"/>
        </w:rPr>
        <w:t xml:space="preserve">Todos estos textos regularán las operaciones de los buques y el uso de la cuota de atún rojo del este por parte de Senegal. </w:t>
      </w:r>
    </w:p>
    <w:p w14:paraId="54858A2A" w14:textId="77777777" w:rsidR="004F7864" w:rsidRPr="00F0379B" w:rsidRDefault="004F7864" w:rsidP="004F7864">
      <w:pPr>
        <w:widowControl w:val="0"/>
        <w:spacing w:after="0" w:line="240" w:lineRule="auto"/>
        <w:jc w:val="both"/>
        <w:rPr>
          <w:rFonts w:ascii="Cambria" w:eastAsia="MS Gothic" w:hAnsi="Cambria" w:cs="Times New Roman"/>
          <w:b/>
          <w:i/>
          <w:color w:val="000000"/>
          <w:sz w:val="20"/>
          <w:szCs w:val="24"/>
          <w:lang w:eastAsia="fr-FR" w:bidi="fr-FR"/>
        </w:rPr>
      </w:pPr>
    </w:p>
    <w:p w14:paraId="405AFD7C" w14:textId="38F9718A" w:rsidR="009123AC" w:rsidRPr="00F0379B" w:rsidRDefault="009123AC" w:rsidP="004F7864">
      <w:pPr>
        <w:widowControl w:val="0"/>
        <w:spacing w:after="0" w:line="240" w:lineRule="auto"/>
        <w:jc w:val="both"/>
        <w:rPr>
          <w:rFonts w:ascii="Cambria" w:eastAsia="MS Gothic" w:hAnsi="Cambria" w:cs="Times New Roman"/>
          <w:b/>
          <w:bCs/>
          <w:i/>
          <w:iCs/>
          <w:sz w:val="20"/>
          <w:szCs w:val="20"/>
          <w:lang w:eastAsia="fr-FR" w:bidi="fr-FR"/>
        </w:rPr>
      </w:pPr>
      <w:r w:rsidRPr="00F0379B">
        <w:rPr>
          <w:rFonts w:ascii="Cambria" w:eastAsia="MS Gothic" w:hAnsi="Cambria" w:cs="Times New Roman"/>
          <w:b/>
          <w:i/>
          <w:color w:val="000000"/>
          <w:sz w:val="20"/>
          <w:szCs w:val="24"/>
          <w:lang w:eastAsia="fr-FR" w:bidi="fr-FR"/>
        </w:rPr>
        <w:t xml:space="preserve">1b) </w:t>
      </w:r>
      <w:r w:rsidRPr="00F0379B">
        <w:rPr>
          <w:rFonts w:ascii="Cambria" w:eastAsia="MS Gothic" w:hAnsi="Cambria" w:cs="Times New Roman"/>
          <w:b/>
          <w:i/>
          <w:sz w:val="20"/>
          <w:szCs w:val="24"/>
          <w:lang w:eastAsia="fr-FR" w:bidi="fr-FR"/>
        </w:rPr>
        <w:t>Traspaso (párr. 6)</w:t>
      </w:r>
    </w:p>
    <w:p w14:paraId="7DBB67BB" w14:textId="77777777" w:rsidR="009123AC" w:rsidRPr="00F0379B" w:rsidRDefault="009123AC" w:rsidP="004F7864">
      <w:pPr>
        <w:widowControl w:val="0"/>
        <w:spacing w:after="0" w:line="240" w:lineRule="auto"/>
        <w:jc w:val="both"/>
        <w:rPr>
          <w:rFonts w:ascii="Cambria" w:eastAsia="MS Gothic" w:hAnsi="Cambria" w:cs="Times New Roman"/>
          <w:color w:val="000000"/>
          <w:sz w:val="20"/>
          <w:szCs w:val="20"/>
          <w:lang w:eastAsia="fr-FR" w:bidi="fr-FR"/>
        </w:rPr>
      </w:pPr>
    </w:p>
    <w:p w14:paraId="1987714A" w14:textId="77777777" w:rsidR="009123AC" w:rsidRPr="00F0379B" w:rsidRDefault="009123AC" w:rsidP="009123AC">
      <w:pPr>
        <w:widowControl w:val="0"/>
        <w:spacing w:after="0" w:line="240" w:lineRule="auto"/>
        <w:jc w:val="both"/>
        <w:rPr>
          <w:rFonts w:ascii="Cambria" w:eastAsia="MS Gothic" w:hAnsi="Cambria" w:cs="Times New Roman"/>
          <w:bCs/>
          <w:color w:val="000000"/>
          <w:sz w:val="20"/>
          <w:szCs w:val="20"/>
          <w:lang w:eastAsia="fr-FR" w:bidi="fr-FR"/>
        </w:rPr>
      </w:pPr>
      <w:r w:rsidRPr="00F0379B">
        <w:rPr>
          <w:rFonts w:ascii="Cambria" w:eastAsia="MS Gothic" w:hAnsi="Cambria" w:cs="Times New Roman"/>
          <w:color w:val="000000"/>
          <w:sz w:val="20"/>
          <w:szCs w:val="24"/>
          <w:lang w:eastAsia="fr-FR" w:bidi="fr-FR"/>
        </w:rPr>
        <w:t xml:space="preserve">No se ha solicitado ningún traspaso.  </w:t>
      </w:r>
    </w:p>
    <w:p w14:paraId="7C11DD33"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545FEC01" w14:textId="77777777" w:rsidR="009123AC" w:rsidRPr="00F0379B" w:rsidRDefault="009123AC" w:rsidP="009123AC">
      <w:pPr>
        <w:widowControl w:val="0"/>
        <w:spacing w:after="0" w:line="240" w:lineRule="auto"/>
        <w:jc w:val="both"/>
        <w:rPr>
          <w:rFonts w:ascii="Cambria" w:eastAsia="MS Gothic" w:hAnsi="Cambria" w:cs="Times New Roman"/>
          <w:b/>
          <w:bCs/>
          <w:i/>
          <w:sz w:val="20"/>
          <w:szCs w:val="20"/>
          <w:lang w:eastAsia="fr-FR" w:bidi="fr-FR"/>
        </w:rPr>
      </w:pPr>
      <w:r w:rsidRPr="00F0379B">
        <w:rPr>
          <w:rFonts w:ascii="Cambria" w:eastAsia="MS Gothic" w:hAnsi="Cambria" w:cs="Times New Roman"/>
          <w:b/>
          <w:i/>
          <w:sz w:val="20"/>
          <w:szCs w:val="24"/>
          <w:lang w:eastAsia="fr-FR" w:bidi="fr-FR"/>
        </w:rPr>
        <w:t>1c) Destino de la captura</w:t>
      </w:r>
    </w:p>
    <w:p w14:paraId="7EEDD394"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p>
    <w:p w14:paraId="04DAC037"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sz w:val="20"/>
          <w:szCs w:val="24"/>
          <w:lang w:eastAsia="fr-FR" w:bidi="fr-FR"/>
        </w:rPr>
        <w:t>Los peces están destinados al desembarque.</w:t>
      </w:r>
    </w:p>
    <w:p w14:paraId="570CC3BD"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1FBE079F"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r w:rsidRPr="00F0379B">
        <w:rPr>
          <w:rFonts w:ascii="Cambria" w:eastAsia="MS Gothic" w:hAnsi="Cambria" w:cs="Times New Roman"/>
          <w:b/>
          <w:i/>
          <w:sz w:val="20"/>
          <w:szCs w:val="24"/>
          <w:lang w:eastAsia="fr-FR" w:bidi="fr-FR"/>
        </w:rPr>
        <w:t>1d)</w:t>
      </w:r>
    </w:p>
    <w:tbl>
      <w:tblPr>
        <w:tblStyle w:val="TableGrid"/>
        <w:tblW w:w="0" w:type="auto"/>
        <w:tblLook w:val="04A0" w:firstRow="1" w:lastRow="0" w:firstColumn="1" w:lastColumn="0" w:noHBand="0" w:noVBand="1"/>
      </w:tblPr>
      <w:tblGrid>
        <w:gridCol w:w="453"/>
        <w:gridCol w:w="2377"/>
        <w:gridCol w:w="1985"/>
        <w:gridCol w:w="2049"/>
        <w:gridCol w:w="1977"/>
      </w:tblGrid>
      <w:tr w:rsidR="009123AC" w:rsidRPr="00F0379B" w14:paraId="318CF749" w14:textId="77777777" w:rsidTr="00941B0E">
        <w:trPr>
          <w:tblHeader/>
        </w:trPr>
        <w:tc>
          <w:tcPr>
            <w:tcW w:w="453" w:type="dxa"/>
          </w:tcPr>
          <w:p w14:paraId="5837300F"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377" w:type="dxa"/>
            <w:vAlign w:val="center"/>
          </w:tcPr>
          <w:p w14:paraId="583B8C5C"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Requisito ICCAT</w:t>
            </w:r>
          </w:p>
          <w:p w14:paraId="7F848840"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(según Rec.</w:t>
            </w:r>
          </w:p>
          <w:p w14:paraId="1A6BEF7F"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hyperlink r:id="rId202" w:history="1">
              <w:r w:rsidRPr="00F0379B">
                <w:rPr>
                  <w:rFonts w:ascii="Cambria" w:eastAsiaTheme="minorEastAsia" w:hAnsi="Cambria"/>
                  <w:i/>
                  <w:color w:val="0563C1"/>
                  <w:kern w:val="2"/>
                  <w:sz w:val="20"/>
                  <w:lang w:eastAsia="ja-JP"/>
                  <w14:ligatures w14:val="standardContextual"/>
                </w:rPr>
                <w:t>Rec. 25-04</w:t>
              </w:r>
            </w:hyperlink>
            <w:r w:rsidRPr="00F0379B">
              <w:rPr>
                <w:rFonts w:ascii="Cambria" w:eastAsiaTheme="minorEastAsia" w:hAnsi="Cambria"/>
                <w:i/>
                <w:kern w:val="2"/>
                <w:sz w:val="20"/>
                <w:lang w:eastAsia="ja-JP"/>
                <w14:ligatures w14:val="standardContextual"/>
              </w:rPr>
              <w:t>)</w:t>
            </w:r>
          </w:p>
        </w:tc>
        <w:tc>
          <w:tcPr>
            <w:tcW w:w="1985" w:type="dxa"/>
            <w:vAlign w:val="center"/>
          </w:tcPr>
          <w:p w14:paraId="39CF9282"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Explicación de las acciones emprendidas por la CPC con fines de implementación</w:t>
            </w:r>
          </w:p>
        </w:tc>
        <w:tc>
          <w:tcPr>
            <w:tcW w:w="2049" w:type="dxa"/>
            <w:vAlign w:val="center"/>
          </w:tcPr>
          <w:p w14:paraId="6B3467FB"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Leyes o reglamentos internos pertinentes (si procede)</w:t>
            </w:r>
          </w:p>
        </w:tc>
        <w:tc>
          <w:tcPr>
            <w:tcW w:w="1977" w:type="dxa"/>
            <w:vAlign w:val="center"/>
          </w:tcPr>
          <w:p w14:paraId="5485F175"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Nota</w:t>
            </w:r>
          </w:p>
        </w:tc>
      </w:tr>
      <w:tr w:rsidR="009123AC" w:rsidRPr="00F0379B" w14:paraId="49DBDCC7" w14:textId="77777777" w:rsidTr="00CA749B">
        <w:tc>
          <w:tcPr>
            <w:tcW w:w="453" w:type="dxa"/>
          </w:tcPr>
          <w:p w14:paraId="07F786F0"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1</w:t>
            </w:r>
          </w:p>
        </w:tc>
        <w:tc>
          <w:tcPr>
            <w:tcW w:w="2377" w:type="dxa"/>
          </w:tcPr>
          <w:p w14:paraId="3E004961"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Consignación y comunicación de la captura (párrs. 74-88)</w:t>
            </w:r>
          </w:p>
        </w:tc>
        <w:tc>
          <w:tcPr>
            <w:tcW w:w="1985" w:type="dxa"/>
          </w:tcPr>
          <w:p w14:paraId="2C0BDDD0"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Cuaderno de pesca encuadernado y cuaderno de pesca electrónico, si procede.</w:t>
            </w:r>
          </w:p>
          <w:p w14:paraId="5E494AA7"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Todos los peces muertos retenidos o descartados se deducirán de la cuota.</w:t>
            </w:r>
          </w:p>
        </w:tc>
        <w:tc>
          <w:tcPr>
            <w:tcW w:w="2049" w:type="dxa"/>
          </w:tcPr>
          <w:p w14:paraId="3CC1DD8E"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El código de pesca marítima y su decreto de aplicación.</w:t>
            </w:r>
          </w:p>
          <w:p w14:paraId="745D7835"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Los decretos que establecen el cuaderno de pesca y el cuaderno de pesca electrónico.</w:t>
            </w:r>
          </w:p>
          <w:p w14:paraId="40D99179"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-Decreto n.º 033874, de 17 de octubre de 2025, por el que se establecen las medidas de ordenación del atún rojo para los buques que enarbolan pabellón senegalés. </w:t>
            </w:r>
          </w:p>
        </w:tc>
        <w:tc>
          <w:tcPr>
            <w:tcW w:w="1977" w:type="dxa"/>
          </w:tcPr>
          <w:p w14:paraId="75AEB17C"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r>
      <w:tr w:rsidR="009123AC" w:rsidRPr="00F0379B" w14:paraId="0D41DB1D" w14:textId="77777777" w:rsidTr="00CA749B">
        <w:tc>
          <w:tcPr>
            <w:tcW w:w="453" w:type="dxa"/>
          </w:tcPr>
          <w:p w14:paraId="12B1AC84"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2</w:t>
            </w:r>
          </w:p>
        </w:tc>
        <w:tc>
          <w:tcPr>
            <w:tcW w:w="2377" w:type="dxa"/>
          </w:tcPr>
          <w:p w14:paraId="4533FED9"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Temporadas de pesca abiertas (párrs. 28-32)</w:t>
            </w:r>
          </w:p>
        </w:tc>
        <w:tc>
          <w:tcPr>
            <w:tcW w:w="1985" w:type="dxa"/>
          </w:tcPr>
          <w:p w14:paraId="76C49BD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El período de pesca autorizado para los barcos de cebo vivo y cerqueros que no pescan específicamente pero que pueden capturar atún rojo en el Atlántico oriental se extiende desde el 1 de enero hasta el 31 de diciembre de 2026. </w:t>
            </w:r>
          </w:p>
        </w:tc>
        <w:tc>
          <w:tcPr>
            <w:tcW w:w="2049" w:type="dxa"/>
          </w:tcPr>
          <w:p w14:paraId="6F9AFB6A"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-Decreto n.º 033874, de 17 de octubre de 2025, por el que se establecen las medidas de ordenación del atún rojo para los buques que enarbolan pabellón senegalés.</w:t>
            </w:r>
          </w:p>
        </w:tc>
        <w:tc>
          <w:tcPr>
            <w:tcW w:w="1977" w:type="dxa"/>
          </w:tcPr>
          <w:p w14:paraId="27AC04D3"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r>
      <w:tr w:rsidR="009123AC" w:rsidRPr="00F0379B" w14:paraId="1D65297A" w14:textId="77777777" w:rsidTr="00CA749B">
        <w:tc>
          <w:tcPr>
            <w:tcW w:w="453" w:type="dxa"/>
          </w:tcPr>
          <w:p w14:paraId="327F8D73"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3</w:t>
            </w:r>
          </w:p>
        </w:tc>
        <w:tc>
          <w:tcPr>
            <w:tcW w:w="2377" w:type="dxa"/>
          </w:tcPr>
          <w:p w14:paraId="62624B2B"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Talla mínima (párrs. 33-35)</w:t>
            </w:r>
          </w:p>
        </w:tc>
        <w:tc>
          <w:tcPr>
            <w:tcW w:w="1985" w:type="dxa"/>
          </w:tcPr>
          <w:p w14:paraId="6FEA9B0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Un talla mínimo de 30 kg y 115 cm de longitud a la horquilla para los cerqueros y barcos de cebo vivo.</w:t>
            </w:r>
          </w:p>
          <w:p w14:paraId="1649E5F6"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049" w:type="dxa"/>
          </w:tcPr>
          <w:p w14:paraId="2C07CB6F"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-Decreto n.º 033874, de 17 de octubre de 2025, por el que se establecen las medidas de ordenación del atún rojo para los buques que enarbolan pabellón senegalés.</w:t>
            </w:r>
          </w:p>
        </w:tc>
        <w:tc>
          <w:tcPr>
            <w:tcW w:w="1977" w:type="dxa"/>
          </w:tcPr>
          <w:p w14:paraId="42143C96"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052E7800" w14:textId="77777777" w:rsidTr="00CA749B">
        <w:tc>
          <w:tcPr>
            <w:tcW w:w="453" w:type="dxa"/>
          </w:tcPr>
          <w:p w14:paraId="4CF4DEC6"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4</w:t>
            </w:r>
          </w:p>
        </w:tc>
        <w:tc>
          <w:tcPr>
            <w:tcW w:w="2377" w:type="dxa"/>
          </w:tcPr>
          <w:p w14:paraId="69132745"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lang w:eastAsia="ja-JP"/>
                <w14:ligatures w14:val="standardContextual"/>
              </w:rPr>
              <w:t>Captura fortuita (párr.  37)</w:t>
            </w:r>
            <w:r w:rsidRPr="00F0379B">
              <w:rPr>
                <w:rFonts w:ascii="Cambria" w:eastAsiaTheme="minorEastAsia" w:hAnsi="Cambria"/>
                <w:b/>
                <w:kern w:val="2"/>
                <w:sz w:val="20"/>
                <w:lang w:eastAsia="ja-JP"/>
                <w14:ligatures w14:val="standardContextual"/>
              </w:rPr>
              <w:t xml:space="preserve"> </w:t>
            </w:r>
          </w:p>
        </w:tc>
        <w:tc>
          <w:tcPr>
            <w:tcW w:w="1985" w:type="dxa"/>
          </w:tcPr>
          <w:p w14:paraId="1ED67E00"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La cuota total de 55 t se destina a las capturas fortuitas de atún rojo por parte de los cerqueros y barcos de cebo vivo autorizados a pescar especies tropicales.</w:t>
            </w:r>
          </w:p>
          <w:p w14:paraId="25AC8A1D"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049" w:type="dxa"/>
          </w:tcPr>
          <w:p w14:paraId="673B3248"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-Decreto n.º 033874, de 17 de octubre de 2025, por el que se establecen las medidas de ordenación del atún rojo para los buques que enarbolan pabellón senegalés.</w:t>
            </w:r>
          </w:p>
        </w:tc>
        <w:tc>
          <w:tcPr>
            <w:tcW w:w="1977" w:type="dxa"/>
          </w:tcPr>
          <w:p w14:paraId="6504D363"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r>
      <w:tr w:rsidR="009123AC" w:rsidRPr="00F0379B" w14:paraId="11CF66CA" w14:textId="77777777" w:rsidTr="00CA749B">
        <w:tc>
          <w:tcPr>
            <w:tcW w:w="453" w:type="dxa"/>
          </w:tcPr>
          <w:p w14:paraId="62BE5537"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5</w:t>
            </w:r>
          </w:p>
        </w:tc>
        <w:tc>
          <w:tcPr>
            <w:tcW w:w="2377" w:type="dxa"/>
          </w:tcPr>
          <w:p w14:paraId="3AD8082E"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Pesquerías deportivas y de recreo (párrs. 38-46)</w:t>
            </w:r>
          </w:p>
        </w:tc>
        <w:tc>
          <w:tcPr>
            <w:tcW w:w="1985" w:type="dxa"/>
          </w:tcPr>
          <w:p w14:paraId="0CBEA77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049" w:type="dxa"/>
          </w:tcPr>
          <w:p w14:paraId="092ABF59"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977" w:type="dxa"/>
          </w:tcPr>
          <w:p w14:paraId="47FB6145"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140D9DE5" w14:textId="77777777" w:rsidTr="00CA749B">
        <w:tc>
          <w:tcPr>
            <w:tcW w:w="453" w:type="dxa"/>
          </w:tcPr>
          <w:p w14:paraId="5CA71B3D"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6</w:t>
            </w:r>
          </w:p>
        </w:tc>
        <w:tc>
          <w:tcPr>
            <w:tcW w:w="2377" w:type="dxa"/>
          </w:tcPr>
          <w:p w14:paraId="11CCD46C"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Transbordo (párrs. 89-94) </w:t>
            </w:r>
          </w:p>
        </w:tc>
        <w:tc>
          <w:tcPr>
            <w:tcW w:w="1985" w:type="dxa"/>
          </w:tcPr>
          <w:p w14:paraId="79FDDDDE"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Solo se autoriza el transbordo en el puerto de Dakar en virtud de </w:t>
            </w:r>
          </w:p>
          <w:p w14:paraId="314CE69E" w14:textId="77777777" w:rsidR="009123AC" w:rsidRPr="00F0379B" w:rsidRDefault="009123AC" w:rsidP="009123AC">
            <w:pPr>
              <w:widowControl w:val="0"/>
              <w:spacing w:line="240" w:lineRule="auto"/>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del decreto n.º 033874, de 17 de octubre de 2025, por el que se establecen las medidas de ordenación del atún rojo para los buques que enarbolan pabellón senegalés.</w:t>
            </w:r>
          </w:p>
          <w:p w14:paraId="1B35750D" w14:textId="77777777" w:rsidR="004F7864" w:rsidRPr="00F0379B" w:rsidRDefault="004F7864" w:rsidP="009123AC">
            <w:pPr>
              <w:widowControl w:val="0"/>
              <w:spacing w:line="240" w:lineRule="auto"/>
              <w:rPr>
                <w:rFonts w:ascii="Cambria" w:eastAsiaTheme="minorEastAsia" w:hAnsi="Cambria"/>
                <w:kern w:val="2"/>
                <w:sz w:val="20"/>
                <w:szCs w:val="20"/>
                <w:lang w:eastAsia="ja-JP"/>
                <w14:ligatures w14:val="standardContextual"/>
              </w:rPr>
            </w:pPr>
          </w:p>
        </w:tc>
        <w:tc>
          <w:tcPr>
            <w:tcW w:w="2049" w:type="dxa"/>
          </w:tcPr>
          <w:p w14:paraId="6CD840A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-Decreto n.º 033874, de 17 de octubre de 2025, por el que se establecen las medidas de ordenación del atún rojo para los buques que enarbolan pabellón senegalés.</w:t>
            </w:r>
          </w:p>
        </w:tc>
        <w:tc>
          <w:tcPr>
            <w:tcW w:w="1977" w:type="dxa"/>
          </w:tcPr>
          <w:p w14:paraId="3F35F53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r>
      <w:tr w:rsidR="009123AC" w:rsidRPr="00F0379B" w14:paraId="0741B43A" w14:textId="77777777" w:rsidTr="00CA749B">
        <w:tc>
          <w:tcPr>
            <w:tcW w:w="453" w:type="dxa"/>
          </w:tcPr>
          <w:p w14:paraId="696F1C47"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7</w:t>
            </w:r>
          </w:p>
        </w:tc>
        <w:tc>
          <w:tcPr>
            <w:tcW w:w="2377" w:type="dxa"/>
          </w:tcPr>
          <w:p w14:paraId="669CB193"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VMS (párrs. 222-228)</w:t>
            </w:r>
          </w:p>
        </w:tc>
        <w:tc>
          <w:tcPr>
            <w:tcW w:w="1985" w:type="dxa"/>
          </w:tcPr>
          <w:p w14:paraId="24552FD1"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La normativa nacional exige que los buques pesqueros industriales, incluidos los atuneros, lleven a bordo un sistema VMS.</w:t>
            </w:r>
          </w:p>
          <w:p w14:paraId="01E25143" w14:textId="4018B1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La plataforma VMS permite realizar un seguimiento de los buques pesqueros con una frecuencia de transmisión de una (1) hora y las 24 horas del día.</w:t>
            </w:r>
          </w:p>
        </w:tc>
        <w:tc>
          <w:tcPr>
            <w:tcW w:w="2049" w:type="dxa"/>
          </w:tcPr>
          <w:p w14:paraId="62542738"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977" w:type="dxa"/>
          </w:tcPr>
          <w:p w14:paraId="51716BC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r>
      <w:tr w:rsidR="009123AC" w:rsidRPr="00F0379B" w14:paraId="7F360C09" w14:textId="77777777" w:rsidTr="00CA749B">
        <w:tc>
          <w:tcPr>
            <w:tcW w:w="453" w:type="dxa"/>
          </w:tcPr>
          <w:p w14:paraId="7EABC83E"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8</w:t>
            </w:r>
          </w:p>
        </w:tc>
        <w:tc>
          <w:tcPr>
            <w:tcW w:w="2377" w:type="dxa"/>
          </w:tcPr>
          <w:p w14:paraId="1F2DF50D"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Programa de observadores de las CPC (párrs. 95-100)</w:t>
            </w:r>
          </w:p>
        </w:tc>
        <w:tc>
          <w:tcPr>
            <w:tcW w:w="1985" w:type="dxa"/>
          </w:tcPr>
          <w:p w14:paraId="411EB762"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Los cerqueros que pescan especies tropicales y pueden capturar atún rojo tienen una cobertura del 100%.</w:t>
            </w:r>
          </w:p>
          <w:p w14:paraId="526E054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-Los barcos de cebo vivo que se dirigen a los túnidos tropicales tropical tendrán una cobertura del 10 %.</w:t>
            </w:r>
          </w:p>
        </w:tc>
        <w:tc>
          <w:tcPr>
            <w:tcW w:w="2049" w:type="dxa"/>
          </w:tcPr>
          <w:p w14:paraId="61CCD34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977" w:type="dxa"/>
          </w:tcPr>
          <w:p w14:paraId="09D30366"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4413B911" w14:textId="77777777" w:rsidTr="00CA749B">
        <w:tc>
          <w:tcPr>
            <w:tcW w:w="453" w:type="dxa"/>
          </w:tcPr>
          <w:p w14:paraId="5778A702"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9</w:t>
            </w:r>
          </w:p>
        </w:tc>
        <w:tc>
          <w:tcPr>
            <w:tcW w:w="2377" w:type="dxa"/>
          </w:tcPr>
          <w:p w14:paraId="4AABEDBD"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val="pt-BR" w:eastAsia="ja-JP"/>
                <w14:ligatures w14:val="standardContextual"/>
              </w:rPr>
              <w:t>Programa regional de observadores (párrs. </w:t>
            </w:r>
            <w:r w:rsidRPr="00F0379B">
              <w:rPr>
                <w:rFonts w:ascii="Cambria" w:eastAsiaTheme="minorEastAsia" w:hAnsi="Cambria"/>
                <w:b/>
                <w:kern w:val="2"/>
                <w:sz w:val="20"/>
                <w:lang w:eastAsia="ja-JP"/>
                <w14:ligatures w14:val="standardContextual"/>
              </w:rPr>
              <w:t>101-107)</w:t>
            </w:r>
          </w:p>
        </w:tc>
        <w:tc>
          <w:tcPr>
            <w:tcW w:w="1985" w:type="dxa"/>
          </w:tcPr>
          <w:p w14:paraId="40CC48B9"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780EAB9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Ninguna</w:t>
            </w:r>
          </w:p>
        </w:tc>
        <w:tc>
          <w:tcPr>
            <w:tcW w:w="2049" w:type="dxa"/>
          </w:tcPr>
          <w:p w14:paraId="65DA67A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977" w:type="dxa"/>
          </w:tcPr>
          <w:p w14:paraId="06C80FD3"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45C0953F" w14:textId="77777777" w:rsidTr="00CA749B">
        <w:tc>
          <w:tcPr>
            <w:tcW w:w="453" w:type="dxa"/>
          </w:tcPr>
          <w:p w14:paraId="43AF897B" w14:textId="77777777" w:rsidR="009123AC" w:rsidRPr="00F0379B" w:rsidRDefault="009123AC" w:rsidP="009123AC">
            <w:pPr>
              <w:widowControl w:val="0"/>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10</w:t>
            </w:r>
          </w:p>
        </w:tc>
        <w:tc>
          <w:tcPr>
            <w:tcW w:w="2377" w:type="dxa"/>
          </w:tcPr>
          <w:p w14:paraId="403A1863" w14:textId="77777777" w:rsidR="009123AC" w:rsidRPr="00F0379B" w:rsidRDefault="009123AC" w:rsidP="009123AC">
            <w:pPr>
              <w:widowControl w:val="0"/>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Legislación nacional</w:t>
            </w:r>
          </w:p>
        </w:tc>
        <w:tc>
          <w:tcPr>
            <w:tcW w:w="1985" w:type="dxa"/>
          </w:tcPr>
          <w:p w14:paraId="0FC66C9A"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Código de Pesca Marítima y su decreto de aplicación.</w:t>
            </w:r>
          </w:p>
          <w:p w14:paraId="4A41133B"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Decretos que establecen el cuaderno de pesca y el diario de pesca electrónico.</w:t>
            </w:r>
          </w:p>
          <w:p w14:paraId="3D8B9C9E"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-Decreto n.º 033874, de 17 de octubre de 2025, por el que se establecen las medidas de ordenación del atún rojo para los buques que enarbolan pabellón senegalés.</w:t>
            </w:r>
          </w:p>
        </w:tc>
        <w:tc>
          <w:tcPr>
            <w:tcW w:w="2049" w:type="dxa"/>
          </w:tcPr>
          <w:p w14:paraId="30043F9A"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La Rec. 24-05 se ha transpuesto mediante el decreto n.º 033874, de 17 de octubre de 2025, por el que se establecen las medidas de ordenación del atún rojo para los buques que enarbolan pabellón senegalés. </w:t>
            </w:r>
          </w:p>
          <w:p w14:paraId="2E08C77F"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Se realizarán modificaciones tras la adopción de la Recomendación 25-04.</w:t>
            </w:r>
          </w:p>
        </w:tc>
        <w:tc>
          <w:tcPr>
            <w:tcW w:w="1977" w:type="dxa"/>
          </w:tcPr>
          <w:p w14:paraId="21DA10B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r>
      <w:tr w:rsidR="009123AC" w:rsidRPr="00F0379B" w14:paraId="71A15BE7" w14:textId="77777777" w:rsidTr="00CA749B">
        <w:tc>
          <w:tcPr>
            <w:tcW w:w="453" w:type="dxa"/>
          </w:tcPr>
          <w:p w14:paraId="082A7E63"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p>
        </w:tc>
        <w:tc>
          <w:tcPr>
            <w:tcW w:w="2377" w:type="dxa"/>
          </w:tcPr>
          <w:p w14:paraId="613F500A" w14:textId="77777777" w:rsidR="009123AC" w:rsidRPr="00F0379B" w:rsidRDefault="009123AC" w:rsidP="009123AC">
            <w:pPr>
              <w:widowControl w:val="0"/>
              <w:spacing w:line="240" w:lineRule="auto"/>
              <w:jc w:val="both"/>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Otros requisitos como un programa de marcado (párrafo 44)</w:t>
            </w:r>
          </w:p>
        </w:tc>
        <w:tc>
          <w:tcPr>
            <w:tcW w:w="1985" w:type="dxa"/>
          </w:tcPr>
          <w:p w14:paraId="54EE72B0"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049" w:type="dxa"/>
          </w:tcPr>
          <w:p w14:paraId="5AB2A8B8"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977" w:type="dxa"/>
          </w:tcPr>
          <w:p w14:paraId="12FF926F"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bl>
    <w:p w14:paraId="564F93DE" w14:textId="77777777" w:rsidR="009123AC" w:rsidRPr="00F0379B" w:rsidRDefault="009123AC" w:rsidP="009123AC">
      <w:pPr>
        <w:widowControl w:val="0"/>
        <w:spacing w:after="0" w:line="240" w:lineRule="auto"/>
        <w:rPr>
          <w:rFonts w:ascii="Cambria" w:eastAsia="MS Gothic" w:hAnsi="Cambria" w:cs="Times New Roman"/>
          <w:bCs/>
          <w:sz w:val="20"/>
          <w:szCs w:val="20"/>
          <w:lang w:eastAsia="fr-FR" w:bidi="fr-FR"/>
        </w:rPr>
      </w:pPr>
    </w:p>
    <w:p w14:paraId="45E89BAB" w14:textId="77777777"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r w:rsidRPr="00F0379B">
        <w:rPr>
          <w:rFonts w:ascii="Cambria" w:eastAsia="MS Gothic" w:hAnsi="Cambria" w:cs="Times New Roman"/>
          <w:b/>
          <w:i/>
          <w:sz w:val="20"/>
          <w:szCs w:val="24"/>
          <w:lang w:eastAsia="fr-FR" w:bidi="fr-FR"/>
        </w:rPr>
        <w:t>1 e) Puertos designados (párr. 80)</w:t>
      </w:r>
    </w:p>
    <w:p w14:paraId="07A8B7CE"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p w14:paraId="6EA014A7"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 xml:space="preserve">El puerto de Dakar es el único puerto autorizado para el desembarque y transbordo de atún rojo del este. El formulario se adjunta a continuación (véase el formulario CP24 presentado en este plan). </w:t>
      </w:r>
    </w:p>
    <w:p w14:paraId="10F799F9" w14:textId="77777777" w:rsidR="009123AC" w:rsidRPr="00F0379B" w:rsidRDefault="009123AC" w:rsidP="009123AC">
      <w:pPr>
        <w:widowControl w:val="0"/>
        <w:spacing w:after="0" w:line="240" w:lineRule="auto"/>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Lista de puertos designados para el desembarque y el transbordo</w:t>
      </w:r>
    </w:p>
    <w:p w14:paraId="20AF2B2B" w14:textId="77777777" w:rsidR="00941B0E" w:rsidRPr="00F0379B" w:rsidRDefault="00941B0E" w:rsidP="009123AC">
      <w:pPr>
        <w:widowControl w:val="0"/>
        <w:spacing w:after="0" w:line="240" w:lineRule="auto"/>
        <w:rPr>
          <w:rFonts w:ascii="Cambria" w:eastAsia="MS Gothic" w:hAnsi="Cambria" w:cs="Times New Roman"/>
          <w:sz w:val="20"/>
          <w:szCs w:val="20"/>
          <w:lang w:eastAsia="fr-FR" w:bidi="fr-FR"/>
        </w:rPr>
      </w:pPr>
    </w:p>
    <w:tbl>
      <w:tblPr>
        <w:tblW w:w="5000" w:type="pct"/>
        <w:tblLook w:val="04A0" w:firstRow="1" w:lastRow="0" w:firstColumn="1" w:lastColumn="0" w:noHBand="0" w:noVBand="1"/>
      </w:tblPr>
      <w:tblGrid>
        <w:gridCol w:w="1606"/>
        <w:gridCol w:w="1600"/>
        <w:gridCol w:w="1631"/>
        <w:gridCol w:w="2037"/>
        <w:gridCol w:w="2186"/>
      </w:tblGrid>
      <w:tr w:rsidR="009123AC" w:rsidRPr="00F0379B" w14:paraId="304E9BED" w14:textId="77777777" w:rsidTr="00CA749B">
        <w:trPr>
          <w:trHeight w:val="300"/>
        </w:trPr>
        <w:tc>
          <w:tcPr>
            <w:tcW w:w="888" w:type="pct"/>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05DAB20A" w14:textId="77777777" w:rsidR="009123AC" w:rsidRPr="00F0379B" w:rsidRDefault="009123AC" w:rsidP="009123AC">
            <w:pPr>
              <w:spacing w:after="0" w:line="240" w:lineRule="auto"/>
              <w:rPr>
                <w:rFonts w:ascii="Cambria" w:eastAsia="Times New Roman" w:hAnsi="Cambria" w:cs="Times New Roman"/>
                <w:i/>
                <w:iCs/>
                <w:color w:val="000000"/>
                <w:sz w:val="20"/>
                <w:szCs w:val="20"/>
                <w:lang w:eastAsia="fr-FR" w:bidi="fr-FR"/>
              </w:rPr>
            </w:pPr>
            <w:r w:rsidRPr="00F0379B">
              <w:rPr>
                <w:rFonts w:ascii="Cambria" w:eastAsia="MS Gothic" w:hAnsi="Cambria" w:cs="Times New Roman"/>
                <w:i/>
                <w:color w:val="000000"/>
                <w:sz w:val="20"/>
                <w:szCs w:val="24"/>
                <w:lang w:eastAsia="fr-FR" w:bidi="fr-FR"/>
              </w:rPr>
              <w:t>Puerto</w:t>
            </w:r>
          </w:p>
        </w:tc>
        <w:tc>
          <w:tcPr>
            <w:tcW w:w="888" w:type="pct"/>
            <w:tcBorders>
              <w:top w:val="single" w:sz="4" w:space="0" w:color="auto"/>
              <w:left w:val="nil"/>
              <w:bottom w:val="single" w:sz="4" w:space="0" w:color="auto"/>
              <w:right w:val="single" w:sz="4" w:space="0" w:color="auto"/>
            </w:tcBorders>
            <w:shd w:val="clear" w:color="000000" w:fill="E8E8E8"/>
            <w:noWrap/>
            <w:vAlign w:val="bottom"/>
            <w:hideMark/>
          </w:tcPr>
          <w:p w14:paraId="31ECCF2C" w14:textId="77777777" w:rsidR="009123AC" w:rsidRPr="00F0379B" w:rsidRDefault="009123AC" w:rsidP="009123AC">
            <w:pPr>
              <w:spacing w:after="0" w:line="240" w:lineRule="auto"/>
              <w:rPr>
                <w:rFonts w:ascii="Cambria" w:eastAsia="Times New Roman" w:hAnsi="Cambria" w:cs="Times New Roman"/>
                <w:i/>
                <w:iCs/>
                <w:color w:val="000000"/>
                <w:sz w:val="20"/>
                <w:szCs w:val="20"/>
                <w:lang w:eastAsia="fr-FR" w:bidi="fr-FR"/>
              </w:rPr>
            </w:pPr>
            <w:r w:rsidRPr="00F0379B">
              <w:rPr>
                <w:rFonts w:ascii="Cambria" w:eastAsia="MS Gothic" w:hAnsi="Cambria" w:cs="Times New Roman"/>
                <w:i/>
                <w:color w:val="000000"/>
                <w:sz w:val="20"/>
                <w:szCs w:val="24"/>
                <w:lang w:eastAsia="fr-FR" w:bidi="fr-FR"/>
              </w:rPr>
              <w:t>Localización</w:t>
            </w:r>
          </w:p>
        </w:tc>
        <w:tc>
          <w:tcPr>
            <w:tcW w:w="888" w:type="pct"/>
            <w:tcBorders>
              <w:top w:val="single" w:sz="4" w:space="0" w:color="auto"/>
              <w:left w:val="nil"/>
              <w:bottom w:val="single" w:sz="4" w:space="0" w:color="auto"/>
              <w:right w:val="single" w:sz="4" w:space="0" w:color="auto"/>
            </w:tcBorders>
            <w:shd w:val="clear" w:color="000000" w:fill="E8E8E8"/>
            <w:noWrap/>
            <w:vAlign w:val="bottom"/>
            <w:hideMark/>
          </w:tcPr>
          <w:p w14:paraId="64D4A4E5" w14:textId="77777777" w:rsidR="009123AC" w:rsidRPr="00F0379B" w:rsidRDefault="009123AC" w:rsidP="009123AC">
            <w:pPr>
              <w:spacing w:after="0" w:line="240" w:lineRule="auto"/>
              <w:rPr>
                <w:rFonts w:ascii="Cambria" w:eastAsia="Times New Roman" w:hAnsi="Cambria" w:cs="Times New Roman"/>
                <w:i/>
                <w:iCs/>
                <w:color w:val="000000"/>
                <w:sz w:val="20"/>
                <w:szCs w:val="20"/>
                <w:lang w:eastAsia="fr-FR" w:bidi="fr-FR"/>
              </w:rPr>
            </w:pPr>
            <w:r w:rsidRPr="00F0379B">
              <w:rPr>
                <w:rFonts w:ascii="Cambria" w:eastAsia="MS Gothic" w:hAnsi="Cambria" w:cs="Times New Roman"/>
                <w:i/>
                <w:color w:val="000000"/>
                <w:sz w:val="20"/>
                <w:szCs w:val="24"/>
                <w:lang w:eastAsia="fr-FR" w:bidi="fr-FR"/>
              </w:rPr>
              <w:t>Código de puerto</w:t>
            </w:r>
          </w:p>
        </w:tc>
        <w:tc>
          <w:tcPr>
            <w:tcW w:w="1127" w:type="pct"/>
            <w:tcBorders>
              <w:top w:val="single" w:sz="4" w:space="0" w:color="auto"/>
              <w:left w:val="nil"/>
              <w:bottom w:val="single" w:sz="4" w:space="0" w:color="auto"/>
              <w:right w:val="single" w:sz="4" w:space="0" w:color="auto"/>
            </w:tcBorders>
            <w:shd w:val="clear" w:color="000000" w:fill="E8E8E8"/>
            <w:noWrap/>
            <w:vAlign w:val="bottom"/>
            <w:hideMark/>
          </w:tcPr>
          <w:p w14:paraId="4CC6E432" w14:textId="77777777" w:rsidR="009123AC" w:rsidRPr="00F0379B" w:rsidRDefault="009123AC" w:rsidP="009123AC">
            <w:pPr>
              <w:spacing w:after="0" w:line="240" w:lineRule="auto"/>
              <w:rPr>
                <w:rFonts w:ascii="Cambria" w:eastAsia="Times New Roman" w:hAnsi="Cambria" w:cs="Times New Roman"/>
                <w:i/>
                <w:iCs/>
                <w:color w:val="000000"/>
                <w:sz w:val="20"/>
                <w:szCs w:val="20"/>
                <w:lang w:eastAsia="fr-FR" w:bidi="fr-FR"/>
              </w:rPr>
            </w:pPr>
            <w:r w:rsidRPr="00F0379B">
              <w:rPr>
                <w:rFonts w:ascii="Cambria" w:eastAsia="MS Gothic" w:hAnsi="Cambria" w:cs="Times New Roman"/>
                <w:i/>
                <w:color w:val="000000"/>
                <w:sz w:val="20"/>
                <w:szCs w:val="24"/>
                <w:lang w:eastAsia="fr-FR" w:bidi="fr-FR"/>
              </w:rPr>
              <w:t>Latitud</w:t>
            </w:r>
          </w:p>
        </w:tc>
        <w:tc>
          <w:tcPr>
            <w:tcW w:w="1210" w:type="pct"/>
            <w:tcBorders>
              <w:top w:val="single" w:sz="4" w:space="0" w:color="auto"/>
              <w:left w:val="nil"/>
              <w:bottom w:val="single" w:sz="4" w:space="0" w:color="auto"/>
              <w:right w:val="single" w:sz="4" w:space="0" w:color="auto"/>
            </w:tcBorders>
            <w:shd w:val="clear" w:color="000000" w:fill="E8E8E8"/>
            <w:noWrap/>
            <w:vAlign w:val="bottom"/>
            <w:hideMark/>
          </w:tcPr>
          <w:p w14:paraId="052D2770" w14:textId="77777777" w:rsidR="009123AC" w:rsidRPr="00F0379B" w:rsidRDefault="009123AC" w:rsidP="009123AC">
            <w:pPr>
              <w:spacing w:after="0" w:line="240" w:lineRule="auto"/>
              <w:rPr>
                <w:rFonts w:ascii="Cambria" w:eastAsia="Times New Roman" w:hAnsi="Cambria" w:cs="Times New Roman"/>
                <w:i/>
                <w:iCs/>
                <w:color w:val="000000"/>
                <w:sz w:val="20"/>
                <w:szCs w:val="20"/>
                <w:lang w:eastAsia="fr-FR" w:bidi="fr-FR"/>
              </w:rPr>
            </w:pPr>
            <w:r w:rsidRPr="00F0379B">
              <w:rPr>
                <w:rFonts w:ascii="Cambria" w:eastAsia="MS Gothic" w:hAnsi="Cambria" w:cs="Times New Roman"/>
                <w:i/>
                <w:color w:val="000000"/>
                <w:sz w:val="20"/>
                <w:szCs w:val="24"/>
                <w:lang w:eastAsia="fr-FR" w:bidi="fr-FR"/>
              </w:rPr>
              <w:t>Longitud</w:t>
            </w:r>
          </w:p>
        </w:tc>
      </w:tr>
      <w:tr w:rsidR="009123AC" w:rsidRPr="00F0379B" w14:paraId="7DFCE42D" w14:textId="77777777" w:rsidTr="00CA749B">
        <w:trPr>
          <w:trHeight w:val="300"/>
        </w:trPr>
        <w:tc>
          <w:tcPr>
            <w:tcW w:w="888" w:type="pct"/>
            <w:tcBorders>
              <w:top w:val="nil"/>
              <w:left w:val="single" w:sz="4" w:space="0" w:color="auto"/>
              <w:bottom w:val="single" w:sz="4" w:space="0" w:color="auto"/>
              <w:right w:val="single" w:sz="4" w:space="0" w:color="auto"/>
            </w:tcBorders>
            <w:noWrap/>
            <w:vAlign w:val="bottom"/>
            <w:hideMark/>
          </w:tcPr>
          <w:p w14:paraId="52C09B54" w14:textId="77777777" w:rsidR="009123AC" w:rsidRPr="00F0379B" w:rsidRDefault="009123AC" w:rsidP="009123AC">
            <w:pPr>
              <w:keepNext/>
              <w:spacing w:after="0" w:line="240" w:lineRule="auto"/>
              <w:outlineLvl w:val="0"/>
              <w:rPr>
                <w:rFonts w:ascii="Cambria" w:eastAsia="Times New Roman"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Puerto de Dakar</w:t>
            </w:r>
          </w:p>
        </w:tc>
        <w:tc>
          <w:tcPr>
            <w:tcW w:w="888" w:type="pct"/>
            <w:tcBorders>
              <w:top w:val="nil"/>
              <w:left w:val="nil"/>
              <w:bottom w:val="single" w:sz="4" w:space="0" w:color="auto"/>
              <w:right w:val="single" w:sz="4" w:space="0" w:color="auto"/>
            </w:tcBorders>
            <w:noWrap/>
            <w:vAlign w:val="bottom"/>
            <w:hideMark/>
          </w:tcPr>
          <w:p w14:paraId="4213C340" w14:textId="77777777" w:rsidR="009123AC" w:rsidRPr="00F0379B" w:rsidRDefault="009123AC" w:rsidP="009123AC">
            <w:pPr>
              <w:spacing w:after="0" w:line="240" w:lineRule="auto"/>
              <w:rPr>
                <w:rFonts w:ascii="Cambria" w:eastAsia="Times New Roman"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Senegal</w:t>
            </w:r>
          </w:p>
        </w:tc>
        <w:tc>
          <w:tcPr>
            <w:tcW w:w="888" w:type="pct"/>
            <w:tcBorders>
              <w:top w:val="nil"/>
              <w:left w:val="nil"/>
              <w:bottom w:val="single" w:sz="4" w:space="0" w:color="auto"/>
              <w:right w:val="single" w:sz="4" w:space="0" w:color="auto"/>
            </w:tcBorders>
            <w:noWrap/>
            <w:vAlign w:val="bottom"/>
            <w:hideMark/>
          </w:tcPr>
          <w:p w14:paraId="0B365102" w14:textId="77777777" w:rsidR="009123AC" w:rsidRPr="00F0379B" w:rsidRDefault="009123AC" w:rsidP="009123AC">
            <w:pPr>
              <w:spacing w:after="0" w:line="240" w:lineRule="auto"/>
              <w:rPr>
                <w:rFonts w:ascii="Cambria" w:eastAsia="Times New Roman"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SNDKR</w:t>
            </w:r>
          </w:p>
        </w:tc>
        <w:tc>
          <w:tcPr>
            <w:tcW w:w="1127" w:type="pct"/>
            <w:tcBorders>
              <w:top w:val="nil"/>
              <w:left w:val="nil"/>
              <w:bottom w:val="single" w:sz="4" w:space="0" w:color="auto"/>
              <w:right w:val="single" w:sz="4" w:space="0" w:color="auto"/>
            </w:tcBorders>
            <w:noWrap/>
            <w:vAlign w:val="bottom"/>
            <w:hideMark/>
          </w:tcPr>
          <w:p w14:paraId="3DCE7CA3" w14:textId="77777777" w:rsidR="009123AC" w:rsidRPr="00F0379B" w:rsidRDefault="009123AC" w:rsidP="009123AC">
            <w:pPr>
              <w:spacing w:after="0" w:line="240" w:lineRule="auto"/>
              <w:rPr>
                <w:rFonts w:ascii="Cambria" w:eastAsia="Times New Roman"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14°24'00"N</w:t>
            </w:r>
          </w:p>
        </w:tc>
        <w:tc>
          <w:tcPr>
            <w:tcW w:w="1210" w:type="pct"/>
            <w:tcBorders>
              <w:top w:val="nil"/>
              <w:left w:val="nil"/>
              <w:bottom w:val="single" w:sz="4" w:space="0" w:color="auto"/>
              <w:right w:val="single" w:sz="4" w:space="0" w:color="auto"/>
            </w:tcBorders>
            <w:noWrap/>
            <w:vAlign w:val="bottom"/>
            <w:hideMark/>
          </w:tcPr>
          <w:p w14:paraId="35905AEC" w14:textId="77777777" w:rsidR="009123AC" w:rsidRPr="00F0379B" w:rsidRDefault="009123AC" w:rsidP="009123AC">
            <w:pPr>
              <w:spacing w:after="0" w:line="240" w:lineRule="auto"/>
              <w:rPr>
                <w:rFonts w:ascii="Cambria" w:eastAsia="Times New Roman"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017°15'36"E</w:t>
            </w:r>
          </w:p>
        </w:tc>
      </w:tr>
    </w:tbl>
    <w:p w14:paraId="69CA8762" w14:textId="77777777" w:rsidR="009123AC" w:rsidRPr="00F0379B" w:rsidRDefault="009123AC" w:rsidP="009123AC">
      <w:pPr>
        <w:widowControl w:val="0"/>
        <w:spacing w:after="0" w:line="240" w:lineRule="auto"/>
        <w:rPr>
          <w:rFonts w:ascii="Cambria" w:eastAsia="MS Gothic" w:hAnsi="Cambria" w:cs="Times New Roman"/>
          <w:sz w:val="20"/>
          <w:szCs w:val="20"/>
          <w:lang w:eastAsia="ja-JP" w:bidi="fr-FR"/>
        </w:rPr>
      </w:pPr>
    </w:p>
    <w:p w14:paraId="19B8B051" w14:textId="77777777" w:rsidR="009123AC" w:rsidRPr="00F0379B" w:rsidRDefault="009123AC" w:rsidP="009123AC">
      <w:pPr>
        <w:widowControl w:val="0"/>
        <w:spacing w:after="0" w:line="240" w:lineRule="auto"/>
        <w:rPr>
          <w:rFonts w:ascii="Cambria" w:eastAsia="MS Gothic" w:hAnsi="Cambria" w:cs="Times New Roman"/>
          <w:sz w:val="20"/>
          <w:szCs w:val="20"/>
          <w:lang w:eastAsia="ja-JP" w:bidi="fr-FR"/>
        </w:rPr>
      </w:pPr>
    </w:p>
    <w:p w14:paraId="5D50D49D" w14:textId="77777777" w:rsidR="009123AC" w:rsidRPr="00F0379B" w:rsidRDefault="009123AC" w:rsidP="009123AC">
      <w:pPr>
        <w:widowControl w:val="0"/>
        <w:spacing w:after="0" w:line="240" w:lineRule="auto"/>
        <w:ind w:left="426" w:hanging="426"/>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2.</w:t>
      </w:r>
      <w:r w:rsidRPr="00F0379B">
        <w:rPr>
          <w:rFonts w:ascii="Cambria" w:eastAsia="MS Gothic" w:hAnsi="Cambria" w:cs="Times New Roman"/>
          <w:b/>
          <w:sz w:val="20"/>
          <w:szCs w:val="24"/>
          <w:lang w:eastAsia="fr-FR" w:bidi="fr-FR"/>
        </w:rPr>
        <w:tab/>
        <w:t>Plan anual de ordenación de la capacidad pesquera (párrs. 14-21)</w:t>
      </w:r>
    </w:p>
    <w:p w14:paraId="00F965ED"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p>
    <w:p w14:paraId="7AC7F53C"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sz w:val="20"/>
          <w:szCs w:val="24"/>
          <w:lang w:eastAsia="fr-FR" w:bidi="fr-FR"/>
        </w:rPr>
        <w:t>Senegal no cuenta con buques pesqueros dedicados a la captura del atún rojo.</w:t>
      </w:r>
    </w:p>
    <w:p w14:paraId="6417EB38" w14:textId="77777777" w:rsidR="009123AC" w:rsidRPr="00F0379B" w:rsidRDefault="009123AC" w:rsidP="009123AC">
      <w:pPr>
        <w:spacing w:after="0" w:line="240" w:lineRule="auto"/>
        <w:rPr>
          <w:rFonts w:ascii="Cambria" w:eastAsia="MS Gothic" w:hAnsi="Cambria" w:cs="Times New Roman"/>
          <w:b/>
          <w:sz w:val="20"/>
          <w:szCs w:val="20"/>
          <w:lang w:eastAsia="fr-FR" w:bidi="fr-FR"/>
        </w:rPr>
      </w:pPr>
    </w:p>
    <w:p w14:paraId="04A7A26F" w14:textId="77777777" w:rsidR="009123AC" w:rsidRPr="00F0379B" w:rsidRDefault="009123AC" w:rsidP="009123AC">
      <w:pPr>
        <w:spacing w:after="0" w:line="240" w:lineRule="auto"/>
        <w:rPr>
          <w:rFonts w:ascii="Cambria" w:eastAsia="MS Gothic" w:hAnsi="Cambria" w:cs="Times New Roman"/>
          <w:b/>
          <w:sz w:val="20"/>
          <w:szCs w:val="20"/>
          <w:lang w:eastAsia="fr-FR" w:bidi="fr-FR"/>
        </w:rPr>
      </w:pPr>
    </w:p>
    <w:p w14:paraId="2E0F1CB2" w14:textId="77777777" w:rsidR="009123AC" w:rsidRPr="00F0379B" w:rsidRDefault="009123AC" w:rsidP="009123AC">
      <w:pPr>
        <w:widowControl w:val="0"/>
        <w:spacing w:after="0" w:line="240" w:lineRule="auto"/>
        <w:ind w:left="426" w:hanging="426"/>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3.</w:t>
      </w:r>
      <w:r w:rsidRPr="00F0379B">
        <w:rPr>
          <w:rFonts w:ascii="Cambria" w:eastAsia="MS Gothic" w:hAnsi="Cambria" w:cs="Times New Roman"/>
          <w:b/>
          <w:sz w:val="20"/>
          <w:szCs w:val="24"/>
          <w:lang w:eastAsia="fr-FR" w:bidi="fr-FR"/>
        </w:rPr>
        <w:tab/>
        <w:t xml:space="preserve"> Plan anual de ordenación de la cría (párrafos 22 y 23), si es aplicable</w:t>
      </w:r>
    </w:p>
    <w:p w14:paraId="14CC9E20"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08DAF3B7"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4"/>
          <w:lang w:eastAsia="fr-FR" w:bidi="fr-FR"/>
        </w:rPr>
        <w:t>Ninguna</w:t>
      </w:r>
    </w:p>
    <w:p w14:paraId="52C46EE6"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54DF48F7" w14:textId="77777777" w:rsidR="009123AC" w:rsidRPr="00F0379B" w:rsidRDefault="009123AC" w:rsidP="009123AC">
      <w:pPr>
        <w:widowControl w:val="0"/>
        <w:spacing w:after="0" w:line="240" w:lineRule="auto"/>
        <w:ind w:left="426" w:hanging="426"/>
        <w:jc w:val="both"/>
        <w:rPr>
          <w:rFonts w:ascii="Cambria" w:eastAsia="MS Gothic" w:hAnsi="Cambria" w:cs="Times New Roman"/>
          <w:b/>
          <w:sz w:val="20"/>
          <w:szCs w:val="20"/>
          <w:lang w:eastAsia="fr-FR" w:bidi="fr-FR"/>
        </w:rPr>
      </w:pPr>
      <w:r w:rsidRPr="00F0379B">
        <w:rPr>
          <w:rFonts w:ascii="Cambria" w:eastAsia="MS Gothic" w:hAnsi="Cambria" w:cs="Times New Roman"/>
          <w:b/>
          <w:bCs/>
          <w:color w:val="000000"/>
          <w:sz w:val="20"/>
          <w:szCs w:val="20"/>
          <w:lang w:eastAsia="fr-FR" w:bidi="fr-FR"/>
        </w:rPr>
        <w:t>4.</w:t>
      </w:r>
      <w:r w:rsidRPr="00F0379B">
        <w:rPr>
          <w:rFonts w:ascii="Cambria" w:eastAsia="MS Gothic" w:hAnsi="Cambria" w:cs="Times New Roman"/>
          <w:b/>
          <w:bCs/>
          <w:color w:val="000000"/>
          <w:sz w:val="20"/>
          <w:szCs w:val="20"/>
          <w:lang w:eastAsia="fr-FR" w:bidi="fr-FR"/>
        </w:rPr>
        <w:tab/>
        <w:t xml:space="preserve">Plan de acuicultura anual (párr. 10 e de la </w:t>
      </w:r>
      <w:hyperlink r:id="rId203" w:history="1">
        <w:r w:rsidRPr="00F0379B">
          <w:rPr>
            <w:rFonts w:ascii="Cambria" w:eastAsia="MS Gothic" w:hAnsi="Cambria" w:cs="Times New Roman"/>
            <w:b/>
            <w:color w:val="0563C1"/>
            <w:sz w:val="20"/>
            <w:szCs w:val="20"/>
            <w:lang w:eastAsia="fr-FR" w:bidi="fr-FR"/>
          </w:rPr>
          <w:t>Rec. 25-04</w:t>
        </w:r>
      </w:hyperlink>
      <w:r w:rsidRPr="00F0379B">
        <w:rPr>
          <w:rFonts w:ascii="Cambria" w:eastAsia="MS Gothic" w:hAnsi="Cambria" w:cs="Times New Roman"/>
          <w:b/>
          <w:bCs/>
          <w:color w:val="000000"/>
          <w:sz w:val="20"/>
          <w:szCs w:val="20"/>
          <w:lang w:eastAsia="fr-FR" w:bidi="fr-FR"/>
        </w:rPr>
        <w:t xml:space="preserve"> de conformidad con la </w:t>
      </w:r>
      <w:hyperlink r:id="rId204" w:history="1">
        <w:r w:rsidRPr="00F0379B">
          <w:rPr>
            <w:rFonts w:ascii="Cambria" w:eastAsia="MS Gothic" w:hAnsi="Cambria" w:cs="Times New Roman"/>
            <w:b/>
            <w:color w:val="0563C1"/>
            <w:sz w:val="20"/>
            <w:szCs w:val="20"/>
            <w:lang w:eastAsia="fr-FR" w:bidi="fr-FR"/>
          </w:rPr>
          <w:t>Rec. 24-07</w:t>
        </w:r>
      </w:hyperlink>
      <w:r w:rsidRPr="00F0379B">
        <w:rPr>
          <w:rFonts w:ascii="Cambria" w:eastAsia="MS Gothic" w:hAnsi="Cambria" w:cs="Times New Roman"/>
          <w:b/>
          <w:bCs/>
          <w:sz w:val="20"/>
          <w:szCs w:val="20"/>
          <w:lang w:eastAsia="fr-FR" w:bidi="fr-FR"/>
        </w:rPr>
        <w:t>),</w:t>
      </w:r>
      <w:r w:rsidRPr="00F0379B">
        <w:rPr>
          <w:rFonts w:ascii="Cambria" w:eastAsia="MS Gothic" w:hAnsi="Cambria" w:cs="Times New Roman"/>
          <w:b/>
          <w:bCs/>
          <w:color w:val="000000"/>
          <w:sz w:val="20"/>
          <w:szCs w:val="20"/>
          <w:lang w:eastAsia="fr-FR" w:bidi="fr-FR"/>
        </w:rPr>
        <w:t xml:space="preserve"> si es aplicable</w:t>
      </w:r>
    </w:p>
    <w:p w14:paraId="14FF1CA6"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19FADBE2"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sz w:val="20"/>
          <w:szCs w:val="20"/>
          <w:lang w:eastAsia="fr-FR" w:bidi="fr-FR"/>
        </w:rPr>
        <w:t>Ninguno</w:t>
      </w:r>
    </w:p>
    <w:p w14:paraId="47D21CD5" w14:textId="77777777" w:rsidR="009123AC" w:rsidRPr="00F0379B" w:rsidRDefault="009123AC" w:rsidP="009123AC">
      <w:pPr>
        <w:widowControl w:val="0"/>
        <w:spacing w:after="0" w:line="240" w:lineRule="auto"/>
        <w:jc w:val="both"/>
        <w:rPr>
          <w:rFonts w:ascii="Cambria" w:eastAsia="MS Gothic" w:hAnsi="Cambria" w:cs="Times New Roman"/>
          <w:i/>
          <w:iCs/>
          <w:sz w:val="20"/>
          <w:szCs w:val="20"/>
          <w:lang w:eastAsia="fr-FR" w:bidi="fr-FR"/>
        </w:rPr>
      </w:pPr>
    </w:p>
    <w:p w14:paraId="62A8E5E7"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0488B68C" w14:textId="77777777" w:rsidR="009123AC" w:rsidRPr="00F0379B" w:rsidRDefault="009123AC" w:rsidP="009123AC">
      <w:pPr>
        <w:widowControl w:val="0"/>
        <w:spacing w:after="0" w:line="240" w:lineRule="auto"/>
        <w:ind w:left="426" w:hanging="426"/>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 xml:space="preserve">5. </w:t>
      </w:r>
      <w:r w:rsidRPr="00F0379B">
        <w:rPr>
          <w:rFonts w:ascii="Cambria" w:eastAsia="MS Gothic" w:hAnsi="Cambria" w:cs="Times New Roman"/>
          <w:b/>
          <w:sz w:val="20"/>
          <w:szCs w:val="24"/>
          <w:lang w:eastAsia="fr-FR" w:bidi="fr-FR"/>
        </w:rPr>
        <w:tab/>
        <w:t>Plan de inspección, control y seguimiento</w:t>
      </w:r>
    </w:p>
    <w:p w14:paraId="0BCFD45B"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p>
    <w:p w14:paraId="3F126314" w14:textId="77777777"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r w:rsidRPr="00F0379B">
        <w:rPr>
          <w:rFonts w:ascii="Cambria" w:eastAsia="MS Gothic" w:hAnsi="Cambria" w:cs="Times New Roman"/>
          <w:b/>
          <w:i/>
          <w:sz w:val="20"/>
          <w:szCs w:val="24"/>
          <w:lang w:eastAsia="fr-FR" w:bidi="fr-FR"/>
        </w:rPr>
        <w:t>a) Inspección, control y seguimiento de la CPC (párr. 10c)</w:t>
      </w:r>
    </w:p>
    <w:p w14:paraId="3F6FBCB3" w14:textId="77777777" w:rsidR="009123AC" w:rsidRPr="00F0379B" w:rsidRDefault="009123AC" w:rsidP="009123AC">
      <w:pPr>
        <w:widowControl w:val="0"/>
        <w:spacing w:after="0" w:line="240" w:lineRule="auto"/>
        <w:rPr>
          <w:rFonts w:ascii="Cambria" w:eastAsia="MS Gothic" w:hAnsi="Cambria" w:cs="Times New Roman"/>
          <w:color w:val="000000"/>
          <w:sz w:val="20"/>
          <w:szCs w:val="20"/>
          <w:lang w:eastAsia="fr-FR" w:bidi="fr-FR"/>
        </w:rPr>
      </w:pPr>
    </w:p>
    <w:p w14:paraId="3CA6EEFA"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El plan de seguimiento, control e inspección permitirá realizar un seguimiento de los buques, controlar sus actividades y obtener declaraciones de capturas fiables con el fin de garantizar un seguimiento adecuado de la cuota.</w:t>
      </w:r>
    </w:p>
    <w:p w14:paraId="6B2ABF64"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61FD3F9C"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El plan de seguimiento, control e inspección incluye:</w:t>
      </w:r>
    </w:p>
    <w:p w14:paraId="4B7E2D3F" w14:textId="77777777" w:rsidR="009123AC" w:rsidRPr="00F0379B" w:rsidRDefault="009123AC" w:rsidP="00CE0EC8">
      <w:pPr>
        <w:widowControl w:val="0"/>
        <w:numPr>
          <w:ilvl w:val="0"/>
          <w:numId w:val="87"/>
        </w:numPr>
        <w:spacing w:after="0" w:line="240" w:lineRule="auto"/>
        <w:contextualSpacing/>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El VMS: los buques están equipados con el VMS, que permite controlar su posición y seguirlos de forma permanente.</w:t>
      </w:r>
    </w:p>
    <w:p w14:paraId="429AA11A" w14:textId="77777777" w:rsidR="009123AC" w:rsidRPr="00F0379B" w:rsidRDefault="009123AC" w:rsidP="00CE0EC8">
      <w:pPr>
        <w:widowControl w:val="0"/>
        <w:numPr>
          <w:ilvl w:val="0"/>
          <w:numId w:val="87"/>
        </w:numPr>
        <w:spacing w:after="0" w:line="240" w:lineRule="auto"/>
        <w:contextualSpacing/>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Informes de los observadores: todos los cerqueros que pescan especies tropicales tienen un cobertura del 100 % observadores. Los barcos de cebo vivo estarán sujetos a una tasa de cobertura del 10 %.</w:t>
      </w:r>
    </w:p>
    <w:p w14:paraId="41234CC5" w14:textId="77777777" w:rsidR="009123AC" w:rsidRPr="00F0379B" w:rsidRDefault="009123AC" w:rsidP="00CE0EC8">
      <w:pPr>
        <w:widowControl w:val="0"/>
        <w:numPr>
          <w:ilvl w:val="0"/>
          <w:numId w:val="87"/>
        </w:numPr>
        <w:spacing w:after="0" w:line="240" w:lineRule="auto"/>
        <w:contextualSpacing/>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Inspecciones en el puerto: se ha establecido una brigada permanente en el puerto de Dakar, único puerto autorizado para el desembarque y transbordo de atún rojo.</w:t>
      </w:r>
    </w:p>
    <w:p w14:paraId="0244F1BE" w14:textId="77777777" w:rsidR="009123AC" w:rsidRPr="00F0379B" w:rsidRDefault="009123AC" w:rsidP="00CE0EC8">
      <w:pPr>
        <w:widowControl w:val="0"/>
        <w:numPr>
          <w:ilvl w:val="0"/>
          <w:numId w:val="87"/>
        </w:numPr>
        <w:spacing w:after="0" w:line="240" w:lineRule="auto"/>
        <w:contextualSpacing/>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Declaraciones de capturas: los cuadernos de pesca electrónicos o en papel se ajustan a los requisitos de ICCAT y se cumplimentan a bordo de los buques.</w:t>
      </w:r>
    </w:p>
    <w:p w14:paraId="29FAC723" w14:textId="77777777" w:rsidR="009123AC" w:rsidRPr="00F0379B" w:rsidRDefault="009123AC" w:rsidP="009123AC">
      <w:pPr>
        <w:widowControl w:val="0"/>
        <w:spacing w:after="0" w:line="240" w:lineRule="auto"/>
        <w:ind w:left="360"/>
        <w:jc w:val="both"/>
        <w:rPr>
          <w:rFonts w:ascii="Cambria" w:eastAsia="MS Gothic" w:hAnsi="Cambria" w:cs="Times New Roman"/>
          <w:sz w:val="20"/>
          <w:szCs w:val="20"/>
          <w:lang w:eastAsia="fr-FR" w:bidi="fr-FR"/>
        </w:rPr>
      </w:pPr>
    </w:p>
    <w:p w14:paraId="14B65DA4"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La autoridad competente para el seguimiento, el control y la inspección es la Dirección de Protección y Vigilancia Pesquera.</w:t>
      </w:r>
    </w:p>
    <w:p w14:paraId="3333117B"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4932584D"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El punto de contacto designado como responsable de la aplicación del plan de seguimiento, control e inspección se incluye en el formulario CP24 revisado presentado.</w:t>
      </w:r>
    </w:p>
    <w:p w14:paraId="2B7259CA" w14:textId="77777777" w:rsidR="009123AC" w:rsidRPr="00F0379B" w:rsidRDefault="009123AC" w:rsidP="009123AC">
      <w:pPr>
        <w:widowControl w:val="0"/>
        <w:spacing w:after="0" w:line="240" w:lineRule="auto"/>
        <w:ind w:left="426" w:hanging="426"/>
        <w:jc w:val="both"/>
        <w:rPr>
          <w:rFonts w:ascii="Cambria" w:eastAsia="MS Gothic" w:hAnsi="Cambria" w:cs="Times New Roman"/>
          <w:b/>
          <w:i/>
          <w:iCs/>
          <w:sz w:val="20"/>
          <w:szCs w:val="20"/>
          <w:lang w:eastAsia="fr-FR" w:bidi="fr-FR"/>
        </w:rPr>
      </w:pPr>
    </w:p>
    <w:p w14:paraId="5CEB6FBA" w14:textId="77777777" w:rsidR="009123AC" w:rsidRPr="00F0379B" w:rsidRDefault="009123AC" w:rsidP="009123AC">
      <w:pPr>
        <w:widowControl w:val="0"/>
        <w:spacing w:after="0" w:line="240" w:lineRule="auto"/>
        <w:ind w:left="426" w:hanging="426"/>
        <w:jc w:val="both"/>
        <w:rPr>
          <w:rFonts w:ascii="Cambria" w:eastAsia="MS Gothic" w:hAnsi="Cambria" w:cs="Times New Roman"/>
          <w:b/>
          <w:i/>
          <w:iCs/>
          <w:sz w:val="20"/>
          <w:szCs w:val="20"/>
          <w:lang w:eastAsia="fr-FR" w:bidi="fr-FR"/>
        </w:rPr>
      </w:pPr>
      <w:r w:rsidRPr="00F0379B">
        <w:rPr>
          <w:rFonts w:ascii="Cambria" w:eastAsia="MS Gothic" w:hAnsi="Cambria" w:cs="Times New Roman"/>
          <w:b/>
          <w:i/>
          <w:sz w:val="20"/>
          <w:szCs w:val="24"/>
          <w:lang w:eastAsia="fr-FR" w:bidi="fr-FR"/>
        </w:rPr>
        <w:t>5b) Programa conjunto de Inspección internacional (JIS) (párrs. 232-235)</w:t>
      </w:r>
    </w:p>
    <w:p w14:paraId="4F2A0823" w14:textId="77777777"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p>
    <w:p w14:paraId="1A871131"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sz w:val="20"/>
          <w:szCs w:val="24"/>
          <w:lang w:eastAsia="fr-FR" w:bidi="fr-FR"/>
        </w:rPr>
        <w:t>Ninguna</w:t>
      </w:r>
    </w:p>
    <w:p w14:paraId="4AAB3C8C"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263EA618" w14:textId="77777777" w:rsidR="009123AC" w:rsidRPr="00F0379B" w:rsidRDefault="009123AC" w:rsidP="009123AC">
      <w:pPr>
        <w:widowControl w:val="0"/>
        <w:spacing w:after="0" w:line="240" w:lineRule="auto"/>
        <w:ind w:left="426" w:hanging="426"/>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6.</w:t>
      </w:r>
      <w:r w:rsidRPr="00F0379B">
        <w:rPr>
          <w:rFonts w:ascii="Cambria" w:eastAsia="MS Gothic" w:hAnsi="Cambria" w:cs="Times New Roman"/>
          <w:b/>
          <w:sz w:val="20"/>
          <w:szCs w:val="24"/>
          <w:lang w:eastAsia="fr-FR" w:bidi="fr-FR"/>
        </w:rPr>
        <w:tab/>
        <w:t>Otros</w:t>
      </w:r>
    </w:p>
    <w:p w14:paraId="4C76BB63"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01FFA88C"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sz w:val="20"/>
          <w:szCs w:val="24"/>
          <w:lang w:eastAsia="fr-FR" w:bidi="fr-FR"/>
        </w:rPr>
        <w:t>Ninguna</w:t>
      </w:r>
      <w:r w:rsidRPr="00F0379B">
        <w:rPr>
          <w:rFonts w:ascii="Cambria" w:eastAsia="MS Gothic" w:hAnsi="Cambria" w:cs="Times New Roman"/>
          <w:color w:val="000000"/>
          <w:sz w:val="20"/>
          <w:szCs w:val="24"/>
          <w:lang w:eastAsia="fr-FR" w:bidi="fr-FR"/>
        </w:rPr>
        <w:br w:type="page"/>
      </w:r>
    </w:p>
    <w:p w14:paraId="47F1C5B2"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sectPr w:rsidR="009123AC" w:rsidRPr="00F0379B" w:rsidSect="009123AC">
          <w:headerReference w:type="default" r:id="rId205"/>
          <w:footerReference w:type="default" r:id="rId206"/>
          <w:headerReference w:type="first" r:id="rId207"/>
          <w:footerReference w:type="first" r:id="rId208"/>
          <w:pgSz w:w="11906" w:h="16838" w:code="9"/>
          <w:pgMar w:top="1418" w:right="1418" w:bottom="1418" w:left="1418" w:header="851" w:footer="1134" w:gutter="0"/>
          <w:cols w:space="425"/>
          <w:docGrid w:linePitch="360"/>
        </w:sectPr>
      </w:pPr>
    </w:p>
    <w:p w14:paraId="213A1868" w14:textId="77777777" w:rsidR="009123AC" w:rsidRPr="00F0379B" w:rsidRDefault="009123AC" w:rsidP="009123AC">
      <w:pPr>
        <w:spacing w:after="0" w:line="240" w:lineRule="auto"/>
        <w:rPr>
          <w:rFonts w:ascii="Cambria" w:eastAsia="MS Gothic" w:hAnsi="Cambria" w:cs="Times New Roman"/>
          <w:b/>
          <w:bCs/>
          <w:sz w:val="20"/>
          <w:szCs w:val="20"/>
          <w:lang w:eastAsia="fr-FR" w:bidi="fr-FR"/>
        </w:rPr>
      </w:pPr>
      <w:r w:rsidRPr="00F0379B">
        <w:rPr>
          <w:rFonts w:ascii="Cambria" w:eastAsia="MS Gothic" w:hAnsi="Cambria" w:cs="Times New Roman"/>
          <w:b/>
          <w:sz w:val="20"/>
          <w:szCs w:val="24"/>
          <w:lang w:eastAsia="fr-FR" w:bidi="fr-FR"/>
        </w:rPr>
        <w:t>Tabla de capacidad</w:t>
      </w:r>
    </w:p>
    <w:p w14:paraId="4CC716FC" w14:textId="77777777" w:rsidR="009123AC" w:rsidRPr="00F0379B" w:rsidRDefault="009123AC" w:rsidP="009123AC">
      <w:pPr>
        <w:spacing w:after="0" w:line="240" w:lineRule="auto"/>
        <w:rPr>
          <w:rFonts w:ascii="Cambria" w:eastAsia="MS Gothic" w:hAnsi="Cambria" w:cs="Times New Roman"/>
          <w:b/>
          <w:bCs/>
          <w:sz w:val="16"/>
          <w:szCs w:val="16"/>
          <w:lang w:eastAsia="fr-FR" w:bidi="fr-FR"/>
        </w:rPr>
      </w:pPr>
    </w:p>
    <w:tbl>
      <w:tblPr>
        <w:tblW w:w="14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0"/>
        <w:gridCol w:w="2102"/>
        <w:gridCol w:w="615"/>
        <w:gridCol w:w="615"/>
        <w:gridCol w:w="615"/>
        <w:gridCol w:w="615"/>
        <w:gridCol w:w="615"/>
        <w:gridCol w:w="615"/>
        <w:gridCol w:w="615"/>
        <w:gridCol w:w="256"/>
        <w:gridCol w:w="615"/>
        <w:gridCol w:w="615"/>
        <w:gridCol w:w="615"/>
        <w:gridCol w:w="615"/>
        <w:gridCol w:w="615"/>
        <w:gridCol w:w="615"/>
        <w:gridCol w:w="1012"/>
      </w:tblGrid>
      <w:tr w:rsidR="009123AC" w:rsidRPr="00F0379B" w14:paraId="2770904E" w14:textId="77777777" w:rsidTr="00CA749B">
        <w:trPr>
          <w:trHeight w:val="20"/>
        </w:trPr>
        <w:tc>
          <w:tcPr>
            <w:tcW w:w="0" w:type="auto"/>
            <w:noWrap/>
            <w:vAlign w:val="center"/>
            <w:hideMark/>
          </w:tcPr>
          <w:p w14:paraId="0CC9AD26" w14:textId="77777777" w:rsidR="009123AC" w:rsidRPr="00F0379B" w:rsidRDefault="009123AC" w:rsidP="009123AC">
            <w:pPr>
              <w:spacing w:after="0" w:line="276" w:lineRule="auto"/>
              <w:jc w:val="center"/>
              <w:rPr>
                <w:rFonts w:ascii="Cambria" w:eastAsia="Times New Roman" w:hAnsi="Cambria" w:cs="Calibri"/>
                <w:i/>
                <w:iCs/>
                <w:kern w:val="2"/>
                <w:sz w:val="18"/>
                <w:szCs w:val="18"/>
                <w:lang w:eastAsia="fr-FR" w:bidi="fr-FR"/>
                <w14:ligatures w14:val="standardContextual"/>
              </w:rPr>
            </w:pPr>
            <w:r w:rsidRPr="00F0379B">
              <w:rPr>
                <w:rFonts w:ascii="Cambria" w:eastAsia="MS Gothic" w:hAnsi="Cambria" w:cs="Times New Roman"/>
                <w:i/>
                <w:sz w:val="18"/>
                <w:szCs w:val="24"/>
                <w:lang w:eastAsia="fr-FR" w:bidi="fr-FR"/>
              </w:rPr>
              <w:t>Tipo de buques atuneros</w:t>
            </w:r>
          </w:p>
        </w:tc>
        <w:tc>
          <w:tcPr>
            <w:tcW w:w="2102" w:type="dxa"/>
            <w:noWrap/>
            <w:vAlign w:val="center"/>
            <w:hideMark/>
          </w:tcPr>
          <w:p w14:paraId="300437FD"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1767" w:type="dxa"/>
            <w:gridSpan w:val="3"/>
          </w:tcPr>
          <w:p w14:paraId="2CE4ACB1" w14:textId="77777777" w:rsidR="009123AC" w:rsidRPr="00F0379B" w:rsidRDefault="009123AC" w:rsidP="009123AC">
            <w:pPr>
              <w:spacing w:after="0" w:line="276" w:lineRule="auto"/>
              <w:jc w:val="center"/>
              <w:rPr>
                <w:rFonts w:ascii="Cambria" w:eastAsia="Times New Roman" w:hAnsi="Cambria" w:cs="Calibri"/>
                <w:i/>
                <w:iCs/>
                <w:kern w:val="2"/>
                <w:sz w:val="18"/>
                <w:szCs w:val="18"/>
                <w:lang w:eastAsia="fr-FR" w:bidi="fr-FR"/>
                <w14:ligatures w14:val="standardContextual"/>
              </w:rPr>
            </w:pPr>
            <w:r w:rsidRPr="00F0379B">
              <w:rPr>
                <w:rFonts w:ascii="Cambria" w:eastAsia="MS Gothic" w:hAnsi="Cambria" w:cs="Times New Roman"/>
                <w:i/>
                <w:sz w:val="18"/>
                <w:szCs w:val="24"/>
                <w:lang w:eastAsia="fr-FR" w:bidi="fr-FR"/>
              </w:rPr>
              <w:t>Años de referencia</w:t>
            </w:r>
          </w:p>
        </w:tc>
        <w:tc>
          <w:tcPr>
            <w:tcW w:w="2704" w:type="dxa"/>
            <w:gridSpan w:val="4"/>
            <w:vAlign w:val="center"/>
          </w:tcPr>
          <w:p w14:paraId="5BC1DC97" w14:textId="77777777" w:rsidR="009123AC" w:rsidRPr="00F0379B" w:rsidRDefault="009123AC" w:rsidP="009123AC">
            <w:pPr>
              <w:spacing w:after="0" w:line="276" w:lineRule="auto"/>
              <w:jc w:val="center"/>
              <w:rPr>
                <w:rFonts w:ascii="Cambria" w:eastAsia="Times New Roman" w:hAnsi="Cambria" w:cs="Cambria"/>
                <w:kern w:val="2"/>
                <w:sz w:val="18"/>
                <w:szCs w:val="18"/>
                <w:lang w:eastAsia="fr-FR" w:bidi="fr-FR"/>
                <w14:ligatures w14:val="standardContextual"/>
              </w:rPr>
            </w:pPr>
            <w:r w:rsidRPr="00F0379B">
              <w:rPr>
                <w:rFonts w:ascii="Cambria" w:eastAsia="MS Gothic" w:hAnsi="Cambria" w:cs="Times New Roman"/>
                <w:i/>
                <w:sz w:val="18"/>
                <w:szCs w:val="24"/>
                <w:lang w:eastAsia="fr-FR" w:bidi="fr-FR"/>
              </w:rPr>
              <w:t>Número de buques</w:t>
            </w:r>
          </w:p>
        </w:tc>
        <w:tc>
          <w:tcPr>
            <w:tcW w:w="0" w:type="auto"/>
            <w:shd w:val="clear" w:color="auto" w:fill="D9D9D9"/>
            <w:vAlign w:val="center"/>
            <w:hideMark/>
          </w:tcPr>
          <w:p w14:paraId="373861FA" w14:textId="77777777" w:rsidR="009123AC" w:rsidRPr="00F0379B" w:rsidRDefault="009123AC" w:rsidP="009123AC">
            <w:pPr>
              <w:spacing w:after="0" w:line="276" w:lineRule="auto"/>
              <w:jc w:val="center"/>
              <w:rPr>
                <w:rFonts w:ascii="Cambria" w:eastAsia="Times New Roman" w:hAnsi="Cambria" w:cs="Cambria"/>
                <w:kern w:val="2"/>
                <w:sz w:val="18"/>
                <w:szCs w:val="18"/>
                <w:lang w:eastAsia="ja-JP"/>
                <w14:ligatures w14:val="standardContextual"/>
              </w:rPr>
            </w:pPr>
          </w:p>
        </w:tc>
        <w:tc>
          <w:tcPr>
            <w:tcW w:w="0" w:type="auto"/>
            <w:gridSpan w:val="3"/>
          </w:tcPr>
          <w:p w14:paraId="0913747D" w14:textId="77777777" w:rsidR="009123AC" w:rsidRPr="00F0379B" w:rsidRDefault="009123AC" w:rsidP="009123AC">
            <w:pPr>
              <w:spacing w:after="0" w:line="276" w:lineRule="auto"/>
              <w:jc w:val="center"/>
              <w:rPr>
                <w:rFonts w:ascii="Cambria" w:eastAsia="Times New Roman" w:hAnsi="Cambria" w:cs="Calibri"/>
                <w:i/>
                <w:iCs/>
                <w:kern w:val="2"/>
                <w:sz w:val="18"/>
                <w:szCs w:val="18"/>
                <w:lang w:eastAsia="fr-FR" w:bidi="fr-FR"/>
                <w14:ligatures w14:val="standardContextual"/>
              </w:rPr>
            </w:pPr>
            <w:r w:rsidRPr="00F0379B">
              <w:rPr>
                <w:rFonts w:ascii="Cambria" w:eastAsia="MS Gothic" w:hAnsi="Cambria" w:cs="Times New Roman"/>
                <w:i/>
                <w:sz w:val="18"/>
                <w:szCs w:val="24"/>
                <w:lang w:eastAsia="fr-FR" w:bidi="fr-FR"/>
              </w:rPr>
              <w:t>Año de referencia</w:t>
            </w:r>
          </w:p>
        </w:tc>
        <w:tc>
          <w:tcPr>
            <w:tcW w:w="0" w:type="auto"/>
            <w:gridSpan w:val="4"/>
          </w:tcPr>
          <w:p w14:paraId="4A688985" w14:textId="77777777" w:rsidR="009123AC" w:rsidRPr="00F0379B" w:rsidRDefault="009123AC" w:rsidP="009123AC">
            <w:pPr>
              <w:spacing w:after="0" w:line="276" w:lineRule="auto"/>
              <w:jc w:val="center"/>
              <w:rPr>
                <w:rFonts w:ascii="Cambria" w:eastAsia="Times New Roman" w:hAnsi="Cambria" w:cs="Calibri"/>
                <w:i/>
                <w:iCs/>
                <w:kern w:val="2"/>
                <w:sz w:val="18"/>
                <w:szCs w:val="18"/>
                <w:lang w:eastAsia="fr-FR" w:bidi="fr-FR"/>
                <w14:ligatures w14:val="standardContextual"/>
              </w:rPr>
            </w:pPr>
            <w:r w:rsidRPr="00F0379B">
              <w:rPr>
                <w:rFonts w:ascii="Cambria" w:eastAsia="MS Gothic" w:hAnsi="Cambria" w:cs="Times New Roman"/>
                <w:i/>
                <w:sz w:val="18"/>
                <w:szCs w:val="24"/>
                <w:lang w:eastAsia="fr-FR" w:bidi="fr-FR"/>
              </w:rPr>
              <w:t>Capacidad de pesca</w:t>
            </w:r>
          </w:p>
        </w:tc>
      </w:tr>
      <w:tr w:rsidR="009123AC" w:rsidRPr="00F0379B" w14:paraId="4E8D7DEF" w14:textId="77777777" w:rsidTr="00CA749B">
        <w:trPr>
          <w:trHeight w:val="20"/>
        </w:trPr>
        <w:tc>
          <w:tcPr>
            <w:tcW w:w="0" w:type="auto"/>
            <w:noWrap/>
            <w:vAlign w:val="center"/>
            <w:hideMark/>
          </w:tcPr>
          <w:p w14:paraId="245CC3C6"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Tipo</w:t>
            </w:r>
          </w:p>
        </w:tc>
        <w:tc>
          <w:tcPr>
            <w:tcW w:w="2102" w:type="dxa"/>
            <w:vAlign w:val="center"/>
            <w:hideMark/>
          </w:tcPr>
          <w:p w14:paraId="15CF48B1"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Mejores tasas de captura definidas por el SCRS en 2009 (t)</w:t>
            </w:r>
          </w:p>
        </w:tc>
        <w:tc>
          <w:tcPr>
            <w:tcW w:w="625" w:type="dxa"/>
            <w:vAlign w:val="center"/>
          </w:tcPr>
          <w:p w14:paraId="4C2465E6"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2006</w:t>
            </w:r>
          </w:p>
        </w:tc>
        <w:tc>
          <w:tcPr>
            <w:tcW w:w="0" w:type="auto"/>
            <w:noWrap/>
            <w:vAlign w:val="center"/>
            <w:hideMark/>
          </w:tcPr>
          <w:p w14:paraId="2B65F9DA"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2008</w:t>
            </w:r>
          </w:p>
        </w:tc>
        <w:tc>
          <w:tcPr>
            <w:tcW w:w="0" w:type="auto"/>
            <w:vAlign w:val="center"/>
            <w:hideMark/>
          </w:tcPr>
          <w:p w14:paraId="022EFD1C"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2018</w:t>
            </w:r>
          </w:p>
        </w:tc>
        <w:tc>
          <w:tcPr>
            <w:tcW w:w="0" w:type="auto"/>
            <w:vAlign w:val="center"/>
            <w:hideMark/>
          </w:tcPr>
          <w:p w14:paraId="5FB0D7A3"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2023</w:t>
            </w:r>
          </w:p>
        </w:tc>
        <w:tc>
          <w:tcPr>
            <w:tcW w:w="0" w:type="auto"/>
            <w:vAlign w:val="center"/>
            <w:hideMark/>
          </w:tcPr>
          <w:p w14:paraId="1E4D7876"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2024</w:t>
            </w:r>
          </w:p>
        </w:tc>
        <w:tc>
          <w:tcPr>
            <w:tcW w:w="571" w:type="dxa"/>
            <w:vAlign w:val="center"/>
          </w:tcPr>
          <w:p w14:paraId="1D131518"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2025</w:t>
            </w:r>
          </w:p>
        </w:tc>
        <w:tc>
          <w:tcPr>
            <w:tcW w:w="991" w:type="dxa"/>
            <w:vAlign w:val="center"/>
          </w:tcPr>
          <w:p w14:paraId="001D057A"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2026</w:t>
            </w:r>
          </w:p>
        </w:tc>
        <w:tc>
          <w:tcPr>
            <w:tcW w:w="0" w:type="auto"/>
            <w:shd w:val="clear" w:color="000000" w:fill="D9D9D9"/>
            <w:vAlign w:val="center"/>
            <w:hideMark/>
          </w:tcPr>
          <w:p w14:paraId="7467BEEE"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vAlign w:val="center"/>
          </w:tcPr>
          <w:p w14:paraId="4B14B7B5"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2006</w:t>
            </w:r>
          </w:p>
        </w:tc>
        <w:tc>
          <w:tcPr>
            <w:tcW w:w="0" w:type="auto"/>
            <w:vAlign w:val="center"/>
            <w:hideMark/>
          </w:tcPr>
          <w:p w14:paraId="74D87DBB"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2008</w:t>
            </w:r>
          </w:p>
        </w:tc>
        <w:tc>
          <w:tcPr>
            <w:tcW w:w="0" w:type="auto"/>
            <w:vAlign w:val="center"/>
            <w:hideMark/>
          </w:tcPr>
          <w:p w14:paraId="305C6D1D"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2018</w:t>
            </w:r>
          </w:p>
        </w:tc>
        <w:tc>
          <w:tcPr>
            <w:tcW w:w="0" w:type="auto"/>
            <w:vAlign w:val="center"/>
            <w:hideMark/>
          </w:tcPr>
          <w:p w14:paraId="64D2C6E0"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2023</w:t>
            </w:r>
          </w:p>
        </w:tc>
        <w:tc>
          <w:tcPr>
            <w:tcW w:w="0" w:type="auto"/>
            <w:vAlign w:val="center"/>
            <w:hideMark/>
          </w:tcPr>
          <w:p w14:paraId="05247B4F"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2024</w:t>
            </w:r>
          </w:p>
        </w:tc>
        <w:tc>
          <w:tcPr>
            <w:tcW w:w="0" w:type="auto"/>
            <w:vAlign w:val="center"/>
            <w:hideMark/>
          </w:tcPr>
          <w:p w14:paraId="639B49CF"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2025</w:t>
            </w:r>
          </w:p>
        </w:tc>
        <w:tc>
          <w:tcPr>
            <w:tcW w:w="0" w:type="auto"/>
            <w:vAlign w:val="center"/>
          </w:tcPr>
          <w:p w14:paraId="576B684F"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2026</w:t>
            </w:r>
          </w:p>
        </w:tc>
      </w:tr>
      <w:tr w:rsidR="009123AC" w:rsidRPr="00F0379B" w14:paraId="17A594F4" w14:textId="77777777" w:rsidTr="00CA749B">
        <w:trPr>
          <w:trHeight w:val="20"/>
        </w:trPr>
        <w:tc>
          <w:tcPr>
            <w:tcW w:w="0" w:type="auto"/>
            <w:noWrap/>
            <w:vAlign w:val="center"/>
            <w:hideMark/>
          </w:tcPr>
          <w:p w14:paraId="25250E7F"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Cerqueros de más de 40 m</w:t>
            </w:r>
          </w:p>
        </w:tc>
        <w:tc>
          <w:tcPr>
            <w:tcW w:w="2102" w:type="dxa"/>
            <w:noWrap/>
            <w:vAlign w:val="center"/>
            <w:hideMark/>
          </w:tcPr>
          <w:p w14:paraId="19A9DB5B"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70,66</w:t>
            </w:r>
          </w:p>
        </w:tc>
        <w:tc>
          <w:tcPr>
            <w:tcW w:w="625" w:type="dxa"/>
          </w:tcPr>
          <w:p w14:paraId="2450F4E6"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noWrap/>
            <w:vAlign w:val="center"/>
            <w:hideMark/>
          </w:tcPr>
          <w:p w14:paraId="50CFCFEE"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4F68B607"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7F1BF8D7"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6F264930"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571" w:type="dxa"/>
          </w:tcPr>
          <w:p w14:paraId="2AD2A4A9"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991" w:type="dxa"/>
          </w:tcPr>
          <w:p w14:paraId="6E03A25C"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hideMark/>
          </w:tcPr>
          <w:p w14:paraId="1C78A1C1"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5AE2262E"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hideMark/>
          </w:tcPr>
          <w:p w14:paraId="30DF8DFA"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0B566C71"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0D8ADC82"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233A1635"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0672C4D3"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7BF596C2"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r>
      <w:tr w:rsidR="009123AC" w:rsidRPr="00F0379B" w14:paraId="1BCAFF57" w14:textId="77777777" w:rsidTr="00CA749B">
        <w:trPr>
          <w:trHeight w:val="20"/>
        </w:trPr>
        <w:tc>
          <w:tcPr>
            <w:tcW w:w="0" w:type="auto"/>
            <w:noWrap/>
            <w:vAlign w:val="center"/>
            <w:hideMark/>
          </w:tcPr>
          <w:p w14:paraId="46500D83"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Cerqueros entre 24 y 40 m</w:t>
            </w:r>
          </w:p>
        </w:tc>
        <w:tc>
          <w:tcPr>
            <w:tcW w:w="2102" w:type="dxa"/>
            <w:noWrap/>
            <w:vAlign w:val="center"/>
            <w:hideMark/>
          </w:tcPr>
          <w:p w14:paraId="08232F43"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49,78</w:t>
            </w:r>
          </w:p>
        </w:tc>
        <w:tc>
          <w:tcPr>
            <w:tcW w:w="625" w:type="dxa"/>
          </w:tcPr>
          <w:p w14:paraId="48D8DA8E"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noWrap/>
            <w:vAlign w:val="center"/>
            <w:hideMark/>
          </w:tcPr>
          <w:p w14:paraId="424562C9"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7AEB93C1"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3A90520B"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4DA83E72"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571" w:type="dxa"/>
          </w:tcPr>
          <w:p w14:paraId="4A707C12"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991" w:type="dxa"/>
          </w:tcPr>
          <w:p w14:paraId="5854A484"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hideMark/>
          </w:tcPr>
          <w:p w14:paraId="42383DF6"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02ADD053"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hideMark/>
          </w:tcPr>
          <w:p w14:paraId="611DBE57"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4D1C06AB"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4738B0A7"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64DDCB09"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2BC30657"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73D70AEC"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r>
      <w:tr w:rsidR="009123AC" w:rsidRPr="00F0379B" w14:paraId="095639B5" w14:textId="77777777" w:rsidTr="00CA749B">
        <w:trPr>
          <w:trHeight w:val="20"/>
        </w:trPr>
        <w:tc>
          <w:tcPr>
            <w:tcW w:w="0" w:type="auto"/>
            <w:noWrap/>
            <w:vAlign w:val="center"/>
            <w:hideMark/>
          </w:tcPr>
          <w:p w14:paraId="55B26CF8"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Cerqueros de menos de 24m</w:t>
            </w:r>
          </w:p>
        </w:tc>
        <w:tc>
          <w:tcPr>
            <w:tcW w:w="2102" w:type="dxa"/>
            <w:noWrap/>
            <w:vAlign w:val="center"/>
            <w:hideMark/>
          </w:tcPr>
          <w:p w14:paraId="390B410F"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33,68</w:t>
            </w:r>
          </w:p>
        </w:tc>
        <w:tc>
          <w:tcPr>
            <w:tcW w:w="625" w:type="dxa"/>
          </w:tcPr>
          <w:p w14:paraId="7FCBA38D"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noWrap/>
            <w:vAlign w:val="center"/>
            <w:hideMark/>
          </w:tcPr>
          <w:p w14:paraId="424E66E3"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54CDE64F"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7A09485A"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512994DD"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571" w:type="dxa"/>
          </w:tcPr>
          <w:p w14:paraId="4340B8FA"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991" w:type="dxa"/>
          </w:tcPr>
          <w:p w14:paraId="25052EBB"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hideMark/>
          </w:tcPr>
          <w:p w14:paraId="52DE8297"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3D44BFB6"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hideMark/>
          </w:tcPr>
          <w:p w14:paraId="117B6F54"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476AA48F"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6137E0E2"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37BB1D43"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205E610B"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5FBDA455"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r>
      <w:tr w:rsidR="009123AC" w:rsidRPr="00F0379B" w14:paraId="27137EE2" w14:textId="77777777" w:rsidTr="00CA749B">
        <w:trPr>
          <w:trHeight w:val="20"/>
        </w:trPr>
        <w:tc>
          <w:tcPr>
            <w:tcW w:w="0" w:type="auto"/>
            <w:noWrap/>
            <w:vAlign w:val="center"/>
            <w:hideMark/>
          </w:tcPr>
          <w:p w14:paraId="4BF08CA6"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Total flota de cerco</w:t>
            </w:r>
            <w:r w:rsidRPr="00F0379B">
              <w:rPr>
                <w:rFonts w:ascii="Cambria" w:eastAsia="MS Gothic" w:hAnsi="Cambria" w:cs="Times New Roman"/>
                <w:b/>
                <w:sz w:val="18"/>
                <w:szCs w:val="24"/>
                <w:vertAlign w:val="superscript"/>
                <w:lang w:eastAsia="fr-FR" w:bidi="fr-FR"/>
              </w:rPr>
              <w:t xml:space="preserve"> </w:t>
            </w:r>
          </w:p>
        </w:tc>
        <w:tc>
          <w:tcPr>
            <w:tcW w:w="2102" w:type="dxa"/>
            <w:noWrap/>
            <w:vAlign w:val="center"/>
            <w:hideMark/>
          </w:tcPr>
          <w:p w14:paraId="6650A979" w14:textId="77777777" w:rsidR="009123AC" w:rsidRPr="00F0379B" w:rsidRDefault="009123AC" w:rsidP="009123AC">
            <w:pPr>
              <w:spacing w:after="0" w:line="276" w:lineRule="auto"/>
              <w:rPr>
                <w:rFonts w:ascii="Cambria" w:eastAsia="Times New Roman" w:hAnsi="Cambria" w:cs="Cambria"/>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625" w:type="dxa"/>
          </w:tcPr>
          <w:p w14:paraId="3F8279BF"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hideMark/>
          </w:tcPr>
          <w:p w14:paraId="0B8578B8"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1A74E6A4"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11C0D31C"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2D6F8F1F"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571" w:type="dxa"/>
          </w:tcPr>
          <w:p w14:paraId="2BD269B6"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991" w:type="dxa"/>
          </w:tcPr>
          <w:p w14:paraId="422E2F9A"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hideMark/>
          </w:tcPr>
          <w:p w14:paraId="00E5018A"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tcPr>
          <w:p w14:paraId="6C78AF65"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hideMark/>
          </w:tcPr>
          <w:p w14:paraId="6CEDB298"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75E9752A"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1840C785"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0832E527"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238DC69C"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tcPr>
          <w:p w14:paraId="1109266B"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r>
      <w:tr w:rsidR="009123AC" w:rsidRPr="00F0379B" w14:paraId="6A44CC3E" w14:textId="77777777" w:rsidTr="00CA749B">
        <w:trPr>
          <w:trHeight w:val="20"/>
        </w:trPr>
        <w:tc>
          <w:tcPr>
            <w:tcW w:w="0" w:type="auto"/>
            <w:noWrap/>
            <w:vAlign w:val="center"/>
            <w:hideMark/>
          </w:tcPr>
          <w:p w14:paraId="31F77DCB"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Palangrero de más de 40m</w:t>
            </w:r>
          </w:p>
        </w:tc>
        <w:tc>
          <w:tcPr>
            <w:tcW w:w="2102" w:type="dxa"/>
            <w:noWrap/>
            <w:vAlign w:val="center"/>
            <w:hideMark/>
          </w:tcPr>
          <w:p w14:paraId="7EA1987A"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25</w:t>
            </w:r>
          </w:p>
        </w:tc>
        <w:tc>
          <w:tcPr>
            <w:tcW w:w="625" w:type="dxa"/>
          </w:tcPr>
          <w:p w14:paraId="18638851"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noWrap/>
            <w:vAlign w:val="center"/>
            <w:hideMark/>
          </w:tcPr>
          <w:p w14:paraId="3D7158FA"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406F4896"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08406D33"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2AA9F4AD"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571" w:type="dxa"/>
          </w:tcPr>
          <w:p w14:paraId="551C5EB2"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991" w:type="dxa"/>
          </w:tcPr>
          <w:p w14:paraId="3C69C84D"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hideMark/>
          </w:tcPr>
          <w:p w14:paraId="4136128E"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5272B098"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hideMark/>
          </w:tcPr>
          <w:p w14:paraId="14ED9D59"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7ABA28E9"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52C05AB8"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38652A39"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1C119D55"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6ACD8A70"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r>
      <w:tr w:rsidR="009123AC" w:rsidRPr="00F0379B" w14:paraId="588D1F07" w14:textId="77777777" w:rsidTr="00CA749B">
        <w:trPr>
          <w:trHeight w:val="20"/>
        </w:trPr>
        <w:tc>
          <w:tcPr>
            <w:tcW w:w="0" w:type="auto"/>
            <w:noWrap/>
            <w:vAlign w:val="center"/>
            <w:hideMark/>
          </w:tcPr>
          <w:p w14:paraId="6C5C538B"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Palangreros entre 24 y 40 m</w:t>
            </w:r>
          </w:p>
        </w:tc>
        <w:tc>
          <w:tcPr>
            <w:tcW w:w="2102" w:type="dxa"/>
            <w:noWrap/>
            <w:vAlign w:val="center"/>
            <w:hideMark/>
          </w:tcPr>
          <w:p w14:paraId="2CFDE05A"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5,68</w:t>
            </w:r>
          </w:p>
        </w:tc>
        <w:tc>
          <w:tcPr>
            <w:tcW w:w="625" w:type="dxa"/>
          </w:tcPr>
          <w:p w14:paraId="2294A30E"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noWrap/>
            <w:vAlign w:val="center"/>
            <w:hideMark/>
          </w:tcPr>
          <w:p w14:paraId="3B401911"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250E77DF"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37195F8F"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6373B79B"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571" w:type="dxa"/>
          </w:tcPr>
          <w:p w14:paraId="69579A29"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991" w:type="dxa"/>
          </w:tcPr>
          <w:p w14:paraId="60C20377"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hideMark/>
          </w:tcPr>
          <w:p w14:paraId="0E0BCDA4"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75DCC525"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hideMark/>
          </w:tcPr>
          <w:p w14:paraId="318421F7"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3517CE95"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6D5CF967"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22D8C501"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710A7015"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387AC2BA"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r>
      <w:tr w:rsidR="009123AC" w:rsidRPr="00F0379B" w14:paraId="3C6583D6" w14:textId="77777777" w:rsidTr="00CA749B">
        <w:trPr>
          <w:trHeight w:val="20"/>
        </w:trPr>
        <w:tc>
          <w:tcPr>
            <w:tcW w:w="0" w:type="auto"/>
            <w:noWrap/>
            <w:vAlign w:val="center"/>
            <w:hideMark/>
          </w:tcPr>
          <w:p w14:paraId="38EC37FE"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Palangreros de menos de 24 m</w:t>
            </w:r>
          </w:p>
        </w:tc>
        <w:tc>
          <w:tcPr>
            <w:tcW w:w="2102" w:type="dxa"/>
            <w:noWrap/>
            <w:vAlign w:val="center"/>
            <w:hideMark/>
          </w:tcPr>
          <w:p w14:paraId="592CED0E"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5</w:t>
            </w:r>
          </w:p>
        </w:tc>
        <w:tc>
          <w:tcPr>
            <w:tcW w:w="625" w:type="dxa"/>
          </w:tcPr>
          <w:p w14:paraId="2B8F0D80"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noWrap/>
            <w:vAlign w:val="center"/>
            <w:hideMark/>
          </w:tcPr>
          <w:p w14:paraId="2A05B20E"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378C92A9"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26E3337D"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753B10EF"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571" w:type="dxa"/>
          </w:tcPr>
          <w:p w14:paraId="76058872"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991" w:type="dxa"/>
          </w:tcPr>
          <w:p w14:paraId="4D5085B5"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hideMark/>
          </w:tcPr>
          <w:p w14:paraId="25265A2E"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4B5E5FFE"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hideMark/>
          </w:tcPr>
          <w:p w14:paraId="7E955F79"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437C9ABF"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1E49598C"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7EFD0042"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4AFFF137"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57D5B3F4"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r>
      <w:tr w:rsidR="009123AC" w:rsidRPr="00F0379B" w14:paraId="3F924BB9" w14:textId="77777777" w:rsidTr="00CA749B">
        <w:trPr>
          <w:trHeight w:val="20"/>
        </w:trPr>
        <w:tc>
          <w:tcPr>
            <w:tcW w:w="0" w:type="auto"/>
            <w:noWrap/>
            <w:vAlign w:val="center"/>
            <w:hideMark/>
          </w:tcPr>
          <w:p w14:paraId="1D7F8DAC"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Total flota de palangre</w:t>
            </w:r>
          </w:p>
        </w:tc>
        <w:tc>
          <w:tcPr>
            <w:tcW w:w="2102" w:type="dxa"/>
            <w:noWrap/>
            <w:vAlign w:val="center"/>
            <w:hideMark/>
          </w:tcPr>
          <w:p w14:paraId="416ACCA9" w14:textId="77777777" w:rsidR="009123AC" w:rsidRPr="00F0379B" w:rsidRDefault="009123AC" w:rsidP="009123AC">
            <w:pPr>
              <w:spacing w:after="0" w:line="276" w:lineRule="auto"/>
              <w:rPr>
                <w:rFonts w:ascii="Cambria" w:eastAsia="Times New Roman" w:hAnsi="Cambria" w:cs="Cambria"/>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625" w:type="dxa"/>
          </w:tcPr>
          <w:p w14:paraId="393A4CAE"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hideMark/>
          </w:tcPr>
          <w:p w14:paraId="0C9C8E86"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6D145FF4"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41B1F319"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62C7EFCE"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571" w:type="dxa"/>
          </w:tcPr>
          <w:p w14:paraId="2B4796FE"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991" w:type="dxa"/>
          </w:tcPr>
          <w:p w14:paraId="747849FD"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hideMark/>
          </w:tcPr>
          <w:p w14:paraId="45BB6632"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tcPr>
          <w:p w14:paraId="414C6C99"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hideMark/>
          </w:tcPr>
          <w:p w14:paraId="2BEEFAA8"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0A12C70A"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0D6A9377"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4CA804FC"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64D41FB2"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tcPr>
          <w:p w14:paraId="38D0DBF0"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r>
      <w:tr w:rsidR="009123AC" w:rsidRPr="00F0379B" w14:paraId="630C1201" w14:textId="77777777" w:rsidTr="00CA749B">
        <w:trPr>
          <w:trHeight w:val="20"/>
        </w:trPr>
        <w:tc>
          <w:tcPr>
            <w:tcW w:w="0" w:type="auto"/>
            <w:noWrap/>
            <w:vAlign w:val="center"/>
            <w:hideMark/>
          </w:tcPr>
          <w:p w14:paraId="6A6FC143"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xml:space="preserve">Cebo vivo </w:t>
            </w:r>
          </w:p>
        </w:tc>
        <w:tc>
          <w:tcPr>
            <w:tcW w:w="2102" w:type="dxa"/>
            <w:noWrap/>
            <w:vAlign w:val="center"/>
            <w:hideMark/>
          </w:tcPr>
          <w:p w14:paraId="5C560500"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19,75</w:t>
            </w:r>
          </w:p>
        </w:tc>
        <w:tc>
          <w:tcPr>
            <w:tcW w:w="625" w:type="dxa"/>
          </w:tcPr>
          <w:p w14:paraId="6B0AACC9"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hideMark/>
          </w:tcPr>
          <w:p w14:paraId="1393886B"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1DE52BD8"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7BCFAF11"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697C28D1"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571" w:type="dxa"/>
          </w:tcPr>
          <w:p w14:paraId="5B36CDB0"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991" w:type="dxa"/>
          </w:tcPr>
          <w:p w14:paraId="607DCB20"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hideMark/>
          </w:tcPr>
          <w:p w14:paraId="54E683EF"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tcPr>
          <w:p w14:paraId="2A604496"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hideMark/>
          </w:tcPr>
          <w:p w14:paraId="4A340363"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4872BF16"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75198BD3"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70161FE0"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1BD1C8E4"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tcPr>
          <w:p w14:paraId="5A1497B0"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r>
      <w:tr w:rsidR="009123AC" w:rsidRPr="00F0379B" w14:paraId="38B9CB3E" w14:textId="77777777" w:rsidTr="00CA749B">
        <w:trPr>
          <w:trHeight w:val="20"/>
        </w:trPr>
        <w:tc>
          <w:tcPr>
            <w:tcW w:w="0" w:type="auto"/>
            <w:noWrap/>
            <w:vAlign w:val="center"/>
            <w:hideMark/>
          </w:tcPr>
          <w:p w14:paraId="611B8CC0"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Liña de mano</w:t>
            </w:r>
          </w:p>
        </w:tc>
        <w:tc>
          <w:tcPr>
            <w:tcW w:w="2102" w:type="dxa"/>
            <w:noWrap/>
            <w:vAlign w:val="center"/>
            <w:hideMark/>
          </w:tcPr>
          <w:p w14:paraId="78F37A2A"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5</w:t>
            </w:r>
          </w:p>
        </w:tc>
        <w:tc>
          <w:tcPr>
            <w:tcW w:w="625" w:type="dxa"/>
          </w:tcPr>
          <w:p w14:paraId="2FA283FC"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noWrap/>
            <w:vAlign w:val="center"/>
            <w:hideMark/>
          </w:tcPr>
          <w:p w14:paraId="08AE3597"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1E4A8992"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2C8C63DB"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20DF9CC8"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571" w:type="dxa"/>
          </w:tcPr>
          <w:p w14:paraId="3D8E5E6D"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991" w:type="dxa"/>
          </w:tcPr>
          <w:p w14:paraId="19C9572A"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hideMark/>
          </w:tcPr>
          <w:p w14:paraId="5C219862"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0FDFD54D"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hideMark/>
          </w:tcPr>
          <w:p w14:paraId="19069B74"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2D8678A0"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1ACE508B"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77F4A3BC"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7F3A48D2"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7A08A549"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r>
      <w:tr w:rsidR="009123AC" w:rsidRPr="00F0379B" w14:paraId="4DB32167" w14:textId="77777777" w:rsidTr="00CA749B">
        <w:trPr>
          <w:trHeight w:val="20"/>
        </w:trPr>
        <w:tc>
          <w:tcPr>
            <w:tcW w:w="0" w:type="auto"/>
            <w:noWrap/>
            <w:vAlign w:val="center"/>
            <w:hideMark/>
          </w:tcPr>
          <w:p w14:paraId="4AB6EEC0"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Arrastrero</w:t>
            </w:r>
          </w:p>
        </w:tc>
        <w:tc>
          <w:tcPr>
            <w:tcW w:w="2102" w:type="dxa"/>
            <w:noWrap/>
            <w:vAlign w:val="center"/>
            <w:hideMark/>
          </w:tcPr>
          <w:p w14:paraId="66F224CC"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10</w:t>
            </w:r>
          </w:p>
        </w:tc>
        <w:tc>
          <w:tcPr>
            <w:tcW w:w="625" w:type="dxa"/>
          </w:tcPr>
          <w:p w14:paraId="727A9945"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noWrap/>
            <w:vAlign w:val="center"/>
            <w:hideMark/>
          </w:tcPr>
          <w:p w14:paraId="6456F33C"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76BE38B5"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7A9277E1"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600DE3F4"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571" w:type="dxa"/>
          </w:tcPr>
          <w:p w14:paraId="0FEEF32A"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991" w:type="dxa"/>
          </w:tcPr>
          <w:p w14:paraId="5CF35ED5"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hideMark/>
          </w:tcPr>
          <w:p w14:paraId="7F8A03A4"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6CBAAADA"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hideMark/>
          </w:tcPr>
          <w:p w14:paraId="50396C33"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45F8B5DF"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71660194"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7157753C"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43398358"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1070AD40"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r>
      <w:tr w:rsidR="009123AC" w:rsidRPr="00F0379B" w14:paraId="60D9D085" w14:textId="77777777" w:rsidTr="00CA749B">
        <w:trPr>
          <w:trHeight w:val="20"/>
        </w:trPr>
        <w:tc>
          <w:tcPr>
            <w:tcW w:w="0" w:type="auto"/>
            <w:noWrap/>
            <w:vAlign w:val="center"/>
            <w:hideMark/>
          </w:tcPr>
          <w:p w14:paraId="6C154C40"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Almadraba</w:t>
            </w:r>
          </w:p>
        </w:tc>
        <w:tc>
          <w:tcPr>
            <w:tcW w:w="2102" w:type="dxa"/>
            <w:noWrap/>
            <w:vAlign w:val="center"/>
            <w:hideMark/>
          </w:tcPr>
          <w:p w14:paraId="081B194E"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130</w:t>
            </w:r>
          </w:p>
        </w:tc>
        <w:tc>
          <w:tcPr>
            <w:tcW w:w="625" w:type="dxa"/>
          </w:tcPr>
          <w:p w14:paraId="12A6881A"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hideMark/>
          </w:tcPr>
          <w:p w14:paraId="19BFFADB"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750759E1"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36100107"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1F043FCA"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571" w:type="dxa"/>
          </w:tcPr>
          <w:p w14:paraId="010FDE7C"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991" w:type="dxa"/>
          </w:tcPr>
          <w:p w14:paraId="58D6F411"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hideMark/>
          </w:tcPr>
          <w:p w14:paraId="495E12C8"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tcPr>
          <w:p w14:paraId="39036975"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hideMark/>
          </w:tcPr>
          <w:p w14:paraId="52F18F6F"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18187EAD"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7EC07528"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385B7638"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27D31165"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tcPr>
          <w:p w14:paraId="674F1B5E"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r>
      <w:tr w:rsidR="009123AC" w:rsidRPr="00F0379B" w14:paraId="16FBA794" w14:textId="77777777" w:rsidTr="00CA749B">
        <w:trPr>
          <w:trHeight w:val="20"/>
        </w:trPr>
        <w:tc>
          <w:tcPr>
            <w:tcW w:w="0" w:type="auto"/>
            <w:vAlign w:val="center"/>
            <w:hideMark/>
          </w:tcPr>
          <w:p w14:paraId="1F216352"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xml:space="preserve">Pequeños barcos costeros </w:t>
            </w:r>
          </w:p>
        </w:tc>
        <w:tc>
          <w:tcPr>
            <w:tcW w:w="2102" w:type="dxa"/>
            <w:noWrap/>
            <w:vAlign w:val="center"/>
            <w:hideMark/>
          </w:tcPr>
          <w:p w14:paraId="5EEC14EF"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No aplicable</w:t>
            </w:r>
          </w:p>
        </w:tc>
        <w:tc>
          <w:tcPr>
            <w:tcW w:w="625" w:type="dxa"/>
          </w:tcPr>
          <w:p w14:paraId="21EBEDFE"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hideMark/>
          </w:tcPr>
          <w:p w14:paraId="7315E297"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29A2B956"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62ACE318"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1D90FB2B"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571" w:type="dxa"/>
          </w:tcPr>
          <w:p w14:paraId="5E00663A"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991" w:type="dxa"/>
          </w:tcPr>
          <w:p w14:paraId="505EB575"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hideMark/>
          </w:tcPr>
          <w:p w14:paraId="5C64230B"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tcPr>
          <w:p w14:paraId="08A13929"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hideMark/>
          </w:tcPr>
          <w:p w14:paraId="2C1A9D68"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14156B83"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14CA3412"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2C3C41D9"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1EB6FB39"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tcPr>
          <w:p w14:paraId="6CD087EE"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r>
      <w:tr w:rsidR="009123AC" w:rsidRPr="00F0379B" w14:paraId="6566774C" w14:textId="77777777" w:rsidTr="00CA749B">
        <w:trPr>
          <w:trHeight w:val="20"/>
        </w:trPr>
        <w:tc>
          <w:tcPr>
            <w:tcW w:w="0" w:type="auto"/>
            <w:vAlign w:val="center"/>
            <w:hideMark/>
          </w:tcPr>
          <w:p w14:paraId="4F58A4D1"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Otros (especificar)</w:t>
            </w:r>
          </w:p>
        </w:tc>
        <w:tc>
          <w:tcPr>
            <w:tcW w:w="2102" w:type="dxa"/>
            <w:noWrap/>
            <w:vAlign w:val="center"/>
            <w:hideMark/>
          </w:tcPr>
          <w:p w14:paraId="16B7CDC7" w14:textId="77777777" w:rsidR="009123AC" w:rsidRPr="00F0379B" w:rsidRDefault="009123AC" w:rsidP="009123AC">
            <w:pPr>
              <w:spacing w:after="0" w:line="276" w:lineRule="auto"/>
              <w:jc w:val="center"/>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5</w:t>
            </w:r>
          </w:p>
        </w:tc>
        <w:tc>
          <w:tcPr>
            <w:tcW w:w="625" w:type="dxa"/>
          </w:tcPr>
          <w:p w14:paraId="245E1BB1"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hideMark/>
          </w:tcPr>
          <w:p w14:paraId="49592B51"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7CDFB058"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2C7D0BB8"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54374D1C"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571" w:type="dxa"/>
          </w:tcPr>
          <w:p w14:paraId="68961F02"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991" w:type="dxa"/>
          </w:tcPr>
          <w:p w14:paraId="623088E2"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hideMark/>
          </w:tcPr>
          <w:p w14:paraId="7B003B49"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tcPr>
          <w:p w14:paraId="52EF6305"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hideMark/>
          </w:tcPr>
          <w:p w14:paraId="44B68843"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29965D30"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0881D508"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77D6382B"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7035C686"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tcPr>
          <w:p w14:paraId="5A0DFB17"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r>
      <w:tr w:rsidR="009123AC" w:rsidRPr="00F0379B" w14:paraId="752BF458" w14:textId="77777777" w:rsidTr="00CA749B">
        <w:trPr>
          <w:trHeight w:val="20"/>
        </w:trPr>
        <w:tc>
          <w:tcPr>
            <w:tcW w:w="0" w:type="auto"/>
            <w:noWrap/>
            <w:vAlign w:val="center"/>
            <w:hideMark/>
          </w:tcPr>
          <w:p w14:paraId="26FB8590"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Capacidad pesquera/flota total</w:t>
            </w:r>
          </w:p>
        </w:tc>
        <w:tc>
          <w:tcPr>
            <w:tcW w:w="2102" w:type="dxa"/>
            <w:noWrap/>
            <w:vAlign w:val="center"/>
            <w:hideMark/>
          </w:tcPr>
          <w:p w14:paraId="1A3FAED2" w14:textId="77777777" w:rsidR="009123AC" w:rsidRPr="00F0379B" w:rsidRDefault="009123AC" w:rsidP="009123AC">
            <w:pPr>
              <w:spacing w:after="0" w:line="276" w:lineRule="auto"/>
              <w:jc w:val="right"/>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625" w:type="dxa"/>
          </w:tcPr>
          <w:p w14:paraId="18226909"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hideMark/>
          </w:tcPr>
          <w:p w14:paraId="7B244154"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38EB2329"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2FB0A83F"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27335640"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571" w:type="dxa"/>
          </w:tcPr>
          <w:p w14:paraId="77809529"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991" w:type="dxa"/>
          </w:tcPr>
          <w:p w14:paraId="1AE743C7"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hideMark/>
          </w:tcPr>
          <w:p w14:paraId="351FE2C4"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tcPr>
          <w:p w14:paraId="234B38E5"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hideMark/>
          </w:tcPr>
          <w:p w14:paraId="17D26BCE"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vAlign w:val="center"/>
            <w:hideMark/>
          </w:tcPr>
          <w:p w14:paraId="7E7E83AA"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noWrap/>
            <w:vAlign w:val="center"/>
            <w:hideMark/>
          </w:tcPr>
          <w:p w14:paraId="568E1C0C"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noWrap/>
            <w:vAlign w:val="center"/>
            <w:hideMark/>
          </w:tcPr>
          <w:p w14:paraId="24D6EBFA"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noWrap/>
            <w:vAlign w:val="center"/>
            <w:hideMark/>
          </w:tcPr>
          <w:p w14:paraId="642793B6"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w:t>
            </w:r>
          </w:p>
        </w:tc>
        <w:tc>
          <w:tcPr>
            <w:tcW w:w="0" w:type="auto"/>
          </w:tcPr>
          <w:p w14:paraId="5D5A884E" w14:textId="77777777" w:rsidR="009123AC" w:rsidRPr="00F0379B" w:rsidRDefault="009123AC" w:rsidP="009123AC">
            <w:pPr>
              <w:spacing w:after="0" w:line="276" w:lineRule="auto"/>
              <w:jc w:val="center"/>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0</w:t>
            </w:r>
          </w:p>
        </w:tc>
      </w:tr>
      <w:tr w:rsidR="009123AC" w:rsidRPr="00F0379B" w14:paraId="6B684DBD" w14:textId="77777777" w:rsidTr="00CA749B">
        <w:trPr>
          <w:trHeight w:val="20"/>
        </w:trPr>
        <w:tc>
          <w:tcPr>
            <w:tcW w:w="0" w:type="auto"/>
            <w:shd w:val="clear" w:color="auto" w:fill="D9D9D9"/>
            <w:noWrap/>
            <w:vAlign w:val="center"/>
            <w:hideMark/>
          </w:tcPr>
          <w:p w14:paraId="3249D645"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Cuota inicial</w:t>
            </w:r>
          </w:p>
        </w:tc>
        <w:tc>
          <w:tcPr>
            <w:tcW w:w="2102" w:type="dxa"/>
            <w:shd w:val="clear" w:color="auto" w:fill="D9D9D9"/>
            <w:noWrap/>
            <w:vAlign w:val="center"/>
            <w:hideMark/>
          </w:tcPr>
          <w:p w14:paraId="55ADEA1C" w14:textId="77777777" w:rsidR="009123AC" w:rsidRPr="00F0379B" w:rsidRDefault="009123AC" w:rsidP="009123AC">
            <w:pPr>
              <w:spacing w:after="0" w:line="276" w:lineRule="auto"/>
              <w:jc w:val="right"/>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625" w:type="dxa"/>
            <w:shd w:val="clear" w:color="auto" w:fill="D9D9D9"/>
          </w:tcPr>
          <w:p w14:paraId="0BFB143C"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shd w:val="clear" w:color="auto" w:fill="D9D9D9"/>
            <w:noWrap/>
            <w:vAlign w:val="center"/>
            <w:hideMark/>
          </w:tcPr>
          <w:p w14:paraId="3A43F007"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vAlign w:val="center"/>
            <w:hideMark/>
          </w:tcPr>
          <w:p w14:paraId="5B5C1927"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vAlign w:val="center"/>
            <w:hideMark/>
          </w:tcPr>
          <w:p w14:paraId="773DDA7C"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vAlign w:val="center"/>
            <w:hideMark/>
          </w:tcPr>
          <w:p w14:paraId="1AF3C7C7"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571" w:type="dxa"/>
            <w:shd w:val="clear" w:color="auto" w:fill="D9D9D9"/>
          </w:tcPr>
          <w:p w14:paraId="1543D32B"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991" w:type="dxa"/>
            <w:shd w:val="clear" w:color="auto" w:fill="D9D9D9"/>
          </w:tcPr>
          <w:p w14:paraId="6608E319"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auto" w:fill="D9D9D9"/>
            <w:vAlign w:val="center"/>
            <w:hideMark/>
          </w:tcPr>
          <w:p w14:paraId="7DFD250C"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tcPr>
          <w:p w14:paraId="73833DEF"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shd w:val="clear" w:color="auto" w:fill="D9D9D9"/>
            <w:vAlign w:val="center"/>
            <w:hideMark/>
          </w:tcPr>
          <w:p w14:paraId="0CEBEE57"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vAlign w:val="center"/>
            <w:hideMark/>
          </w:tcPr>
          <w:p w14:paraId="52234477"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vAlign w:val="center"/>
            <w:hideMark/>
          </w:tcPr>
          <w:p w14:paraId="2E06604C"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vAlign w:val="center"/>
            <w:hideMark/>
          </w:tcPr>
          <w:p w14:paraId="45A91FFF"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vAlign w:val="center"/>
            <w:hideMark/>
          </w:tcPr>
          <w:p w14:paraId="043D520E"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bCs/>
                <w:sz w:val="18"/>
                <w:szCs w:val="24"/>
                <w:lang w:eastAsia="fr-FR" w:bidi="fr-FR"/>
              </w:rPr>
              <w:t> </w:t>
            </w:r>
          </w:p>
        </w:tc>
        <w:tc>
          <w:tcPr>
            <w:tcW w:w="0" w:type="auto"/>
            <w:shd w:val="clear" w:color="auto" w:fill="D9D9D9"/>
          </w:tcPr>
          <w:p w14:paraId="3F81A373" w14:textId="77777777" w:rsidR="009123AC" w:rsidRPr="00F0379B" w:rsidRDefault="009123AC" w:rsidP="009123AC">
            <w:pPr>
              <w:spacing w:after="0" w:line="276" w:lineRule="auto"/>
              <w:jc w:val="center"/>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bCs/>
                <w:sz w:val="18"/>
                <w:szCs w:val="24"/>
                <w:lang w:eastAsia="fr-FR" w:bidi="fr-FR"/>
              </w:rPr>
              <w:t>55</w:t>
            </w:r>
          </w:p>
        </w:tc>
      </w:tr>
      <w:tr w:rsidR="009123AC" w:rsidRPr="00F0379B" w14:paraId="794D7A4A" w14:textId="77777777" w:rsidTr="00CA749B">
        <w:trPr>
          <w:trHeight w:val="20"/>
        </w:trPr>
        <w:tc>
          <w:tcPr>
            <w:tcW w:w="0" w:type="auto"/>
            <w:shd w:val="clear" w:color="auto" w:fill="D9D9D9"/>
            <w:noWrap/>
            <w:vAlign w:val="center"/>
          </w:tcPr>
          <w:p w14:paraId="1B7B3922"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xml:space="preserve">Cuota ajustada (si procede) </w:t>
            </w:r>
          </w:p>
        </w:tc>
        <w:tc>
          <w:tcPr>
            <w:tcW w:w="2102" w:type="dxa"/>
            <w:shd w:val="clear" w:color="auto" w:fill="D9D9D9"/>
            <w:noWrap/>
            <w:vAlign w:val="center"/>
          </w:tcPr>
          <w:p w14:paraId="614B8F5D" w14:textId="77777777" w:rsidR="009123AC" w:rsidRPr="00F0379B" w:rsidRDefault="009123AC" w:rsidP="009123AC">
            <w:pPr>
              <w:spacing w:after="0" w:line="276" w:lineRule="auto"/>
              <w:jc w:val="right"/>
              <w:rPr>
                <w:rFonts w:ascii="Cambria" w:eastAsia="Times New Roman" w:hAnsi="Cambria" w:cs="Calibri"/>
                <w:kern w:val="2"/>
                <w:sz w:val="18"/>
                <w:szCs w:val="18"/>
                <w:lang w:eastAsia="ja-JP"/>
                <w14:ligatures w14:val="standardContextual"/>
              </w:rPr>
            </w:pPr>
          </w:p>
        </w:tc>
        <w:tc>
          <w:tcPr>
            <w:tcW w:w="625" w:type="dxa"/>
            <w:shd w:val="clear" w:color="auto" w:fill="D9D9D9"/>
          </w:tcPr>
          <w:p w14:paraId="2AC7BD9A"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shd w:val="clear" w:color="auto" w:fill="D9D9D9"/>
            <w:noWrap/>
            <w:vAlign w:val="center"/>
          </w:tcPr>
          <w:p w14:paraId="4BC1761D"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shd w:val="clear" w:color="auto" w:fill="D9D9D9"/>
            <w:vAlign w:val="center"/>
          </w:tcPr>
          <w:p w14:paraId="57DD2714"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shd w:val="clear" w:color="auto" w:fill="D9D9D9"/>
            <w:vAlign w:val="center"/>
          </w:tcPr>
          <w:p w14:paraId="5A30FD5C"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shd w:val="clear" w:color="auto" w:fill="D9D9D9"/>
            <w:vAlign w:val="center"/>
          </w:tcPr>
          <w:p w14:paraId="24749D1F"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571" w:type="dxa"/>
            <w:shd w:val="clear" w:color="auto" w:fill="D9D9D9"/>
          </w:tcPr>
          <w:p w14:paraId="28BC7AEA"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991" w:type="dxa"/>
            <w:shd w:val="clear" w:color="auto" w:fill="D9D9D9"/>
          </w:tcPr>
          <w:p w14:paraId="61C435E0"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auto" w:fill="D9D9D9"/>
            <w:vAlign w:val="center"/>
          </w:tcPr>
          <w:p w14:paraId="3F53CE88"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shd w:val="clear" w:color="auto" w:fill="D9D9D9"/>
          </w:tcPr>
          <w:p w14:paraId="0D27106D"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shd w:val="clear" w:color="auto" w:fill="D9D9D9"/>
            <w:vAlign w:val="center"/>
          </w:tcPr>
          <w:p w14:paraId="2EADD0FC"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shd w:val="clear" w:color="auto" w:fill="D9D9D9"/>
            <w:vAlign w:val="center"/>
          </w:tcPr>
          <w:p w14:paraId="5D370D8A"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shd w:val="clear" w:color="auto" w:fill="D9D9D9"/>
            <w:vAlign w:val="center"/>
          </w:tcPr>
          <w:p w14:paraId="240F579A"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shd w:val="clear" w:color="auto" w:fill="D9D9D9"/>
            <w:vAlign w:val="center"/>
          </w:tcPr>
          <w:p w14:paraId="7BA07B12"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shd w:val="clear" w:color="auto" w:fill="D9D9D9"/>
            <w:vAlign w:val="center"/>
          </w:tcPr>
          <w:p w14:paraId="569E505B"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shd w:val="clear" w:color="auto" w:fill="D9D9D9"/>
          </w:tcPr>
          <w:p w14:paraId="127DA5C7" w14:textId="77777777" w:rsidR="009123AC" w:rsidRPr="00F0379B" w:rsidRDefault="009123AC" w:rsidP="009123AC">
            <w:pPr>
              <w:spacing w:after="0" w:line="276" w:lineRule="auto"/>
              <w:jc w:val="center"/>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bCs/>
                <w:sz w:val="18"/>
                <w:szCs w:val="24"/>
                <w:lang w:eastAsia="fr-FR" w:bidi="fr-FR"/>
              </w:rPr>
              <w:t>No aplicable.</w:t>
            </w:r>
          </w:p>
        </w:tc>
      </w:tr>
      <w:tr w:rsidR="009123AC" w:rsidRPr="00F0379B" w14:paraId="23D74B53" w14:textId="77777777" w:rsidTr="00CA749B">
        <w:trPr>
          <w:trHeight w:val="20"/>
        </w:trPr>
        <w:tc>
          <w:tcPr>
            <w:tcW w:w="0" w:type="auto"/>
            <w:noWrap/>
            <w:vAlign w:val="center"/>
            <w:hideMark/>
          </w:tcPr>
          <w:p w14:paraId="2C594F29"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Porcentaje asignado a la captura fortuita</w:t>
            </w:r>
          </w:p>
        </w:tc>
        <w:tc>
          <w:tcPr>
            <w:tcW w:w="2102" w:type="dxa"/>
            <w:noWrap/>
            <w:vAlign w:val="center"/>
            <w:hideMark/>
          </w:tcPr>
          <w:p w14:paraId="793EAF7C" w14:textId="77777777" w:rsidR="009123AC" w:rsidRPr="00F0379B" w:rsidRDefault="009123AC" w:rsidP="009123AC">
            <w:pPr>
              <w:spacing w:after="0" w:line="276" w:lineRule="auto"/>
              <w:jc w:val="right"/>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625" w:type="dxa"/>
          </w:tcPr>
          <w:p w14:paraId="74DF0ED8"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noWrap/>
            <w:vAlign w:val="center"/>
            <w:hideMark/>
          </w:tcPr>
          <w:p w14:paraId="2C497CC4"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1A442E44"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44AFAFFC"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22FF22C0"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571" w:type="dxa"/>
          </w:tcPr>
          <w:p w14:paraId="30E4EF2D"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991" w:type="dxa"/>
          </w:tcPr>
          <w:p w14:paraId="59B85981"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hideMark/>
          </w:tcPr>
          <w:p w14:paraId="104E80A2"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2EA9875E"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hideMark/>
          </w:tcPr>
          <w:p w14:paraId="38BAE3AF"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74BD95CD"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2828C286"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3EBB5BA2"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vAlign w:val="center"/>
            <w:hideMark/>
          </w:tcPr>
          <w:p w14:paraId="34B71E3C"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tcPr>
          <w:p w14:paraId="700FA91A" w14:textId="77777777" w:rsidR="009123AC" w:rsidRPr="00F0379B" w:rsidRDefault="009123AC" w:rsidP="009123AC">
            <w:pPr>
              <w:spacing w:after="0" w:line="276" w:lineRule="auto"/>
              <w:jc w:val="center"/>
              <w:rPr>
                <w:rFonts w:ascii="Cambria" w:eastAsia="Times New Roman" w:hAnsi="Cambria" w:cs="Calibri"/>
                <w:b/>
                <w:bCs/>
                <w:kern w:val="2"/>
                <w:sz w:val="16"/>
                <w:szCs w:val="16"/>
                <w:lang w:eastAsia="fr-FR" w:bidi="fr-FR"/>
                <w14:ligatures w14:val="standardContextual"/>
              </w:rPr>
            </w:pPr>
            <w:r w:rsidRPr="00F0379B">
              <w:rPr>
                <w:rFonts w:ascii="Cambria" w:eastAsia="MS Gothic" w:hAnsi="Cambria" w:cs="Times New Roman"/>
                <w:b/>
                <w:bCs/>
                <w:color w:val="000000"/>
                <w:sz w:val="16"/>
                <w:szCs w:val="24"/>
                <w:lang w:eastAsia="fr-FR" w:bidi="fr-FR"/>
              </w:rPr>
              <w:t>100 %</w:t>
            </w:r>
          </w:p>
        </w:tc>
      </w:tr>
      <w:tr w:rsidR="009123AC" w:rsidRPr="00F0379B" w14:paraId="5AFCF7BE" w14:textId="77777777" w:rsidTr="00CA749B">
        <w:trPr>
          <w:trHeight w:val="20"/>
        </w:trPr>
        <w:tc>
          <w:tcPr>
            <w:tcW w:w="0" w:type="auto"/>
            <w:noWrap/>
            <w:vAlign w:val="center"/>
          </w:tcPr>
          <w:p w14:paraId="157172D1"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Asignación a la captura fortuita</w:t>
            </w:r>
          </w:p>
        </w:tc>
        <w:tc>
          <w:tcPr>
            <w:tcW w:w="2102" w:type="dxa"/>
            <w:noWrap/>
            <w:vAlign w:val="center"/>
          </w:tcPr>
          <w:p w14:paraId="3C4E703A" w14:textId="77777777" w:rsidR="009123AC" w:rsidRPr="00F0379B" w:rsidRDefault="009123AC" w:rsidP="009123AC">
            <w:pPr>
              <w:spacing w:after="0" w:line="276" w:lineRule="auto"/>
              <w:jc w:val="right"/>
              <w:rPr>
                <w:rFonts w:ascii="Cambria" w:eastAsia="Times New Roman" w:hAnsi="Cambria" w:cs="Calibri"/>
                <w:kern w:val="2"/>
                <w:sz w:val="18"/>
                <w:szCs w:val="18"/>
                <w:lang w:eastAsia="ja-JP"/>
                <w14:ligatures w14:val="standardContextual"/>
              </w:rPr>
            </w:pPr>
          </w:p>
        </w:tc>
        <w:tc>
          <w:tcPr>
            <w:tcW w:w="625" w:type="dxa"/>
          </w:tcPr>
          <w:p w14:paraId="283432AB"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noWrap/>
            <w:vAlign w:val="center"/>
          </w:tcPr>
          <w:p w14:paraId="75889C8A"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tcPr>
          <w:p w14:paraId="14EA52D8"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tcPr>
          <w:p w14:paraId="7C78F3EB"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tcPr>
          <w:p w14:paraId="47327B34"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571" w:type="dxa"/>
          </w:tcPr>
          <w:p w14:paraId="76AD450A"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991" w:type="dxa"/>
          </w:tcPr>
          <w:p w14:paraId="703E97F3"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tcPr>
          <w:p w14:paraId="2C584748"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tcPr>
          <w:p w14:paraId="51B34E53"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tcPr>
          <w:p w14:paraId="66D0B6B1"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tcPr>
          <w:p w14:paraId="6FFD9DC2"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tcPr>
          <w:p w14:paraId="6F9A062C"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tcPr>
          <w:p w14:paraId="02EBB901"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vAlign w:val="center"/>
          </w:tcPr>
          <w:p w14:paraId="282507F3"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tcPr>
          <w:p w14:paraId="2FAEABAE" w14:textId="77777777" w:rsidR="009123AC" w:rsidRPr="00F0379B" w:rsidRDefault="009123AC" w:rsidP="009123AC">
            <w:pPr>
              <w:spacing w:after="0" w:line="276" w:lineRule="auto"/>
              <w:jc w:val="center"/>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bCs/>
                <w:color w:val="000000"/>
                <w:sz w:val="18"/>
                <w:szCs w:val="24"/>
                <w:lang w:eastAsia="fr-FR" w:bidi="fr-FR"/>
              </w:rPr>
              <w:t>55</w:t>
            </w:r>
          </w:p>
        </w:tc>
      </w:tr>
      <w:tr w:rsidR="009123AC" w:rsidRPr="00F0379B" w14:paraId="4737545F" w14:textId="77777777" w:rsidTr="00CA749B">
        <w:trPr>
          <w:trHeight w:val="20"/>
        </w:trPr>
        <w:tc>
          <w:tcPr>
            <w:tcW w:w="0" w:type="auto"/>
            <w:vAlign w:val="center"/>
          </w:tcPr>
          <w:p w14:paraId="35B92371"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Cuota para investigación científica</w:t>
            </w:r>
          </w:p>
          <w:p w14:paraId="1A9183B7"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(si procede)</w:t>
            </w:r>
          </w:p>
        </w:tc>
        <w:tc>
          <w:tcPr>
            <w:tcW w:w="2102" w:type="dxa"/>
            <w:noWrap/>
            <w:vAlign w:val="center"/>
          </w:tcPr>
          <w:p w14:paraId="5B76B8E7" w14:textId="77777777" w:rsidR="009123AC" w:rsidRPr="00F0379B" w:rsidRDefault="009123AC" w:rsidP="009123AC">
            <w:pPr>
              <w:spacing w:after="0" w:line="276" w:lineRule="auto"/>
              <w:jc w:val="right"/>
              <w:rPr>
                <w:rFonts w:ascii="Cambria" w:eastAsia="Times New Roman" w:hAnsi="Cambria" w:cs="Calibri"/>
                <w:b/>
                <w:bCs/>
                <w:kern w:val="2"/>
                <w:sz w:val="18"/>
                <w:szCs w:val="18"/>
                <w:lang w:eastAsia="ja-JP"/>
                <w14:ligatures w14:val="standardContextual"/>
              </w:rPr>
            </w:pPr>
          </w:p>
        </w:tc>
        <w:tc>
          <w:tcPr>
            <w:tcW w:w="625" w:type="dxa"/>
          </w:tcPr>
          <w:p w14:paraId="74A0634F"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tcPr>
          <w:p w14:paraId="480ED565"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tcPr>
          <w:p w14:paraId="7C1D5BBB"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tcPr>
          <w:p w14:paraId="0D54FF2F"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tcPr>
          <w:p w14:paraId="10CE776F"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571" w:type="dxa"/>
          </w:tcPr>
          <w:p w14:paraId="5BC88A21"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991" w:type="dxa"/>
          </w:tcPr>
          <w:p w14:paraId="376805A8"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tcPr>
          <w:p w14:paraId="2CADC690"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tcPr>
          <w:p w14:paraId="21A7558F"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tcPr>
          <w:p w14:paraId="2B8A2139"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tcPr>
          <w:p w14:paraId="6D294C1D"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tcPr>
          <w:p w14:paraId="6459EE84"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tcPr>
          <w:p w14:paraId="69203310"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tcPr>
          <w:p w14:paraId="1353E959"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tcPr>
          <w:p w14:paraId="152BAA77" w14:textId="77777777" w:rsidR="009123AC" w:rsidRPr="00F0379B" w:rsidRDefault="009123AC" w:rsidP="009123AC">
            <w:pPr>
              <w:spacing w:after="0" w:line="276" w:lineRule="auto"/>
              <w:jc w:val="center"/>
              <w:rPr>
                <w:rFonts w:ascii="Cambria" w:eastAsia="Times New Roman" w:hAnsi="Cambria" w:cs="Calibri"/>
                <w:b/>
                <w:bCs/>
                <w:kern w:val="2"/>
                <w:sz w:val="18"/>
                <w:szCs w:val="18"/>
                <w:lang w:eastAsia="ja-JP"/>
                <w14:ligatures w14:val="standardContextual"/>
              </w:rPr>
            </w:pPr>
          </w:p>
        </w:tc>
      </w:tr>
      <w:tr w:rsidR="009123AC" w:rsidRPr="00F0379B" w14:paraId="305EC2BD" w14:textId="77777777" w:rsidTr="00CA749B">
        <w:trPr>
          <w:trHeight w:val="20"/>
        </w:trPr>
        <w:tc>
          <w:tcPr>
            <w:tcW w:w="0" w:type="auto"/>
            <w:vAlign w:val="center"/>
          </w:tcPr>
          <w:p w14:paraId="30ACA2BE"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Tolerancia para la pesca deportiva/de recreo (si procede)</w:t>
            </w:r>
          </w:p>
        </w:tc>
        <w:tc>
          <w:tcPr>
            <w:tcW w:w="2102" w:type="dxa"/>
            <w:noWrap/>
            <w:vAlign w:val="center"/>
          </w:tcPr>
          <w:p w14:paraId="69EC31E1" w14:textId="77777777" w:rsidR="009123AC" w:rsidRPr="00F0379B" w:rsidRDefault="009123AC" w:rsidP="009123AC">
            <w:pPr>
              <w:spacing w:after="0" w:line="276" w:lineRule="auto"/>
              <w:jc w:val="right"/>
              <w:rPr>
                <w:rFonts w:ascii="Cambria" w:eastAsia="Times New Roman" w:hAnsi="Cambria" w:cs="Calibri"/>
                <w:b/>
                <w:bCs/>
                <w:kern w:val="2"/>
                <w:sz w:val="18"/>
                <w:szCs w:val="18"/>
                <w:lang w:eastAsia="ja-JP"/>
                <w14:ligatures w14:val="standardContextual"/>
              </w:rPr>
            </w:pPr>
          </w:p>
        </w:tc>
        <w:tc>
          <w:tcPr>
            <w:tcW w:w="625" w:type="dxa"/>
          </w:tcPr>
          <w:p w14:paraId="2542834B"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tcPr>
          <w:p w14:paraId="03B3A612"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tcPr>
          <w:p w14:paraId="1DF6C181"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tcPr>
          <w:p w14:paraId="1E6A37D9"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tcPr>
          <w:p w14:paraId="6BED4C55"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571" w:type="dxa"/>
          </w:tcPr>
          <w:p w14:paraId="0996442E"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991" w:type="dxa"/>
          </w:tcPr>
          <w:p w14:paraId="64C25061"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tcPr>
          <w:p w14:paraId="0D9297DF"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tcPr>
          <w:p w14:paraId="4BD8F870"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tcPr>
          <w:p w14:paraId="5DBFC3E4"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tcPr>
          <w:p w14:paraId="20CAEE8D"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tcPr>
          <w:p w14:paraId="242E6034"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tcPr>
          <w:p w14:paraId="222D8196"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tcPr>
          <w:p w14:paraId="46D11109"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tcPr>
          <w:p w14:paraId="5D87734A" w14:textId="77777777" w:rsidR="009123AC" w:rsidRPr="00F0379B" w:rsidRDefault="009123AC" w:rsidP="009123AC">
            <w:pPr>
              <w:spacing w:after="0" w:line="276" w:lineRule="auto"/>
              <w:jc w:val="center"/>
              <w:rPr>
                <w:rFonts w:ascii="Cambria" w:eastAsia="Times New Roman" w:hAnsi="Cambria" w:cs="Calibri"/>
                <w:b/>
                <w:bCs/>
                <w:kern w:val="2"/>
                <w:sz w:val="18"/>
                <w:szCs w:val="18"/>
                <w:lang w:eastAsia="ja-JP"/>
                <w14:ligatures w14:val="standardContextual"/>
              </w:rPr>
            </w:pPr>
          </w:p>
        </w:tc>
      </w:tr>
      <w:tr w:rsidR="009123AC" w:rsidRPr="00F0379B" w14:paraId="457CDD96" w14:textId="77777777" w:rsidTr="00CA749B">
        <w:trPr>
          <w:trHeight w:val="20"/>
        </w:trPr>
        <w:tc>
          <w:tcPr>
            <w:tcW w:w="0" w:type="auto"/>
            <w:vAlign w:val="center"/>
          </w:tcPr>
          <w:p w14:paraId="3E6192DE"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 xml:space="preserve">Cuota disponible </w:t>
            </w:r>
          </w:p>
        </w:tc>
        <w:tc>
          <w:tcPr>
            <w:tcW w:w="2102" w:type="dxa"/>
            <w:noWrap/>
            <w:vAlign w:val="center"/>
          </w:tcPr>
          <w:p w14:paraId="404C300E" w14:textId="77777777" w:rsidR="009123AC" w:rsidRPr="00F0379B" w:rsidRDefault="009123AC" w:rsidP="009123AC">
            <w:pPr>
              <w:spacing w:after="0" w:line="276" w:lineRule="auto"/>
              <w:jc w:val="right"/>
              <w:rPr>
                <w:rFonts w:ascii="Cambria" w:eastAsia="Times New Roman" w:hAnsi="Cambria" w:cs="Calibri"/>
                <w:b/>
                <w:bCs/>
                <w:kern w:val="2"/>
                <w:sz w:val="18"/>
                <w:szCs w:val="18"/>
                <w:lang w:eastAsia="ja-JP"/>
                <w14:ligatures w14:val="standardContextual"/>
              </w:rPr>
            </w:pPr>
          </w:p>
        </w:tc>
        <w:tc>
          <w:tcPr>
            <w:tcW w:w="625" w:type="dxa"/>
          </w:tcPr>
          <w:p w14:paraId="45DC6805"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tcPr>
          <w:p w14:paraId="338F66FA"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tcPr>
          <w:p w14:paraId="1F6E5286"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tcPr>
          <w:p w14:paraId="6660A004"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tcPr>
          <w:p w14:paraId="23E7A248"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571" w:type="dxa"/>
          </w:tcPr>
          <w:p w14:paraId="08495C0E"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991" w:type="dxa"/>
          </w:tcPr>
          <w:p w14:paraId="015D4BE6"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000000" w:fill="D9D9D9"/>
            <w:vAlign w:val="center"/>
          </w:tcPr>
          <w:p w14:paraId="73355C9E"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tcPr>
          <w:p w14:paraId="612EFDBA"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tcPr>
          <w:p w14:paraId="62C8B657"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vAlign w:val="center"/>
          </w:tcPr>
          <w:p w14:paraId="4908056A"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tcPr>
          <w:p w14:paraId="53C49D3B"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tcPr>
          <w:p w14:paraId="38D0C596"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noWrap/>
            <w:vAlign w:val="center"/>
          </w:tcPr>
          <w:p w14:paraId="3C38ED93" w14:textId="77777777" w:rsidR="009123AC" w:rsidRPr="00F0379B" w:rsidRDefault="009123AC" w:rsidP="009123AC">
            <w:pPr>
              <w:spacing w:after="0" w:line="276" w:lineRule="auto"/>
              <w:rPr>
                <w:rFonts w:ascii="Cambria" w:eastAsia="Times New Roman" w:hAnsi="Cambria" w:cs="Calibri"/>
                <w:b/>
                <w:bCs/>
                <w:kern w:val="2"/>
                <w:sz w:val="18"/>
                <w:szCs w:val="18"/>
                <w:lang w:eastAsia="ja-JP"/>
                <w14:ligatures w14:val="standardContextual"/>
              </w:rPr>
            </w:pPr>
          </w:p>
        </w:tc>
        <w:tc>
          <w:tcPr>
            <w:tcW w:w="0" w:type="auto"/>
          </w:tcPr>
          <w:p w14:paraId="6EFEF153" w14:textId="77777777" w:rsidR="009123AC" w:rsidRPr="00F0379B" w:rsidRDefault="009123AC" w:rsidP="009123AC">
            <w:pPr>
              <w:spacing w:after="0" w:line="276" w:lineRule="auto"/>
              <w:jc w:val="center"/>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bCs/>
                <w:sz w:val="18"/>
                <w:szCs w:val="24"/>
                <w:lang w:eastAsia="fr-FR" w:bidi="fr-FR"/>
              </w:rPr>
              <w:t>0</w:t>
            </w:r>
          </w:p>
        </w:tc>
      </w:tr>
      <w:tr w:rsidR="009123AC" w:rsidRPr="00F0379B" w14:paraId="01DA6F9F" w14:textId="77777777" w:rsidTr="00CA749B">
        <w:trPr>
          <w:trHeight w:val="20"/>
        </w:trPr>
        <w:tc>
          <w:tcPr>
            <w:tcW w:w="0" w:type="auto"/>
            <w:shd w:val="clear" w:color="auto" w:fill="D9D9D9"/>
            <w:noWrap/>
            <w:vAlign w:val="center"/>
            <w:hideMark/>
          </w:tcPr>
          <w:p w14:paraId="624D94A3" w14:textId="77777777" w:rsidR="009123AC" w:rsidRPr="00F0379B" w:rsidRDefault="009123AC" w:rsidP="009123AC">
            <w:pPr>
              <w:spacing w:after="0" w:line="276" w:lineRule="auto"/>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sz w:val="18"/>
                <w:szCs w:val="24"/>
                <w:lang w:eastAsia="fr-FR" w:bidi="fr-FR"/>
              </w:rPr>
              <w:t>Exceso de capacidad/</w:t>
            </w:r>
            <w:proofErr w:type="spellStart"/>
            <w:r w:rsidRPr="00F0379B">
              <w:rPr>
                <w:rFonts w:ascii="Cambria" w:eastAsia="MS Gothic" w:hAnsi="Cambria" w:cs="Times New Roman"/>
                <w:b/>
                <w:sz w:val="18"/>
                <w:szCs w:val="24"/>
                <w:lang w:eastAsia="fr-FR" w:bidi="fr-FR"/>
              </w:rPr>
              <w:t>subcapacidad</w:t>
            </w:r>
            <w:proofErr w:type="spellEnd"/>
            <w:r w:rsidRPr="00F0379B">
              <w:rPr>
                <w:rFonts w:ascii="Cambria" w:eastAsia="MS Gothic" w:hAnsi="Cambria" w:cs="Times New Roman"/>
                <w:b/>
                <w:sz w:val="18"/>
                <w:szCs w:val="24"/>
                <w:lang w:eastAsia="fr-FR" w:bidi="fr-FR"/>
              </w:rPr>
              <w:t xml:space="preserve"> </w:t>
            </w:r>
          </w:p>
        </w:tc>
        <w:tc>
          <w:tcPr>
            <w:tcW w:w="2102" w:type="dxa"/>
            <w:shd w:val="clear" w:color="auto" w:fill="D9D9D9"/>
            <w:noWrap/>
            <w:vAlign w:val="center"/>
            <w:hideMark/>
          </w:tcPr>
          <w:p w14:paraId="554C268D" w14:textId="77777777" w:rsidR="009123AC" w:rsidRPr="00F0379B" w:rsidRDefault="009123AC" w:rsidP="009123AC">
            <w:pPr>
              <w:spacing w:after="0" w:line="276" w:lineRule="auto"/>
              <w:jc w:val="right"/>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625" w:type="dxa"/>
            <w:shd w:val="clear" w:color="auto" w:fill="D9D9D9"/>
          </w:tcPr>
          <w:p w14:paraId="656FDA4B"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shd w:val="clear" w:color="auto" w:fill="D9D9D9"/>
            <w:noWrap/>
            <w:vAlign w:val="center"/>
            <w:hideMark/>
          </w:tcPr>
          <w:p w14:paraId="0F165EBE"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vAlign w:val="center"/>
            <w:hideMark/>
          </w:tcPr>
          <w:p w14:paraId="683D5D49"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vAlign w:val="center"/>
            <w:hideMark/>
          </w:tcPr>
          <w:p w14:paraId="1530B78D"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vAlign w:val="center"/>
            <w:hideMark/>
          </w:tcPr>
          <w:p w14:paraId="08FE63A2"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571" w:type="dxa"/>
            <w:shd w:val="clear" w:color="auto" w:fill="D9D9D9"/>
          </w:tcPr>
          <w:p w14:paraId="2240F54D"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991" w:type="dxa"/>
            <w:shd w:val="clear" w:color="auto" w:fill="D9D9D9"/>
          </w:tcPr>
          <w:p w14:paraId="310F4E56" w14:textId="77777777" w:rsidR="009123AC" w:rsidRPr="00F0379B" w:rsidRDefault="009123AC" w:rsidP="009123AC">
            <w:pPr>
              <w:spacing w:after="0" w:line="276" w:lineRule="auto"/>
              <w:jc w:val="center"/>
              <w:rPr>
                <w:rFonts w:ascii="Cambria" w:eastAsia="Times New Roman" w:hAnsi="Cambria" w:cs="Calibri"/>
                <w:kern w:val="2"/>
                <w:sz w:val="18"/>
                <w:szCs w:val="18"/>
                <w:lang w:eastAsia="ja-JP"/>
                <w14:ligatures w14:val="standardContextual"/>
              </w:rPr>
            </w:pPr>
          </w:p>
        </w:tc>
        <w:tc>
          <w:tcPr>
            <w:tcW w:w="0" w:type="auto"/>
            <w:shd w:val="clear" w:color="auto" w:fill="D9D9D9"/>
            <w:vAlign w:val="center"/>
            <w:hideMark/>
          </w:tcPr>
          <w:p w14:paraId="333CF809"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tcPr>
          <w:p w14:paraId="45042CFD" w14:textId="77777777" w:rsidR="009123AC" w:rsidRPr="00F0379B" w:rsidRDefault="009123AC" w:rsidP="009123AC">
            <w:pPr>
              <w:spacing w:after="0" w:line="276" w:lineRule="auto"/>
              <w:rPr>
                <w:rFonts w:ascii="Cambria" w:eastAsia="Times New Roman" w:hAnsi="Cambria" w:cs="Calibri"/>
                <w:kern w:val="2"/>
                <w:sz w:val="18"/>
                <w:szCs w:val="18"/>
                <w:lang w:eastAsia="ja-JP"/>
                <w14:ligatures w14:val="standardContextual"/>
              </w:rPr>
            </w:pPr>
          </w:p>
        </w:tc>
        <w:tc>
          <w:tcPr>
            <w:tcW w:w="0" w:type="auto"/>
            <w:shd w:val="clear" w:color="auto" w:fill="D9D9D9"/>
            <w:vAlign w:val="center"/>
            <w:hideMark/>
          </w:tcPr>
          <w:p w14:paraId="4C3EB6D5"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vAlign w:val="center"/>
            <w:hideMark/>
          </w:tcPr>
          <w:p w14:paraId="1CF8E9D0"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vAlign w:val="center"/>
            <w:hideMark/>
          </w:tcPr>
          <w:p w14:paraId="142EA1A3"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vAlign w:val="center"/>
            <w:hideMark/>
          </w:tcPr>
          <w:p w14:paraId="5BFBB238"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vAlign w:val="center"/>
            <w:hideMark/>
          </w:tcPr>
          <w:p w14:paraId="61F0FD89" w14:textId="77777777" w:rsidR="009123AC" w:rsidRPr="00F0379B" w:rsidRDefault="009123AC" w:rsidP="009123AC">
            <w:pPr>
              <w:spacing w:after="0" w:line="276" w:lineRule="auto"/>
              <w:rPr>
                <w:rFonts w:ascii="Cambria" w:eastAsia="Times New Roman" w:hAnsi="Cambria" w:cs="Calibri"/>
                <w:kern w:val="2"/>
                <w:sz w:val="18"/>
                <w:szCs w:val="18"/>
                <w:lang w:eastAsia="fr-FR" w:bidi="fr-FR"/>
                <w14:ligatures w14:val="standardContextual"/>
              </w:rPr>
            </w:pPr>
            <w:r w:rsidRPr="00F0379B">
              <w:rPr>
                <w:rFonts w:ascii="Cambria" w:eastAsia="MS Gothic" w:hAnsi="Cambria" w:cs="Times New Roman"/>
                <w:sz w:val="18"/>
                <w:szCs w:val="24"/>
                <w:lang w:eastAsia="fr-FR" w:bidi="fr-FR"/>
              </w:rPr>
              <w:t> </w:t>
            </w:r>
          </w:p>
        </w:tc>
        <w:tc>
          <w:tcPr>
            <w:tcW w:w="0" w:type="auto"/>
            <w:shd w:val="clear" w:color="auto" w:fill="D9D9D9"/>
          </w:tcPr>
          <w:p w14:paraId="753B5FE3" w14:textId="77777777" w:rsidR="009123AC" w:rsidRPr="00F0379B" w:rsidRDefault="009123AC" w:rsidP="009123AC">
            <w:pPr>
              <w:spacing w:after="0" w:line="276" w:lineRule="auto"/>
              <w:jc w:val="center"/>
              <w:rPr>
                <w:rFonts w:ascii="Cambria" w:eastAsia="Times New Roman" w:hAnsi="Cambria" w:cs="Calibri"/>
                <w:b/>
                <w:bCs/>
                <w:kern w:val="2"/>
                <w:sz w:val="18"/>
                <w:szCs w:val="18"/>
                <w:lang w:eastAsia="fr-FR" w:bidi="fr-FR"/>
                <w14:ligatures w14:val="standardContextual"/>
              </w:rPr>
            </w:pPr>
            <w:r w:rsidRPr="00F0379B">
              <w:rPr>
                <w:rFonts w:ascii="Cambria" w:eastAsia="MS Gothic" w:hAnsi="Cambria" w:cs="Times New Roman"/>
                <w:b/>
                <w:bCs/>
                <w:sz w:val="18"/>
                <w:szCs w:val="24"/>
                <w:lang w:eastAsia="fr-FR" w:bidi="fr-FR"/>
              </w:rPr>
              <w:t>0</w:t>
            </w:r>
          </w:p>
        </w:tc>
      </w:tr>
    </w:tbl>
    <w:p w14:paraId="33F8C675"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sectPr w:rsidR="009123AC" w:rsidRPr="00F0379B" w:rsidSect="009123AC">
          <w:footnotePr>
            <w:numFmt w:val="chicago"/>
          </w:footnotePr>
          <w:pgSz w:w="16838" w:h="11906" w:orient="landscape" w:code="9"/>
          <w:pgMar w:top="1418" w:right="1418" w:bottom="1418" w:left="1418" w:header="851" w:footer="1134" w:gutter="0"/>
          <w:cols w:space="425"/>
          <w:docGrid w:linePitch="360"/>
        </w:sectPr>
      </w:pPr>
    </w:p>
    <w:p w14:paraId="69E249F9" w14:textId="6B729207" w:rsidR="009123AC" w:rsidRPr="00F0379B" w:rsidRDefault="009123AC" w:rsidP="009123AC">
      <w:pPr>
        <w:widowControl w:val="0"/>
        <w:spacing w:after="0" w:line="240" w:lineRule="auto"/>
        <w:jc w:val="both"/>
        <w:rPr>
          <w:rFonts w:ascii="Cambria" w:eastAsia="MS Gothic" w:hAnsi="Cambria" w:cs="Times New Roman"/>
          <w:b/>
          <w:bCs/>
          <w:sz w:val="20"/>
          <w:szCs w:val="20"/>
          <w:lang w:eastAsia="fr-FR" w:bidi="fr-FR"/>
        </w:rPr>
      </w:pPr>
      <w:r w:rsidRPr="00F0379B">
        <w:rPr>
          <w:rFonts w:ascii="Cambria" w:eastAsia="MS Gothic" w:hAnsi="Cambria" w:cs="Times New Roman"/>
          <w:b/>
          <w:sz w:val="20"/>
          <w:szCs w:val="24"/>
          <w:lang w:eastAsia="fr-FR" w:bidi="fr-FR"/>
        </w:rPr>
        <w:t>Siria</w:t>
      </w:r>
    </w:p>
    <w:p w14:paraId="293CD3A3"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1D8FE990"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Año del plan de pesca: 2026</w:t>
      </w:r>
    </w:p>
    <w:p w14:paraId="34FFE885"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5887FA6D" w14:textId="77777777" w:rsidR="009123AC" w:rsidRPr="00F0379B" w:rsidRDefault="009123AC" w:rsidP="009123AC">
      <w:pPr>
        <w:widowControl w:val="0"/>
        <w:tabs>
          <w:tab w:val="left" w:pos="426"/>
        </w:tabs>
        <w:spacing w:after="0" w:line="240" w:lineRule="auto"/>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 xml:space="preserve">1. </w:t>
      </w:r>
      <w:r w:rsidRPr="00F0379B">
        <w:rPr>
          <w:rFonts w:ascii="Cambria" w:eastAsia="MS Gothic" w:hAnsi="Cambria" w:cs="Times New Roman"/>
          <w:b/>
          <w:sz w:val="20"/>
          <w:szCs w:val="24"/>
          <w:lang w:eastAsia="fr-FR" w:bidi="fr-FR"/>
        </w:rPr>
        <w:tab/>
        <w:t xml:space="preserve">Detalles del plan anual de pesca para los buques de captura y las almadrabas </w:t>
      </w:r>
    </w:p>
    <w:p w14:paraId="739F05B4"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36AACFFD" w14:textId="77777777" w:rsidR="009123AC" w:rsidRPr="00F0379B" w:rsidRDefault="009123AC" w:rsidP="009123AC">
      <w:pPr>
        <w:widowControl w:val="0"/>
        <w:spacing w:after="0" w:line="240" w:lineRule="auto"/>
        <w:jc w:val="both"/>
        <w:rPr>
          <w:rFonts w:ascii="Cambria" w:eastAsia="MS Gothic" w:hAnsi="Cambria" w:cs="Times New Roman"/>
          <w:b/>
          <w:bCs/>
          <w:i/>
          <w:iCs/>
          <w:sz w:val="20"/>
          <w:szCs w:val="20"/>
          <w:lang w:eastAsia="fr-FR" w:bidi="fr-FR"/>
        </w:rPr>
      </w:pPr>
      <w:r w:rsidRPr="00F0379B">
        <w:rPr>
          <w:rFonts w:ascii="Cambria" w:eastAsia="MS Gothic" w:hAnsi="Cambria" w:cs="Times New Roman"/>
          <w:b/>
          <w:i/>
          <w:sz w:val="20"/>
          <w:szCs w:val="24"/>
          <w:lang w:eastAsia="fr-FR" w:bidi="fr-FR"/>
        </w:rPr>
        <w:t>1 a) Presentación (párr. 12)</w:t>
      </w:r>
    </w:p>
    <w:p w14:paraId="51F9F1A7"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7CB87E36"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iCs/>
          <w:sz w:val="20"/>
          <w:szCs w:val="24"/>
          <w:lang w:eastAsia="fr-FR" w:bidi="fr-FR"/>
        </w:rPr>
        <w:t>La República Árabe de Siria presenta aquí sus planes de pesca, inspección y ordenación de la capacidad para el atún rojo del Mediterráneo.</w:t>
      </w:r>
    </w:p>
    <w:p w14:paraId="4CCEE90F"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38CFBFA3"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iCs/>
          <w:sz w:val="20"/>
          <w:szCs w:val="24"/>
          <w:lang w:eastAsia="fr-FR" w:bidi="fr-FR"/>
        </w:rPr>
        <w:t xml:space="preserve">De conformidad con la </w:t>
      </w:r>
      <w:hyperlink r:id="rId209" w:history="1">
        <w:r w:rsidRPr="00F0379B">
          <w:rPr>
            <w:rFonts w:ascii="Cambria" w:eastAsia="MS Gothic" w:hAnsi="Cambria" w:cs="Times New Roman"/>
            <w:iCs/>
            <w:color w:val="0563C1"/>
            <w:sz w:val="20"/>
            <w:szCs w:val="24"/>
            <w:lang w:eastAsia="fr-FR" w:bidi="fr-FR"/>
          </w:rPr>
          <w:t>Rec. 25-04</w:t>
        </w:r>
      </w:hyperlink>
      <w:r w:rsidRPr="00F0379B">
        <w:rPr>
          <w:rFonts w:ascii="Cambria" w:eastAsia="MS Gothic" w:hAnsi="Cambria" w:cs="Times New Roman"/>
          <w:iCs/>
          <w:sz w:val="20"/>
          <w:szCs w:val="24"/>
          <w:lang w:eastAsia="fr-FR" w:bidi="fr-FR"/>
        </w:rPr>
        <w:t xml:space="preserve"> que enmienda la </w:t>
      </w:r>
      <w:hyperlink r:id="rId210" w:history="1">
        <w:r w:rsidRPr="00F0379B">
          <w:rPr>
            <w:rFonts w:ascii="Cambria" w:eastAsia="MS Gothic" w:hAnsi="Cambria" w:cs="Times New Roman"/>
            <w:iCs/>
            <w:color w:val="0563C1"/>
            <w:sz w:val="20"/>
            <w:szCs w:val="24"/>
            <w:lang w:eastAsia="fr-FR" w:bidi="fr-FR"/>
          </w:rPr>
          <w:t>Rec. 22-08</w:t>
        </w:r>
      </w:hyperlink>
      <w:r w:rsidRPr="00F0379B">
        <w:rPr>
          <w:rFonts w:ascii="Cambria" w:eastAsia="MS Gothic" w:hAnsi="Cambria" w:cs="Times New Roman"/>
          <w:iCs/>
          <w:sz w:val="20"/>
          <w:szCs w:val="24"/>
          <w:lang w:eastAsia="fr-FR" w:bidi="fr-FR"/>
        </w:rPr>
        <w:t xml:space="preserve"> sobre el establecimiento de un plan de ordenación plurianual para el atún rojo en el Atlántico este y el Mediterráneo, la cuota nacional de Siria para 2026 se fija en 238 t de atún rojo del Atlántico este y el Mediterráneo.</w:t>
      </w:r>
    </w:p>
    <w:p w14:paraId="14F7AC3B"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7C970901"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iCs/>
          <w:sz w:val="20"/>
          <w:szCs w:val="24"/>
          <w:lang w:eastAsia="fr-FR" w:bidi="fr-FR"/>
        </w:rPr>
        <w:t>La cuota de Siria para la pesca de atún rojo se asigna exclusivamente a los buques cerqueros. Solo los buques cerqueros debidamente autorizados en virtud de la legislación nacional podrán pescar en el marco de la cuota siria de atún rojo. A dichos buques se les expedirán autorizaciones de pesca de atún rojo, y la lista de buques autorizados se transmitirá a la Secretaría de ICCAT al menos 15 días antes del inicio de las operaciones de pesca. Cada cerquero recibirá una cuota individual.</w:t>
      </w:r>
    </w:p>
    <w:p w14:paraId="494166B2"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p>
    <w:p w14:paraId="6D0D93E7"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La pesca dirigida al atún rojo se llevará a cabo únicamente con cerqueros. No se autoriza el uso de barcos de cebo vivo, palangreros, barcos de pesca con liña de mano ni almadrabas para la captura de atún rojo en el marco del registro de la flota siria. No se expiden autorizaciones para estas categorías de artes de pesca para la pesca de atún rojo. Actualmente, ningún buque pesquero costero está autorizado a pescar atún rojo. Sin embargo, Siria sigue evaluando la posible futura participación de las pesquerías costeras de pequeña escala de conformidad con las medidas de conservación de ICCAT.</w:t>
      </w:r>
    </w:p>
    <w:p w14:paraId="3CEFEB92"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5B2D142F"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La captura fortuita de atún rojo no superará el 20 % total de capturas a bordo en peso al final de cada marea. El cálculo en número de ejemplares se aplicará únicamente a los túnidos y a las especies afines gestionados por ICCAT. La reserva de capturas fortuitas se establece en 1,0 t. Todo el atún rojo muerto, ya sea retenido o descartado, se deducirá de la cuota nacional y se comunicará a ICCAT.</w:t>
      </w:r>
    </w:p>
    <w:p w14:paraId="6B6C283D"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2F508BD8" w14:textId="77777777" w:rsidR="009123AC" w:rsidRPr="00F0379B" w:rsidRDefault="009123AC" w:rsidP="009123AC">
      <w:pPr>
        <w:widowControl w:val="0"/>
        <w:spacing w:after="0" w:line="240" w:lineRule="auto"/>
        <w:jc w:val="both"/>
        <w:rPr>
          <w:rFonts w:ascii="Cambria" w:eastAsia="MS Gothic" w:hAnsi="Cambria" w:cs="Times New Roman"/>
          <w:b/>
          <w:bCs/>
          <w:i/>
          <w:iCs/>
          <w:sz w:val="20"/>
          <w:szCs w:val="20"/>
          <w:lang w:eastAsia="fr-FR" w:bidi="fr-FR"/>
        </w:rPr>
      </w:pPr>
      <w:r w:rsidRPr="00F0379B">
        <w:rPr>
          <w:rFonts w:ascii="Cambria" w:eastAsia="MS Gothic" w:hAnsi="Cambria" w:cs="Times New Roman"/>
          <w:b/>
          <w:i/>
          <w:sz w:val="20"/>
          <w:szCs w:val="24"/>
          <w:lang w:eastAsia="fr-FR" w:bidi="fr-FR"/>
        </w:rPr>
        <w:t>1 b) Traspaso (párr. 6)</w:t>
      </w:r>
    </w:p>
    <w:p w14:paraId="4011B5A9"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0272E638"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r w:rsidRPr="00F0379B">
        <w:rPr>
          <w:rFonts w:ascii="Cambria" w:eastAsia="MS Gothic" w:hAnsi="Cambria" w:cs="Times New Roman"/>
          <w:sz w:val="20"/>
          <w:szCs w:val="24"/>
          <w:lang w:eastAsia="fr-FR" w:bidi="fr-FR"/>
        </w:rPr>
        <w:t>No se solicita ningún traspaso de 2025.</w:t>
      </w:r>
    </w:p>
    <w:p w14:paraId="0CF6B34F"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6F49A3AF" w14:textId="77777777" w:rsidR="009123AC" w:rsidRPr="00F0379B" w:rsidRDefault="009123AC" w:rsidP="009123AC">
      <w:pPr>
        <w:widowControl w:val="0"/>
        <w:spacing w:after="0" w:line="240" w:lineRule="auto"/>
        <w:jc w:val="both"/>
        <w:rPr>
          <w:rFonts w:ascii="Cambria" w:eastAsia="MS Gothic" w:hAnsi="Cambria" w:cs="Times New Roman"/>
          <w:b/>
          <w:bCs/>
          <w:i/>
          <w:sz w:val="20"/>
          <w:szCs w:val="20"/>
          <w:lang w:eastAsia="fr-FR" w:bidi="fr-FR"/>
        </w:rPr>
      </w:pPr>
      <w:r w:rsidRPr="00F0379B">
        <w:rPr>
          <w:rFonts w:ascii="Cambria" w:eastAsia="MS Gothic" w:hAnsi="Cambria" w:cs="Times New Roman"/>
          <w:b/>
          <w:i/>
          <w:sz w:val="20"/>
          <w:szCs w:val="24"/>
          <w:lang w:eastAsia="fr-FR" w:bidi="fr-FR"/>
        </w:rPr>
        <w:t>1 c) Destino de la captura</w:t>
      </w:r>
    </w:p>
    <w:p w14:paraId="77195411"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p>
    <w:p w14:paraId="21BB09A3"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r w:rsidRPr="00F0379B">
        <w:rPr>
          <w:rFonts w:ascii="Cambria" w:eastAsia="MS Gothic" w:hAnsi="Cambria" w:cs="Times New Roman"/>
          <w:sz w:val="20"/>
          <w:szCs w:val="24"/>
          <w:lang w:eastAsia="fr-FR" w:bidi="fr-FR"/>
        </w:rPr>
        <w:t>El destino designado para las capturas será (100 %) desembarcado, ya que las instalaciones de cría aún no están operativas en Siria.</w:t>
      </w:r>
    </w:p>
    <w:p w14:paraId="1F6D76A0"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456CABBF" w14:textId="77777777" w:rsidR="009123AC" w:rsidRPr="00F0379B" w:rsidRDefault="009123AC" w:rsidP="009123AC">
      <w:pPr>
        <w:widowControl w:val="0"/>
        <w:spacing w:after="0" w:line="240" w:lineRule="auto"/>
        <w:jc w:val="both"/>
        <w:rPr>
          <w:rFonts w:ascii="Cambria" w:eastAsia="MS Gothic" w:hAnsi="Cambria" w:cs="Times New Roman"/>
          <w:b/>
          <w:bCs/>
          <w:i/>
          <w:iCs/>
          <w:sz w:val="20"/>
          <w:szCs w:val="20"/>
          <w:lang w:eastAsia="fr-FR" w:bidi="fr-FR"/>
        </w:rPr>
      </w:pPr>
      <w:r w:rsidRPr="00F0379B">
        <w:rPr>
          <w:rFonts w:ascii="Cambria" w:eastAsia="MS Gothic" w:hAnsi="Cambria" w:cs="Times New Roman"/>
          <w:b/>
          <w:bCs/>
          <w:i/>
          <w:iCs/>
          <w:sz w:val="20"/>
          <w:szCs w:val="24"/>
          <w:lang w:eastAsia="fr-FR" w:bidi="fr-FR"/>
        </w:rPr>
        <w:t xml:space="preserve">1 d) </w:t>
      </w:r>
    </w:p>
    <w:p w14:paraId="75058D22"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tbl>
      <w:tblPr>
        <w:tblStyle w:val="TableGrid"/>
        <w:tblpPr w:leftFromText="180" w:rightFromText="180" w:vertAnchor="text" w:tblpY="1"/>
        <w:tblOverlap w:val="never"/>
        <w:tblW w:w="0" w:type="auto"/>
        <w:tblLook w:val="04A0" w:firstRow="1" w:lastRow="0" w:firstColumn="1" w:lastColumn="0" w:noHBand="0" w:noVBand="1"/>
      </w:tblPr>
      <w:tblGrid>
        <w:gridCol w:w="453"/>
        <w:gridCol w:w="2593"/>
        <w:gridCol w:w="3069"/>
        <w:gridCol w:w="2160"/>
        <w:gridCol w:w="785"/>
      </w:tblGrid>
      <w:tr w:rsidR="009123AC" w:rsidRPr="00F0379B" w14:paraId="46BCF4BA" w14:textId="77777777" w:rsidTr="00CA749B">
        <w:trPr>
          <w:tblHeader/>
        </w:trPr>
        <w:tc>
          <w:tcPr>
            <w:tcW w:w="453" w:type="dxa"/>
          </w:tcPr>
          <w:p w14:paraId="71044DE1"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593" w:type="dxa"/>
            <w:vAlign w:val="center"/>
          </w:tcPr>
          <w:p w14:paraId="4D2CACBE"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 xml:space="preserve">Requisito ICCAT </w:t>
            </w:r>
          </w:p>
          <w:p w14:paraId="45EBE68A"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 xml:space="preserve">(según </w:t>
            </w:r>
            <w:hyperlink r:id="rId211" w:history="1">
              <w:r w:rsidRPr="00F0379B">
                <w:rPr>
                  <w:rFonts w:ascii="Cambria" w:eastAsiaTheme="minorEastAsia" w:hAnsi="Cambria"/>
                  <w:i/>
                  <w:color w:val="0563C1"/>
                  <w:kern w:val="2"/>
                  <w:sz w:val="20"/>
                  <w:lang w:eastAsia="ja-JP"/>
                  <w14:ligatures w14:val="standardContextual"/>
                </w:rPr>
                <w:t>Rec. 25-04</w:t>
              </w:r>
            </w:hyperlink>
            <w:r w:rsidRPr="00F0379B">
              <w:rPr>
                <w:rFonts w:ascii="Cambria" w:eastAsiaTheme="minorEastAsia" w:hAnsi="Cambria"/>
                <w:i/>
                <w:kern w:val="2"/>
                <w:sz w:val="20"/>
                <w:lang w:eastAsia="ja-JP"/>
                <w14:ligatures w14:val="standardContextual"/>
              </w:rPr>
              <w:t>)</w:t>
            </w:r>
          </w:p>
        </w:tc>
        <w:tc>
          <w:tcPr>
            <w:tcW w:w="3069" w:type="dxa"/>
            <w:vAlign w:val="center"/>
          </w:tcPr>
          <w:p w14:paraId="05F81D18"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Explicación de las acciones emprendidas por la CPC con fines de implementación</w:t>
            </w:r>
          </w:p>
        </w:tc>
        <w:tc>
          <w:tcPr>
            <w:tcW w:w="2160" w:type="dxa"/>
            <w:vAlign w:val="center"/>
          </w:tcPr>
          <w:p w14:paraId="1A80D6D8"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Leyes o reglamentos internos pertinentes (si procede)</w:t>
            </w:r>
          </w:p>
        </w:tc>
        <w:tc>
          <w:tcPr>
            <w:tcW w:w="785" w:type="dxa"/>
            <w:vAlign w:val="center"/>
          </w:tcPr>
          <w:p w14:paraId="5BBEEDFD"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Nota</w:t>
            </w:r>
          </w:p>
        </w:tc>
      </w:tr>
      <w:tr w:rsidR="009123AC" w:rsidRPr="00F0379B" w14:paraId="37F2D87B" w14:textId="77777777" w:rsidTr="00CA749B">
        <w:tc>
          <w:tcPr>
            <w:tcW w:w="453" w:type="dxa"/>
          </w:tcPr>
          <w:p w14:paraId="5A055A09"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1</w:t>
            </w:r>
          </w:p>
        </w:tc>
        <w:tc>
          <w:tcPr>
            <w:tcW w:w="2593" w:type="dxa"/>
          </w:tcPr>
          <w:p w14:paraId="1A5BFCA3"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Consignación y comunicación de la captura </w:t>
            </w:r>
          </w:p>
          <w:p w14:paraId="55F7CC3C"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74-88)</w:t>
            </w:r>
          </w:p>
        </w:tc>
        <w:tc>
          <w:tcPr>
            <w:tcW w:w="3069" w:type="dxa"/>
          </w:tcPr>
          <w:p w14:paraId="1E62FD87"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El patrón del buque pesquero deberá llevar un cuaderno de pesca detallado y encuadernado de todas las actividades pesqueras, siguiendo las directrices de ICCAT. El operador pesquero está obligado a comunicar diariamente las capturas de atún rojo (BFT), incluidos los días sin capturas, utilizando métodos electrónicos u otros métodos de notificación. Siria proporcionará a ICCAT informes de capturas cada dos semanas, junto con la fecha en que se cierran las pesquerías. Todos los peces muertos, ya sean retenidos o descartados, se descontarán de la cuota.</w:t>
            </w:r>
          </w:p>
        </w:tc>
        <w:tc>
          <w:tcPr>
            <w:tcW w:w="2160" w:type="dxa"/>
          </w:tcPr>
          <w:p w14:paraId="56A4F4D1"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Términos y condiciones de la Comisión General de Pesca y Acuicultura para la pesca del atún rojo</w:t>
            </w:r>
          </w:p>
          <w:p w14:paraId="1150C86D"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(N.º 1827, fecha 19/3/2023)</w:t>
            </w:r>
          </w:p>
        </w:tc>
        <w:tc>
          <w:tcPr>
            <w:tcW w:w="785" w:type="dxa"/>
          </w:tcPr>
          <w:p w14:paraId="6325B08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559724AF" w14:textId="77777777" w:rsidTr="00CA749B">
        <w:tc>
          <w:tcPr>
            <w:tcW w:w="453" w:type="dxa"/>
          </w:tcPr>
          <w:p w14:paraId="7A67B68E"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2</w:t>
            </w:r>
          </w:p>
        </w:tc>
        <w:tc>
          <w:tcPr>
            <w:tcW w:w="2593" w:type="dxa"/>
          </w:tcPr>
          <w:p w14:paraId="77D3578C"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Temporadas de pesca abiertas </w:t>
            </w:r>
          </w:p>
          <w:p w14:paraId="01D2A0B5"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28-32)</w:t>
            </w:r>
          </w:p>
        </w:tc>
        <w:tc>
          <w:tcPr>
            <w:tcW w:w="3069" w:type="dxa"/>
          </w:tcPr>
          <w:p w14:paraId="086BE333"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De conformidad con el párrafo 28 de la Rec. 25-04, Siria solicita que la temporada de pesca para los cerqueros se extienda del 15 de mayo al 1 de julio de 2026.</w:t>
            </w:r>
          </w:p>
        </w:tc>
        <w:tc>
          <w:tcPr>
            <w:tcW w:w="2160" w:type="dxa"/>
          </w:tcPr>
          <w:p w14:paraId="2DF7CBC9"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actividades pesqueras se llevarán a cabo de conformidad con la normativa nacional siria en materia de pesca y los procedimientos de concesión de licencias establecidos por la Comisión General de Pesca y Acuicultura.</w:t>
            </w:r>
          </w:p>
        </w:tc>
        <w:tc>
          <w:tcPr>
            <w:tcW w:w="785" w:type="dxa"/>
          </w:tcPr>
          <w:p w14:paraId="1651A798"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55B45511" w14:textId="77777777" w:rsidTr="00CA749B">
        <w:tc>
          <w:tcPr>
            <w:tcW w:w="453" w:type="dxa"/>
          </w:tcPr>
          <w:p w14:paraId="22672115"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3</w:t>
            </w:r>
          </w:p>
        </w:tc>
        <w:tc>
          <w:tcPr>
            <w:tcW w:w="2593" w:type="dxa"/>
          </w:tcPr>
          <w:p w14:paraId="696CFA25"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Talla mínima</w:t>
            </w:r>
          </w:p>
          <w:p w14:paraId="14C53D47"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33-35)</w:t>
            </w:r>
          </w:p>
        </w:tc>
        <w:tc>
          <w:tcPr>
            <w:tcW w:w="3069" w:type="dxa"/>
          </w:tcPr>
          <w:p w14:paraId="6DCC8C7B"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Está prohibido capturar, conservar, desembarcar, transferir, vender o exponer para la venta cualquier atún rojo (BFT) que pese menos de 30 kg o cuya longitud a la horquilla sea inferior a 115 cm. Cualquier pez de talla inferior a la regulada que se descarte muerto se deducirá de la cuota de Siria.</w:t>
            </w:r>
          </w:p>
        </w:tc>
        <w:tc>
          <w:tcPr>
            <w:tcW w:w="2160" w:type="dxa"/>
          </w:tcPr>
          <w:p w14:paraId="5B3633A8"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Términos y condiciones de la Comisión General de Pesca y Acuicultura para la pesca del atún rojo</w:t>
            </w:r>
          </w:p>
          <w:p w14:paraId="4968A04D"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(N.º 1827, fecha 19/3/2023)</w:t>
            </w:r>
          </w:p>
        </w:tc>
        <w:tc>
          <w:tcPr>
            <w:tcW w:w="785" w:type="dxa"/>
          </w:tcPr>
          <w:p w14:paraId="4DDA95DE"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691B3FDA" w14:textId="77777777" w:rsidTr="00CA749B">
        <w:tc>
          <w:tcPr>
            <w:tcW w:w="453" w:type="dxa"/>
          </w:tcPr>
          <w:p w14:paraId="02304AD7"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4</w:t>
            </w:r>
          </w:p>
        </w:tc>
        <w:tc>
          <w:tcPr>
            <w:tcW w:w="2593" w:type="dxa"/>
          </w:tcPr>
          <w:p w14:paraId="11B3CF88"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Capturas fortuitas </w:t>
            </w:r>
          </w:p>
          <w:p w14:paraId="3A2D5B71"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(párr. 37) </w:t>
            </w:r>
          </w:p>
        </w:tc>
        <w:tc>
          <w:tcPr>
            <w:tcW w:w="3069" w:type="dxa"/>
          </w:tcPr>
          <w:p w14:paraId="7919D005"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Se reserva una cuota de 1 t para posibles capturas fortuitas. No se registraron capturas fortuitas de atún rojo anteriormente, ni siquiera en 2025. Sobre esta base, se reserva una asignación para capturas fortuitas de aproximadamente el 1 %. Las capturas fortuitas de la flota costera artesanal deberían calcularse anualmente. Las capturas fortuitas, incluidos los peces descartados, deben descontarse de la cuota. Cualquier captura fortuita debe comunicarse también a ICCAT.</w:t>
            </w:r>
          </w:p>
        </w:tc>
        <w:tc>
          <w:tcPr>
            <w:tcW w:w="2160" w:type="dxa"/>
          </w:tcPr>
          <w:p w14:paraId="6E4E451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Términos y condiciones de la Comisión General de Pesca y Acuicultura para la pesca del atún rojo</w:t>
            </w:r>
          </w:p>
          <w:p w14:paraId="4BBCF472"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(N.º 1827, fecha 19/3/2023)</w:t>
            </w:r>
          </w:p>
        </w:tc>
        <w:tc>
          <w:tcPr>
            <w:tcW w:w="785" w:type="dxa"/>
          </w:tcPr>
          <w:p w14:paraId="2AFA8DB6"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51E8B83C" w14:textId="77777777" w:rsidTr="00CA749B">
        <w:tc>
          <w:tcPr>
            <w:tcW w:w="453" w:type="dxa"/>
          </w:tcPr>
          <w:p w14:paraId="556D8C00"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5</w:t>
            </w:r>
          </w:p>
        </w:tc>
        <w:tc>
          <w:tcPr>
            <w:tcW w:w="2593" w:type="dxa"/>
          </w:tcPr>
          <w:p w14:paraId="66A0B4DD"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Pesquerías deportivas y de recreo </w:t>
            </w:r>
          </w:p>
          <w:p w14:paraId="3E476C75"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38-46)</w:t>
            </w:r>
          </w:p>
        </w:tc>
        <w:tc>
          <w:tcPr>
            <w:tcW w:w="3069" w:type="dxa"/>
          </w:tcPr>
          <w:p w14:paraId="5518AD1A" w14:textId="77777777" w:rsidR="009123AC" w:rsidRPr="00F0379B" w:rsidRDefault="009123AC" w:rsidP="009123AC">
            <w:pPr>
              <w:widowControl w:val="0"/>
              <w:spacing w:line="240" w:lineRule="auto"/>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En Siria no están autorizadas las actividades pesqueras de recreo ni deportivas dirigidas al atún rojo.</w:t>
            </w:r>
          </w:p>
          <w:p w14:paraId="2EB5AE2A"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160" w:type="dxa"/>
          </w:tcPr>
          <w:p w14:paraId="0AE7546F"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pesca de recreo y deportiva del atún rojo del Atlántico está prohibida por la normativa nacional siria en materia de pesca.</w:t>
            </w:r>
          </w:p>
        </w:tc>
        <w:tc>
          <w:tcPr>
            <w:tcW w:w="785" w:type="dxa"/>
          </w:tcPr>
          <w:p w14:paraId="679ECB43"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45FE718B" w14:textId="77777777" w:rsidTr="00CA749B">
        <w:tc>
          <w:tcPr>
            <w:tcW w:w="453" w:type="dxa"/>
          </w:tcPr>
          <w:p w14:paraId="67F0A90A"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6</w:t>
            </w:r>
          </w:p>
        </w:tc>
        <w:tc>
          <w:tcPr>
            <w:tcW w:w="2593" w:type="dxa"/>
          </w:tcPr>
          <w:p w14:paraId="1691DD45"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Transbordo</w:t>
            </w:r>
          </w:p>
          <w:p w14:paraId="74E26479"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(párrs. 89-94) </w:t>
            </w:r>
          </w:p>
        </w:tc>
        <w:tc>
          <w:tcPr>
            <w:tcW w:w="3069" w:type="dxa"/>
          </w:tcPr>
          <w:p w14:paraId="2C356FF1"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Los buques pesqueros solo pueden transbordar las capturas de atún rojo en los puertos designados por las CPC. Siria no ha informado de ninguna operación de transbordo.</w:t>
            </w:r>
          </w:p>
        </w:tc>
        <w:tc>
          <w:tcPr>
            <w:tcW w:w="2160" w:type="dxa"/>
          </w:tcPr>
          <w:p w14:paraId="19143F4E"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Términos y condiciones de la Comisión General de Pesca y Acuicultura para la pesca del atún rojo</w:t>
            </w:r>
          </w:p>
          <w:p w14:paraId="38CD432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(N.º 1827, fecha 19/3/2023)</w:t>
            </w:r>
          </w:p>
        </w:tc>
        <w:tc>
          <w:tcPr>
            <w:tcW w:w="785" w:type="dxa"/>
          </w:tcPr>
          <w:p w14:paraId="35959193"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2BFF26E4" w14:textId="77777777" w:rsidTr="00CA749B">
        <w:tc>
          <w:tcPr>
            <w:tcW w:w="453" w:type="dxa"/>
          </w:tcPr>
          <w:p w14:paraId="4D56C3BA"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7</w:t>
            </w:r>
          </w:p>
        </w:tc>
        <w:tc>
          <w:tcPr>
            <w:tcW w:w="2593" w:type="dxa"/>
          </w:tcPr>
          <w:p w14:paraId="149F956F"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VMS </w:t>
            </w:r>
          </w:p>
          <w:p w14:paraId="49347527"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222-228)</w:t>
            </w:r>
          </w:p>
        </w:tc>
        <w:tc>
          <w:tcPr>
            <w:tcW w:w="3069" w:type="dxa"/>
          </w:tcPr>
          <w:p w14:paraId="7C7F2AF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Todos los buques autorizados a pescar atún rojo están equipados con sistemas de seguimiento de buques (VMS) que transmiten datos de posición a la autoridad competente a intervalos regulares de conformidad con los requisitos de ICCAT.</w:t>
            </w:r>
          </w:p>
        </w:tc>
        <w:tc>
          <w:tcPr>
            <w:tcW w:w="2160" w:type="dxa"/>
          </w:tcPr>
          <w:p w14:paraId="35A1133D"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Términos y condiciones de la Comisión General de Pesca y Acuicultura para la pesca del atún rojo</w:t>
            </w:r>
          </w:p>
          <w:p w14:paraId="7F6BD137"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(N.º 1827, fecha 19/3/2023)</w:t>
            </w:r>
          </w:p>
        </w:tc>
        <w:tc>
          <w:tcPr>
            <w:tcW w:w="785" w:type="dxa"/>
          </w:tcPr>
          <w:p w14:paraId="664624D0"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2EDA7962" w14:textId="77777777" w:rsidTr="00CA749B">
        <w:tc>
          <w:tcPr>
            <w:tcW w:w="453" w:type="dxa"/>
          </w:tcPr>
          <w:p w14:paraId="7683BECF"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8</w:t>
            </w:r>
          </w:p>
        </w:tc>
        <w:tc>
          <w:tcPr>
            <w:tcW w:w="2593" w:type="dxa"/>
          </w:tcPr>
          <w:p w14:paraId="373BFE11"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Programa de observadores de las CPC </w:t>
            </w:r>
          </w:p>
          <w:p w14:paraId="138E9730"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95-100)</w:t>
            </w:r>
          </w:p>
        </w:tc>
        <w:tc>
          <w:tcPr>
            <w:tcW w:w="3069" w:type="dxa"/>
          </w:tcPr>
          <w:p w14:paraId="604ACB13"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No aplicable</w:t>
            </w:r>
          </w:p>
        </w:tc>
        <w:tc>
          <w:tcPr>
            <w:tcW w:w="2160" w:type="dxa"/>
          </w:tcPr>
          <w:p w14:paraId="305D9269"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785" w:type="dxa"/>
          </w:tcPr>
          <w:p w14:paraId="10C69F50"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0431E273" w14:textId="77777777" w:rsidTr="00CA749B">
        <w:tc>
          <w:tcPr>
            <w:tcW w:w="453" w:type="dxa"/>
          </w:tcPr>
          <w:p w14:paraId="0E6F7CB8"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9</w:t>
            </w:r>
          </w:p>
        </w:tc>
        <w:tc>
          <w:tcPr>
            <w:tcW w:w="2593" w:type="dxa"/>
          </w:tcPr>
          <w:p w14:paraId="661069B2" w14:textId="77777777" w:rsidR="009123AC" w:rsidRPr="00F0379B" w:rsidRDefault="009123AC" w:rsidP="009123AC">
            <w:pPr>
              <w:widowControl w:val="0"/>
              <w:spacing w:line="240" w:lineRule="auto"/>
              <w:rPr>
                <w:rFonts w:ascii="Cambria" w:eastAsiaTheme="minorEastAsia" w:hAnsi="Cambria"/>
                <w:b/>
                <w:kern w:val="2"/>
                <w:sz w:val="20"/>
                <w:szCs w:val="20"/>
                <w:lang w:val="pt-BR" w:eastAsia="ja-JP"/>
                <w14:ligatures w14:val="standardContextual"/>
              </w:rPr>
            </w:pPr>
            <w:r w:rsidRPr="00F0379B">
              <w:rPr>
                <w:rFonts w:ascii="Cambria" w:eastAsiaTheme="minorEastAsia" w:hAnsi="Cambria"/>
                <w:b/>
                <w:kern w:val="2"/>
                <w:sz w:val="20"/>
                <w:lang w:val="pt-BR" w:eastAsia="ja-JP"/>
                <w14:ligatures w14:val="standardContextual"/>
              </w:rPr>
              <w:t xml:space="preserve">Programa regional de observadores </w:t>
            </w:r>
          </w:p>
          <w:p w14:paraId="1EB3BD1D"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val="pt-BR" w:eastAsia="ja-JP"/>
                <w14:ligatures w14:val="standardContextual"/>
              </w:rPr>
              <w:t xml:space="preserve">(párrs. </w:t>
            </w:r>
            <w:r w:rsidRPr="00F0379B">
              <w:rPr>
                <w:rFonts w:ascii="Cambria" w:eastAsiaTheme="minorEastAsia" w:hAnsi="Cambria"/>
                <w:b/>
                <w:kern w:val="2"/>
                <w:sz w:val="20"/>
                <w:lang w:eastAsia="ja-JP"/>
                <w14:ligatures w14:val="standardContextual"/>
              </w:rPr>
              <w:t>101-107)</w:t>
            </w:r>
          </w:p>
        </w:tc>
        <w:tc>
          <w:tcPr>
            <w:tcW w:w="3069" w:type="dxa"/>
          </w:tcPr>
          <w:p w14:paraId="706AC72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Siria cumplirá con los requisitos del programa regional de observadores de ICCAT aplicable a los cerqueros.</w:t>
            </w:r>
          </w:p>
        </w:tc>
        <w:tc>
          <w:tcPr>
            <w:tcW w:w="2160" w:type="dxa"/>
          </w:tcPr>
          <w:p w14:paraId="4B66A677"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Términos y condiciones de la Comisión General de Pesca y Acuicultura para la pesca del atún rojo</w:t>
            </w:r>
          </w:p>
          <w:p w14:paraId="3C0CFCC5"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(N.º 1827, fecha 19/3/2023)</w:t>
            </w:r>
          </w:p>
        </w:tc>
        <w:tc>
          <w:tcPr>
            <w:tcW w:w="785" w:type="dxa"/>
          </w:tcPr>
          <w:p w14:paraId="5949EDBA"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6F8E657F" w14:textId="77777777" w:rsidTr="00CA749B">
        <w:tc>
          <w:tcPr>
            <w:tcW w:w="453" w:type="dxa"/>
          </w:tcPr>
          <w:p w14:paraId="08C8FC25" w14:textId="77777777" w:rsidR="009123AC" w:rsidRPr="00F0379B" w:rsidRDefault="009123AC" w:rsidP="009123AC">
            <w:pPr>
              <w:widowControl w:val="0"/>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10</w:t>
            </w:r>
          </w:p>
        </w:tc>
        <w:tc>
          <w:tcPr>
            <w:tcW w:w="2593" w:type="dxa"/>
          </w:tcPr>
          <w:p w14:paraId="217DCAEB" w14:textId="77777777" w:rsidR="009123AC" w:rsidRPr="00F0379B" w:rsidRDefault="009123AC" w:rsidP="009123AC">
            <w:pPr>
              <w:widowControl w:val="0"/>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Legislación nacional</w:t>
            </w:r>
          </w:p>
        </w:tc>
        <w:tc>
          <w:tcPr>
            <w:tcW w:w="3069" w:type="dxa"/>
          </w:tcPr>
          <w:p w14:paraId="71DE6B0A"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La legislación nacional de Siria sobre el atún rojo (BFT) se ajusta a las recomendaciones de ICCAT. Cada año, la legislación se actualiza para reflejar las últimas medidas de ICCAT. Abarca todos los aspectos de las actividades pesqueras del atún rojo, incluidas las temporadas de pesca, los requisitos de VMS, el registro y la notificación de capturas, las tallas mínimas, las capturas fortuitas y las disposiciones conexas.</w:t>
            </w:r>
          </w:p>
        </w:tc>
        <w:tc>
          <w:tcPr>
            <w:tcW w:w="2160" w:type="dxa"/>
          </w:tcPr>
          <w:p w14:paraId="7CBD5E62"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actividades pesqueras se llevarán a cabo de conformidad con la normativa nacional siria en materia de pesca y los procedimientos de concesión de licencias establecidos por la Comisión General de Pesca y Acuicultura.</w:t>
            </w:r>
          </w:p>
        </w:tc>
        <w:tc>
          <w:tcPr>
            <w:tcW w:w="785" w:type="dxa"/>
          </w:tcPr>
          <w:p w14:paraId="07DACA45"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6168EED8" w14:textId="77777777" w:rsidTr="00CA749B">
        <w:tc>
          <w:tcPr>
            <w:tcW w:w="453" w:type="dxa"/>
          </w:tcPr>
          <w:p w14:paraId="44D8AE53"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p>
        </w:tc>
        <w:tc>
          <w:tcPr>
            <w:tcW w:w="2593" w:type="dxa"/>
          </w:tcPr>
          <w:p w14:paraId="47A4834A"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Otros requisitos, como:</w:t>
            </w:r>
          </w:p>
          <w:p w14:paraId="0D4D7F42"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 xml:space="preserve">programa de marcado </w:t>
            </w:r>
          </w:p>
          <w:p w14:paraId="7117C47D"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(párr. 44), etc.</w:t>
            </w:r>
          </w:p>
        </w:tc>
        <w:tc>
          <w:tcPr>
            <w:tcW w:w="3069" w:type="dxa"/>
          </w:tcPr>
          <w:p w14:paraId="37D9F47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160" w:type="dxa"/>
          </w:tcPr>
          <w:p w14:paraId="3F85034D"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785" w:type="dxa"/>
          </w:tcPr>
          <w:p w14:paraId="6CDC7B09"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bl>
    <w:p w14:paraId="119FC7F0"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p w14:paraId="39C5F224" w14:textId="77777777" w:rsidR="009123AC" w:rsidRPr="00F0379B" w:rsidRDefault="009123AC" w:rsidP="009123AC">
      <w:pPr>
        <w:spacing w:line="259" w:lineRule="auto"/>
        <w:rPr>
          <w:rFonts w:ascii="Cambria" w:eastAsia="MS Gothic" w:hAnsi="Cambria" w:cs="Times New Roman"/>
          <w:sz w:val="20"/>
          <w:szCs w:val="20"/>
          <w:lang w:eastAsia="fr-FR" w:bidi="fr-FR"/>
        </w:rPr>
      </w:pPr>
      <w:r w:rsidRPr="00F0379B">
        <w:rPr>
          <w:rFonts w:ascii="Cambria" w:eastAsia="MS Gothic" w:hAnsi="Cambria" w:cs="Times New Roman"/>
          <w:sz w:val="20"/>
          <w:szCs w:val="20"/>
          <w:lang w:eastAsia="fr-FR" w:bidi="fr-FR"/>
        </w:rPr>
        <w:br w:type="page"/>
      </w:r>
    </w:p>
    <w:p w14:paraId="79E73281" w14:textId="77777777"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r w:rsidRPr="00F0379B">
        <w:rPr>
          <w:rFonts w:ascii="Cambria" w:eastAsia="MS Gothic" w:hAnsi="Cambria" w:cs="Times New Roman"/>
          <w:b/>
          <w:i/>
          <w:sz w:val="20"/>
          <w:szCs w:val="24"/>
          <w:lang w:eastAsia="fr-FR" w:bidi="fr-FR"/>
        </w:rPr>
        <w:t xml:space="preserve">1 e) Puertos designados (párr. 80) </w:t>
      </w:r>
    </w:p>
    <w:p w14:paraId="3589807D" w14:textId="77777777" w:rsidR="009123AC" w:rsidRPr="00F0379B" w:rsidRDefault="009123AC" w:rsidP="009123AC">
      <w:pPr>
        <w:widowControl w:val="0"/>
        <w:spacing w:after="0" w:line="240" w:lineRule="auto"/>
        <w:rPr>
          <w:rFonts w:ascii="Cambria" w:eastAsia="MS Gothic" w:hAnsi="Cambria" w:cs="Times New Roman"/>
          <w:bCs/>
          <w:sz w:val="20"/>
          <w:szCs w:val="20"/>
          <w:lang w:eastAsia="ja-JP" w:bidi="fr-FR"/>
        </w:rPr>
      </w:pPr>
    </w:p>
    <w:p w14:paraId="77131E8A"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r w:rsidRPr="00F0379B">
        <w:rPr>
          <w:rFonts w:ascii="Cambria" w:eastAsia="MS Gothic" w:hAnsi="Cambria" w:cs="Times New Roman"/>
          <w:sz w:val="20"/>
          <w:szCs w:val="24"/>
          <w:lang w:eastAsia="fr-FR" w:bidi="fr-FR"/>
        </w:rPr>
        <w:t>El puerto de Latakia es el puerto autorizado para cualquier desembarque o transbordo de atún rojo</w:t>
      </w:r>
    </w:p>
    <w:p w14:paraId="338779E3" w14:textId="77777777" w:rsidR="009123AC" w:rsidRPr="00F0379B" w:rsidRDefault="009123AC" w:rsidP="009123AC">
      <w:pPr>
        <w:widowControl w:val="0"/>
        <w:spacing w:after="0" w:line="240" w:lineRule="auto"/>
        <w:rPr>
          <w:rFonts w:ascii="Cambria" w:eastAsia="MS Gothic" w:hAnsi="Cambria" w:cs="Times New Roman"/>
          <w:b/>
          <w:sz w:val="20"/>
          <w:szCs w:val="20"/>
          <w:lang w:eastAsia="ja-JP" w:bidi="fr-FR"/>
        </w:rPr>
      </w:pPr>
    </w:p>
    <w:p w14:paraId="6F5BC6B7" w14:textId="77777777" w:rsidR="009123AC" w:rsidRPr="00F0379B" w:rsidRDefault="009123AC" w:rsidP="009123AC">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2.</w:t>
      </w:r>
      <w:r w:rsidRPr="00F0379B">
        <w:rPr>
          <w:rFonts w:ascii="Cambria" w:eastAsia="MS Gothic" w:hAnsi="Cambria" w:cs="Times New Roman"/>
          <w:b/>
          <w:sz w:val="20"/>
          <w:szCs w:val="24"/>
          <w:lang w:eastAsia="fr-FR" w:bidi="fr-FR"/>
        </w:rPr>
        <w:tab/>
        <w:t>Plan anual de ordenación de la capacidad pesquera (párrs. 14-21)</w:t>
      </w:r>
    </w:p>
    <w:p w14:paraId="2EE33EBC"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p>
    <w:p w14:paraId="5EEA8DA2" w14:textId="77777777" w:rsidR="009123AC" w:rsidRPr="00F0379B" w:rsidRDefault="009123AC" w:rsidP="009123AC">
      <w:pPr>
        <w:widowControl w:val="0"/>
        <w:spacing w:after="0" w:line="240" w:lineRule="auto"/>
        <w:jc w:val="both"/>
        <w:rPr>
          <w:rFonts w:ascii="Cambria" w:eastAsia="MS Gothic" w:hAnsi="Cambria" w:cs="Times New Roman"/>
          <w:iCs/>
          <w:sz w:val="20"/>
          <w:szCs w:val="24"/>
          <w:lang w:eastAsia="fr-FR" w:bidi="fr-FR"/>
        </w:rPr>
      </w:pPr>
      <w:r w:rsidRPr="00F0379B">
        <w:rPr>
          <w:rFonts w:ascii="Cambria" w:eastAsia="MS Gothic" w:hAnsi="Cambria" w:cs="Times New Roman"/>
          <w:iCs/>
          <w:sz w:val="20"/>
          <w:szCs w:val="24"/>
          <w:lang w:eastAsia="fr-FR" w:bidi="fr-FR"/>
        </w:rPr>
        <w:t xml:space="preserve">La cuota de Siria para 2026 será de 238 t. Dado que Siria asigna 1 t para capturas fortuitas, la cuota total disponible para los cerqueros será de 237 t. La capacidad pesquera total de la flota siria de cerqueros autorizados para pescar atún rojo es de 216,7 t. Según la cuota asignada para la pesca dirigida (237 t), existe una </w:t>
      </w:r>
      <w:proofErr w:type="spellStart"/>
      <w:r w:rsidRPr="00F0379B">
        <w:rPr>
          <w:rFonts w:ascii="Cambria" w:eastAsia="MS Gothic" w:hAnsi="Cambria" w:cs="Times New Roman"/>
          <w:iCs/>
          <w:sz w:val="20"/>
          <w:szCs w:val="24"/>
          <w:lang w:eastAsia="fr-FR" w:bidi="fr-FR"/>
        </w:rPr>
        <w:t>subcapacidad</w:t>
      </w:r>
      <w:proofErr w:type="spellEnd"/>
      <w:r w:rsidRPr="00F0379B">
        <w:rPr>
          <w:rFonts w:ascii="Cambria" w:eastAsia="MS Gothic" w:hAnsi="Cambria" w:cs="Times New Roman"/>
          <w:iCs/>
          <w:sz w:val="20"/>
          <w:szCs w:val="24"/>
          <w:lang w:eastAsia="fr-FR" w:bidi="fr-FR"/>
        </w:rPr>
        <w:t xml:space="preserve"> de 20,3 t.</w:t>
      </w:r>
    </w:p>
    <w:p w14:paraId="674869CC" w14:textId="77777777" w:rsidR="009123AC" w:rsidRPr="00F0379B" w:rsidRDefault="009123AC" w:rsidP="009123AC">
      <w:pPr>
        <w:widowControl w:val="0"/>
        <w:spacing w:after="0" w:line="240" w:lineRule="auto"/>
        <w:jc w:val="both"/>
        <w:rPr>
          <w:rFonts w:ascii="Cambria" w:eastAsia="MS Gothic" w:hAnsi="Cambria" w:cs="Times New Roman"/>
          <w:iCs/>
          <w:sz w:val="20"/>
          <w:szCs w:val="24"/>
          <w:lang w:eastAsia="fr-FR" w:bidi="fr-FR"/>
        </w:rPr>
      </w:pPr>
    </w:p>
    <w:p w14:paraId="600FB12A" w14:textId="77777777" w:rsidR="009123AC" w:rsidRPr="00F0379B" w:rsidRDefault="009123AC" w:rsidP="009123AC">
      <w:pPr>
        <w:widowControl w:val="0"/>
        <w:spacing w:after="0" w:line="240" w:lineRule="auto"/>
        <w:jc w:val="both"/>
        <w:rPr>
          <w:rFonts w:ascii="Cambria" w:eastAsia="MS Gothic" w:hAnsi="Cambria" w:cs="Times New Roman"/>
          <w:b/>
          <w:sz w:val="20"/>
          <w:szCs w:val="24"/>
          <w:lang w:eastAsia="fr-FR" w:bidi="fr-FR"/>
        </w:rPr>
      </w:pPr>
    </w:p>
    <w:p w14:paraId="550C9457" w14:textId="77777777" w:rsidR="009123AC" w:rsidRPr="00F0379B" w:rsidRDefault="009123AC" w:rsidP="009123AC">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 xml:space="preserve">3.  </w:t>
      </w:r>
      <w:r w:rsidRPr="00F0379B">
        <w:rPr>
          <w:rFonts w:ascii="Cambria" w:eastAsia="MS Gothic" w:hAnsi="Cambria" w:cs="Times New Roman"/>
          <w:b/>
          <w:sz w:val="20"/>
          <w:szCs w:val="24"/>
          <w:lang w:eastAsia="fr-FR" w:bidi="fr-FR"/>
        </w:rPr>
        <w:tab/>
        <w:t>Plan anual de ordenación de la cría (párrs. 22-23), si es aplicable</w:t>
      </w:r>
    </w:p>
    <w:p w14:paraId="5EA39FA7"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46309F89"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No aplicable. No hay instalaciones de cría de atún rojo en Siria.</w:t>
      </w:r>
    </w:p>
    <w:p w14:paraId="52652AC0"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0E25FBBE" w14:textId="77777777" w:rsidR="009123AC" w:rsidRPr="00F0379B" w:rsidRDefault="009123AC" w:rsidP="009123AC">
      <w:pPr>
        <w:widowControl w:val="0"/>
        <w:tabs>
          <w:tab w:val="left" w:pos="426"/>
        </w:tabs>
        <w:spacing w:after="0" w:line="240" w:lineRule="auto"/>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 xml:space="preserve">4.  Plan de acuicultura anual (párr. 10e de la </w:t>
      </w:r>
      <w:hyperlink r:id="rId212" w:history="1">
        <w:r w:rsidRPr="00F0379B">
          <w:rPr>
            <w:rFonts w:ascii="Cambria" w:eastAsia="MS Gothic" w:hAnsi="Cambria" w:cs="Times New Roman"/>
            <w:b/>
            <w:color w:val="0563C1"/>
            <w:sz w:val="20"/>
            <w:szCs w:val="24"/>
            <w:lang w:eastAsia="fr-FR" w:bidi="fr-FR"/>
          </w:rPr>
          <w:t>Rec. 25-04</w:t>
        </w:r>
      </w:hyperlink>
      <w:r w:rsidRPr="00F0379B">
        <w:rPr>
          <w:rFonts w:ascii="Cambria" w:eastAsia="MS Gothic" w:hAnsi="Cambria" w:cs="Times New Roman"/>
          <w:b/>
          <w:sz w:val="20"/>
          <w:szCs w:val="24"/>
          <w:lang w:eastAsia="fr-FR" w:bidi="fr-FR"/>
        </w:rPr>
        <w:t xml:space="preserve"> de conformidad con la </w:t>
      </w:r>
      <w:hyperlink r:id="rId213" w:history="1">
        <w:r w:rsidRPr="00F0379B">
          <w:rPr>
            <w:rFonts w:ascii="Cambria" w:eastAsia="MS Gothic" w:hAnsi="Cambria" w:cs="Times New Roman"/>
            <w:b/>
            <w:color w:val="0563C1"/>
            <w:sz w:val="20"/>
            <w:szCs w:val="24"/>
            <w:lang w:eastAsia="fr-FR" w:bidi="fr-FR"/>
          </w:rPr>
          <w:t>Rec. 24-07</w:t>
        </w:r>
      </w:hyperlink>
      <w:r w:rsidRPr="00F0379B">
        <w:rPr>
          <w:rFonts w:ascii="Cambria" w:eastAsia="MS Gothic" w:hAnsi="Cambria" w:cs="Times New Roman"/>
          <w:b/>
          <w:sz w:val="20"/>
          <w:szCs w:val="24"/>
          <w:lang w:eastAsia="fr-FR" w:bidi="fr-FR"/>
        </w:rPr>
        <w:t>), si es aplicable</w:t>
      </w:r>
    </w:p>
    <w:p w14:paraId="62376264" w14:textId="77777777" w:rsidR="009123AC" w:rsidRPr="00F0379B" w:rsidRDefault="009123AC" w:rsidP="009123AC">
      <w:pPr>
        <w:widowControl w:val="0"/>
        <w:spacing w:after="0" w:line="240" w:lineRule="auto"/>
        <w:jc w:val="both"/>
        <w:rPr>
          <w:rFonts w:ascii="Cambria" w:eastAsia="MS Gothic" w:hAnsi="Cambria" w:cs="Times New Roman"/>
          <w:b/>
          <w:iCs/>
          <w:sz w:val="20"/>
          <w:szCs w:val="20"/>
          <w:lang w:eastAsia="fr-FR" w:bidi="fr-FR"/>
        </w:rPr>
      </w:pPr>
    </w:p>
    <w:p w14:paraId="01C68347"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iCs/>
          <w:sz w:val="20"/>
          <w:szCs w:val="24"/>
          <w:lang w:eastAsia="fr-FR" w:bidi="fr-FR"/>
        </w:rPr>
        <w:t>No aplicable</w:t>
      </w:r>
    </w:p>
    <w:p w14:paraId="37A6F251" w14:textId="77777777" w:rsidR="009123AC" w:rsidRPr="00F0379B" w:rsidRDefault="009123AC" w:rsidP="009123AC">
      <w:pPr>
        <w:widowControl w:val="0"/>
        <w:spacing w:after="0" w:line="240" w:lineRule="auto"/>
        <w:jc w:val="both"/>
        <w:rPr>
          <w:rFonts w:ascii="Cambria" w:eastAsia="MS Gothic" w:hAnsi="Cambria" w:cs="Times New Roman"/>
          <w:i/>
          <w:iCs/>
          <w:sz w:val="20"/>
          <w:szCs w:val="20"/>
          <w:lang w:eastAsia="fr-FR" w:bidi="fr-FR"/>
        </w:rPr>
      </w:pPr>
    </w:p>
    <w:p w14:paraId="1AAAD7C2" w14:textId="77777777" w:rsidR="009123AC" w:rsidRPr="00F0379B" w:rsidRDefault="009123AC" w:rsidP="009123AC">
      <w:pPr>
        <w:widowControl w:val="0"/>
        <w:tabs>
          <w:tab w:val="left" w:pos="426"/>
        </w:tabs>
        <w:spacing w:after="0" w:line="240" w:lineRule="auto"/>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 xml:space="preserve">5. </w:t>
      </w:r>
      <w:r w:rsidRPr="00F0379B">
        <w:rPr>
          <w:rFonts w:ascii="Cambria" w:eastAsia="MS Gothic" w:hAnsi="Cambria" w:cs="Times New Roman"/>
          <w:b/>
          <w:sz w:val="20"/>
          <w:szCs w:val="24"/>
          <w:lang w:eastAsia="fr-FR" w:bidi="fr-FR"/>
        </w:rPr>
        <w:tab/>
        <w:t>Plan de inspección, control y seguimiento</w:t>
      </w:r>
    </w:p>
    <w:p w14:paraId="2723FF26"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p>
    <w:p w14:paraId="2B002E32" w14:textId="77777777"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r w:rsidRPr="00F0379B">
        <w:rPr>
          <w:rFonts w:ascii="Cambria" w:eastAsia="MS Gothic" w:hAnsi="Cambria" w:cs="Times New Roman"/>
          <w:b/>
          <w:i/>
          <w:sz w:val="20"/>
          <w:szCs w:val="24"/>
          <w:lang w:eastAsia="fr-FR" w:bidi="fr-FR"/>
        </w:rPr>
        <w:t>5 a) Inspección, control y seguimiento de la CPC (párr. 10c)</w:t>
      </w:r>
    </w:p>
    <w:p w14:paraId="40F90264"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p w14:paraId="2BDD8215"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La mayoría de la flota siria está considerada como barcos costeros de pequeña escala y la posibilidad de capturar atún rojo es insignificante ya que no hay arrastreros pelágicos, palangreros, barcos de cebo vivo o almadrabas que faenen en aguas sirias.</w:t>
      </w:r>
    </w:p>
    <w:p w14:paraId="6BD42B9B"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p w14:paraId="4599BA31"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sz w:val="20"/>
          <w:szCs w:val="24"/>
          <w:lang w:eastAsia="fr-FR" w:bidi="fr-FR"/>
        </w:rPr>
        <w:t xml:space="preserve">La Comisión General de Pesca y Acuicultura es la autoridad competente para el control y la supervisión de las actividades pesqueras, en colaboración con la Autoridad General de Fronteras y Aduanas y el Director de Cooperación Internacional de la Comisión General de Pesca y Acuicultura. El Sr. </w:t>
      </w:r>
      <w:r w:rsidRPr="00F0379B">
        <w:rPr>
          <w:rFonts w:ascii="Cambria" w:eastAsia="MS Gothic" w:hAnsi="Cambria" w:cs="Times New Roman"/>
          <w:sz w:val="20"/>
          <w:szCs w:val="20"/>
          <w:lang w:eastAsia="fr-FR" w:bidi="fr-FR"/>
        </w:rPr>
        <w:t>Ziyad Gharqan (ziadgharqan</w:t>
      </w:r>
      <w:r w:rsidRPr="00F0379B">
        <w:rPr>
          <w:rFonts w:ascii="Cambria" w:eastAsia="MS Gothic" w:hAnsi="Cambria" w:cs="Times New Roman"/>
          <w:sz w:val="20"/>
          <w:szCs w:val="24"/>
          <w:lang w:eastAsia="fr-FR" w:bidi="fr-FR"/>
        </w:rPr>
        <w:t>@gmail.com) es la persona de contacto designada como responsable de la aplicación de este plan de seguimiento, control e inspección.</w:t>
      </w:r>
    </w:p>
    <w:p w14:paraId="3588BE65"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p w14:paraId="59FD054D" w14:textId="77777777" w:rsidR="009123AC" w:rsidRPr="00F0379B" w:rsidRDefault="009123AC" w:rsidP="009123AC">
      <w:pPr>
        <w:widowControl w:val="0"/>
        <w:spacing w:after="0" w:line="240" w:lineRule="auto"/>
        <w:ind w:left="426" w:hanging="426"/>
        <w:rPr>
          <w:rFonts w:ascii="Cambria" w:eastAsia="MS Gothic" w:hAnsi="Cambria" w:cs="Times New Roman"/>
          <w:b/>
          <w:i/>
          <w:iCs/>
          <w:sz w:val="20"/>
          <w:szCs w:val="20"/>
          <w:lang w:eastAsia="fr-FR" w:bidi="fr-FR"/>
        </w:rPr>
      </w:pPr>
      <w:r w:rsidRPr="00F0379B">
        <w:rPr>
          <w:rFonts w:ascii="Cambria" w:eastAsia="MS Gothic" w:hAnsi="Cambria" w:cs="Times New Roman"/>
          <w:b/>
          <w:i/>
          <w:sz w:val="20"/>
          <w:szCs w:val="24"/>
          <w:lang w:eastAsia="fr-FR" w:bidi="fr-FR"/>
        </w:rPr>
        <w:t>5 b) Programa conjunto de Inspección internacional (párrs. 232-235)</w:t>
      </w:r>
    </w:p>
    <w:p w14:paraId="5AC1484B" w14:textId="77777777"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p>
    <w:p w14:paraId="43FF3F9C"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iCs/>
          <w:sz w:val="20"/>
          <w:szCs w:val="24"/>
          <w:lang w:eastAsia="fr-FR" w:bidi="fr-FR"/>
        </w:rPr>
        <w:t>No se aplica ningún plan conjunto de inspección internacional.</w:t>
      </w:r>
    </w:p>
    <w:p w14:paraId="32381FC3"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2E273862" w14:textId="77777777" w:rsidR="009123AC" w:rsidRPr="00F0379B" w:rsidRDefault="009123AC" w:rsidP="009123AC">
      <w:pPr>
        <w:widowControl w:val="0"/>
        <w:tabs>
          <w:tab w:val="left" w:pos="426"/>
        </w:tabs>
        <w:spacing w:after="0" w:line="240" w:lineRule="auto"/>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 xml:space="preserve">6. </w:t>
      </w:r>
      <w:r w:rsidRPr="00F0379B">
        <w:rPr>
          <w:rFonts w:ascii="Cambria" w:eastAsia="MS Gothic" w:hAnsi="Cambria" w:cs="Times New Roman"/>
          <w:b/>
          <w:sz w:val="20"/>
          <w:szCs w:val="24"/>
          <w:lang w:eastAsia="fr-FR" w:bidi="fr-FR"/>
        </w:rPr>
        <w:tab/>
        <w:t>Otros</w:t>
      </w:r>
    </w:p>
    <w:p w14:paraId="31AAD873"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023E8D3F"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iCs/>
          <w:sz w:val="20"/>
          <w:szCs w:val="24"/>
          <w:lang w:eastAsia="fr-FR" w:bidi="fr-FR"/>
        </w:rPr>
        <w:t>No aplicable</w:t>
      </w:r>
    </w:p>
    <w:p w14:paraId="34BD58B8" w14:textId="77777777" w:rsidR="009123AC" w:rsidRPr="00F0379B" w:rsidRDefault="009123AC" w:rsidP="009123AC">
      <w:pPr>
        <w:spacing w:after="0" w:line="240" w:lineRule="auto"/>
        <w:rPr>
          <w:rFonts w:ascii="Cambria" w:eastAsia="MS Gothic" w:hAnsi="Cambria" w:cs="Times New Roman"/>
          <w:i/>
          <w:sz w:val="20"/>
          <w:szCs w:val="20"/>
          <w:lang w:eastAsia="fr-FR" w:bidi="fr-FR"/>
        </w:rPr>
        <w:sectPr w:rsidR="009123AC" w:rsidRPr="00F0379B" w:rsidSect="009123AC">
          <w:headerReference w:type="default" r:id="rId214"/>
          <w:footerReference w:type="default" r:id="rId215"/>
          <w:pgSz w:w="11906" w:h="16838" w:code="9"/>
          <w:pgMar w:top="1418" w:right="1418" w:bottom="1418" w:left="1418" w:header="851" w:footer="1134" w:gutter="0"/>
          <w:cols w:space="425"/>
          <w:docGrid w:linePitch="360"/>
        </w:sectPr>
      </w:pPr>
    </w:p>
    <w:p w14:paraId="5F01527A" w14:textId="77777777" w:rsidR="009123AC" w:rsidRPr="00F0379B" w:rsidRDefault="009123AC" w:rsidP="009123AC">
      <w:pPr>
        <w:spacing w:after="0" w:line="240" w:lineRule="auto"/>
        <w:rPr>
          <w:rFonts w:ascii="Cambria" w:eastAsia="MS Gothic" w:hAnsi="Cambria" w:cs="Times New Roman"/>
          <w:b/>
          <w:bCs/>
          <w:iCs/>
          <w:sz w:val="20"/>
          <w:szCs w:val="20"/>
          <w:lang w:eastAsia="fr-FR" w:bidi="fr-FR"/>
        </w:rPr>
      </w:pPr>
      <w:r w:rsidRPr="00F0379B">
        <w:rPr>
          <w:rFonts w:ascii="Cambria" w:eastAsia="MS Gothic" w:hAnsi="Cambria" w:cs="Times New Roman"/>
          <w:b/>
          <w:sz w:val="20"/>
          <w:szCs w:val="24"/>
          <w:lang w:eastAsia="fr-FR" w:bidi="fr-FR"/>
        </w:rPr>
        <w:t>Tabla de capacidad</w:t>
      </w:r>
    </w:p>
    <w:tbl>
      <w:tblPr>
        <w:tblW w:w="14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5"/>
        <w:gridCol w:w="2104"/>
        <w:gridCol w:w="653"/>
        <w:gridCol w:w="623"/>
        <w:gridCol w:w="623"/>
        <w:gridCol w:w="619"/>
        <w:gridCol w:w="619"/>
        <w:gridCol w:w="619"/>
        <w:gridCol w:w="619"/>
        <w:gridCol w:w="258"/>
        <w:gridCol w:w="619"/>
        <w:gridCol w:w="619"/>
        <w:gridCol w:w="690"/>
        <w:gridCol w:w="619"/>
        <w:gridCol w:w="690"/>
        <w:gridCol w:w="619"/>
        <w:gridCol w:w="757"/>
      </w:tblGrid>
      <w:tr w:rsidR="009123AC" w:rsidRPr="00F0379B" w14:paraId="7056DCDF" w14:textId="77777777" w:rsidTr="00CA749B">
        <w:trPr>
          <w:trHeight w:val="20"/>
        </w:trPr>
        <w:tc>
          <w:tcPr>
            <w:tcW w:w="2894" w:type="dxa"/>
            <w:noWrap/>
            <w:vAlign w:val="center"/>
            <w:hideMark/>
          </w:tcPr>
          <w:p w14:paraId="50C5F5AD" w14:textId="77777777" w:rsidR="009123AC" w:rsidRPr="00F0379B" w:rsidRDefault="009123AC" w:rsidP="009123AC">
            <w:pPr>
              <w:widowControl w:val="0"/>
              <w:spacing w:after="0" w:line="240" w:lineRule="auto"/>
              <w:jc w:val="center"/>
              <w:rPr>
                <w:rFonts w:ascii="Cambria" w:eastAsia="Times New Roman" w:hAnsi="Cambria" w:cs="Calibri"/>
                <w:i/>
                <w:iCs/>
                <w:color w:val="000000"/>
                <w:sz w:val="18"/>
                <w:szCs w:val="18"/>
                <w:lang w:eastAsia="fr-FR" w:bidi="fr-FR"/>
              </w:rPr>
            </w:pPr>
            <w:r w:rsidRPr="00F0379B">
              <w:rPr>
                <w:rFonts w:ascii="Cambria" w:eastAsia="MS Gothic" w:hAnsi="Cambria" w:cs="Times New Roman"/>
                <w:i/>
                <w:color w:val="000000"/>
                <w:sz w:val="18"/>
                <w:szCs w:val="24"/>
                <w:lang w:eastAsia="fr-FR" w:bidi="fr-FR"/>
              </w:rPr>
              <w:t>Tipo de buque atunero</w:t>
            </w:r>
          </w:p>
        </w:tc>
        <w:tc>
          <w:tcPr>
            <w:tcW w:w="2103" w:type="dxa"/>
            <w:noWrap/>
            <w:vAlign w:val="center"/>
            <w:hideMark/>
          </w:tcPr>
          <w:p w14:paraId="556EC224" w14:textId="77777777" w:rsidR="009123AC" w:rsidRPr="00F0379B" w:rsidRDefault="009123AC" w:rsidP="009123AC">
            <w:pPr>
              <w:widowControl w:val="0"/>
              <w:spacing w:after="0" w:line="240" w:lineRule="auto"/>
              <w:jc w:val="center"/>
              <w:rPr>
                <w:rFonts w:ascii="Calibri" w:eastAsia="Times New Roman" w:hAnsi="Calibri" w:cs="Calibri"/>
                <w:color w:val="000000"/>
                <w:sz w:val="18"/>
                <w:szCs w:val="18"/>
                <w:lang w:eastAsia="ja-JP" w:bidi="fr-FR"/>
              </w:rPr>
            </w:pPr>
          </w:p>
        </w:tc>
        <w:tc>
          <w:tcPr>
            <w:tcW w:w="1887" w:type="dxa"/>
            <w:gridSpan w:val="3"/>
          </w:tcPr>
          <w:p w14:paraId="151AC62F" w14:textId="77777777" w:rsidR="009123AC" w:rsidRPr="00F0379B" w:rsidRDefault="009123AC" w:rsidP="009123AC">
            <w:pPr>
              <w:widowControl w:val="0"/>
              <w:spacing w:after="0" w:line="240" w:lineRule="auto"/>
              <w:jc w:val="center"/>
              <w:rPr>
                <w:rFonts w:ascii="Cambria" w:eastAsia="Times New Roman" w:hAnsi="Cambria" w:cs="Calibri"/>
                <w:i/>
                <w:iCs/>
                <w:color w:val="000000"/>
                <w:sz w:val="18"/>
                <w:szCs w:val="18"/>
                <w:lang w:eastAsia="fr-FR" w:bidi="fr-FR"/>
              </w:rPr>
            </w:pPr>
            <w:r w:rsidRPr="00F0379B">
              <w:rPr>
                <w:rFonts w:ascii="Cambria" w:eastAsia="MS Gothic" w:hAnsi="Cambria" w:cs="Times New Roman"/>
                <w:i/>
                <w:color w:val="000000"/>
                <w:sz w:val="18"/>
                <w:szCs w:val="24"/>
                <w:lang w:eastAsia="fr-FR" w:bidi="fr-FR"/>
              </w:rPr>
              <w:t>Años de referencia</w:t>
            </w:r>
          </w:p>
        </w:tc>
        <w:tc>
          <w:tcPr>
            <w:tcW w:w="0" w:type="auto"/>
            <w:gridSpan w:val="4"/>
            <w:vAlign w:val="center"/>
          </w:tcPr>
          <w:p w14:paraId="3F31AA27" w14:textId="77777777" w:rsidR="009123AC" w:rsidRPr="00F0379B" w:rsidRDefault="009123AC" w:rsidP="009123AC">
            <w:pPr>
              <w:widowControl w:val="0"/>
              <w:spacing w:after="0" w:line="240" w:lineRule="auto"/>
              <w:jc w:val="center"/>
              <w:rPr>
                <w:rFonts w:ascii="Times New Roman" w:eastAsia="Times New Roman" w:hAnsi="Times New Roman" w:cs="Times New Roman"/>
                <w:color w:val="000000"/>
                <w:sz w:val="18"/>
                <w:szCs w:val="18"/>
                <w:lang w:eastAsia="fr-FR" w:bidi="fr-FR"/>
              </w:rPr>
            </w:pPr>
            <w:r w:rsidRPr="00F0379B">
              <w:rPr>
                <w:rFonts w:ascii="Cambria" w:eastAsia="MS Gothic" w:hAnsi="Cambria" w:cs="Times New Roman"/>
                <w:i/>
                <w:color w:val="000000"/>
                <w:sz w:val="18"/>
                <w:szCs w:val="24"/>
                <w:lang w:eastAsia="fr-FR" w:bidi="fr-FR"/>
              </w:rPr>
              <w:t>N.º de buques</w:t>
            </w:r>
          </w:p>
        </w:tc>
        <w:tc>
          <w:tcPr>
            <w:tcW w:w="0" w:type="auto"/>
            <w:shd w:val="clear" w:color="auto" w:fill="D9D9D9"/>
            <w:vAlign w:val="center"/>
            <w:hideMark/>
          </w:tcPr>
          <w:p w14:paraId="6F597308" w14:textId="77777777" w:rsidR="009123AC" w:rsidRPr="00F0379B" w:rsidRDefault="009123AC" w:rsidP="009123AC">
            <w:pPr>
              <w:widowControl w:val="0"/>
              <w:spacing w:after="0" w:line="240" w:lineRule="auto"/>
              <w:jc w:val="center"/>
              <w:rPr>
                <w:rFonts w:ascii="Times New Roman" w:eastAsia="Times New Roman" w:hAnsi="Times New Roman" w:cs="Times New Roman"/>
                <w:color w:val="000000"/>
                <w:sz w:val="18"/>
                <w:szCs w:val="18"/>
                <w:lang w:eastAsia="ja-JP" w:bidi="fr-FR"/>
              </w:rPr>
            </w:pPr>
          </w:p>
        </w:tc>
        <w:tc>
          <w:tcPr>
            <w:tcW w:w="0" w:type="auto"/>
            <w:gridSpan w:val="3"/>
          </w:tcPr>
          <w:p w14:paraId="559EE414" w14:textId="77777777" w:rsidR="009123AC" w:rsidRPr="00F0379B" w:rsidRDefault="009123AC" w:rsidP="009123AC">
            <w:pPr>
              <w:widowControl w:val="0"/>
              <w:spacing w:after="0" w:line="240" w:lineRule="auto"/>
              <w:jc w:val="center"/>
              <w:rPr>
                <w:rFonts w:ascii="Cambria" w:eastAsia="Times New Roman" w:hAnsi="Cambria" w:cs="Calibri"/>
                <w:i/>
                <w:iCs/>
                <w:color w:val="000000"/>
                <w:sz w:val="18"/>
                <w:szCs w:val="18"/>
                <w:lang w:eastAsia="fr-FR" w:bidi="fr-FR"/>
              </w:rPr>
            </w:pPr>
            <w:r w:rsidRPr="00F0379B">
              <w:rPr>
                <w:rFonts w:ascii="Cambria" w:eastAsia="MS Gothic" w:hAnsi="Cambria" w:cs="Times New Roman"/>
                <w:i/>
                <w:color w:val="000000"/>
                <w:sz w:val="18"/>
                <w:szCs w:val="24"/>
                <w:lang w:eastAsia="fr-FR" w:bidi="fr-FR"/>
              </w:rPr>
              <w:t>Años de referencia</w:t>
            </w:r>
          </w:p>
        </w:tc>
        <w:tc>
          <w:tcPr>
            <w:tcW w:w="0" w:type="auto"/>
            <w:gridSpan w:val="4"/>
          </w:tcPr>
          <w:p w14:paraId="4BA0BBF1" w14:textId="77777777" w:rsidR="009123AC" w:rsidRPr="00F0379B" w:rsidRDefault="009123AC" w:rsidP="009123AC">
            <w:pPr>
              <w:widowControl w:val="0"/>
              <w:spacing w:after="0" w:line="240" w:lineRule="auto"/>
              <w:jc w:val="center"/>
              <w:rPr>
                <w:rFonts w:ascii="Cambria" w:eastAsia="Times New Roman" w:hAnsi="Cambria" w:cs="Calibri"/>
                <w:i/>
                <w:iCs/>
                <w:color w:val="000000"/>
                <w:sz w:val="18"/>
                <w:szCs w:val="18"/>
                <w:lang w:eastAsia="fr-FR" w:bidi="fr-FR"/>
              </w:rPr>
            </w:pPr>
            <w:r w:rsidRPr="00F0379B">
              <w:rPr>
                <w:rFonts w:ascii="Cambria" w:eastAsia="MS Gothic" w:hAnsi="Cambria" w:cs="Times New Roman"/>
                <w:i/>
                <w:color w:val="000000"/>
                <w:sz w:val="18"/>
                <w:szCs w:val="24"/>
                <w:lang w:eastAsia="fr-FR" w:bidi="fr-FR"/>
              </w:rPr>
              <w:t>Capacidad de pesca</w:t>
            </w:r>
          </w:p>
        </w:tc>
      </w:tr>
      <w:tr w:rsidR="009123AC" w:rsidRPr="00F0379B" w14:paraId="65F2AD70" w14:textId="77777777" w:rsidTr="00CA749B">
        <w:trPr>
          <w:trHeight w:val="20"/>
        </w:trPr>
        <w:tc>
          <w:tcPr>
            <w:tcW w:w="2894" w:type="dxa"/>
            <w:noWrap/>
            <w:vAlign w:val="center"/>
            <w:hideMark/>
          </w:tcPr>
          <w:p w14:paraId="4F644C6C"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Tipo</w:t>
            </w:r>
          </w:p>
        </w:tc>
        <w:tc>
          <w:tcPr>
            <w:tcW w:w="2103" w:type="dxa"/>
            <w:vAlign w:val="center"/>
            <w:hideMark/>
          </w:tcPr>
          <w:p w14:paraId="55D4BD59"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xml:space="preserve">Mejores tasas de captura definidas por el SCRS </w:t>
            </w:r>
          </w:p>
          <w:p w14:paraId="5D70F1A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en 2009 (t)</w:t>
            </w:r>
          </w:p>
        </w:tc>
        <w:tc>
          <w:tcPr>
            <w:tcW w:w="649" w:type="dxa"/>
            <w:vAlign w:val="center"/>
          </w:tcPr>
          <w:p w14:paraId="50F4345E"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2006</w:t>
            </w:r>
          </w:p>
        </w:tc>
        <w:tc>
          <w:tcPr>
            <w:tcW w:w="0" w:type="auto"/>
            <w:noWrap/>
            <w:vAlign w:val="center"/>
            <w:hideMark/>
          </w:tcPr>
          <w:p w14:paraId="4389CEAB"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2008</w:t>
            </w:r>
          </w:p>
        </w:tc>
        <w:tc>
          <w:tcPr>
            <w:tcW w:w="0" w:type="auto"/>
            <w:vAlign w:val="center"/>
            <w:hideMark/>
          </w:tcPr>
          <w:p w14:paraId="18CA4BC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2018</w:t>
            </w:r>
          </w:p>
        </w:tc>
        <w:tc>
          <w:tcPr>
            <w:tcW w:w="0" w:type="auto"/>
            <w:vAlign w:val="center"/>
            <w:hideMark/>
          </w:tcPr>
          <w:p w14:paraId="23C96949"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2023</w:t>
            </w:r>
          </w:p>
        </w:tc>
        <w:tc>
          <w:tcPr>
            <w:tcW w:w="0" w:type="auto"/>
            <w:vAlign w:val="center"/>
            <w:hideMark/>
          </w:tcPr>
          <w:p w14:paraId="00D8C926"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2024</w:t>
            </w:r>
          </w:p>
        </w:tc>
        <w:tc>
          <w:tcPr>
            <w:tcW w:w="0" w:type="auto"/>
            <w:vAlign w:val="center"/>
          </w:tcPr>
          <w:p w14:paraId="17A9700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2025</w:t>
            </w:r>
          </w:p>
        </w:tc>
        <w:tc>
          <w:tcPr>
            <w:tcW w:w="0" w:type="auto"/>
            <w:vAlign w:val="center"/>
          </w:tcPr>
          <w:p w14:paraId="5A3C73DF"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2026</w:t>
            </w:r>
          </w:p>
        </w:tc>
        <w:tc>
          <w:tcPr>
            <w:tcW w:w="0" w:type="auto"/>
            <w:shd w:val="clear" w:color="000000" w:fill="D9D9D9"/>
            <w:vAlign w:val="center"/>
            <w:hideMark/>
          </w:tcPr>
          <w:p w14:paraId="5C360C7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tcPr>
          <w:p w14:paraId="2089EAB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2006</w:t>
            </w:r>
          </w:p>
        </w:tc>
        <w:tc>
          <w:tcPr>
            <w:tcW w:w="0" w:type="auto"/>
            <w:vAlign w:val="center"/>
            <w:hideMark/>
          </w:tcPr>
          <w:p w14:paraId="65FEE12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2008</w:t>
            </w:r>
          </w:p>
        </w:tc>
        <w:tc>
          <w:tcPr>
            <w:tcW w:w="0" w:type="auto"/>
            <w:vAlign w:val="center"/>
            <w:hideMark/>
          </w:tcPr>
          <w:p w14:paraId="7E113BA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2018</w:t>
            </w:r>
          </w:p>
        </w:tc>
        <w:tc>
          <w:tcPr>
            <w:tcW w:w="0" w:type="auto"/>
            <w:vAlign w:val="center"/>
            <w:hideMark/>
          </w:tcPr>
          <w:p w14:paraId="7629B03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2023</w:t>
            </w:r>
          </w:p>
        </w:tc>
        <w:tc>
          <w:tcPr>
            <w:tcW w:w="0" w:type="auto"/>
            <w:vAlign w:val="center"/>
            <w:hideMark/>
          </w:tcPr>
          <w:p w14:paraId="3859D2E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2024</w:t>
            </w:r>
          </w:p>
        </w:tc>
        <w:tc>
          <w:tcPr>
            <w:tcW w:w="0" w:type="auto"/>
            <w:vAlign w:val="center"/>
            <w:hideMark/>
          </w:tcPr>
          <w:p w14:paraId="68FD7056"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2025</w:t>
            </w:r>
          </w:p>
        </w:tc>
        <w:tc>
          <w:tcPr>
            <w:tcW w:w="0" w:type="auto"/>
            <w:vAlign w:val="center"/>
          </w:tcPr>
          <w:p w14:paraId="5DCB93D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2026</w:t>
            </w:r>
          </w:p>
        </w:tc>
      </w:tr>
      <w:tr w:rsidR="009123AC" w:rsidRPr="00F0379B" w14:paraId="4DC2388D" w14:textId="77777777" w:rsidTr="00CA749B">
        <w:trPr>
          <w:trHeight w:val="20"/>
        </w:trPr>
        <w:tc>
          <w:tcPr>
            <w:tcW w:w="2894" w:type="dxa"/>
            <w:noWrap/>
            <w:vAlign w:val="center"/>
            <w:hideMark/>
          </w:tcPr>
          <w:p w14:paraId="29F48CD6"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Cerqueros de más de 40 m</w:t>
            </w:r>
          </w:p>
        </w:tc>
        <w:tc>
          <w:tcPr>
            <w:tcW w:w="2103" w:type="dxa"/>
            <w:noWrap/>
            <w:vAlign w:val="center"/>
            <w:hideMark/>
          </w:tcPr>
          <w:p w14:paraId="25CBBDD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70,66</w:t>
            </w:r>
          </w:p>
        </w:tc>
        <w:tc>
          <w:tcPr>
            <w:tcW w:w="649" w:type="dxa"/>
          </w:tcPr>
          <w:p w14:paraId="143EC19E"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noWrap/>
            <w:vAlign w:val="center"/>
            <w:hideMark/>
          </w:tcPr>
          <w:p w14:paraId="46967C13"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1622CF27"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5071D45F"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39ED2C1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tcPr>
          <w:p w14:paraId="5AC201B7"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tcPr>
          <w:p w14:paraId="5FC8B7A0"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hideMark/>
          </w:tcPr>
          <w:p w14:paraId="32394F6A"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tcPr>
          <w:p w14:paraId="5BA86AA0"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hideMark/>
          </w:tcPr>
          <w:p w14:paraId="670F6326"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545B9FA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5A083390"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07AF051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6063EF4B"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tcPr>
          <w:p w14:paraId="74DFEE3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r>
      <w:tr w:rsidR="009123AC" w:rsidRPr="00F0379B" w14:paraId="225286A6" w14:textId="77777777" w:rsidTr="00CA749B">
        <w:trPr>
          <w:trHeight w:val="20"/>
        </w:trPr>
        <w:tc>
          <w:tcPr>
            <w:tcW w:w="2894" w:type="dxa"/>
            <w:noWrap/>
            <w:vAlign w:val="center"/>
            <w:hideMark/>
          </w:tcPr>
          <w:p w14:paraId="2F005636"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Cerqueros entre 24 y 40 m</w:t>
            </w:r>
          </w:p>
        </w:tc>
        <w:tc>
          <w:tcPr>
            <w:tcW w:w="2103" w:type="dxa"/>
            <w:noWrap/>
            <w:vAlign w:val="center"/>
            <w:hideMark/>
          </w:tcPr>
          <w:p w14:paraId="3AF8190E"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49,78</w:t>
            </w:r>
          </w:p>
        </w:tc>
        <w:tc>
          <w:tcPr>
            <w:tcW w:w="649" w:type="dxa"/>
          </w:tcPr>
          <w:p w14:paraId="5AE5F3D8"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noWrap/>
            <w:vAlign w:val="center"/>
            <w:hideMark/>
          </w:tcPr>
          <w:p w14:paraId="42C8836E"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2166E443"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034F94E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1F0FAB4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tcPr>
          <w:p w14:paraId="372B4C7E"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tcPr>
          <w:p w14:paraId="13224C00"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3</w:t>
            </w:r>
          </w:p>
        </w:tc>
        <w:tc>
          <w:tcPr>
            <w:tcW w:w="0" w:type="auto"/>
            <w:shd w:val="clear" w:color="000000" w:fill="D9D9D9"/>
            <w:vAlign w:val="center"/>
            <w:hideMark/>
          </w:tcPr>
          <w:p w14:paraId="25CA67C1"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tcPr>
          <w:p w14:paraId="60FB2317"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hideMark/>
          </w:tcPr>
          <w:p w14:paraId="1D7E0A3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075B9AAF"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6049DADA"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0C5DCEA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05CD1D3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tcPr>
          <w:p w14:paraId="28E63380"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149,34</w:t>
            </w:r>
          </w:p>
        </w:tc>
      </w:tr>
      <w:tr w:rsidR="009123AC" w:rsidRPr="00F0379B" w14:paraId="506C0D3A" w14:textId="77777777" w:rsidTr="00CA749B">
        <w:trPr>
          <w:trHeight w:val="20"/>
        </w:trPr>
        <w:tc>
          <w:tcPr>
            <w:tcW w:w="2894" w:type="dxa"/>
            <w:noWrap/>
            <w:vAlign w:val="center"/>
            <w:hideMark/>
          </w:tcPr>
          <w:p w14:paraId="53045D47"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Cerqueros de menos de 24 m</w:t>
            </w:r>
          </w:p>
        </w:tc>
        <w:tc>
          <w:tcPr>
            <w:tcW w:w="2103" w:type="dxa"/>
            <w:noWrap/>
            <w:vAlign w:val="center"/>
            <w:hideMark/>
          </w:tcPr>
          <w:p w14:paraId="697B57D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33,68</w:t>
            </w:r>
          </w:p>
        </w:tc>
        <w:tc>
          <w:tcPr>
            <w:tcW w:w="649" w:type="dxa"/>
          </w:tcPr>
          <w:p w14:paraId="3BE6A8C7"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w:t>
            </w:r>
          </w:p>
        </w:tc>
        <w:tc>
          <w:tcPr>
            <w:tcW w:w="0" w:type="auto"/>
            <w:noWrap/>
            <w:vAlign w:val="center"/>
            <w:hideMark/>
          </w:tcPr>
          <w:p w14:paraId="1AE5BEE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w:t>
            </w:r>
          </w:p>
        </w:tc>
        <w:tc>
          <w:tcPr>
            <w:tcW w:w="0" w:type="auto"/>
            <w:vAlign w:val="center"/>
            <w:hideMark/>
          </w:tcPr>
          <w:p w14:paraId="7ADA3B66"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w:t>
            </w:r>
          </w:p>
        </w:tc>
        <w:tc>
          <w:tcPr>
            <w:tcW w:w="0" w:type="auto"/>
            <w:vAlign w:val="center"/>
            <w:hideMark/>
          </w:tcPr>
          <w:p w14:paraId="2125A5D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w:t>
            </w:r>
          </w:p>
        </w:tc>
        <w:tc>
          <w:tcPr>
            <w:tcW w:w="0" w:type="auto"/>
            <w:vAlign w:val="center"/>
            <w:hideMark/>
          </w:tcPr>
          <w:p w14:paraId="3C576D8A"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w:t>
            </w:r>
          </w:p>
        </w:tc>
        <w:tc>
          <w:tcPr>
            <w:tcW w:w="0" w:type="auto"/>
            <w:vAlign w:val="center"/>
          </w:tcPr>
          <w:p w14:paraId="01121177"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w:t>
            </w:r>
          </w:p>
        </w:tc>
        <w:tc>
          <w:tcPr>
            <w:tcW w:w="0" w:type="auto"/>
            <w:vAlign w:val="center"/>
          </w:tcPr>
          <w:p w14:paraId="2D34BCE7"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w:t>
            </w:r>
          </w:p>
        </w:tc>
        <w:tc>
          <w:tcPr>
            <w:tcW w:w="0" w:type="auto"/>
            <w:shd w:val="clear" w:color="000000" w:fill="D9D9D9"/>
            <w:vAlign w:val="center"/>
            <w:hideMark/>
          </w:tcPr>
          <w:p w14:paraId="5B3FA603"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tcPr>
          <w:p w14:paraId="33D099FE"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w:t>
            </w:r>
          </w:p>
        </w:tc>
        <w:tc>
          <w:tcPr>
            <w:tcW w:w="0" w:type="auto"/>
            <w:vAlign w:val="center"/>
            <w:hideMark/>
          </w:tcPr>
          <w:p w14:paraId="64B07FC9"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w:t>
            </w:r>
          </w:p>
        </w:tc>
        <w:tc>
          <w:tcPr>
            <w:tcW w:w="0" w:type="auto"/>
            <w:vAlign w:val="center"/>
            <w:hideMark/>
          </w:tcPr>
          <w:p w14:paraId="62232C0B"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33,68</w:t>
            </w:r>
          </w:p>
        </w:tc>
        <w:tc>
          <w:tcPr>
            <w:tcW w:w="0" w:type="auto"/>
            <w:vAlign w:val="center"/>
            <w:hideMark/>
          </w:tcPr>
          <w:p w14:paraId="7A5D7CA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w:t>
            </w:r>
          </w:p>
        </w:tc>
        <w:tc>
          <w:tcPr>
            <w:tcW w:w="0" w:type="auto"/>
            <w:vAlign w:val="center"/>
            <w:hideMark/>
          </w:tcPr>
          <w:p w14:paraId="6F8430F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33,68</w:t>
            </w:r>
          </w:p>
        </w:tc>
        <w:tc>
          <w:tcPr>
            <w:tcW w:w="0" w:type="auto"/>
            <w:vAlign w:val="center"/>
            <w:hideMark/>
          </w:tcPr>
          <w:p w14:paraId="3D5852C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w:t>
            </w:r>
          </w:p>
        </w:tc>
        <w:tc>
          <w:tcPr>
            <w:tcW w:w="0" w:type="auto"/>
            <w:vAlign w:val="center"/>
          </w:tcPr>
          <w:p w14:paraId="006C28F6"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67,36</w:t>
            </w:r>
          </w:p>
        </w:tc>
      </w:tr>
      <w:tr w:rsidR="009123AC" w:rsidRPr="00F0379B" w14:paraId="24D69879" w14:textId="77777777" w:rsidTr="00CA749B">
        <w:trPr>
          <w:trHeight w:val="20"/>
        </w:trPr>
        <w:tc>
          <w:tcPr>
            <w:tcW w:w="2894" w:type="dxa"/>
            <w:noWrap/>
            <w:vAlign w:val="center"/>
            <w:hideMark/>
          </w:tcPr>
          <w:p w14:paraId="5C445C30"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Total flota de cerco 2</w:t>
            </w:r>
          </w:p>
        </w:tc>
        <w:tc>
          <w:tcPr>
            <w:tcW w:w="2103" w:type="dxa"/>
            <w:noWrap/>
            <w:vAlign w:val="center"/>
            <w:hideMark/>
          </w:tcPr>
          <w:p w14:paraId="459174E1" w14:textId="77777777" w:rsidR="009123AC" w:rsidRPr="00F0379B" w:rsidRDefault="009123AC" w:rsidP="009123AC">
            <w:pPr>
              <w:widowControl w:val="0"/>
              <w:spacing w:after="0" w:line="240" w:lineRule="auto"/>
              <w:jc w:val="both"/>
              <w:rPr>
                <w:rFonts w:ascii="Times New Roman" w:eastAsia="Times New Roman" w:hAnsi="Times New Roman" w:cs="Times New Roman"/>
                <w:color w:val="000000"/>
                <w:sz w:val="18"/>
                <w:szCs w:val="18"/>
                <w:lang w:eastAsia="fr-FR" w:bidi="fr-FR"/>
              </w:rPr>
            </w:pPr>
            <w:r w:rsidRPr="00F0379B">
              <w:rPr>
                <w:rFonts w:ascii="Times New Roman" w:eastAsia="MS Gothic" w:hAnsi="Times New Roman" w:cs="Times New Roman"/>
                <w:color w:val="000000"/>
                <w:sz w:val="18"/>
                <w:szCs w:val="24"/>
                <w:lang w:eastAsia="fr-FR" w:bidi="fr-FR"/>
              </w:rPr>
              <w:t> </w:t>
            </w:r>
          </w:p>
        </w:tc>
        <w:tc>
          <w:tcPr>
            <w:tcW w:w="649" w:type="dxa"/>
          </w:tcPr>
          <w:p w14:paraId="783DB49A"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noWrap/>
            <w:vAlign w:val="center"/>
            <w:hideMark/>
          </w:tcPr>
          <w:p w14:paraId="7246621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hideMark/>
          </w:tcPr>
          <w:p w14:paraId="112F019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1</w:t>
            </w:r>
          </w:p>
        </w:tc>
        <w:tc>
          <w:tcPr>
            <w:tcW w:w="0" w:type="auto"/>
            <w:vAlign w:val="center"/>
            <w:hideMark/>
          </w:tcPr>
          <w:p w14:paraId="535C34C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hideMark/>
          </w:tcPr>
          <w:p w14:paraId="1362727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1</w:t>
            </w:r>
          </w:p>
        </w:tc>
        <w:tc>
          <w:tcPr>
            <w:tcW w:w="0" w:type="auto"/>
            <w:vAlign w:val="center"/>
          </w:tcPr>
          <w:p w14:paraId="42CF135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tcPr>
          <w:p w14:paraId="1D25694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5</w:t>
            </w:r>
          </w:p>
        </w:tc>
        <w:tc>
          <w:tcPr>
            <w:tcW w:w="0" w:type="auto"/>
            <w:shd w:val="clear" w:color="000000" w:fill="D9D9D9"/>
            <w:vAlign w:val="center"/>
            <w:hideMark/>
          </w:tcPr>
          <w:p w14:paraId="3F4410D2"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0" w:type="auto"/>
            <w:vAlign w:val="center"/>
          </w:tcPr>
          <w:p w14:paraId="31462E3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hideMark/>
          </w:tcPr>
          <w:p w14:paraId="6C66E8D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hideMark/>
          </w:tcPr>
          <w:p w14:paraId="42FF4E2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33,68</w:t>
            </w:r>
          </w:p>
        </w:tc>
        <w:tc>
          <w:tcPr>
            <w:tcW w:w="0" w:type="auto"/>
            <w:vAlign w:val="center"/>
            <w:hideMark/>
          </w:tcPr>
          <w:p w14:paraId="57671F0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hideMark/>
          </w:tcPr>
          <w:p w14:paraId="2A1EA4C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33,68</w:t>
            </w:r>
          </w:p>
        </w:tc>
        <w:tc>
          <w:tcPr>
            <w:tcW w:w="0" w:type="auto"/>
            <w:vAlign w:val="center"/>
            <w:hideMark/>
          </w:tcPr>
          <w:p w14:paraId="74A4B14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tcPr>
          <w:p w14:paraId="6D31A6B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216,7</w:t>
            </w:r>
          </w:p>
        </w:tc>
      </w:tr>
      <w:tr w:rsidR="009123AC" w:rsidRPr="00F0379B" w14:paraId="407120B6" w14:textId="77777777" w:rsidTr="00CA749B">
        <w:trPr>
          <w:trHeight w:val="20"/>
        </w:trPr>
        <w:tc>
          <w:tcPr>
            <w:tcW w:w="2894" w:type="dxa"/>
            <w:noWrap/>
            <w:vAlign w:val="center"/>
            <w:hideMark/>
          </w:tcPr>
          <w:p w14:paraId="57A41E84"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Palangreros de más de 40 m</w:t>
            </w:r>
          </w:p>
        </w:tc>
        <w:tc>
          <w:tcPr>
            <w:tcW w:w="2103" w:type="dxa"/>
            <w:noWrap/>
            <w:vAlign w:val="center"/>
            <w:hideMark/>
          </w:tcPr>
          <w:p w14:paraId="4E338F8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25</w:t>
            </w:r>
          </w:p>
        </w:tc>
        <w:tc>
          <w:tcPr>
            <w:tcW w:w="649" w:type="dxa"/>
          </w:tcPr>
          <w:p w14:paraId="2B155B19"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noWrap/>
            <w:vAlign w:val="center"/>
            <w:hideMark/>
          </w:tcPr>
          <w:p w14:paraId="6D54A4FF"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634ABF73"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459F7F8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12EB8B2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tcPr>
          <w:p w14:paraId="7146F4DE"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tcPr>
          <w:p w14:paraId="4A2CD957"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hideMark/>
          </w:tcPr>
          <w:p w14:paraId="359ABFA3"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tcPr>
          <w:p w14:paraId="0CB6B2A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hideMark/>
          </w:tcPr>
          <w:p w14:paraId="57F13DE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5CDFF94A"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176B853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12E1859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70CDBA3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tcPr>
          <w:p w14:paraId="1F6D556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r>
      <w:tr w:rsidR="009123AC" w:rsidRPr="00F0379B" w14:paraId="17495A45" w14:textId="77777777" w:rsidTr="00CA749B">
        <w:trPr>
          <w:trHeight w:val="20"/>
        </w:trPr>
        <w:tc>
          <w:tcPr>
            <w:tcW w:w="2894" w:type="dxa"/>
            <w:noWrap/>
            <w:vAlign w:val="center"/>
            <w:hideMark/>
          </w:tcPr>
          <w:p w14:paraId="4F00C1FB"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Palangreros entre 24 y 40 m</w:t>
            </w:r>
          </w:p>
        </w:tc>
        <w:tc>
          <w:tcPr>
            <w:tcW w:w="2103" w:type="dxa"/>
            <w:noWrap/>
            <w:vAlign w:val="center"/>
            <w:hideMark/>
          </w:tcPr>
          <w:p w14:paraId="6B1E882F"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5,68</w:t>
            </w:r>
          </w:p>
        </w:tc>
        <w:tc>
          <w:tcPr>
            <w:tcW w:w="649" w:type="dxa"/>
          </w:tcPr>
          <w:p w14:paraId="0D5B504A"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noWrap/>
            <w:vAlign w:val="center"/>
            <w:hideMark/>
          </w:tcPr>
          <w:p w14:paraId="0323D8D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11434FAF"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5E54A54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7056325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tcPr>
          <w:p w14:paraId="35D63CBA"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tcPr>
          <w:p w14:paraId="76E46EA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hideMark/>
          </w:tcPr>
          <w:p w14:paraId="34750622"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tcPr>
          <w:p w14:paraId="087912B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hideMark/>
          </w:tcPr>
          <w:p w14:paraId="27CF60C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59BF8C07"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246BC010"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54B3DF4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1389B336"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tcPr>
          <w:p w14:paraId="24ACE13B"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r>
      <w:tr w:rsidR="009123AC" w:rsidRPr="00F0379B" w14:paraId="3BE838A5" w14:textId="77777777" w:rsidTr="00CA749B">
        <w:trPr>
          <w:trHeight w:val="20"/>
        </w:trPr>
        <w:tc>
          <w:tcPr>
            <w:tcW w:w="2894" w:type="dxa"/>
            <w:noWrap/>
            <w:vAlign w:val="center"/>
            <w:hideMark/>
          </w:tcPr>
          <w:p w14:paraId="7418C7A1"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Palangreros de menos de 24 m</w:t>
            </w:r>
          </w:p>
        </w:tc>
        <w:tc>
          <w:tcPr>
            <w:tcW w:w="2103" w:type="dxa"/>
            <w:noWrap/>
            <w:vAlign w:val="center"/>
            <w:hideMark/>
          </w:tcPr>
          <w:p w14:paraId="75AF5F06"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5</w:t>
            </w:r>
          </w:p>
        </w:tc>
        <w:tc>
          <w:tcPr>
            <w:tcW w:w="649" w:type="dxa"/>
          </w:tcPr>
          <w:p w14:paraId="63DD6CFA"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noWrap/>
            <w:vAlign w:val="center"/>
            <w:hideMark/>
          </w:tcPr>
          <w:p w14:paraId="40AAA02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6CCE5F70"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44304E23"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0C3277B3"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tcPr>
          <w:p w14:paraId="0726BF7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tcPr>
          <w:p w14:paraId="748CA706"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hideMark/>
          </w:tcPr>
          <w:p w14:paraId="52F08D1C"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tcPr>
          <w:p w14:paraId="716255CB"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hideMark/>
          </w:tcPr>
          <w:p w14:paraId="648238CA"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72C99AE3"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3B47D9D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4E7C21B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0B26F7FA"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tcPr>
          <w:p w14:paraId="7103DAA7"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r>
      <w:tr w:rsidR="009123AC" w:rsidRPr="00F0379B" w14:paraId="2BE5001D" w14:textId="77777777" w:rsidTr="00CA749B">
        <w:trPr>
          <w:trHeight w:val="20"/>
        </w:trPr>
        <w:tc>
          <w:tcPr>
            <w:tcW w:w="2894" w:type="dxa"/>
            <w:noWrap/>
            <w:vAlign w:val="center"/>
            <w:hideMark/>
          </w:tcPr>
          <w:p w14:paraId="56D1F512"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Total flota de palangre</w:t>
            </w:r>
          </w:p>
        </w:tc>
        <w:tc>
          <w:tcPr>
            <w:tcW w:w="2103" w:type="dxa"/>
            <w:noWrap/>
            <w:vAlign w:val="center"/>
            <w:hideMark/>
          </w:tcPr>
          <w:p w14:paraId="4FB3994B" w14:textId="77777777" w:rsidR="009123AC" w:rsidRPr="00F0379B" w:rsidRDefault="009123AC" w:rsidP="009123AC">
            <w:pPr>
              <w:widowControl w:val="0"/>
              <w:spacing w:after="0" w:line="240" w:lineRule="auto"/>
              <w:jc w:val="both"/>
              <w:rPr>
                <w:rFonts w:ascii="Times New Roman" w:eastAsia="Times New Roman" w:hAnsi="Times New Roman" w:cs="Times New Roman"/>
                <w:color w:val="000000"/>
                <w:sz w:val="18"/>
                <w:szCs w:val="18"/>
                <w:lang w:eastAsia="fr-FR" w:bidi="fr-FR"/>
              </w:rPr>
            </w:pPr>
            <w:r w:rsidRPr="00F0379B">
              <w:rPr>
                <w:rFonts w:ascii="Times New Roman" w:eastAsia="MS Gothic" w:hAnsi="Times New Roman" w:cs="Times New Roman"/>
                <w:color w:val="000000"/>
                <w:sz w:val="18"/>
                <w:szCs w:val="24"/>
                <w:lang w:eastAsia="fr-FR" w:bidi="fr-FR"/>
              </w:rPr>
              <w:t> </w:t>
            </w:r>
          </w:p>
        </w:tc>
        <w:tc>
          <w:tcPr>
            <w:tcW w:w="649" w:type="dxa"/>
          </w:tcPr>
          <w:p w14:paraId="380C9F59"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noWrap/>
            <w:vAlign w:val="center"/>
            <w:hideMark/>
          </w:tcPr>
          <w:p w14:paraId="5749EFA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4A7B96B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0252859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32DAA1E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tcPr>
          <w:p w14:paraId="0882FF4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c>
          <w:tcPr>
            <w:tcW w:w="0" w:type="auto"/>
            <w:vAlign w:val="center"/>
          </w:tcPr>
          <w:p w14:paraId="2488332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hideMark/>
          </w:tcPr>
          <w:p w14:paraId="181EB895"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0" w:type="auto"/>
            <w:vAlign w:val="center"/>
          </w:tcPr>
          <w:p w14:paraId="6D9BF10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c>
          <w:tcPr>
            <w:tcW w:w="0" w:type="auto"/>
            <w:vAlign w:val="center"/>
            <w:hideMark/>
          </w:tcPr>
          <w:p w14:paraId="127BD0D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3307ED2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522290B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1317A81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0D9900E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tcPr>
          <w:p w14:paraId="41C489B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r>
      <w:tr w:rsidR="009123AC" w:rsidRPr="00F0379B" w14:paraId="121B367B" w14:textId="77777777" w:rsidTr="00CA749B">
        <w:trPr>
          <w:trHeight w:val="20"/>
        </w:trPr>
        <w:tc>
          <w:tcPr>
            <w:tcW w:w="2894" w:type="dxa"/>
            <w:noWrap/>
            <w:vAlign w:val="center"/>
            <w:hideMark/>
          </w:tcPr>
          <w:p w14:paraId="0B4213F5"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Cebo vivo</w:t>
            </w:r>
            <w:r w:rsidRPr="00F0379B">
              <w:rPr>
                <w:rFonts w:ascii="Cambria" w:eastAsia="MS Gothic" w:hAnsi="Cambria" w:cs="Times New Roman"/>
                <w:color w:val="000000"/>
                <w:sz w:val="18"/>
                <w:szCs w:val="24"/>
                <w:vertAlign w:val="superscript"/>
                <w:lang w:eastAsia="fr-FR" w:bidi="fr-FR"/>
              </w:rPr>
              <w:t>3</w:t>
            </w:r>
          </w:p>
        </w:tc>
        <w:tc>
          <w:tcPr>
            <w:tcW w:w="2103" w:type="dxa"/>
            <w:noWrap/>
            <w:vAlign w:val="center"/>
            <w:hideMark/>
          </w:tcPr>
          <w:p w14:paraId="0104530F"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19,75</w:t>
            </w:r>
          </w:p>
        </w:tc>
        <w:tc>
          <w:tcPr>
            <w:tcW w:w="649" w:type="dxa"/>
          </w:tcPr>
          <w:p w14:paraId="1DF30AA4"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noWrap/>
            <w:vAlign w:val="center"/>
            <w:hideMark/>
          </w:tcPr>
          <w:p w14:paraId="0FEC052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6C8E8AC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336E380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2667B32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tcPr>
          <w:p w14:paraId="7351378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c>
          <w:tcPr>
            <w:tcW w:w="0" w:type="auto"/>
            <w:vAlign w:val="center"/>
          </w:tcPr>
          <w:p w14:paraId="0DCD58F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hideMark/>
          </w:tcPr>
          <w:p w14:paraId="19DAEADA"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0" w:type="auto"/>
            <w:vAlign w:val="center"/>
          </w:tcPr>
          <w:p w14:paraId="7E706EF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c>
          <w:tcPr>
            <w:tcW w:w="0" w:type="auto"/>
            <w:vAlign w:val="center"/>
            <w:hideMark/>
          </w:tcPr>
          <w:p w14:paraId="3A5E7F7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564C711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4D9C358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7CBF887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5AE3FF9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tcPr>
          <w:p w14:paraId="77D06E0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r>
      <w:tr w:rsidR="009123AC" w:rsidRPr="00F0379B" w14:paraId="51E279FC" w14:textId="77777777" w:rsidTr="00CA749B">
        <w:trPr>
          <w:trHeight w:val="20"/>
        </w:trPr>
        <w:tc>
          <w:tcPr>
            <w:tcW w:w="2894" w:type="dxa"/>
            <w:noWrap/>
            <w:vAlign w:val="center"/>
            <w:hideMark/>
          </w:tcPr>
          <w:p w14:paraId="3905B811"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Liña de mano</w:t>
            </w:r>
          </w:p>
        </w:tc>
        <w:tc>
          <w:tcPr>
            <w:tcW w:w="2103" w:type="dxa"/>
            <w:noWrap/>
            <w:vAlign w:val="center"/>
            <w:hideMark/>
          </w:tcPr>
          <w:p w14:paraId="2B734489"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5</w:t>
            </w:r>
          </w:p>
        </w:tc>
        <w:tc>
          <w:tcPr>
            <w:tcW w:w="649" w:type="dxa"/>
          </w:tcPr>
          <w:p w14:paraId="001905E1"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noWrap/>
            <w:vAlign w:val="center"/>
            <w:hideMark/>
          </w:tcPr>
          <w:p w14:paraId="5B032E80"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241BD353"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5A86CAB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001B3409"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tcPr>
          <w:p w14:paraId="2EA7EC2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tcPr>
          <w:p w14:paraId="7B1C48F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hideMark/>
          </w:tcPr>
          <w:p w14:paraId="072768E6"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tcPr>
          <w:p w14:paraId="0DEFF22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hideMark/>
          </w:tcPr>
          <w:p w14:paraId="4928CD2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3D524F7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19BF7853"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6177D7C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4D9EB08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tcPr>
          <w:p w14:paraId="5BE7422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r>
      <w:tr w:rsidR="009123AC" w:rsidRPr="00F0379B" w14:paraId="028E6223" w14:textId="77777777" w:rsidTr="00CA749B">
        <w:trPr>
          <w:trHeight w:val="20"/>
        </w:trPr>
        <w:tc>
          <w:tcPr>
            <w:tcW w:w="2894" w:type="dxa"/>
            <w:noWrap/>
            <w:vAlign w:val="center"/>
            <w:hideMark/>
          </w:tcPr>
          <w:p w14:paraId="786E96E1"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Arrastrero</w:t>
            </w:r>
          </w:p>
        </w:tc>
        <w:tc>
          <w:tcPr>
            <w:tcW w:w="2103" w:type="dxa"/>
            <w:noWrap/>
            <w:vAlign w:val="center"/>
            <w:hideMark/>
          </w:tcPr>
          <w:p w14:paraId="459F29E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10</w:t>
            </w:r>
          </w:p>
        </w:tc>
        <w:tc>
          <w:tcPr>
            <w:tcW w:w="649" w:type="dxa"/>
          </w:tcPr>
          <w:p w14:paraId="06166533"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noWrap/>
            <w:vAlign w:val="center"/>
            <w:hideMark/>
          </w:tcPr>
          <w:p w14:paraId="2434FB7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1F9EF47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30147D73"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1D1D7BE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tcPr>
          <w:p w14:paraId="0F27C9BB"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tcPr>
          <w:p w14:paraId="0472B8DE"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hideMark/>
          </w:tcPr>
          <w:p w14:paraId="402ADD63"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tcPr>
          <w:p w14:paraId="477BF66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hideMark/>
          </w:tcPr>
          <w:p w14:paraId="79A8CCA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5BBFC01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663A013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5A4D44F0"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hideMark/>
          </w:tcPr>
          <w:p w14:paraId="615AA099"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vAlign w:val="center"/>
          </w:tcPr>
          <w:p w14:paraId="6CCFFF9F"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r>
      <w:tr w:rsidR="009123AC" w:rsidRPr="00F0379B" w14:paraId="4B4314CF" w14:textId="77777777" w:rsidTr="00CA749B">
        <w:trPr>
          <w:trHeight w:val="20"/>
        </w:trPr>
        <w:tc>
          <w:tcPr>
            <w:tcW w:w="2894" w:type="dxa"/>
            <w:noWrap/>
            <w:vAlign w:val="center"/>
            <w:hideMark/>
          </w:tcPr>
          <w:p w14:paraId="2B57976E"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Almadraba</w:t>
            </w:r>
          </w:p>
        </w:tc>
        <w:tc>
          <w:tcPr>
            <w:tcW w:w="2103" w:type="dxa"/>
            <w:noWrap/>
            <w:vAlign w:val="center"/>
            <w:hideMark/>
          </w:tcPr>
          <w:p w14:paraId="5A593213"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130</w:t>
            </w:r>
          </w:p>
        </w:tc>
        <w:tc>
          <w:tcPr>
            <w:tcW w:w="649" w:type="dxa"/>
          </w:tcPr>
          <w:p w14:paraId="2AE2EEF3"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noWrap/>
            <w:vAlign w:val="center"/>
            <w:hideMark/>
          </w:tcPr>
          <w:p w14:paraId="5EF5B74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1384A77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631A1C9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7BC7667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tcPr>
          <w:p w14:paraId="2BB35B2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c>
          <w:tcPr>
            <w:tcW w:w="0" w:type="auto"/>
            <w:vAlign w:val="center"/>
          </w:tcPr>
          <w:p w14:paraId="1ABD5C69"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hideMark/>
          </w:tcPr>
          <w:p w14:paraId="6D8EEF2D"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0" w:type="auto"/>
            <w:vAlign w:val="center"/>
          </w:tcPr>
          <w:p w14:paraId="1F7A72A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c>
          <w:tcPr>
            <w:tcW w:w="0" w:type="auto"/>
            <w:vAlign w:val="center"/>
            <w:hideMark/>
          </w:tcPr>
          <w:p w14:paraId="378E554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6A69627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67F491B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2C8691F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419B6A7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tcPr>
          <w:p w14:paraId="024FD24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r>
      <w:tr w:rsidR="009123AC" w:rsidRPr="00F0379B" w14:paraId="107BDA01" w14:textId="77777777" w:rsidTr="00CA749B">
        <w:trPr>
          <w:trHeight w:val="20"/>
        </w:trPr>
        <w:tc>
          <w:tcPr>
            <w:tcW w:w="2894" w:type="dxa"/>
            <w:vAlign w:val="center"/>
            <w:hideMark/>
          </w:tcPr>
          <w:p w14:paraId="67821E51"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xml:space="preserve">Pequeños barcos costeros </w:t>
            </w:r>
          </w:p>
        </w:tc>
        <w:tc>
          <w:tcPr>
            <w:tcW w:w="2103" w:type="dxa"/>
            <w:noWrap/>
            <w:vAlign w:val="center"/>
            <w:hideMark/>
          </w:tcPr>
          <w:p w14:paraId="05D20776"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No aplicable</w:t>
            </w:r>
          </w:p>
        </w:tc>
        <w:tc>
          <w:tcPr>
            <w:tcW w:w="649" w:type="dxa"/>
          </w:tcPr>
          <w:p w14:paraId="6574DAE9"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noWrap/>
            <w:vAlign w:val="center"/>
            <w:hideMark/>
          </w:tcPr>
          <w:p w14:paraId="4EFEFA7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26DB1DD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3F158C7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38B986C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tcPr>
          <w:p w14:paraId="4074047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c>
          <w:tcPr>
            <w:tcW w:w="0" w:type="auto"/>
            <w:vAlign w:val="center"/>
          </w:tcPr>
          <w:p w14:paraId="3DDD0FD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hideMark/>
          </w:tcPr>
          <w:p w14:paraId="64B5A28A"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0" w:type="auto"/>
            <w:vAlign w:val="center"/>
          </w:tcPr>
          <w:p w14:paraId="2729768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c>
          <w:tcPr>
            <w:tcW w:w="0" w:type="auto"/>
            <w:vAlign w:val="center"/>
            <w:hideMark/>
          </w:tcPr>
          <w:p w14:paraId="7CB3FBB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1FCBA46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626F851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6B51DCF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3E968AC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tcPr>
          <w:p w14:paraId="3056E42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r>
      <w:tr w:rsidR="009123AC" w:rsidRPr="00F0379B" w14:paraId="56D5C4AA" w14:textId="77777777" w:rsidTr="00CA749B">
        <w:trPr>
          <w:trHeight w:val="20"/>
        </w:trPr>
        <w:tc>
          <w:tcPr>
            <w:tcW w:w="2894" w:type="dxa"/>
            <w:vAlign w:val="center"/>
            <w:hideMark/>
          </w:tcPr>
          <w:p w14:paraId="7A671B6C"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Otros (especificar)</w:t>
            </w:r>
          </w:p>
        </w:tc>
        <w:tc>
          <w:tcPr>
            <w:tcW w:w="2103" w:type="dxa"/>
            <w:noWrap/>
            <w:vAlign w:val="center"/>
            <w:hideMark/>
          </w:tcPr>
          <w:p w14:paraId="6093EDE0"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5</w:t>
            </w:r>
          </w:p>
        </w:tc>
        <w:tc>
          <w:tcPr>
            <w:tcW w:w="649" w:type="dxa"/>
          </w:tcPr>
          <w:p w14:paraId="26199D18"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noWrap/>
            <w:vAlign w:val="center"/>
            <w:hideMark/>
          </w:tcPr>
          <w:p w14:paraId="3FAC58B7"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51D44AC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5844CBF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6252AF1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tcPr>
          <w:p w14:paraId="191484D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c>
          <w:tcPr>
            <w:tcW w:w="0" w:type="auto"/>
            <w:vAlign w:val="center"/>
          </w:tcPr>
          <w:p w14:paraId="4339D4E6"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hideMark/>
          </w:tcPr>
          <w:p w14:paraId="1CA94164"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0" w:type="auto"/>
            <w:vAlign w:val="center"/>
          </w:tcPr>
          <w:p w14:paraId="243E57E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c>
          <w:tcPr>
            <w:tcW w:w="0" w:type="auto"/>
            <w:vAlign w:val="center"/>
            <w:hideMark/>
          </w:tcPr>
          <w:p w14:paraId="06BEB95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5DDA286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154E09A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6DD4677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hideMark/>
          </w:tcPr>
          <w:p w14:paraId="089305D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p>
        </w:tc>
        <w:tc>
          <w:tcPr>
            <w:tcW w:w="0" w:type="auto"/>
            <w:vAlign w:val="center"/>
          </w:tcPr>
          <w:p w14:paraId="0B54FF6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r>
      <w:tr w:rsidR="009123AC" w:rsidRPr="00F0379B" w14:paraId="19D019C9" w14:textId="77777777" w:rsidTr="00CA749B">
        <w:trPr>
          <w:trHeight w:val="20"/>
        </w:trPr>
        <w:tc>
          <w:tcPr>
            <w:tcW w:w="2894" w:type="dxa"/>
            <w:noWrap/>
            <w:vAlign w:val="center"/>
            <w:hideMark/>
          </w:tcPr>
          <w:p w14:paraId="61E68FD6" w14:textId="77777777" w:rsidR="009123AC" w:rsidRPr="00F0379B" w:rsidRDefault="009123AC" w:rsidP="009123AC">
            <w:pPr>
              <w:widowControl w:val="0"/>
              <w:spacing w:after="0" w:line="240" w:lineRule="auto"/>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Capacidad pesquera/flota total</w:t>
            </w:r>
          </w:p>
        </w:tc>
        <w:tc>
          <w:tcPr>
            <w:tcW w:w="2103" w:type="dxa"/>
            <w:noWrap/>
            <w:vAlign w:val="center"/>
            <w:hideMark/>
          </w:tcPr>
          <w:p w14:paraId="6528FC07"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649" w:type="dxa"/>
            <w:vAlign w:val="center"/>
          </w:tcPr>
          <w:p w14:paraId="705978F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noWrap/>
            <w:vAlign w:val="center"/>
            <w:hideMark/>
          </w:tcPr>
          <w:p w14:paraId="3382DFE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hideMark/>
          </w:tcPr>
          <w:p w14:paraId="3ED41C5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1</w:t>
            </w:r>
          </w:p>
        </w:tc>
        <w:tc>
          <w:tcPr>
            <w:tcW w:w="0" w:type="auto"/>
            <w:vAlign w:val="center"/>
            <w:hideMark/>
          </w:tcPr>
          <w:p w14:paraId="6A50591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hideMark/>
          </w:tcPr>
          <w:p w14:paraId="2776FAF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1</w:t>
            </w:r>
          </w:p>
        </w:tc>
        <w:tc>
          <w:tcPr>
            <w:tcW w:w="0" w:type="auto"/>
            <w:vAlign w:val="center"/>
          </w:tcPr>
          <w:p w14:paraId="1A8671E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tcPr>
          <w:p w14:paraId="32CC902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r w:rsidRPr="00F0379B">
              <w:rPr>
                <w:rFonts w:ascii="Cambria" w:eastAsia="Times New Roman" w:hAnsi="Cambria" w:cs="Calibri"/>
                <w:b/>
                <w:bCs/>
                <w:color w:val="000000"/>
                <w:sz w:val="18"/>
                <w:szCs w:val="18"/>
                <w:lang w:eastAsia="ja-JP" w:bidi="fr-FR"/>
              </w:rPr>
              <w:t>5</w:t>
            </w:r>
          </w:p>
        </w:tc>
        <w:tc>
          <w:tcPr>
            <w:tcW w:w="0" w:type="auto"/>
            <w:shd w:val="clear" w:color="000000" w:fill="D9D9D9"/>
            <w:vAlign w:val="center"/>
            <w:hideMark/>
          </w:tcPr>
          <w:p w14:paraId="6CC2C47D"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0" w:type="auto"/>
            <w:vAlign w:val="center"/>
          </w:tcPr>
          <w:p w14:paraId="06F8E29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hideMark/>
          </w:tcPr>
          <w:p w14:paraId="1519024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hideMark/>
          </w:tcPr>
          <w:p w14:paraId="7B797F0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33,68</w:t>
            </w:r>
          </w:p>
        </w:tc>
        <w:tc>
          <w:tcPr>
            <w:tcW w:w="0" w:type="auto"/>
            <w:noWrap/>
            <w:vAlign w:val="center"/>
            <w:hideMark/>
          </w:tcPr>
          <w:p w14:paraId="7F0B784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noWrap/>
            <w:vAlign w:val="center"/>
            <w:hideMark/>
          </w:tcPr>
          <w:p w14:paraId="761206F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33,68</w:t>
            </w:r>
          </w:p>
        </w:tc>
        <w:tc>
          <w:tcPr>
            <w:tcW w:w="0" w:type="auto"/>
            <w:noWrap/>
            <w:vAlign w:val="center"/>
            <w:hideMark/>
          </w:tcPr>
          <w:p w14:paraId="2CA152F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tcPr>
          <w:p w14:paraId="43F7F07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216,7</w:t>
            </w:r>
          </w:p>
        </w:tc>
      </w:tr>
      <w:tr w:rsidR="009123AC" w:rsidRPr="00F0379B" w14:paraId="504A52FE" w14:textId="77777777" w:rsidTr="00CA749B">
        <w:trPr>
          <w:trHeight w:val="20"/>
        </w:trPr>
        <w:tc>
          <w:tcPr>
            <w:tcW w:w="2894" w:type="dxa"/>
            <w:shd w:val="clear" w:color="auto" w:fill="D9D9D9"/>
            <w:noWrap/>
            <w:vAlign w:val="center"/>
            <w:hideMark/>
          </w:tcPr>
          <w:p w14:paraId="5F79FBB9"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Cuota inicial</w:t>
            </w:r>
          </w:p>
        </w:tc>
        <w:tc>
          <w:tcPr>
            <w:tcW w:w="2103" w:type="dxa"/>
            <w:shd w:val="clear" w:color="auto" w:fill="D9D9D9"/>
            <w:noWrap/>
            <w:vAlign w:val="center"/>
            <w:hideMark/>
          </w:tcPr>
          <w:p w14:paraId="65BAE1E3" w14:textId="77777777" w:rsidR="009123AC" w:rsidRPr="00F0379B" w:rsidRDefault="009123AC" w:rsidP="009123AC">
            <w:pPr>
              <w:widowControl w:val="0"/>
              <w:spacing w:after="0" w:line="240" w:lineRule="auto"/>
              <w:jc w:val="right"/>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49" w:type="dxa"/>
            <w:shd w:val="clear" w:color="auto" w:fill="D9D9D9"/>
          </w:tcPr>
          <w:p w14:paraId="4D78C111"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shd w:val="clear" w:color="auto" w:fill="D9D9D9"/>
            <w:noWrap/>
            <w:vAlign w:val="center"/>
            <w:hideMark/>
          </w:tcPr>
          <w:p w14:paraId="2C938FD4"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shd w:val="clear" w:color="auto" w:fill="D9D9D9"/>
            <w:vAlign w:val="center"/>
            <w:hideMark/>
          </w:tcPr>
          <w:p w14:paraId="34018C03"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shd w:val="clear" w:color="auto" w:fill="D9D9D9"/>
            <w:vAlign w:val="center"/>
            <w:hideMark/>
          </w:tcPr>
          <w:p w14:paraId="3A651A52"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shd w:val="clear" w:color="auto" w:fill="D9D9D9"/>
            <w:vAlign w:val="center"/>
            <w:hideMark/>
          </w:tcPr>
          <w:p w14:paraId="53AF7D5A"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shd w:val="clear" w:color="auto" w:fill="D9D9D9"/>
          </w:tcPr>
          <w:p w14:paraId="0E68BD11"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shd w:val="clear" w:color="auto" w:fill="D9D9D9"/>
          </w:tcPr>
          <w:p w14:paraId="6329E0B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auto" w:fill="D9D9D9"/>
            <w:vAlign w:val="center"/>
            <w:hideMark/>
          </w:tcPr>
          <w:p w14:paraId="589E6E0C"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shd w:val="clear" w:color="auto" w:fill="D9D9D9"/>
            <w:vAlign w:val="center"/>
          </w:tcPr>
          <w:p w14:paraId="50F0AA9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w:t>
            </w:r>
          </w:p>
        </w:tc>
        <w:tc>
          <w:tcPr>
            <w:tcW w:w="0" w:type="auto"/>
            <w:shd w:val="clear" w:color="auto" w:fill="D9D9D9"/>
            <w:vAlign w:val="center"/>
            <w:hideMark/>
          </w:tcPr>
          <w:p w14:paraId="3BCD095F"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w:t>
            </w:r>
          </w:p>
        </w:tc>
        <w:tc>
          <w:tcPr>
            <w:tcW w:w="0" w:type="auto"/>
            <w:shd w:val="clear" w:color="auto" w:fill="D9D9D9"/>
            <w:vAlign w:val="center"/>
            <w:hideMark/>
          </w:tcPr>
          <w:p w14:paraId="43ED42E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66</w:t>
            </w:r>
          </w:p>
        </w:tc>
        <w:tc>
          <w:tcPr>
            <w:tcW w:w="0" w:type="auto"/>
            <w:shd w:val="clear" w:color="auto" w:fill="D9D9D9"/>
            <w:vAlign w:val="center"/>
            <w:hideMark/>
          </w:tcPr>
          <w:p w14:paraId="002D478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129</w:t>
            </w:r>
          </w:p>
        </w:tc>
        <w:tc>
          <w:tcPr>
            <w:tcW w:w="0" w:type="auto"/>
            <w:shd w:val="clear" w:color="auto" w:fill="D9D9D9"/>
            <w:vAlign w:val="center"/>
            <w:hideMark/>
          </w:tcPr>
          <w:p w14:paraId="641DE02E"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129</w:t>
            </w:r>
          </w:p>
        </w:tc>
        <w:tc>
          <w:tcPr>
            <w:tcW w:w="0" w:type="auto"/>
            <w:shd w:val="clear" w:color="auto" w:fill="D9D9D9"/>
            <w:vAlign w:val="center"/>
            <w:hideMark/>
          </w:tcPr>
          <w:p w14:paraId="692E324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129</w:t>
            </w:r>
          </w:p>
        </w:tc>
        <w:tc>
          <w:tcPr>
            <w:tcW w:w="0" w:type="auto"/>
            <w:shd w:val="clear" w:color="auto" w:fill="D9D9D9"/>
            <w:vAlign w:val="center"/>
          </w:tcPr>
          <w:p w14:paraId="2C4AE54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238</w:t>
            </w:r>
          </w:p>
        </w:tc>
      </w:tr>
      <w:tr w:rsidR="009123AC" w:rsidRPr="00F0379B" w14:paraId="252FE339" w14:textId="77777777" w:rsidTr="00CA749B">
        <w:trPr>
          <w:trHeight w:val="20"/>
        </w:trPr>
        <w:tc>
          <w:tcPr>
            <w:tcW w:w="2894" w:type="dxa"/>
            <w:shd w:val="clear" w:color="auto" w:fill="D9D9D9"/>
            <w:noWrap/>
            <w:vAlign w:val="center"/>
          </w:tcPr>
          <w:p w14:paraId="4E5ECCB0"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Cuota ajustada (si procede)</w:t>
            </w:r>
          </w:p>
        </w:tc>
        <w:tc>
          <w:tcPr>
            <w:tcW w:w="2103" w:type="dxa"/>
            <w:shd w:val="clear" w:color="auto" w:fill="D9D9D9"/>
            <w:noWrap/>
            <w:vAlign w:val="center"/>
          </w:tcPr>
          <w:p w14:paraId="25DF63CA" w14:textId="77777777" w:rsidR="009123AC" w:rsidRPr="00F0379B" w:rsidRDefault="009123AC" w:rsidP="009123AC">
            <w:pPr>
              <w:widowControl w:val="0"/>
              <w:spacing w:after="0" w:line="240" w:lineRule="auto"/>
              <w:jc w:val="right"/>
              <w:rPr>
                <w:rFonts w:ascii="Cambria" w:eastAsia="Times New Roman" w:hAnsi="Cambria" w:cs="Calibri"/>
                <w:color w:val="000000"/>
                <w:sz w:val="18"/>
                <w:szCs w:val="18"/>
                <w:lang w:eastAsia="ja-JP" w:bidi="fr-FR"/>
              </w:rPr>
            </w:pPr>
          </w:p>
        </w:tc>
        <w:tc>
          <w:tcPr>
            <w:tcW w:w="649" w:type="dxa"/>
            <w:shd w:val="clear" w:color="auto" w:fill="D9D9D9"/>
          </w:tcPr>
          <w:p w14:paraId="06040CC9"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shd w:val="clear" w:color="auto" w:fill="D9D9D9"/>
            <w:noWrap/>
            <w:vAlign w:val="center"/>
          </w:tcPr>
          <w:p w14:paraId="646B2AAC"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shd w:val="clear" w:color="auto" w:fill="D9D9D9"/>
            <w:vAlign w:val="center"/>
          </w:tcPr>
          <w:p w14:paraId="7E50F667"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shd w:val="clear" w:color="auto" w:fill="D9D9D9"/>
            <w:vAlign w:val="center"/>
          </w:tcPr>
          <w:p w14:paraId="0309B92B"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shd w:val="clear" w:color="auto" w:fill="D9D9D9"/>
            <w:vAlign w:val="center"/>
          </w:tcPr>
          <w:p w14:paraId="271161E4"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shd w:val="clear" w:color="auto" w:fill="D9D9D9"/>
          </w:tcPr>
          <w:p w14:paraId="60E5354E"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shd w:val="clear" w:color="auto" w:fill="D9D9D9"/>
          </w:tcPr>
          <w:p w14:paraId="543ADB2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auto" w:fill="D9D9D9"/>
            <w:vAlign w:val="center"/>
          </w:tcPr>
          <w:p w14:paraId="70F59378"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shd w:val="clear" w:color="auto" w:fill="D9D9D9"/>
            <w:vAlign w:val="center"/>
          </w:tcPr>
          <w:p w14:paraId="182766EB"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w:t>
            </w:r>
          </w:p>
        </w:tc>
        <w:tc>
          <w:tcPr>
            <w:tcW w:w="0" w:type="auto"/>
            <w:shd w:val="clear" w:color="auto" w:fill="D9D9D9"/>
            <w:vAlign w:val="center"/>
          </w:tcPr>
          <w:p w14:paraId="3AA416D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w:t>
            </w:r>
          </w:p>
        </w:tc>
        <w:tc>
          <w:tcPr>
            <w:tcW w:w="0" w:type="auto"/>
            <w:shd w:val="clear" w:color="auto" w:fill="D9D9D9"/>
            <w:vAlign w:val="center"/>
          </w:tcPr>
          <w:p w14:paraId="440C3AC6" w14:textId="77777777" w:rsidR="009123AC" w:rsidRPr="00F0379B" w:rsidRDefault="009123AC" w:rsidP="009123AC">
            <w:pPr>
              <w:widowControl w:val="0"/>
              <w:spacing w:after="0" w:line="240" w:lineRule="auto"/>
              <w:jc w:val="center"/>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0"/>
                <w:lang w:eastAsia="fr-FR" w:bidi="fr-FR"/>
              </w:rPr>
              <w:t>NA</w:t>
            </w:r>
          </w:p>
        </w:tc>
        <w:tc>
          <w:tcPr>
            <w:tcW w:w="0" w:type="auto"/>
            <w:shd w:val="clear" w:color="auto" w:fill="D9D9D9"/>
            <w:vAlign w:val="center"/>
          </w:tcPr>
          <w:p w14:paraId="24379885" w14:textId="77777777" w:rsidR="009123AC" w:rsidRPr="00F0379B" w:rsidRDefault="009123AC" w:rsidP="009123AC">
            <w:pPr>
              <w:widowControl w:val="0"/>
              <w:spacing w:after="0" w:line="240" w:lineRule="auto"/>
              <w:jc w:val="center"/>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0"/>
                <w:lang w:eastAsia="fr-FR" w:bidi="fr-FR"/>
              </w:rPr>
              <w:t>1</w:t>
            </w:r>
          </w:p>
        </w:tc>
        <w:tc>
          <w:tcPr>
            <w:tcW w:w="0" w:type="auto"/>
            <w:shd w:val="clear" w:color="auto" w:fill="D9D9D9"/>
            <w:vAlign w:val="center"/>
          </w:tcPr>
          <w:p w14:paraId="03E2F0F3" w14:textId="77777777" w:rsidR="009123AC" w:rsidRPr="00F0379B" w:rsidRDefault="009123AC" w:rsidP="009123AC">
            <w:pPr>
              <w:widowControl w:val="0"/>
              <w:spacing w:after="0" w:line="240" w:lineRule="auto"/>
              <w:jc w:val="center"/>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0"/>
                <w:lang w:eastAsia="fr-FR" w:bidi="fr-FR"/>
              </w:rPr>
              <w:t>NA</w:t>
            </w:r>
          </w:p>
        </w:tc>
        <w:tc>
          <w:tcPr>
            <w:tcW w:w="0" w:type="auto"/>
            <w:shd w:val="clear" w:color="auto" w:fill="D9D9D9"/>
            <w:vAlign w:val="center"/>
          </w:tcPr>
          <w:p w14:paraId="34424A75" w14:textId="77777777" w:rsidR="009123AC" w:rsidRPr="00F0379B" w:rsidRDefault="009123AC" w:rsidP="009123AC">
            <w:pPr>
              <w:widowControl w:val="0"/>
              <w:spacing w:after="0" w:line="240" w:lineRule="auto"/>
              <w:jc w:val="center"/>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0"/>
                <w:lang w:eastAsia="fr-FR" w:bidi="fr-FR"/>
              </w:rPr>
              <w:t>1</w:t>
            </w:r>
          </w:p>
        </w:tc>
        <w:tc>
          <w:tcPr>
            <w:tcW w:w="0" w:type="auto"/>
            <w:shd w:val="clear" w:color="auto" w:fill="D9D9D9"/>
            <w:vAlign w:val="center"/>
          </w:tcPr>
          <w:p w14:paraId="6E2F3C79" w14:textId="77777777" w:rsidR="009123AC" w:rsidRPr="00F0379B" w:rsidRDefault="009123AC" w:rsidP="009123AC">
            <w:pPr>
              <w:widowControl w:val="0"/>
              <w:spacing w:after="0" w:line="240" w:lineRule="auto"/>
              <w:jc w:val="center"/>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0"/>
                <w:lang w:eastAsia="fr-FR" w:bidi="fr-FR"/>
              </w:rPr>
              <w:t>NA</w:t>
            </w:r>
          </w:p>
        </w:tc>
      </w:tr>
      <w:tr w:rsidR="009123AC" w:rsidRPr="00F0379B" w14:paraId="306E43B1" w14:textId="77777777" w:rsidTr="00CA749B">
        <w:trPr>
          <w:trHeight w:val="20"/>
        </w:trPr>
        <w:tc>
          <w:tcPr>
            <w:tcW w:w="2894" w:type="dxa"/>
            <w:noWrap/>
            <w:vAlign w:val="center"/>
            <w:hideMark/>
          </w:tcPr>
          <w:p w14:paraId="392CBF86"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Porcentaje asignado a captura fortuita</w:t>
            </w:r>
          </w:p>
        </w:tc>
        <w:tc>
          <w:tcPr>
            <w:tcW w:w="2103" w:type="dxa"/>
            <w:noWrap/>
            <w:vAlign w:val="center"/>
            <w:hideMark/>
          </w:tcPr>
          <w:p w14:paraId="04BC4BE7" w14:textId="77777777" w:rsidR="009123AC" w:rsidRPr="00F0379B" w:rsidRDefault="009123AC" w:rsidP="009123AC">
            <w:pPr>
              <w:widowControl w:val="0"/>
              <w:spacing w:after="0" w:line="240" w:lineRule="auto"/>
              <w:jc w:val="right"/>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49" w:type="dxa"/>
          </w:tcPr>
          <w:p w14:paraId="46B896B0"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noWrap/>
            <w:vAlign w:val="center"/>
            <w:hideMark/>
          </w:tcPr>
          <w:p w14:paraId="3279B980"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02CE3BFF"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3CE0469B"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03017F28"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tcPr>
          <w:p w14:paraId="6B77D9A6"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tcPr>
          <w:p w14:paraId="6FE5B76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hideMark/>
          </w:tcPr>
          <w:p w14:paraId="5AB901BE"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tcPr>
          <w:p w14:paraId="0684B97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w:t>
            </w:r>
          </w:p>
        </w:tc>
        <w:tc>
          <w:tcPr>
            <w:tcW w:w="0" w:type="auto"/>
            <w:vAlign w:val="center"/>
            <w:hideMark/>
          </w:tcPr>
          <w:p w14:paraId="2CCB726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w:t>
            </w:r>
          </w:p>
        </w:tc>
        <w:tc>
          <w:tcPr>
            <w:tcW w:w="0" w:type="auto"/>
            <w:vAlign w:val="center"/>
            <w:hideMark/>
          </w:tcPr>
          <w:p w14:paraId="13F0BC67"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w:t>
            </w:r>
          </w:p>
        </w:tc>
        <w:tc>
          <w:tcPr>
            <w:tcW w:w="0" w:type="auto"/>
            <w:vAlign w:val="center"/>
            <w:hideMark/>
          </w:tcPr>
          <w:p w14:paraId="15786CE0"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0,8%</w:t>
            </w:r>
          </w:p>
        </w:tc>
        <w:tc>
          <w:tcPr>
            <w:tcW w:w="0" w:type="auto"/>
            <w:vAlign w:val="center"/>
            <w:hideMark/>
          </w:tcPr>
          <w:p w14:paraId="47F57C5B"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0,8%</w:t>
            </w:r>
          </w:p>
        </w:tc>
        <w:tc>
          <w:tcPr>
            <w:tcW w:w="0" w:type="auto"/>
            <w:vAlign w:val="center"/>
            <w:hideMark/>
          </w:tcPr>
          <w:p w14:paraId="2FB084A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0,8%</w:t>
            </w:r>
          </w:p>
        </w:tc>
        <w:tc>
          <w:tcPr>
            <w:tcW w:w="0" w:type="auto"/>
            <w:vAlign w:val="center"/>
          </w:tcPr>
          <w:p w14:paraId="21DCD89A"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0,4%</w:t>
            </w:r>
          </w:p>
        </w:tc>
      </w:tr>
      <w:tr w:rsidR="009123AC" w:rsidRPr="00F0379B" w14:paraId="24903A5F" w14:textId="77777777" w:rsidTr="00CA749B">
        <w:trPr>
          <w:trHeight w:val="20"/>
        </w:trPr>
        <w:tc>
          <w:tcPr>
            <w:tcW w:w="2894" w:type="dxa"/>
            <w:noWrap/>
            <w:vAlign w:val="center"/>
          </w:tcPr>
          <w:p w14:paraId="1127BC8A"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Asignación a la captura fortuita</w:t>
            </w:r>
          </w:p>
        </w:tc>
        <w:tc>
          <w:tcPr>
            <w:tcW w:w="2103" w:type="dxa"/>
            <w:noWrap/>
            <w:vAlign w:val="center"/>
          </w:tcPr>
          <w:p w14:paraId="3C78A870" w14:textId="77777777" w:rsidR="009123AC" w:rsidRPr="00F0379B" w:rsidRDefault="009123AC" w:rsidP="009123AC">
            <w:pPr>
              <w:widowControl w:val="0"/>
              <w:spacing w:after="0" w:line="240" w:lineRule="auto"/>
              <w:jc w:val="right"/>
              <w:rPr>
                <w:rFonts w:ascii="Cambria" w:eastAsia="Times New Roman" w:hAnsi="Cambria" w:cs="Calibri"/>
                <w:color w:val="000000"/>
                <w:sz w:val="18"/>
                <w:szCs w:val="18"/>
                <w:lang w:eastAsia="ja-JP" w:bidi="fr-FR"/>
              </w:rPr>
            </w:pPr>
          </w:p>
        </w:tc>
        <w:tc>
          <w:tcPr>
            <w:tcW w:w="649" w:type="dxa"/>
          </w:tcPr>
          <w:p w14:paraId="7BE2B444"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noWrap/>
            <w:vAlign w:val="center"/>
          </w:tcPr>
          <w:p w14:paraId="432A7DE7"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vAlign w:val="center"/>
          </w:tcPr>
          <w:p w14:paraId="502CE1A8"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vAlign w:val="center"/>
          </w:tcPr>
          <w:p w14:paraId="64D9C298"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vAlign w:val="center"/>
          </w:tcPr>
          <w:p w14:paraId="110B35E3"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tcPr>
          <w:p w14:paraId="761EF1D2"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tcPr>
          <w:p w14:paraId="1C2FF383"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tcPr>
          <w:p w14:paraId="769DA38E"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vAlign w:val="center"/>
          </w:tcPr>
          <w:p w14:paraId="18987CEB"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tcPr>
          <w:p w14:paraId="2CFD0070"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tcPr>
          <w:p w14:paraId="0106A3F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tcPr>
          <w:p w14:paraId="76CC844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w:t>
            </w:r>
          </w:p>
        </w:tc>
        <w:tc>
          <w:tcPr>
            <w:tcW w:w="0" w:type="auto"/>
            <w:vAlign w:val="center"/>
          </w:tcPr>
          <w:p w14:paraId="1EFAAFC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w:t>
            </w:r>
          </w:p>
        </w:tc>
        <w:tc>
          <w:tcPr>
            <w:tcW w:w="0" w:type="auto"/>
            <w:vAlign w:val="center"/>
          </w:tcPr>
          <w:p w14:paraId="1236DFA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w:t>
            </w:r>
          </w:p>
        </w:tc>
        <w:tc>
          <w:tcPr>
            <w:tcW w:w="0" w:type="auto"/>
            <w:vAlign w:val="center"/>
          </w:tcPr>
          <w:p w14:paraId="5E2DF80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w:t>
            </w:r>
          </w:p>
        </w:tc>
      </w:tr>
      <w:tr w:rsidR="009123AC" w:rsidRPr="00F0379B" w14:paraId="3F2FDC78" w14:textId="77777777" w:rsidTr="00CA749B">
        <w:trPr>
          <w:trHeight w:val="20"/>
        </w:trPr>
        <w:tc>
          <w:tcPr>
            <w:tcW w:w="2894" w:type="dxa"/>
            <w:vAlign w:val="center"/>
          </w:tcPr>
          <w:p w14:paraId="4C1C1997"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Cuota para investigación científica (si procede)</w:t>
            </w:r>
          </w:p>
        </w:tc>
        <w:tc>
          <w:tcPr>
            <w:tcW w:w="2103" w:type="dxa"/>
            <w:noWrap/>
            <w:vAlign w:val="center"/>
          </w:tcPr>
          <w:p w14:paraId="6D0E8FD8" w14:textId="77777777" w:rsidR="009123AC" w:rsidRPr="00F0379B" w:rsidRDefault="009123AC" w:rsidP="009123AC">
            <w:pPr>
              <w:widowControl w:val="0"/>
              <w:spacing w:after="0" w:line="240" w:lineRule="auto"/>
              <w:jc w:val="right"/>
              <w:rPr>
                <w:rFonts w:ascii="Cambria" w:eastAsia="Times New Roman" w:hAnsi="Cambria" w:cs="Calibri"/>
                <w:b/>
                <w:bCs/>
                <w:color w:val="000000"/>
                <w:sz w:val="18"/>
                <w:szCs w:val="18"/>
                <w:lang w:eastAsia="ja-JP" w:bidi="fr-FR"/>
              </w:rPr>
            </w:pPr>
          </w:p>
        </w:tc>
        <w:tc>
          <w:tcPr>
            <w:tcW w:w="649" w:type="dxa"/>
          </w:tcPr>
          <w:p w14:paraId="62B13113"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noWrap/>
            <w:vAlign w:val="center"/>
          </w:tcPr>
          <w:p w14:paraId="42B49D6A"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vAlign w:val="center"/>
          </w:tcPr>
          <w:p w14:paraId="2607BA7C"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vAlign w:val="center"/>
          </w:tcPr>
          <w:p w14:paraId="1189EBC2"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vAlign w:val="center"/>
          </w:tcPr>
          <w:p w14:paraId="73263A9B"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tcPr>
          <w:p w14:paraId="1CA330F1"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tcPr>
          <w:p w14:paraId="3B993EEE"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tcPr>
          <w:p w14:paraId="010FFED7"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vAlign w:val="center"/>
          </w:tcPr>
          <w:p w14:paraId="5DB0316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c>
          <w:tcPr>
            <w:tcW w:w="0" w:type="auto"/>
            <w:vAlign w:val="center"/>
          </w:tcPr>
          <w:p w14:paraId="4B65330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c>
          <w:tcPr>
            <w:tcW w:w="0" w:type="auto"/>
            <w:vAlign w:val="center"/>
          </w:tcPr>
          <w:p w14:paraId="0464B38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c>
          <w:tcPr>
            <w:tcW w:w="0" w:type="auto"/>
            <w:noWrap/>
            <w:vAlign w:val="center"/>
          </w:tcPr>
          <w:p w14:paraId="2648C75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c>
          <w:tcPr>
            <w:tcW w:w="0" w:type="auto"/>
            <w:noWrap/>
            <w:vAlign w:val="center"/>
          </w:tcPr>
          <w:p w14:paraId="511356E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c>
          <w:tcPr>
            <w:tcW w:w="0" w:type="auto"/>
            <w:noWrap/>
            <w:vAlign w:val="center"/>
          </w:tcPr>
          <w:p w14:paraId="6DF8B127"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c>
          <w:tcPr>
            <w:tcW w:w="0" w:type="auto"/>
            <w:vAlign w:val="center"/>
          </w:tcPr>
          <w:p w14:paraId="78B126F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ja-JP" w:bidi="fr-FR"/>
              </w:rPr>
            </w:pPr>
          </w:p>
        </w:tc>
      </w:tr>
      <w:tr w:rsidR="009123AC" w:rsidRPr="00F0379B" w14:paraId="3F799604" w14:textId="77777777" w:rsidTr="00CA749B">
        <w:trPr>
          <w:trHeight w:val="20"/>
        </w:trPr>
        <w:tc>
          <w:tcPr>
            <w:tcW w:w="2894" w:type="dxa"/>
            <w:vAlign w:val="center"/>
          </w:tcPr>
          <w:p w14:paraId="2A29B73F" w14:textId="77777777" w:rsidR="009123AC" w:rsidRPr="00F0379B" w:rsidRDefault="009123AC" w:rsidP="009123AC">
            <w:pPr>
              <w:widowControl w:val="0"/>
              <w:spacing w:after="0" w:line="240" w:lineRule="auto"/>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Tolerancia para pesca deportiva/de recreo (si procede)</w:t>
            </w:r>
          </w:p>
        </w:tc>
        <w:tc>
          <w:tcPr>
            <w:tcW w:w="2103" w:type="dxa"/>
            <w:noWrap/>
            <w:vAlign w:val="center"/>
          </w:tcPr>
          <w:p w14:paraId="1D67A296" w14:textId="77777777" w:rsidR="009123AC" w:rsidRPr="00F0379B" w:rsidRDefault="009123AC" w:rsidP="009123AC">
            <w:pPr>
              <w:widowControl w:val="0"/>
              <w:spacing w:after="0" w:line="240" w:lineRule="auto"/>
              <w:jc w:val="right"/>
              <w:rPr>
                <w:rFonts w:ascii="Cambria" w:eastAsia="Times New Roman" w:hAnsi="Cambria" w:cs="Calibri"/>
                <w:b/>
                <w:bCs/>
                <w:color w:val="000000"/>
                <w:sz w:val="18"/>
                <w:szCs w:val="18"/>
                <w:lang w:eastAsia="ja-JP" w:bidi="fr-FR"/>
              </w:rPr>
            </w:pPr>
          </w:p>
        </w:tc>
        <w:tc>
          <w:tcPr>
            <w:tcW w:w="649" w:type="dxa"/>
          </w:tcPr>
          <w:p w14:paraId="2BD51EE6"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noWrap/>
            <w:vAlign w:val="center"/>
          </w:tcPr>
          <w:p w14:paraId="2A0F1F32"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vAlign w:val="center"/>
          </w:tcPr>
          <w:p w14:paraId="212C7923"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vAlign w:val="center"/>
          </w:tcPr>
          <w:p w14:paraId="4230017E"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vAlign w:val="center"/>
          </w:tcPr>
          <w:p w14:paraId="46B60714"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tcPr>
          <w:p w14:paraId="503A6EF8"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tcPr>
          <w:p w14:paraId="6CBFFEBA"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tcPr>
          <w:p w14:paraId="1C9C0F39"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vAlign w:val="center"/>
          </w:tcPr>
          <w:p w14:paraId="2A00B5A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tcPr>
          <w:p w14:paraId="7846A1F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tcPr>
          <w:p w14:paraId="48C12F37"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noWrap/>
            <w:vAlign w:val="center"/>
          </w:tcPr>
          <w:p w14:paraId="363D35C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noWrap/>
            <w:vAlign w:val="center"/>
          </w:tcPr>
          <w:p w14:paraId="6544391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noWrap/>
            <w:vAlign w:val="center"/>
          </w:tcPr>
          <w:p w14:paraId="054E99C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tcPr>
          <w:p w14:paraId="336EDF4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r>
      <w:tr w:rsidR="009123AC" w:rsidRPr="00F0379B" w14:paraId="75BAE715" w14:textId="77777777" w:rsidTr="00CA749B">
        <w:trPr>
          <w:trHeight w:val="20"/>
        </w:trPr>
        <w:tc>
          <w:tcPr>
            <w:tcW w:w="2894" w:type="dxa"/>
            <w:vAlign w:val="center"/>
          </w:tcPr>
          <w:p w14:paraId="367CF9C3"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Cuota disponible</w:t>
            </w:r>
          </w:p>
        </w:tc>
        <w:tc>
          <w:tcPr>
            <w:tcW w:w="2103" w:type="dxa"/>
            <w:noWrap/>
            <w:vAlign w:val="center"/>
          </w:tcPr>
          <w:p w14:paraId="73866D4D" w14:textId="77777777" w:rsidR="009123AC" w:rsidRPr="00F0379B" w:rsidRDefault="009123AC" w:rsidP="009123AC">
            <w:pPr>
              <w:widowControl w:val="0"/>
              <w:spacing w:after="0" w:line="240" w:lineRule="auto"/>
              <w:jc w:val="right"/>
              <w:rPr>
                <w:rFonts w:ascii="Cambria" w:eastAsia="Times New Roman" w:hAnsi="Cambria" w:cs="Calibri"/>
                <w:b/>
                <w:bCs/>
                <w:color w:val="000000"/>
                <w:sz w:val="18"/>
                <w:szCs w:val="18"/>
                <w:lang w:eastAsia="ja-JP" w:bidi="fr-FR"/>
              </w:rPr>
            </w:pPr>
          </w:p>
        </w:tc>
        <w:tc>
          <w:tcPr>
            <w:tcW w:w="649" w:type="dxa"/>
          </w:tcPr>
          <w:p w14:paraId="071C1D69"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noWrap/>
            <w:vAlign w:val="center"/>
          </w:tcPr>
          <w:p w14:paraId="5CA0F120"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vAlign w:val="center"/>
          </w:tcPr>
          <w:p w14:paraId="254F4A5E"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vAlign w:val="center"/>
          </w:tcPr>
          <w:p w14:paraId="6DE4C7A5"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vAlign w:val="center"/>
          </w:tcPr>
          <w:p w14:paraId="7CCBFA6D"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tcPr>
          <w:p w14:paraId="3853209C"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tcPr>
          <w:p w14:paraId="6816C1A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tcPr>
          <w:p w14:paraId="4C0F5033"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ja-JP" w:bidi="fr-FR"/>
              </w:rPr>
            </w:pPr>
          </w:p>
        </w:tc>
        <w:tc>
          <w:tcPr>
            <w:tcW w:w="0" w:type="auto"/>
            <w:vAlign w:val="center"/>
          </w:tcPr>
          <w:p w14:paraId="0284810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tcPr>
          <w:p w14:paraId="3056D4D7"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tcPr>
          <w:p w14:paraId="0E301A2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66</w:t>
            </w:r>
          </w:p>
        </w:tc>
        <w:tc>
          <w:tcPr>
            <w:tcW w:w="0" w:type="auto"/>
            <w:noWrap/>
            <w:vAlign w:val="center"/>
          </w:tcPr>
          <w:p w14:paraId="6667C65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noWrap/>
            <w:vAlign w:val="center"/>
          </w:tcPr>
          <w:p w14:paraId="3631140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128</w:t>
            </w:r>
          </w:p>
        </w:tc>
        <w:tc>
          <w:tcPr>
            <w:tcW w:w="0" w:type="auto"/>
            <w:noWrap/>
            <w:vAlign w:val="center"/>
          </w:tcPr>
          <w:p w14:paraId="13DB411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0</w:t>
            </w:r>
          </w:p>
        </w:tc>
        <w:tc>
          <w:tcPr>
            <w:tcW w:w="0" w:type="auto"/>
            <w:vAlign w:val="center"/>
          </w:tcPr>
          <w:p w14:paraId="5D5DE22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237</w:t>
            </w:r>
          </w:p>
        </w:tc>
      </w:tr>
      <w:tr w:rsidR="009123AC" w:rsidRPr="00F0379B" w14:paraId="2CAA5BB0" w14:textId="77777777" w:rsidTr="00CA749B">
        <w:trPr>
          <w:trHeight w:val="20"/>
        </w:trPr>
        <w:tc>
          <w:tcPr>
            <w:tcW w:w="2894" w:type="dxa"/>
            <w:shd w:val="clear" w:color="auto" w:fill="D9D9D9"/>
            <w:noWrap/>
            <w:vAlign w:val="center"/>
            <w:hideMark/>
          </w:tcPr>
          <w:p w14:paraId="1E4011CF" w14:textId="77777777" w:rsidR="009123AC" w:rsidRPr="00F0379B" w:rsidRDefault="009123AC" w:rsidP="009123AC">
            <w:pPr>
              <w:widowControl w:val="0"/>
              <w:spacing w:after="0" w:line="240" w:lineRule="auto"/>
              <w:rPr>
                <w:rFonts w:ascii="Cambria" w:eastAsia="Times New Roman" w:hAnsi="Cambria" w:cs="Calibri"/>
                <w:b/>
                <w:bCs/>
                <w:color w:val="000000"/>
                <w:sz w:val="18"/>
                <w:szCs w:val="18"/>
                <w:lang w:eastAsia="fr-FR" w:bidi="fr-FR"/>
              </w:rPr>
            </w:pPr>
            <w:proofErr w:type="spellStart"/>
            <w:r w:rsidRPr="00F0379B">
              <w:rPr>
                <w:rFonts w:ascii="Cambria" w:eastAsia="MS Gothic" w:hAnsi="Cambria" w:cs="Times New Roman"/>
                <w:b/>
                <w:color w:val="000000"/>
                <w:sz w:val="18"/>
                <w:szCs w:val="24"/>
                <w:lang w:eastAsia="fr-FR" w:bidi="fr-FR"/>
              </w:rPr>
              <w:t>Subcapacidad</w:t>
            </w:r>
            <w:proofErr w:type="spellEnd"/>
            <w:r w:rsidRPr="00F0379B">
              <w:rPr>
                <w:rFonts w:ascii="Cambria" w:eastAsia="MS Gothic" w:hAnsi="Cambria" w:cs="Times New Roman"/>
                <w:b/>
                <w:color w:val="000000"/>
                <w:sz w:val="18"/>
                <w:szCs w:val="24"/>
                <w:lang w:eastAsia="fr-FR" w:bidi="fr-FR"/>
              </w:rPr>
              <w:t>/exceso de capacidad</w:t>
            </w:r>
          </w:p>
        </w:tc>
        <w:tc>
          <w:tcPr>
            <w:tcW w:w="2103" w:type="dxa"/>
            <w:shd w:val="clear" w:color="auto" w:fill="D9D9D9"/>
            <w:noWrap/>
            <w:vAlign w:val="center"/>
            <w:hideMark/>
          </w:tcPr>
          <w:p w14:paraId="1AF7EB5F" w14:textId="77777777" w:rsidR="009123AC" w:rsidRPr="00F0379B" w:rsidRDefault="009123AC" w:rsidP="009123AC">
            <w:pPr>
              <w:widowControl w:val="0"/>
              <w:spacing w:after="0" w:line="240" w:lineRule="auto"/>
              <w:jc w:val="right"/>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49" w:type="dxa"/>
            <w:shd w:val="clear" w:color="auto" w:fill="D9D9D9"/>
          </w:tcPr>
          <w:p w14:paraId="340D65B1"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shd w:val="clear" w:color="auto" w:fill="D9D9D9"/>
            <w:noWrap/>
            <w:vAlign w:val="center"/>
            <w:hideMark/>
          </w:tcPr>
          <w:p w14:paraId="01030A67"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shd w:val="clear" w:color="auto" w:fill="D9D9D9"/>
            <w:vAlign w:val="center"/>
            <w:hideMark/>
          </w:tcPr>
          <w:p w14:paraId="6CB2AF63"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shd w:val="clear" w:color="auto" w:fill="D9D9D9"/>
            <w:vAlign w:val="center"/>
            <w:hideMark/>
          </w:tcPr>
          <w:p w14:paraId="1DFF5BFC"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shd w:val="clear" w:color="auto" w:fill="D9D9D9"/>
            <w:vAlign w:val="center"/>
            <w:hideMark/>
          </w:tcPr>
          <w:p w14:paraId="68788AAB"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shd w:val="clear" w:color="auto" w:fill="D9D9D9"/>
          </w:tcPr>
          <w:p w14:paraId="736C9DD5"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shd w:val="clear" w:color="auto" w:fill="D9D9D9"/>
          </w:tcPr>
          <w:p w14:paraId="28EFDACF"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auto" w:fill="D9D9D9"/>
            <w:vAlign w:val="center"/>
            <w:hideMark/>
          </w:tcPr>
          <w:p w14:paraId="14A9F65E"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shd w:val="clear" w:color="auto" w:fill="D9D9D9"/>
            <w:vAlign w:val="center"/>
          </w:tcPr>
          <w:p w14:paraId="575D2C5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auto" w:fill="D9D9D9"/>
            <w:vAlign w:val="center"/>
            <w:hideMark/>
          </w:tcPr>
          <w:p w14:paraId="2C7B0EA7"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0" w:type="auto"/>
            <w:shd w:val="clear" w:color="auto" w:fill="D9D9D9"/>
            <w:vAlign w:val="center"/>
            <w:hideMark/>
          </w:tcPr>
          <w:p w14:paraId="07EDD89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-32,32</w:t>
            </w:r>
          </w:p>
        </w:tc>
        <w:tc>
          <w:tcPr>
            <w:tcW w:w="0" w:type="auto"/>
            <w:shd w:val="clear" w:color="auto" w:fill="D9D9D9"/>
            <w:vAlign w:val="center"/>
            <w:hideMark/>
          </w:tcPr>
          <w:p w14:paraId="4A9BBE80"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0" w:type="auto"/>
            <w:shd w:val="clear" w:color="auto" w:fill="D9D9D9"/>
            <w:vAlign w:val="center"/>
            <w:hideMark/>
          </w:tcPr>
          <w:p w14:paraId="53E80892"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-94,32</w:t>
            </w:r>
          </w:p>
        </w:tc>
        <w:tc>
          <w:tcPr>
            <w:tcW w:w="0" w:type="auto"/>
            <w:shd w:val="clear" w:color="auto" w:fill="D9D9D9"/>
            <w:vAlign w:val="center"/>
            <w:hideMark/>
          </w:tcPr>
          <w:p w14:paraId="079D9B3D"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0</w:t>
            </w:r>
          </w:p>
        </w:tc>
        <w:tc>
          <w:tcPr>
            <w:tcW w:w="0" w:type="auto"/>
            <w:shd w:val="clear" w:color="auto" w:fill="D9D9D9"/>
            <w:vAlign w:val="center"/>
          </w:tcPr>
          <w:p w14:paraId="4459309A" w14:textId="77777777" w:rsidR="009123AC" w:rsidRPr="00F0379B" w:rsidRDefault="009123AC" w:rsidP="009123AC">
            <w:pPr>
              <w:widowControl w:val="0"/>
              <w:spacing w:after="0" w:line="240" w:lineRule="auto"/>
              <w:jc w:val="center"/>
              <w:rPr>
                <w:rFonts w:ascii="Cambria" w:eastAsia="Times New Roman" w:hAnsi="Cambria" w:cs="Calibri"/>
                <w:color w:val="000000"/>
                <w:sz w:val="16"/>
                <w:lang w:eastAsia="fr-FR" w:bidi="fr-FR"/>
              </w:rPr>
            </w:pPr>
            <w:r w:rsidRPr="00F0379B">
              <w:rPr>
                <w:rFonts w:ascii="Cambria" w:eastAsia="MS Gothic" w:hAnsi="Cambria" w:cs="Times New Roman"/>
                <w:color w:val="000000"/>
                <w:sz w:val="16"/>
                <w:lang w:eastAsia="fr-FR" w:bidi="fr-FR"/>
              </w:rPr>
              <w:t>-20,3</w:t>
            </w:r>
          </w:p>
        </w:tc>
      </w:tr>
    </w:tbl>
    <w:p w14:paraId="1E8C3D51" w14:textId="77777777" w:rsidR="009123AC" w:rsidRPr="00F0379B" w:rsidRDefault="009123AC" w:rsidP="009123AC">
      <w:pPr>
        <w:tabs>
          <w:tab w:val="left" w:pos="142"/>
        </w:tabs>
        <w:spacing w:after="0" w:line="240" w:lineRule="auto"/>
        <w:rPr>
          <w:rFonts w:ascii="Cambria" w:eastAsia="MS Gothic" w:hAnsi="Cambria" w:cs="Times New Roman"/>
          <w:sz w:val="20"/>
          <w:szCs w:val="20"/>
          <w:lang w:eastAsia="fr-FR" w:bidi="fr-FR"/>
        </w:rPr>
      </w:pPr>
      <w:r w:rsidRPr="00F0379B">
        <w:rPr>
          <w:rFonts w:ascii="Cambria" w:eastAsia="MS Gothic" w:hAnsi="Cambria" w:cs="Times New Roman"/>
          <w:color w:val="000000"/>
          <w:sz w:val="16"/>
          <w:szCs w:val="24"/>
          <w:lang w:eastAsia="fr-FR" w:bidi="fr-FR"/>
        </w:rPr>
        <w:t xml:space="preserve"> </w:t>
      </w:r>
    </w:p>
    <w:p w14:paraId="0518FFC1" w14:textId="77777777" w:rsidR="009123AC" w:rsidRPr="00F0379B" w:rsidRDefault="009123AC" w:rsidP="009123AC">
      <w:pPr>
        <w:suppressAutoHyphens/>
        <w:spacing w:after="0" w:line="240" w:lineRule="auto"/>
        <w:rPr>
          <w:rFonts w:ascii="Times New Roman" w:eastAsia="MS Gothic" w:hAnsi="Times New Roman" w:cs="Times New Roman"/>
          <w:color w:val="000000"/>
          <w:sz w:val="24"/>
          <w:szCs w:val="24"/>
          <w:lang w:eastAsia="zh-CN" w:bidi="fr-FR"/>
        </w:rPr>
        <w:sectPr w:rsidR="009123AC" w:rsidRPr="00F0379B" w:rsidSect="009123AC">
          <w:footnotePr>
            <w:numFmt w:val="chicago"/>
          </w:footnotePr>
          <w:pgSz w:w="16838" w:h="11906" w:orient="landscape" w:code="9"/>
          <w:pgMar w:top="1418" w:right="1418" w:bottom="1418" w:left="1418" w:header="851" w:footer="1134" w:gutter="0"/>
          <w:cols w:space="425"/>
          <w:docGrid w:linePitch="360"/>
        </w:sectPr>
      </w:pPr>
    </w:p>
    <w:p w14:paraId="2B1852DA" w14:textId="642C81C1" w:rsidR="009123AC" w:rsidRPr="00F0379B" w:rsidRDefault="009123AC" w:rsidP="009123AC">
      <w:pPr>
        <w:widowControl w:val="0"/>
        <w:spacing w:after="0" w:line="240" w:lineRule="auto"/>
        <w:jc w:val="both"/>
        <w:rPr>
          <w:rFonts w:ascii="Cambria" w:eastAsia="MS Gothic" w:hAnsi="Cambria" w:cs="Times New Roman"/>
          <w:b/>
          <w:sz w:val="20"/>
          <w:szCs w:val="20"/>
          <w:lang w:val="pt-PT" w:eastAsia="fr-FR" w:bidi="fr-FR"/>
        </w:rPr>
      </w:pPr>
      <w:r w:rsidRPr="00F0379B">
        <w:rPr>
          <w:rFonts w:ascii="Cambria" w:eastAsia="MS Gothic" w:hAnsi="Cambria" w:cs="Times New Roman"/>
          <w:b/>
          <w:bCs/>
          <w:sz w:val="20"/>
          <w:szCs w:val="20"/>
          <w:lang w:val="pt-PT" w:eastAsia="fr-FR" w:bidi="fr-FR"/>
        </w:rPr>
        <w:t>Túnez</w:t>
      </w:r>
    </w:p>
    <w:p w14:paraId="5F2F3076" w14:textId="77777777" w:rsidR="009123AC" w:rsidRPr="00F0379B" w:rsidRDefault="009123AC" w:rsidP="009123AC">
      <w:pPr>
        <w:widowControl w:val="0"/>
        <w:spacing w:after="0" w:line="240" w:lineRule="auto"/>
        <w:jc w:val="both"/>
        <w:rPr>
          <w:rFonts w:ascii="Cambria" w:eastAsia="MS Gothic" w:hAnsi="Cambria" w:cs="Times New Roman"/>
          <w:sz w:val="20"/>
          <w:szCs w:val="20"/>
          <w:lang w:val="pt-PT" w:eastAsia="fr-FR" w:bidi="fr-FR"/>
        </w:rPr>
      </w:pPr>
    </w:p>
    <w:p w14:paraId="306312B5"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0"/>
          <w:lang w:eastAsia="fr-FR" w:bidi="fr-FR"/>
        </w:rPr>
        <w:t>Año del plan de pesca: 2026</w:t>
      </w:r>
    </w:p>
    <w:p w14:paraId="63D17C8C"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76A3FC0B" w14:textId="77777777" w:rsidR="009123AC" w:rsidRPr="00F0379B" w:rsidRDefault="009123AC" w:rsidP="009123AC">
      <w:pPr>
        <w:widowControl w:val="0"/>
        <w:spacing w:after="0" w:line="240" w:lineRule="auto"/>
        <w:jc w:val="both"/>
        <w:rPr>
          <w:rFonts w:ascii="Cambria" w:eastAsia="MS Gothic" w:hAnsi="Cambria" w:cs="Times New Roman"/>
          <w:bCs/>
          <w:sz w:val="20"/>
          <w:szCs w:val="20"/>
          <w:lang w:eastAsia="fr-FR" w:bidi="fr-FR"/>
        </w:rPr>
      </w:pPr>
      <w:r w:rsidRPr="00F0379B">
        <w:rPr>
          <w:rFonts w:ascii="Cambria" w:eastAsia="MS Gothic" w:hAnsi="Cambria" w:cs="Times New Roman"/>
          <w:bCs/>
          <w:sz w:val="20"/>
          <w:szCs w:val="20"/>
          <w:lang w:eastAsia="fr-FR" w:bidi="fr-FR"/>
        </w:rPr>
        <w:t xml:space="preserve">Túnez ha establecido sus planes de pesca, cría, inspección y ordenación de la capacidad para el atún rojo para el año 2026 en virtud de las disposiciones de la </w:t>
      </w:r>
      <w:r w:rsidRPr="00F0379B">
        <w:rPr>
          <w:rFonts w:ascii="Cambria" w:eastAsia="MS Gothic" w:hAnsi="Cambria" w:cs="Times New Roman"/>
          <w:bCs/>
          <w:i/>
          <w:iCs/>
          <w:sz w:val="20"/>
          <w:szCs w:val="20"/>
          <w:lang w:eastAsia="fr-FR" w:bidi="fr-FR"/>
        </w:rPr>
        <w:t xml:space="preserve">Recomendación de ICCAT que reemplaza la Recomendación 24-05 que establece un plan de ordenación plurianual para el atún rojo en el Atlántico este y el Mediterráneo </w:t>
      </w:r>
      <w:r w:rsidRPr="00F0379B">
        <w:rPr>
          <w:rFonts w:ascii="Cambria" w:eastAsia="MS Gothic" w:hAnsi="Cambria" w:cs="Times New Roman"/>
          <w:bCs/>
          <w:sz w:val="20"/>
          <w:szCs w:val="20"/>
          <w:lang w:eastAsia="fr-FR" w:bidi="fr-FR"/>
        </w:rPr>
        <w:t>(Rec. 25-04).</w:t>
      </w:r>
    </w:p>
    <w:p w14:paraId="0C093580"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58561A95"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7A46B0F9" w14:textId="77777777" w:rsidR="009123AC" w:rsidRPr="00F0379B" w:rsidRDefault="009123AC" w:rsidP="00CE0EC8">
      <w:pPr>
        <w:widowControl w:val="0"/>
        <w:numPr>
          <w:ilvl w:val="0"/>
          <w:numId w:val="64"/>
        </w:numPr>
        <w:spacing w:after="0" w:line="240" w:lineRule="auto"/>
        <w:ind w:left="426" w:hanging="426"/>
        <w:contextualSpacing/>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0"/>
          <w:lang w:eastAsia="fr-FR" w:bidi="fr-FR"/>
        </w:rPr>
        <w:t>Detalles del plan anual de pesca para los buques de captura y las almadrabas</w:t>
      </w:r>
    </w:p>
    <w:p w14:paraId="0500416A"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75DA23D8" w14:textId="77777777" w:rsidR="009123AC" w:rsidRPr="00F0379B" w:rsidRDefault="009123AC" w:rsidP="009123AC">
      <w:pPr>
        <w:widowControl w:val="0"/>
        <w:spacing w:after="0" w:line="240" w:lineRule="auto"/>
        <w:jc w:val="both"/>
        <w:rPr>
          <w:rFonts w:ascii="Cambria" w:eastAsia="MS Gothic" w:hAnsi="Cambria" w:cs="Times New Roman"/>
          <w:b/>
          <w:bCs/>
          <w:i/>
          <w:iCs/>
          <w:color w:val="000000"/>
          <w:sz w:val="20"/>
          <w:szCs w:val="20"/>
          <w:lang w:eastAsia="fr-FR" w:bidi="fr-FR"/>
        </w:rPr>
      </w:pPr>
      <w:bookmarkStart w:id="21" w:name="_Hlk158807321"/>
      <w:r w:rsidRPr="00F0379B">
        <w:rPr>
          <w:rFonts w:ascii="Cambria" w:eastAsia="MS Gothic" w:hAnsi="Cambria" w:cs="Times New Roman"/>
          <w:b/>
          <w:bCs/>
          <w:i/>
          <w:iCs/>
          <w:color w:val="000000"/>
          <w:sz w:val="20"/>
          <w:szCs w:val="20"/>
          <w:lang w:eastAsia="fr-FR" w:bidi="fr-FR"/>
        </w:rPr>
        <w:t>1 a) Presentación (párr. 12)</w:t>
      </w:r>
    </w:p>
    <w:bookmarkEnd w:id="21"/>
    <w:p w14:paraId="4C9E1958" w14:textId="77777777" w:rsidR="009123AC" w:rsidRPr="00F0379B" w:rsidRDefault="009123AC" w:rsidP="009123AC">
      <w:pPr>
        <w:widowControl w:val="0"/>
        <w:spacing w:after="0" w:line="240" w:lineRule="auto"/>
        <w:jc w:val="both"/>
        <w:rPr>
          <w:rFonts w:ascii="Cambria" w:eastAsia="MS Gothic" w:hAnsi="Cambria" w:cs="Times New Roman"/>
          <w:b/>
          <w:bCs/>
          <w:i/>
          <w:iCs/>
          <w:color w:val="000000"/>
          <w:sz w:val="20"/>
          <w:szCs w:val="20"/>
          <w:lang w:eastAsia="fr-FR" w:bidi="fr-FR"/>
        </w:rPr>
      </w:pPr>
    </w:p>
    <w:p w14:paraId="683F12D1" w14:textId="77777777" w:rsidR="009123AC" w:rsidRPr="00F0379B" w:rsidRDefault="009123AC" w:rsidP="009123AC">
      <w:pPr>
        <w:widowControl w:val="0"/>
        <w:spacing w:after="0" w:line="240" w:lineRule="auto"/>
        <w:jc w:val="both"/>
        <w:rPr>
          <w:rFonts w:ascii="Cambria" w:eastAsia="MS Gothic" w:hAnsi="Cambria" w:cs="Times New Roman"/>
          <w:bCs/>
          <w:color w:val="000000"/>
          <w:sz w:val="20"/>
          <w:szCs w:val="20"/>
          <w:lang w:eastAsia="fr-FR" w:bidi="fr-FR"/>
        </w:rPr>
      </w:pPr>
      <w:r w:rsidRPr="00F0379B">
        <w:rPr>
          <w:rFonts w:ascii="Cambria" w:eastAsia="MS Gothic" w:hAnsi="Cambria" w:cs="Times New Roman"/>
          <w:bCs/>
          <w:color w:val="000000"/>
          <w:sz w:val="20"/>
          <w:szCs w:val="20"/>
          <w:lang w:eastAsia="fr-FR" w:bidi="fr-FR"/>
        </w:rPr>
        <w:t>La cuota de pesca de atún rojo del Atlántico este y Mediterráneo asignada a Túnez para 2026 es de 3.508,85 t (párrafo 4 de la Rec. 25-04). Se ha ajustado a 3.528,55 t para tener en cuenta el traspaso del remanente de 19,7 t registrado en 2025, como se explica a continuación.</w:t>
      </w:r>
    </w:p>
    <w:p w14:paraId="56C1D190"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649161E5" w14:textId="77777777" w:rsidR="009123AC" w:rsidRPr="00F0379B" w:rsidRDefault="009123AC" w:rsidP="009123AC">
      <w:pPr>
        <w:widowControl w:val="0"/>
        <w:spacing w:after="0" w:line="240" w:lineRule="auto"/>
        <w:jc w:val="both"/>
        <w:rPr>
          <w:rFonts w:ascii="Cambria" w:eastAsia="MS Gothic" w:hAnsi="Cambria" w:cs="Times New Roman"/>
          <w:bCs/>
          <w:sz w:val="20"/>
          <w:szCs w:val="20"/>
          <w:lang w:eastAsia="fr-FR" w:bidi="fr-FR"/>
        </w:rPr>
      </w:pPr>
      <w:r w:rsidRPr="00F0379B">
        <w:rPr>
          <w:rFonts w:ascii="Cambria" w:eastAsia="MS Gothic" w:hAnsi="Cambria" w:cs="Times New Roman"/>
          <w:color w:val="000000"/>
          <w:sz w:val="20"/>
          <w:szCs w:val="20"/>
          <w:lang w:eastAsia="fr-FR" w:bidi="fr-FR"/>
        </w:rPr>
        <w:t>76 cerqueros, que utilizan únicamente redes de cerco, pescarán activamente atún rojo durante la temporada de pesca de 2026.</w:t>
      </w:r>
    </w:p>
    <w:p w14:paraId="38656D34" w14:textId="77777777" w:rsidR="009123AC" w:rsidRPr="00F0379B" w:rsidRDefault="009123AC" w:rsidP="009123AC">
      <w:pPr>
        <w:widowControl w:val="0"/>
        <w:spacing w:after="0" w:line="240" w:lineRule="auto"/>
        <w:jc w:val="both"/>
        <w:rPr>
          <w:rFonts w:ascii="Cambria" w:eastAsia="MS Gothic" w:hAnsi="Cambria" w:cs="Times New Roman"/>
          <w:bCs/>
          <w:sz w:val="20"/>
          <w:szCs w:val="20"/>
          <w:lang w:eastAsia="fr-FR" w:bidi="fr-FR"/>
        </w:rPr>
      </w:pPr>
    </w:p>
    <w:p w14:paraId="261B23A8" w14:textId="77777777" w:rsidR="009123AC" w:rsidRPr="00F0379B" w:rsidRDefault="009123AC" w:rsidP="009123AC">
      <w:pPr>
        <w:widowControl w:val="0"/>
        <w:spacing w:after="0" w:line="240" w:lineRule="auto"/>
        <w:jc w:val="both"/>
        <w:rPr>
          <w:rFonts w:ascii="Cambria" w:eastAsia="MS Gothic" w:hAnsi="Cambria" w:cs="Times New Roman"/>
          <w:bCs/>
          <w:sz w:val="20"/>
          <w:szCs w:val="20"/>
          <w:lang w:eastAsia="fr-FR" w:bidi="fr-FR"/>
        </w:rPr>
      </w:pPr>
      <w:r w:rsidRPr="00F0379B">
        <w:rPr>
          <w:rFonts w:ascii="Cambria" w:eastAsia="MS Gothic" w:hAnsi="Cambria" w:cs="Times New Roman"/>
          <w:bCs/>
          <w:sz w:val="20"/>
          <w:szCs w:val="20"/>
          <w:lang w:eastAsia="fr-FR" w:bidi="fr-FR"/>
        </w:rPr>
        <w:t xml:space="preserve">De acuerdo con la metodología establecida por ICCAT (niveles de capturas y gamas de eslora), la administración tunecina fijará cuotas individuales. </w:t>
      </w:r>
    </w:p>
    <w:p w14:paraId="7A33AD9C" w14:textId="77777777" w:rsidR="009123AC" w:rsidRPr="00F0379B" w:rsidRDefault="009123AC" w:rsidP="009123AC">
      <w:pPr>
        <w:widowControl w:val="0"/>
        <w:spacing w:after="0" w:line="240" w:lineRule="auto"/>
        <w:jc w:val="both"/>
        <w:rPr>
          <w:rFonts w:ascii="Cambria" w:eastAsia="MS Gothic" w:hAnsi="Cambria" w:cs="Times New Roman"/>
          <w:bCs/>
          <w:sz w:val="20"/>
          <w:szCs w:val="20"/>
          <w:lang w:eastAsia="fr-FR" w:bidi="fr-FR"/>
        </w:rPr>
      </w:pPr>
    </w:p>
    <w:p w14:paraId="2B9821C0"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Para ello, Túnez expedirá en su momento las autorizaciones de pesca a dichos buques, cuya lista se comunicará a ICCAT en los plazos previstos.</w:t>
      </w:r>
    </w:p>
    <w:p w14:paraId="065381C5"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4CA60CD3"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rtl/>
          <w:lang w:eastAsia="fr-FR" w:bidi="fr-FR"/>
        </w:rPr>
      </w:pPr>
      <w:r w:rsidRPr="00F0379B">
        <w:rPr>
          <w:rFonts w:ascii="Cambria" w:eastAsia="MS Gothic" w:hAnsi="Cambria" w:cs="Times New Roman"/>
          <w:color w:val="000000"/>
          <w:sz w:val="20"/>
          <w:szCs w:val="20"/>
          <w:lang w:eastAsia="fr-FR" w:bidi="fr-FR"/>
        </w:rPr>
        <w:t>Para cumplir con los requisitos de ICCAT, Túnez ha adoptado una serie de medidas para el seguimiento permanente e instantáneo de la temporada de pesca (párrafo 12 de la Rec. 25-04), entre las que se incluye el sistema de comunicación de información entre los caladeros y la autoridad competente. En su enfoque inicial, este sistema garantiza:</w:t>
      </w:r>
    </w:p>
    <w:p w14:paraId="1946E594" w14:textId="77777777" w:rsidR="009123AC" w:rsidRPr="00F0379B" w:rsidRDefault="009123AC" w:rsidP="009123AC">
      <w:pPr>
        <w:widowControl w:val="0"/>
        <w:spacing w:after="0" w:line="240" w:lineRule="auto"/>
        <w:ind w:left="851"/>
        <w:contextualSpacing/>
        <w:jc w:val="both"/>
        <w:rPr>
          <w:rFonts w:ascii="Cambria" w:eastAsia="MS Gothic" w:hAnsi="Cambria" w:cs="Times New Roman"/>
          <w:color w:val="000000"/>
          <w:sz w:val="20"/>
          <w:szCs w:val="20"/>
          <w:lang w:eastAsia="fr-FR" w:bidi="fr-FR"/>
        </w:rPr>
      </w:pPr>
    </w:p>
    <w:p w14:paraId="4FE219F5" w14:textId="77777777" w:rsidR="009123AC" w:rsidRPr="00F0379B" w:rsidRDefault="009123AC" w:rsidP="00CE0EC8">
      <w:pPr>
        <w:widowControl w:val="0"/>
        <w:numPr>
          <w:ilvl w:val="0"/>
          <w:numId w:val="23"/>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El establecimiento a nivel central de una base de datos de todas las capturas realizadas y la adquisición de un sistema claro de trazabilidad de las capturas,</w:t>
      </w:r>
    </w:p>
    <w:p w14:paraId="300AB8E0" w14:textId="77777777" w:rsidR="009123AC" w:rsidRPr="00F0379B" w:rsidRDefault="009123AC" w:rsidP="00CE0EC8">
      <w:pPr>
        <w:widowControl w:val="0"/>
        <w:numPr>
          <w:ilvl w:val="0"/>
          <w:numId w:val="23"/>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El cumplimiento de las cuotas asignadas a los buques de captura.</w:t>
      </w:r>
    </w:p>
    <w:p w14:paraId="2663404B" w14:textId="77777777" w:rsidR="009123AC" w:rsidRPr="00F0379B" w:rsidRDefault="009123AC" w:rsidP="009123AC">
      <w:pPr>
        <w:widowControl w:val="0"/>
        <w:spacing w:after="0" w:line="240" w:lineRule="auto"/>
        <w:ind w:left="360"/>
        <w:jc w:val="both"/>
        <w:rPr>
          <w:rFonts w:ascii="Cambria" w:eastAsia="MS Gothic" w:hAnsi="Cambria" w:cs="Times New Roman"/>
          <w:color w:val="000000"/>
          <w:sz w:val="20"/>
          <w:szCs w:val="20"/>
          <w:lang w:eastAsia="fr-FR" w:bidi="fr-FR"/>
        </w:rPr>
      </w:pPr>
    </w:p>
    <w:p w14:paraId="48A64BB2" w14:textId="77777777" w:rsidR="009123AC" w:rsidRPr="00F0379B" w:rsidRDefault="009123AC" w:rsidP="009123AC">
      <w:pPr>
        <w:autoSpaceDE w:val="0"/>
        <w:autoSpaceDN w:val="0"/>
        <w:adjustRightInd w:val="0"/>
        <w:spacing w:after="0" w:line="240" w:lineRule="auto"/>
        <w:ind w:right="-24"/>
        <w:jc w:val="both"/>
        <w:rPr>
          <w:rFonts w:ascii="Cambria" w:eastAsia="MS Gothic" w:hAnsi="Cambria" w:cs="Cambria"/>
          <w:sz w:val="20"/>
          <w:szCs w:val="20"/>
          <w:lang w:eastAsia="fr-FR"/>
        </w:rPr>
      </w:pPr>
      <w:r w:rsidRPr="00F0379B">
        <w:rPr>
          <w:rFonts w:ascii="Cambria" w:eastAsia="MS Gothic" w:hAnsi="Cambria" w:cs="Cambria"/>
          <w:color w:val="000000"/>
          <w:sz w:val="20"/>
          <w:szCs w:val="20"/>
          <w:lang w:eastAsia="fr-FR"/>
        </w:rPr>
        <w:t xml:space="preserve">Además, la legislación nacional ha tenido en cuenta la ordenación de la actividad pesquera del atún rojo a través de la Ley n.º 94-13 del 31 de enero de 1994 sobre el ejercicio de la pesca, tal y como fue modificada y/o completada por la Ley n.º 2013-34 del 21 de septiembre de 2013 y la Ley n.º 2018-30 del 23 de mayo de 2018 y sus textos de aplicación, sobre todo el </w:t>
      </w:r>
      <w:r w:rsidRPr="00F0379B">
        <w:rPr>
          <w:rFonts w:ascii="Cambria" w:eastAsia="MS Gothic" w:hAnsi="Cambria" w:cs="Cambria"/>
          <w:sz w:val="20"/>
          <w:szCs w:val="20"/>
          <w:lang w:eastAsia="fr-FR"/>
        </w:rPr>
        <w:t>Decreto del ministro de agricultura, recursos hidráulicos y pesca del 7 de abril de 2025 sobre la organización de la pesca de atún rojo que anula y su engorde.</w:t>
      </w:r>
    </w:p>
    <w:p w14:paraId="2EB2CC53"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1C554BC5" w14:textId="77777777" w:rsidR="009123AC" w:rsidRPr="00F0379B" w:rsidRDefault="009123AC" w:rsidP="009123AC">
      <w:pPr>
        <w:widowControl w:val="0"/>
        <w:spacing w:after="0" w:line="240" w:lineRule="auto"/>
        <w:jc w:val="both"/>
        <w:rPr>
          <w:rFonts w:ascii="Cambria" w:eastAsia="MS Gothic" w:hAnsi="Cambria" w:cs="Times New Roman"/>
          <w:b/>
          <w:bCs/>
          <w:i/>
          <w:iCs/>
          <w:sz w:val="20"/>
          <w:szCs w:val="20"/>
          <w:lang w:eastAsia="fr-FR" w:bidi="fr-FR"/>
        </w:rPr>
      </w:pPr>
      <w:bookmarkStart w:id="22" w:name="_Hlk158706837"/>
      <w:r w:rsidRPr="00F0379B">
        <w:rPr>
          <w:rFonts w:ascii="Cambria" w:eastAsia="MS Gothic" w:hAnsi="Cambria" w:cs="Times New Roman"/>
          <w:b/>
          <w:bCs/>
          <w:i/>
          <w:iCs/>
          <w:color w:val="000000"/>
          <w:sz w:val="20"/>
          <w:szCs w:val="20"/>
          <w:lang w:eastAsia="fr-FR" w:bidi="fr-FR"/>
        </w:rPr>
        <w:t xml:space="preserve">1b) </w:t>
      </w:r>
      <w:r w:rsidRPr="00F0379B">
        <w:rPr>
          <w:rFonts w:ascii="Cambria" w:eastAsia="MS Gothic" w:hAnsi="Cambria" w:cs="Times New Roman"/>
          <w:b/>
          <w:bCs/>
          <w:i/>
          <w:iCs/>
          <w:sz w:val="20"/>
          <w:szCs w:val="20"/>
          <w:lang w:eastAsia="fr-FR" w:bidi="fr-FR"/>
        </w:rPr>
        <w:t>Traspaso (párr. 6)</w:t>
      </w:r>
    </w:p>
    <w:bookmarkEnd w:id="22"/>
    <w:p w14:paraId="0F488036" w14:textId="77777777" w:rsidR="009123AC" w:rsidRPr="00F0379B" w:rsidRDefault="009123AC" w:rsidP="009123AC">
      <w:pPr>
        <w:widowControl w:val="0"/>
        <w:spacing w:after="0" w:line="240" w:lineRule="auto"/>
        <w:jc w:val="both"/>
        <w:rPr>
          <w:rFonts w:ascii="Cambria" w:eastAsia="MS Gothic" w:hAnsi="Cambria" w:cs="Times New Roman"/>
          <w:b/>
          <w:bCs/>
          <w:i/>
          <w:sz w:val="20"/>
          <w:szCs w:val="20"/>
          <w:lang w:eastAsia="fr-FR" w:bidi="fr-FR"/>
        </w:rPr>
      </w:pPr>
    </w:p>
    <w:p w14:paraId="6B6B6192"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4"/>
        </w:rPr>
      </w:pPr>
      <w:r w:rsidRPr="00F0379B">
        <w:rPr>
          <w:rFonts w:ascii="Cambria" w:eastAsia="Aptos" w:hAnsi="Cambria" w:cs="Times New Roman"/>
          <w:color w:val="000000"/>
          <w:kern w:val="2"/>
          <w:sz w:val="20"/>
          <w14:ligatures w14:val="standardContextual"/>
        </w:rPr>
        <w:t>En 2025 se registró un remanente de 19,7 t sobre un total de 30 t reservadas para la captura fortuita. A tal efecto, Túnez solicita el traspaso de este remanente (19,7 t) de 2025 a 2026 conforme al párrafo 6 de la Rec. 25-04. La cuota total disponible para la campaña de pesca de 2026 será, por lo tanto, de 3.528,55 t distribuidas del siguiente modo:</w:t>
      </w:r>
    </w:p>
    <w:p w14:paraId="118B0299"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p>
    <w:p w14:paraId="1CEF5212" w14:textId="77777777" w:rsidR="009123AC" w:rsidRPr="00F0379B" w:rsidRDefault="009123AC" w:rsidP="00CE0EC8">
      <w:pPr>
        <w:widowControl w:val="0"/>
        <w:numPr>
          <w:ilvl w:val="0"/>
          <w:numId w:val="23"/>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iCs/>
          <w:color w:val="000000"/>
          <w:sz w:val="20"/>
          <w:szCs w:val="20"/>
          <w:lang w:eastAsia="fr-FR" w:bidi="fr-FR"/>
        </w:rPr>
        <w:t>3.493,26</w:t>
      </w:r>
      <w:r w:rsidRPr="00F0379B">
        <w:rPr>
          <w:rFonts w:ascii="Cambria" w:eastAsia="MS Gothic" w:hAnsi="Cambria" w:cs="Times New Roman"/>
          <w:color w:val="000000"/>
          <w:sz w:val="20"/>
          <w:szCs w:val="20"/>
          <w:lang w:eastAsia="fr-FR" w:bidi="fr-FR"/>
        </w:rPr>
        <w:t> t reservadas para los atuneros cerqueros;</w:t>
      </w:r>
    </w:p>
    <w:p w14:paraId="242C2FA4" w14:textId="77777777" w:rsidR="009123AC" w:rsidRPr="00F0379B" w:rsidRDefault="009123AC" w:rsidP="00CE0EC8">
      <w:pPr>
        <w:widowControl w:val="0"/>
        <w:numPr>
          <w:ilvl w:val="0"/>
          <w:numId w:val="23"/>
        </w:numPr>
        <w:spacing w:after="0" w:line="240" w:lineRule="auto"/>
        <w:ind w:left="851" w:hanging="425"/>
        <w:contextualSpacing/>
        <w:jc w:val="both"/>
        <w:rPr>
          <w:rFonts w:ascii="Cambria" w:eastAsia="MS Gothic" w:hAnsi="Cambria" w:cs="Times New Roman"/>
          <w:iCs/>
          <w:sz w:val="20"/>
          <w:szCs w:val="20"/>
          <w:rtl/>
          <w:lang w:eastAsia="fr-FR" w:bidi="ar-TN"/>
        </w:rPr>
      </w:pPr>
      <w:r w:rsidRPr="00F0379B">
        <w:rPr>
          <w:rFonts w:ascii="Cambria" w:eastAsia="MS Gothic" w:hAnsi="Cambria" w:cs="Times New Roman"/>
          <w:color w:val="000000"/>
          <w:sz w:val="20"/>
          <w:szCs w:val="20"/>
          <w:lang w:eastAsia="fr-FR" w:bidi="fr-FR"/>
        </w:rPr>
        <w:t>35,28 t reservadas para la captura fortuita en respuesta a las disposiciones establecidas en el párrafo 37 de la Rec. 25-04.</w:t>
      </w:r>
    </w:p>
    <w:p w14:paraId="4E2C7BC5" w14:textId="77777777" w:rsidR="009123AC" w:rsidRPr="00F0379B" w:rsidRDefault="009123AC" w:rsidP="009123AC">
      <w:pPr>
        <w:spacing w:after="0" w:line="240" w:lineRule="auto"/>
        <w:rPr>
          <w:rFonts w:ascii="Cambria" w:eastAsia="MS Gothic" w:hAnsi="Cambria" w:cs="Times New Roman"/>
          <w:b/>
          <w:bCs/>
          <w:i/>
          <w:sz w:val="20"/>
          <w:szCs w:val="20"/>
          <w:lang w:eastAsia="fr-FR" w:bidi="fr-FR"/>
        </w:rPr>
      </w:pPr>
      <w:bookmarkStart w:id="23" w:name="_Hlk158706843"/>
      <w:r w:rsidRPr="00F0379B">
        <w:rPr>
          <w:rFonts w:ascii="Cambria" w:eastAsia="MS Gothic" w:hAnsi="Cambria" w:cs="Times New Roman"/>
          <w:b/>
          <w:bCs/>
          <w:i/>
          <w:sz w:val="20"/>
          <w:szCs w:val="20"/>
          <w:lang w:eastAsia="fr-FR" w:bidi="fr-FR"/>
        </w:rPr>
        <w:br w:type="page"/>
      </w:r>
    </w:p>
    <w:p w14:paraId="1B952290" w14:textId="77777777" w:rsidR="009123AC" w:rsidRPr="00F0379B" w:rsidRDefault="009123AC" w:rsidP="009123AC">
      <w:pPr>
        <w:widowControl w:val="0"/>
        <w:spacing w:after="0" w:line="240" w:lineRule="auto"/>
        <w:jc w:val="both"/>
        <w:rPr>
          <w:rFonts w:ascii="Cambria" w:eastAsia="MS Gothic" w:hAnsi="Cambria" w:cs="Times New Roman"/>
          <w:b/>
          <w:bCs/>
          <w:i/>
          <w:sz w:val="20"/>
          <w:szCs w:val="20"/>
          <w:lang w:eastAsia="fr-FR" w:bidi="fr-FR"/>
        </w:rPr>
      </w:pPr>
      <w:r w:rsidRPr="00F0379B">
        <w:rPr>
          <w:rFonts w:ascii="Cambria" w:eastAsia="MS Gothic" w:hAnsi="Cambria" w:cs="Times New Roman"/>
          <w:b/>
          <w:bCs/>
          <w:i/>
          <w:sz w:val="20"/>
          <w:szCs w:val="20"/>
          <w:lang w:eastAsia="fr-FR" w:bidi="fr-FR"/>
        </w:rPr>
        <w:t>1c) Destino de la captura</w:t>
      </w:r>
    </w:p>
    <w:bookmarkEnd w:id="23"/>
    <w:p w14:paraId="435BBAAA" w14:textId="77777777" w:rsidR="009123AC" w:rsidRPr="00F0379B" w:rsidRDefault="009123AC" w:rsidP="009123AC">
      <w:pPr>
        <w:widowControl w:val="0"/>
        <w:spacing w:after="0" w:line="240" w:lineRule="auto"/>
        <w:ind w:left="426"/>
        <w:jc w:val="both"/>
        <w:rPr>
          <w:rFonts w:ascii="Cambria" w:eastAsia="MS Gothic" w:hAnsi="Cambria" w:cs="Times New Roman"/>
          <w:iCs/>
          <w:sz w:val="20"/>
          <w:szCs w:val="20"/>
          <w:lang w:eastAsia="fr-FR" w:bidi="fr-FR"/>
        </w:rPr>
      </w:pPr>
    </w:p>
    <w:p w14:paraId="3114E91F"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sz w:val="20"/>
          <w:szCs w:val="20"/>
          <w:lang w:eastAsia="fr-FR" w:bidi="fr-FR"/>
        </w:rPr>
        <w:t xml:space="preserve">La captura, estimada en </w:t>
      </w:r>
      <w:r w:rsidRPr="00F0379B">
        <w:rPr>
          <w:rFonts w:ascii="Cambria" w:eastAsia="MS Gothic" w:hAnsi="Cambria" w:cs="Times New Roman"/>
          <w:iCs/>
          <w:color w:val="000000"/>
          <w:sz w:val="20"/>
          <w:szCs w:val="20"/>
          <w:lang w:eastAsia="fr-FR" w:bidi="fr-FR"/>
        </w:rPr>
        <w:t>3.493,26</w:t>
      </w:r>
      <w:r w:rsidRPr="00F0379B">
        <w:rPr>
          <w:rFonts w:ascii="Cambria" w:eastAsia="MS Gothic" w:hAnsi="Cambria" w:cs="Times New Roman"/>
          <w:color w:val="000000"/>
          <w:sz w:val="20"/>
          <w:szCs w:val="20"/>
          <w:lang w:eastAsia="fr-FR" w:bidi="fr-FR"/>
        </w:rPr>
        <w:t xml:space="preserve"> t </w:t>
      </w:r>
      <w:r w:rsidRPr="00F0379B">
        <w:rPr>
          <w:rFonts w:ascii="Cambria" w:eastAsia="MS Gothic" w:hAnsi="Cambria" w:cs="Times New Roman"/>
          <w:sz w:val="20"/>
          <w:szCs w:val="20"/>
          <w:lang w:eastAsia="fr-FR" w:bidi="fr-FR"/>
        </w:rPr>
        <w:t>en 2026, se destinará a la cría en granjas de engorde mediterráneas.</w:t>
      </w:r>
      <w:r w:rsidRPr="00F0379B">
        <w:rPr>
          <w:rFonts w:ascii="Cambria" w:eastAsia="MS Gothic" w:hAnsi="Cambria" w:cs="Times New Roman"/>
          <w:iCs/>
          <w:sz w:val="20"/>
          <w:szCs w:val="20"/>
          <w:lang w:eastAsia="fr-FR" w:bidi="fr-FR"/>
        </w:rPr>
        <w:t xml:space="preserve"> No obstante, se podrá desembarcar una cantidad de 35,28 t en los puertos tunecinos autorizados. Cualquier información adicional sobre esta cuestión se presentará a ICCAT a través de los formularios pertinentes. </w:t>
      </w:r>
    </w:p>
    <w:p w14:paraId="0A400A2E"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55D337DD" w14:textId="77777777" w:rsidR="009123AC" w:rsidRPr="00F0379B" w:rsidRDefault="009123AC" w:rsidP="009123AC">
      <w:pPr>
        <w:widowControl w:val="0"/>
        <w:spacing w:after="0" w:line="240" w:lineRule="auto"/>
        <w:jc w:val="both"/>
        <w:rPr>
          <w:rFonts w:ascii="Cambria" w:eastAsia="MS Gothic" w:hAnsi="Cambria" w:cs="Times New Roman"/>
          <w:b/>
          <w:bCs/>
          <w:i/>
          <w:iCs/>
          <w:sz w:val="20"/>
          <w:szCs w:val="20"/>
          <w:lang w:eastAsia="fr-FR" w:bidi="fr-FR"/>
        </w:rPr>
      </w:pPr>
      <w:r w:rsidRPr="00F0379B">
        <w:rPr>
          <w:rFonts w:ascii="Cambria" w:eastAsia="MS Gothic" w:hAnsi="Cambria" w:cs="Times New Roman"/>
          <w:b/>
          <w:bCs/>
          <w:i/>
          <w:iCs/>
          <w:sz w:val="20"/>
          <w:szCs w:val="20"/>
          <w:lang w:eastAsia="fr-FR" w:bidi="fr-FR"/>
        </w:rPr>
        <w:t xml:space="preserve">1d) </w:t>
      </w:r>
    </w:p>
    <w:p w14:paraId="2312F91F"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tbl>
      <w:tblPr>
        <w:tblStyle w:val="TableGrid"/>
        <w:tblW w:w="5000" w:type="pct"/>
        <w:tblLook w:val="04A0" w:firstRow="1" w:lastRow="0" w:firstColumn="1" w:lastColumn="0" w:noHBand="0" w:noVBand="1"/>
      </w:tblPr>
      <w:tblGrid>
        <w:gridCol w:w="453"/>
        <w:gridCol w:w="1948"/>
        <w:gridCol w:w="2827"/>
        <w:gridCol w:w="2564"/>
        <w:gridCol w:w="1268"/>
      </w:tblGrid>
      <w:tr w:rsidR="009123AC" w:rsidRPr="00F0379B" w14:paraId="7D407B5F" w14:textId="77777777" w:rsidTr="009E02DA">
        <w:trPr>
          <w:tblHeader/>
        </w:trPr>
        <w:tc>
          <w:tcPr>
            <w:tcW w:w="250" w:type="pct"/>
          </w:tcPr>
          <w:p w14:paraId="29EBD9F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075" w:type="pct"/>
            <w:vAlign w:val="center"/>
          </w:tcPr>
          <w:p w14:paraId="58152840" w14:textId="77777777" w:rsidR="009123AC" w:rsidRPr="00F0379B" w:rsidRDefault="009123AC" w:rsidP="009123AC">
            <w:pPr>
              <w:widowControl w:val="0"/>
              <w:spacing w:line="240" w:lineRule="auto"/>
              <w:jc w:val="center"/>
              <w:rPr>
                <w:rFonts w:ascii="Cambria" w:eastAsiaTheme="minorEastAsia" w:hAnsi="Cambria"/>
                <w:i/>
                <w:kern w:val="2"/>
                <w:sz w:val="20"/>
                <w:lang w:eastAsia="ja-JP"/>
                <w14:ligatures w14:val="standardContextual"/>
              </w:rPr>
            </w:pPr>
            <w:r w:rsidRPr="00F0379B">
              <w:rPr>
                <w:rFonts w:ascii="Cambria" w:eastAsiaTheme="minorEastAsia" w:hAnsi="Cambria"/>
                <w:i/>
                <w:kern w:val="2"/>
                <w:sz w:val="20"/>
                <w:lang w:eastAsia="ja-JP"/>
                <w14:ligatures w14:val="standardContextual"/>
              </w:rPr>
              <w:t>Requisito ICCAT</w:t>
            </w:r>
          </w:p>
          <w:p w14:paraId="3EB60B72"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 xml:space="preserve">(según </w:t>
            </w:r>
            <w:hyperlink r:id="rId216" w:history="1">
              <w:r w:rsidRPr="00F0379B">
                <w:rPr>
                  <w:rFonts w:ascii="Cambria" w:eastAsiaTheme="minorEastAsia" w:hAnsi="Cambria"/>
                  <w:i/>
                  <w:color w:val="0563C1"/>
                  <w:kern w:val="2"/>
                  <w:sz w:val="20"/>
                  <w:lang w:eastAsia="ja-JP"/>
                  <w14:ligatures w14:val="standardContextual"/>
                </w:rPr>
                <w:t>Rec. 25-04</w:t>
              </w:r>
            </w:hyperlink>
            <w:r w:rsidRPr="00F0379B">
              <w:rPr>
                <w:rFonts w:ascii="Cambria" w:eastAsiaTheme="minorEastAsia" w:hAnsi="Cambria"/>
                <w:i/>
                <w:kern w:val="2"/>
                <w:sz w:val="20"/>
                <w:lang w:eastAsia="ja-JP"/>
                <w14:ligatures w14:val="standardContextual"/>
              </w:rPr>
              <w:t>)</w:t>
            </w:r>
          </w:p>
        </w:tc>
        <w:tc>
          <w:tcPr>
            <w:tcW w:w="1560" w:type="pct"/>
            <w:vAlign w:val="center"/>
          </w:tcPr>
          <w:p w14:paraId="68E1F957"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Explicación de las acciones emprendidas por la CPC con fines de implementación</w:t>
            </w:r>
          </w:p>
        </w:tc>
        <w:tc>
          <w:tcPr>
            <w:tcW w:w="1415" w:type="pct"/>
            <w:vAlign w:val="center"/>
          </w:tcPr>
          <w:p w14:paraId="40277225" w14:textId="77777777" w:rsidR="009123AC" w:rsidRPr="00F0379B" w:rsidRDefault="009123AC" w:rsidP="009123AC">
            <w:pPr>
              <w:widowControl w:val="0"/>
              <w:spacing w:line="240" w:lineRule="auto"/>
              <w:jc w:val="center"/>
              <w:rPr>
                <w:rFonts w:ascii="Cambria" w:eastAsiaTheme="minorEastAsia" w:hAnsi="Cambria"/>
                <w:i/>
                <w:kern w:val="2"/>
                <w:sz w:val="20"/>
                <w:lang w:eastAsia="ja-JP"/>
                <w14:ligatures w14:val="standardContextual"/>
              </w:rPr>
            </w:pPr>
            <w:r w:rsidRPr="00F0379B">
              <w:rPr>
                <w:rFonts w:ascii="Cambria" w:eastAsiaTheme="minorEastAsia" w:hAnsi="Cambria"/>
                <w:i/>
                <w:kern w:val="2"/>
                <w:sz w:val="20"/>
                <w:lang w:eastAsia="ja-JP"/>
                <w14:ligatures w14:val="standardContextual"/>
              </w:rPr>
              <w:t>Leyes o reglamentos internos pertinentes</w:t>
            </w:r>
          </w:p>
          <w:p w14:paraId="4452D2BA"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(si procede)</w:t>
            </w:r>
          </w:p>
        </w:tc>
        <w:tc>
          <w:tcPr>
            <w:tcW w:w="700" w:type="pct"/>
            <w:vAlign w:val="center"/>
          </w:tcPr>
          <w:p w14:paraId="386B08E1"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Nota</w:t>
            </w:r>
          </w:p>
        </w:tc>
      </w:tr>
      <w:tr w:rsidR="009123AC" w:rsidRPr="00F0379B" w14:paraId="5F36FAC9" w14:textId="77777777" w:rsidTr="00CA749B">
        <w:tc>
          <w:tcPr>
            <w:tcW w:w="250" w:type="pct"/>
          </w:tcPr>
          <w:p w14:paraId="2DC9F156"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1</w:t>
            </w:r>
          </w:p>
        </w:tc>
        <w:tc>
          <w:tcPr>
            <w:tcW w:w="1075" w:type="pct"/>
          </w:tcPr>
          <w:p w14:paraId="373C339B"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Consignación y comunicación de la captura (párrs. 74-88)</w:t>
            </w:r>
          </w:p>
        </w:tc>
        <w:tc>
          <w:tcPr>
            <w:tcW w:w="1560" w:type="pct"/>
          </w:tcPr>
          <w:p w14:paraId="1B94801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Túnez ha adoptado un sistema de documentación de capturas a bordo que cubre a todos los buques que participan en la pesca de atún rojo (cerqueros, remolcadores y buques auxiliares); Anexo 2 de la Rec. 25-04. </w:t>
            </w:r>
          </w:p>
          <w:p w14:paraId="2B03212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 este modo, el registro de los datos sobre capturas y actividades relacionadas con la pesca de atún rojo se realiza mediante los cuadernos de pesca encuadernados (párrafo 74 de la Rec. 25-04). Sin embargo, la comunicación de la información sobre las capturas y las solicitudes de notificaciones previas de transferencia se realiza por vía electrónica entre los patrones de los buques de captura y la autoridad competente (párrafo 76 de la Rec. 25-04).</w:t>
            </w:r>
          </w:p>
          <w:p w14:paraId="321C192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Los representantes de los operadores pesqueros también transmiten electrónicamente los informes cumplimentados a la autoridad competente de acuerdo con los requisitos establecidos en el párrafo 78 de la Rec. 25-04.  </w:t>
            </w:r>
          </w:p>
          <w:p w14:paraId="7AFEDA2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bidi="ar-TN"/>
                <w14:ligatures w14:val="standardContextual"/>
              </w:rPr>
            </w:pPr>
          </w:p>
        </w:tc>
        <w:tc>
          <w:tcPr>
            <w:tcW w:w="1415" w:type="pct"/>
          </w:tcPr>
          <w:p w14:paraId="1E038E84" w14:textId="77777777" w:rsidR="009123AC" w:rsidRPr="00F0379B" w:rsidRDefault="009123AC" w:rsidP="00CE0EC8">
            <w:pPr>
              <w:widowControl w:val="0"/>
              <w:numPr>
                <w:ilvl w:val="0"/>
                <w:numId w:val="62"/>
              </w:numPr>
              <w:spacing w:line="240" w:lineRule="auto"/>
              <w:ind w:left="66" w:right="-24" w:hanging="142"/>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 Ley n.º 94-13 del 31 de enero de 1994 sobre el ejercicio de la pesca.</w:t>
            </w:r>
          </w:p>
          <w:p w14:paraId="097F261D" w14:textId="77777777" w:rsidR="009123AC" w:rsidRPr="00F0379B" w:rsidRDefault="009123AC" w:rsidP="00CE0EC8">
            <w:pPr>
              <w:widowControl w:val="0"/>
              <w:numPr>
                <w:ilvl w:val="0"/>
                <w:numId w:val="62"/>
              </w:numPr>
              <w:autoSpaceDE w:val="0"/>
              <w:autoSpaceDN w:val="0"/>
              <w:adjustRightInd w:val="0"/>
              <w:spacing w:line="240" w:lineRule="auto"/>
              <w:ind w:left="66" w:right="-24" w:hanging="142"/>
              <w:jc w:val="both"/>
              <w:rPr>
                <w:rFonts w:ascii="Cambria" w:eastAsiaTheme="minorEastAsia" w:hAnsi="Cambria" w:cs="Cambria"/>
                <w:kern w:val="2"/>
                <w:sz w:val="20"/>
                <w:szCs w:val="20"/>
                <w:lang w:eastAsia="ja-JP"/>
                <w14:ligatures w14:val="standardContextual"/>
              </w:rPr>
            </w:pPr>
            <w:r w:rsidRPr="00F0379B">
              <w:rPr>
                <w:rFonts w:ascii="Cambria" w:eastAsiaTheme="minorEastAsia" w:hAnsi="Cambria" w:cs="Cambria"/>
                <w:kern w:val="2"/>
                <w:sz w:val="20"/>
                <w:szCs w:val="20"/>
                <w:lang w:eastAsia="ja-JP"/>
                <w14:ligatures w14:val="standardContextual"/>
              </w:rPr>
              <w:t>Decreto del ministro de agricultura, del 21 de mayo de 2008 sobre la organización de la pesca de atún rojo, tal y como fue modificado por el Decreto del 10 de junio de 2013 y al Decreto del 28 de mayo de 2019.</w:t>
            </w:r>
          </w:p>
          <w:p w14:paraId="6DE5D6F0"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c>
          <w:tcPr>
            <w:tcW w:w="700" w:type="pct"/>
          </w:tcPr>
          <w:p w14:paraId="25739C11" w14:textId="77777777" w:rsidR="009123AC" w:rsidRPr="00F0379B" w:rsidRDefault="009123AC" w:rsidP="009123AC">
            <w:pPr>
              <w:widowControl w:val="0"/>
              <w:spacing w:line="240" w:lineRule="auto"/>
              <w:ind w:left="66" w:right="-24"/>
              <w:contextualSpacing/>
              <w:jc w:val="both"/>
              <w:rPr>
                <w:rFonts w:eastAsiaTheme="minorEastAsia"/>
                <w:kern w:val="2"/>
                <w:lang w:eastAsia="ja-JP"/>
                <w14:ligatures w14:val="standardContextual"/>
              </w:rPr>
            </w:pPr>
          </w:p>
        </w:tc>
      </w:tr>
      <w:tr w:rsidR="009123AC" w:rsidRPr="00F0379B" w14:paraId="05C6339E" w14:textId="77777777" w:rsidTr="00CA749B">
        <w:tc>
          <w:tcPr>
            <w:tcW w:w="250" w:type="pct"/>
          </w:tcPr>
          <w:p w14:paraId="5B3FDD37"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2</w:t>
            </w:r>
          </w:p>
        </w:tc>
        <w:tc>
          <w:tcPr>
            <w:tcW w:w="1075" w:type="pct"/>
          </w:tcPr>
          <w:p w14:paraId="3C166BE9"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Temporadas de pesca abiertas (párrs. 28--32)</w:t>
            </w:r>
          </w:p>
        </w:tc>
        <w:tc>
          <w:tcPr>
            <w:tcW w:w="1560" w:type="pct"/>
          </w:tcPr>
          <w:p w14:paraId="433696D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temporada de pesca del atún rojo con cerco comienza el 19 de mayo de 2026 y finaliza el 1 de julio de 2026 (párrafo 28 de la Rec. 25-04). No obstante, el periodo de pesca podría ampliarse en el número de días equivalente a los días durante los cuales las condiciones meteorológicas sean desfavorables, hasta un máximo de 10 días (párrafo 29 de la Rec. 25-04). Los informes meteorológicos y de VMS mostrarían necesariamente la inactividad de los buques que aún no han agotado sus cuotas individuales.    </w:t>
            </w:r>
          </w:p>
        </w:tc>
        <w:tc>
          <w:tcPr>
            <w:tcW w:w="1415" w:type="pct"/>
          </w:tcPr>
          <w:p w14:paraId="2044D394" w14:textId="77777777" w:rsidR="009123AC" w:rsidRPr="00F0379B" w:rsidRDefault="009123AC" w:rsidP="00CE0EC8">
            <w:pPr>
              <w:widowControl w:val="0"/>
              <w:numPr>
                <w:ilvl w:val="0"/>
                <w:numId w:val="23"/>
              </w:numPr>
              <w:spacing w:line="240" w:lineRule="auto"/>
              <w:ind w:left="46" w:right="-24" w:hanging="142"/>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Ley n.º 94-13 del 31 de enero de 1994 sobre el ejercicio de la pesca. </w:t>
            </w:r>
          </w:p>
          <w:p w14:paraId="0B758DB7" w14:textId="77777777" w:rsidR="009123AC" w:rsidRPr="00F0379B" w:rsidRDefault="009123AC" w:rsidP="00CE0EC8">
            <w:pPr>
              <w:widowControl w:val="0"/>
              <w:numPr>
                <w:ilvl w:val="0"/>
                <w:numId w:val="62"/>
              </w:numPr>
              <w:autoSpaceDE w:val="0"/>
              <w:autoSpaceDN w:val="0"/>
              <w:adjustRightInd w:val="0"/>
              <w:spacing w:line="240" w:lineRule="auto"/>
              <w:ind w:left="66" w:right="-24" w:hanging="142"/>
              <w:jc w:val="both"/>
              <w:rPr>
                <w:rFonts w:ascii="Cambria" w:eastAsiaTheme="minorEastAsia" w:hAnsi="Cambria" w:cs="Cambria"/>
                <w:kern w:val="2"/>
                <w:sz w:val="20"/>
                <w:szCs w:val="20"/>
                <w:lang w:eastAsia="ja-JP"/>
                <w14:ligatures w14:val="standardContextual"/>
              </w:rPr>
            </w:pPr>
            <w:r w:rsidRPr="00F0379B">
              <w:rPr>
                <w:rFonts w:ascii="Cambria" w:eastAsiaTheme="minorEastAsia" w:hAnsi="Cambria" w:cs="Cambria"/>
                <w:kern w:val="2"/>
                <w:sz w:val="20"/>
                <w:szCs w:val="20"/>
                <w:lang w:eastAsia="ja-JP"/>
                <w14:ligatures w14:val="standardContextual"/>
              </w:rPr>
              <w:t>Decreto del Ministerio de agricultura, recursos hidráulicos y pesca del 7 de abril de 2025 sobre la organización de la pesca del atún rojo y su engorde. Una enmienda del decreto del Ministerio de Agricultura, Recursos Hidráulicos y Pesca del 7 abril de 2025 sobre la organización de la pesca de atún rojo y su engorde.</w:t>
            </w:r>
          </w:p>
          <w:p w14:paraId="37CA5AC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c>
          <w:tcPr>
            <w:tcW w:w="700" w:type="pct"/>
          </w:tcPr>
          <w:p w14:paraId="69087D92" w14:textId="77777777" w:rsidR="009123AC" w:rsidRPr="00F0379B" w:rsidRDefault="009123AC" w:rsidP="009123AC">
            <w:pPr>
              <w:widowControl w:val="0"/>
              <w:spacing w:line="240" w:lineRule="auto"/>
              <w:ind w:right="-24"/>
              <w:rPr>
                <w:rFonts w:eastAsiaTheme="minorEastAsia"/>
                <w:kern w:val="2"/>
                <w:lang w:eastAsia="ja-JP"/>
                <w14:ligatures w14:val="standardContextual"/>
              </w:rPr>
            </w:pPr>
          </w:p>
        </w:tc>
      </w:tr>
      <w:tr w:rsidR="009123AC" w:rsidRPr="00F0379B" w14:paraId="725AAE78" w14:textId="77777777" w:rsidTr="00CA749B">
        <w:tc>
          <w:tcPr>
            <w:tcW w:w="250" w:type="pct"/>
          </w:tcPr>
          <w:p w14:paraId="1FB6E541"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3</w:t>
            </w:r>
          </w:p>
        </w:tc>
        <w:tc>
          <w:tcPr>
            <w:tcW w:w="1075" w:type="pct"/>
          </w:tcPr>
          <w:p w14:paraId="4685B293"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Talla mínima (párrs. 33--35)</w:t>
            </w:r>
          </w:p>
        </w:tc>
        <w:tc>
          <w:tcPr>
            <w:tcW w:w="1560" w:type="pct"/>
          </w:tcPr>
          <w:p w14:paraId="1220819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La talla de captura autorizada para el atún rojo es de 30 kg (115 cm). Más del 5 % del volumen total de atún rojo capturado con talla inferior a la regulada debe liberarse tras la emisión de una orden de liberación por parte de la autoridad competente y en coordinación con el observador regional. Los ejemplares liberados muertos se deducirán de la cuota individual del cerquero correspondiente.     </w:t>
            </w:r>
          </w:p>
        </w:tc>
        <w:tc>
          <w:tcPr>
            <w:tcW w:w="1415" w:type="pct"/>
          </w:tcPr>
          <w:p w14:paraId="0417CBE2" w14:textId="77777777" w:rsidR="009123AC" w:rsidRPr="00F0379B" w:rsidRDefault="009123AC" w:rsidP="00CE0EC8">
            <w:pPr>
              <w:widowControl w:val="0"/>
              <w:numPr>
                <w:ilvl w:val="0"/>
                <w:numId w:val="62"/>
              </w:numPr>
              <w:spacing w:line="240" w:lineRule="auto"/>
              <w:ind w:left="66" w:right="-24" w:hanging="142"/>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Ley n.º 94-13 del 31 de enero de 1994 sobre el ejercicio de la pesca. </w:t>
            </w:r>
          </w:p>
          <w:p w14:paraId="1FF54AA9" w14:textId="77777777" w:rsidR="009123AC" w:rsidRPr="00F0379B" w:rsidRDefault="009123AC" w:rsidP="00CE0EC8">
            <w:pPr>
              <w:widowControl w:val="0"/>
              <w:numPr>
                <w:ilvl w:val="0"/>
                <w:numId w:val="62"/>
              </w:numPr>
              <w:autoSpaceDE w:val="0"/>
              <w:autoSpaceDN w:val="0"/>
              <w:adjustRightInd w:val="0"/>
              <w:spacing w:line="240" w:lineRule="auto"/>
              <w:ind w:left="66" w:right="-24" w:hanging="142"/>
              <w:jc w:val="both"/>
              <w:rPr>
                <w:rFonts w:ascii="Cambria" w:eastAsiaTheme="minorEastAsia" w:hAnsi="Cambria" w:cs="Cambria"/>
                <w:kern w:val="2"/>
                <w:sz w:val="20"/>
                <w:szCs w:val="20"/>
                <w:lang w:eastAsia="ja-JP"/>
                <w14:ligatures w14:val="standardContextual"/>
              </w:rPr>
            </w:pPr>
            <w:r w:rsidRPr="00F0379B">
              <w:rPr>
                <w:rFonts w:ascii="Cambria" w:eastAsiaTheme="minorEastAsia" w:hAnsi="Cambria" w:cs="Cambria"/>
                <w:kern w:val="2"/>
                <w:sz w:val="20"/>
                <w:szCs w:val="20"/>
                <w:lang w:eastAsia="ja-JP"/>
                <w14:ligatures w14:val="standardContextual"/>
              </w:rPr>
              <w:t>Decreto del Ministerio de agricultura, recursos hidráulicos y pesca del 7 de abril de 2025 sobre la organización de la pesca de atún rojo y su engorde.</w:t>
            </w:r>
          </w:p>
          <w:p w14:paraId="203DF9A8" w14:textId="77777777" w:rsidR="009123AC" w:rsidRPr="00F0379B" w:rsidRDefault="009123AC" w:rsidP="009123AC">
            <w:pPr>
              <w:autoSpaceDE w:val="0"/>
              <w:autoSpaceDN w:val="0"/>
              <w:adjustRightInd w:val="0"/>
              <w:spacing w:line="240" w:lineRule="auto"/>
              <w:ind w:left="66" w:right="-24"/>
              <w:rPr>
                <w:rFonts w:ascii="Cambria" w:eastAsiaTheme="minorEastAsia" w:hAnsi="Cambria" w:cs="Cambria"/>
                <w:kern w:val="2"/>
                <w:sz w:val="20"/>
                <w:szCs w:val="20"/>
                <w:lang w:eastAsia="ja-JP"/>
                <w14:ligatures w14:val="standardContextual"/>
              </w:rPr>
            </w:pPr>
          </w:p>
        </w:tc>
        <w:tc>
          <w:tcPr>
            <w:tcW w:w="700" w:type="pct"/>
          </w:tcPr>
          <w:p w14:paraId="049F67B8" w14:textId="77777777" w:rsidR="009123AC" w:rsidRPr="00F0379B" w:rsidRDefault="009123AC" w:rsidP="00CE0EC8">
            <w:pPr>
              <w:widowControl w:val="0"/>
              <w:numPr>
                <w:ilvl w:val="0"/>
                <w:numId w:val="62"/>
              </w:numPr>
              <w:spacing w:line="240" w:lineRule="auto"/>
              <w:ind w:left="66" w:right="-24" w:hanging="142"/>
              <w:contextualSpacing/>
              <w:jc w:val="both"/>
              <w:rPr>
                <w:rFonts w:eastAsiaTheme="minorEastAsia"/>
                <w:kern w:val="2"/>
                <w:lang w:eastAsia="ja-JP"/>
                <w14:ligatures w14:val="standardContextual"/>
              </w:rPr>
            </w:pPr>
          </w:p>
        </w:tc>
      </w:tr>
      <w:tr w:rsidR="009123AC" w:rsidRPr="00F0379B" w14:paraId="597058F6" w14:textId="77777777" w:rsidTr="00CA749B">
        <w:tc>
          <w:tcPr>
            <w:tcW w:w="250" w:type="pct"/>
          </w:tcPr>
          <w:p w14:paraId="1BE42D61"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4</w:t>
            </w:r>
          </w:p>
        </w:tc>
        <w:tc>
          <w:tcPr>
            <w:tcW w:w="1075" w:type="pct"/>
          </w:tcPr>
          <w:p w14:paraId="1BAD986A"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Captura fortuita (párr. 37) </w:t>
            </w:r>
          </w:p>
        </w:tc>
        <w:tc>
          <w:tcPr>
            <w:tcW w:w="1560" w:type="pct"/>
          </w:tcPr>
          <w:p w14:paraId="6DBCDA7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Para 2026, Túnez autoriza un porcentaje del 1 % de la cuota, es decir 35,28 t, para la captura fortuita. Esta medida se ha tomado como medida de precaución, y el método utilizado para calcular esta proporción ha tenido en cuenta las estadísticas anteriores de captura fortuita de los buques que no pescan activamente atún rojo. Además, si las capturas superan el 20 % del volumen total declarado durante una marea, se descartarán y se deducirán de la cuota tunecina.   </w:t>
            </w:r>
          </w:p>
        </w:tc>
        <w:tc>
          <w:tcPr>
            <w:tcW w:w="1415" w:type="pct"/>
          </w:tcPr>
          <w:p w14:paraId="011718A0" w14:textId="77777777" w:rsidR="009123AC" w:rsidRPr="00F0379B" w:rsidRDefault="009123AC" w:rsidP="00CE0EC8">
            <w:pPr>
              <w:widowControl w:val="0"/>
              <w:numPr>
                <w:ilvl w:val="0"/>
                <w:numId w:val="62"/>
              </w:numPr>
              <w:spacing w:line="240" w:lineRule="auto"/>
              <w:ind w:left="66" w:right="-24" w:hanging="142"/>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Ley n.º 94-13 del 31 de enero de 1994 sobre el ejercicio de la pesca. </w:t>
            </w:r>
          </w:p>
          <w:p w14:paraId="6E18678C" w14:textId="77777777" w:rsidR="009123AC" w:rsidRPr="00F0379B" w:rsidRDefault="009123AC" w:rsidP="00CE0EC8">
            <w:pPr>
              <w:widowControl w:val="0"/>
              <w:numPr>
                <w:ilvl w:val="0"/>
                <w:numId w:val="62"/>
              </w:numPr>
              <w:autoSpaceDE w:val="0"/>
              <w:autoSpaceDN w:val="0"/>
              <w:adjustRightInd w:val="0"/>
              <w:spacing w:line="240" w:lineRule="auto"/>
              <w:ind w:left="66" w:right="-24" w:hanging="142"/>
              <w:jc w:val="both"/>
              <w:rPr>
                <w:rFonts w:ascii="Cambria" w:eastAsiaTheme="minorEastAsia" w:hAnsi="Cambria" w:cs="Cambria"/>
                <w:kern w:val="2"/>
                <w:sz w:val="20"/>
                <w:szCs w:val="20"/>
                <w:lang w:eastAsia="ja-JP"/>
                <w14:ligatures w14:val="standardContextual"/>
              </w:rPr>
            </w:pPr>
            <w:r w:rsidRPr="00F0379B">
              <w:rPr>
                <w:rFonts w:ascii="Cambria" w:eastAsiaTheme="minorEastAsia" w:hAnsi="Cambria" w:cs="Cambria"/>
                <w:kern w:val="2"/>
                <w:sz w:val="20"/>
                <w:szCs w:val="20"/>
                <w:lang w:eastAsia="ja-JP"/>
                <w14:ligatures w14:val="standardContextual"/>
              </w:rPr>
              <w:t>Decreto del ministro de agricultura, recursos hidráulicos y pesca del 7 de abril de 2025 sobre la organización de la pesca de atún rojo y su engorde.</w:t>
            </w:r>
          </w:p>
          <w:p w14:paraId="3949534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c>
          <w:tcPr>
            <w:tcW w:w="700" w:type="pct"/>
          </w:tcPr>
          <w:p w14:paraId="4D0BD17C" w14:textId="77777777" w:rsidR="009123AC" w:rsidRPr="00F0379B" w:rsidRDefault="009123AC" w:rsidP="00CE0EC8">
            <w:pPr>
              <w:widowControl w:val="0"/>
              <w:numPr>
                <w:ilvl w:val="0"/>
                <w:numId w:val="62"/>
              </w:numPr>
              <w:spacing w:line="240" w:lineRule="auto"/>
              <w:ind w:left="66" w:right="-24" w:hanging="142"/>
              <w:contextualSpacing/>
              <w:jc w:val="both"/>
              <w:rPr>
                <w:rFonts w:eastAsiaTheme="minorEastAsia"/>
                <w:kern w:val="2"/>
                <w:lang w:eastAsia="ja-JP"/>
                <w14:ligatures w14:val="standardContextual"/>
              </w:rPr>
            </w:pPr>
          </w:p>
        </w:tc>
      </w:tr>
      <w:tr w:rsidR="009123AC" w:rsidRPr="00F0379B" w14:paraId="133A2B65" w14:textId="77777777" w:rsidTr="00CA749B">
        <w:tc>
          <w:tcPr>
            <w:tcW w:w="250" w:type="pct"/>
          </w:tcPr>
          <w:p w14:paraId="4611CA2E"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5</w:t>
            </w:r>
          </w:p>
        </w:tc>
        <w:tc>
          <w:tcPr>
            <w:tcW w:w="1075" w:type="pct"/>
          </w:tcPr>
          <w:p w14:paraId="3386275F"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szCs w:val="20"/>
                <w:lang w:eastAsia="ja-JP"/>
                <w14:ligatures w14:val="standardContextual"/>
              </w:rPr>
              <w:t>Pesquerías deportivas y de recreo (párrs. 38-46)</w:t>
            </w:r>
          </w:p>
        </w:tc>
        <w:tc>
          <w:tcPr>
            <w:tcW w:w="1560" w:type="pct"/>
          </w:tcPr>
          <w:p w14:paraId="3CA12720"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No hay autorización para la pesca deportiva o de recreo del atún rojo.</w:t>
            </w:r>
          </w:p>
        </w:tc>
        <w:tc>
          <w:tcPr>
            <w:tcW w:w="1415" w:type="pct"/>
          </w:tcPr>
          <w:p w14:paraId="0D66D8A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Decreto del Ministerio de Agricultura del 21 de abril de 2025 sobre el ejercicio de la pesca por buceo y la pesca submarina de recreo.</w:t>
            </w:r>
          </w:p>
        </w:tc>
        <w:tc>
          <w:tcPr>
            <w:tcW w:w="700" w:type="pct"/>
          </w:tcPr>
          <w:p w14:paraId="3D9188C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r>
      <w:tr w:rsidR="009123AC" w:rsidRPr="00F0379B" w14:paraId="5A7E4EF9" w14:textId="77777777" w:rsidTr="00CA749B">
        <w:tc>
          <w:tcPr>
            <w:tcW w:w="250" w:type="pct"/>
          </w:tcPr>
          <w:p w14:paraId="399F6C07"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6</w:t>
            </w:r>
          </w:p>
        </w:tc>
        <w:tc>
          <w:tcPr>
            <w:tcW w:w="1075" w:type="pct"/>
          </w:tcPr>
          <w:p w14:paraId="34001412"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 xml:space="preserve">Transbordo (párrs. 89-94) </w:t>
            </w:r>
          </w:p>
        </w:tc>
        <w:tc>
          <w:tcPr>
            <w:tcW w:w="1560" w:type="pct"/>
          </w:tcPr>
          <w:p w14:paraId="020ED3F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transbordo en el mar de atún rojo está prohibido, y sólo se permite en los puertos autorizados previa autorización de la autoridad competente en el formato designado por ICCAT.</w:t>
            </w:r>
          </w:p>
        </w:tc>
        <w:tc>
          <w:tcPr>
            <w:tcW w:w="1415" w:type="pct"/>
          </w:tcPr>
          <w:p w14:paraId="0DE6E4B5" w14:textId="505589EF" w:rsidR="009123AC" w:rsidRPr="00F0379B" w:rsidRDefault="009123AC" w:rsidP="00CE0EC8">
            <w:pPr>
              <w:widowControl w:val="0"/>
              <w:numPr>
                <w:ilvl w:val="0"/>
                <w:numId w:val="62"/>
              </w:numPr>
              <w:spacing w:line="240" w:lineRule="auto"/>
              <w:ind w:left="66" w:right="-24" w:hanging="142"/>
              <w:contextualSpacing/>
              <w:jc w:val="both"/>
              <w:rPr>
                <w:rFonts w:ascii="Cambria" w:eastAsiaTheme="minorEastAsia" w:hAnsi="Cambria" w:cs="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Ley n.º 94-13 del 31 de enero de 1994 sobre el ejercicio de la </w:t>
            </w:r>
            <w:r w:rsidR="00937163" w:rsidRPr="00F0379B">
              <w:rPr>
                <w:rFonts w:ascii="Cambria" w:eastAsiaTheme="minorEastAsia" w:hAnsi="Cambria"/>
                <w:kern w:val="2"/>
                <w:sz w:val="20"/>
                <w:szCs w:val="20"/>
                <w:lang w:eastAsia="ja-JP"/>
                <w14:ligatures w14:val="standardContextual"/>
              </w:rPr>
              <w:t>pesca.</w:t>
            </w:r>
            <w:r w:rsidRPr="00F0379B">
              <w:rPr>
                <w:rFonts w:ascii="Cambria" w:eastAsiaTheme="minorEastAsia" w:hAnsi="Cambria"/>
                <w:kern w:val="2"/>
                <w:sz w:val="20"/>
                <w:szCs w:val="20"/>
                <w:lang w:eastAsia="ja-JP"/>
                <w14:ligatures w14:val="standardContextual"/>
              </w:rPr>
              <w:t xml:space="preserve"> </w:t>
            </w:r>
          </w:p>
          <w:p w14:paraId="6DE0A0C9" w14:textId="77777777" w:rsidR="009123AC" w:rsidRPr="00F0379B" w:rsidRDefault="009123AC" w:rsidP="00CE0EC8">
            <w:pPr>
              <w:widowControl w:val="0"/>
              <w:numPr>
                <w:ilvl w:val="0"/>
                <w:numId w:val="62"/>
              </w:numPr>
              <w:autoSpaceDE w:val="0"/>
              <w:autoSpaceDN w:val="0"/>
              <w:adjustRightInd w:val="0"/>
              <w:spacing w:line="240" w:lineRule="auto"/>
              <w:ind w:left="66" w:right="-24" w:hanging="142"/>
              <w:jc w:val="both"/>
              <w:rPr>
                <w:rFonts w:ascii="Cambria" w:eastAsiaTheme="minorEastAsia" w:hAnsi="Cambria" w:cs="Cambria"/>
                <w:kern w:val="2"/>
                <w:sz w:val="20"/>
                <w:szCs w:val="20"/>
                <w:lang w:eastAsia="ja-JP"/>
                <w14:ligatures w14:val="standardContextual"/>
              </w:rPr>
            </w:pPr>
            <w:r w:rsidRPr="00F0379B">
              <w:rPr>
                <w:rFonts w:ascii="Cambria" w:eastAsiaTheme="minorEastAsia" w:hAnsi="Cambria" w:cs="Cambria"/>
                <w:kern w:val="2"/>
                <w:sz w:val="20"/>
                <w:szCs w:val="20"/>
                <w:lang w:eastAsia="ja-JP"/>
                <w14:ligatures w14:val="standardContextual"/>
              </w:rPr>
              <w:t>Decreto del Ministerio de agricultura, recursos hidráulicos y pesca del 7 de abril de 2025 sobre la organización de la pesca de atún rojo y su engorde.</w:t>
            </w:r>
          </w:p>
        </w:tc>
        <w:tc>
          <w:tcPr>
            <w:tcW w:w="700" w:type="pct"/>
          </w:tcPr>
          <w:p w14:paraId="5D85363B" w14:textId="77777777" w:rsidR="009123AC" w:rsidRPr="00F0379B" w:rsidRDefault="009123AC" w:rsidP="00CE0EC8">
            <w:pPr>
              <w:widowControl w:val="0"/>
              <w:numPr>
                <w:ilvl w:val="0"/>
                <w:numId w:val="62"/>
              </w:numPr>
              <w:spacing w:line="240" w:lineRule="auto"/>
              <w:ind w:left="66" w:right="-24" w:hanging="142"/>
              <w:contextualSpacing/>
              <w:jc w:val="both"/>
              <w:rPr>
                <w:rFonts w:eastAsiaTheme="minorEastAsia"/>
                <w:kern w:val="2"/>
                <w:lang w:eastAsia="ja-JP"/>
                <w14:ligatures w14:val="standardContextual"/>
              </w:rPr>
            </w:pPr>
          </w:p>
        </w:tc>
      </w:tr>
      <w:tr w:rsidR="009123AC" w:rsidRPr="00F0379B" w14:paraId="1242F821" w14:textId="77777777" w:rsidTr="00CA749B">
        <w:tc>
          <w:tcPr>
            <w:tcW w:w="250" w:type="pct"/>
          </w:tcPr>
          <w:p w14:paraId="3AA8829F"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7</w:t>
            </w:r>
          </w:p>
        </w:tc>
        <w:tc>
          <w:tcPr>
            <w:tcW w:w="1075" w:type="pct"/>
          </w:tcPr>
          <w:p w14:paraId="6DA7D145"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VMS (</w:t>
            </w:r>
            <w:r w:rsidRPr="00F0379B">
              <w:rPr>
                <w:rFonts w:ascii="Cambria" w:eastAsiaTheme="minorEastAsia" w:hAnsi="Cambria"/>
                <w:b/>
                <w:kern w:val="2"/>
                <w:sz w:val="20"/>
                <w:lang w:val="fr-BE" w:eastAsia="ja-JP"/>
                <w14:ligatures w14:val="standardContextual"/>
              </w:rPr>
              <w:t>párrs. </w:t>
            </w:r>
            <w:r w:rsidRPr="00F0379B">
              <w:rPr>
                <w:rFonts w:ascii="Cambria" w:eastAsiaTheme="minorEastAsia" w:hAnsi="Cambria"/>
                <w:b/>
                <w:kern w:val="2"/>
                <w:sz w:val="20"/>
                <w:szCs w:val="20"/>
                <w:lang w:eastAsia="ja-JP"/>
                <w14:ligatures w14:val="standardContextual"/>
              </w:rPr>
              <w:t>222-228</w:t>
            </w:r>
            <w:r w:rsidRPr="00F0379B">
              <w:rPr>
                <w:rFonts w:ascii="Cambria" w:eastAsiaTheme="minorEastAsia" w:hAnsi="Cambria"/>
                <w:b/>
                <w:kern w:val="2"/>
                <w:sz w:val="20"/>
                <w:lang w:eastAsia="ja-JP"/>
                <w14:ligatures w14:val="standardContextual"/>
              </w:rPr>
              <w:t>)</w:t>
            </w:r>
          </w:p>
        </w:tc>
        <w:tc>
          <w:tcPr>
            <w:tcW w:w="1560" w:type="pct"/>
          </w:tcPr>
          <w:p w14:paraId="5A143728"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Todos los buques tunecinos (de captura, remolque y auxiliar) que participan en la pesca del atún rojo están equipados con VMS. La transmisión de los datos sobre las posiciones, cada hora, comenzará cinco días antes de la fecha de inicio de la autorización de la actividad y continuará hasta cinco días después de la fecha de finalización de la autorización. En caso de fallo del sistema VMS a bordo de un remolcador, la autoridad competente interviene para sustituir el buque e informa inmediatamente a la Secretaría.  </w:t>
            </w:r>
          </w:p>
        </w:tc>
        <w:tc>
          <w:tcPr>
            <w:tcW w:w="1415" w:type="pct"/>
          </w:tcPr>
          <w:p w14:paraId="5494D35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Ley n.º 94-13 del 31 de enero de 1994 sobre el ejercicio de la pesca tal y como ha sido completado por la ley 2013-34 del 21 de septiembre de 2013 y la ley 2018-30 del 23 de mayo de 2018. </w:t>
            </w:r>
          </w:p>
          <w:p w14:paraId="6C7DB52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Decreto del Ministerio de Agricultura, de Recursos Hidráulicos y de Pesca del 26 de junio de 2015 que establece el tipo de instrumentos que permiten recoger información instantánea sobre las posiciones de las unidades de pesca en el mar y el tipo de unidades que deben estar equipadas.</w:t>
            </w:r>
          </w:p>
          <w:p w14:paraId="2D9CA577" w14:textId="77777777" w:rsidR="009123AC" w:rsidRPr="00F0379B" w:rsidRDefault="009123AC" w:rsidP="00CE0EC8">
            <w:pPr>
              <w:widowControl w:val="0"/>
              <w:numPr>
                <w:ilvl w:val="0"/>
                <w:numId w:val="62"/>
              </w:numPr>
              <w:autoSpaceDE w:val="0"/>
              <w:autoSpaceDN w:val="0"/>
              <w:adjustRightInd w:val="0"/>
              <w:spacing w:line="240" w:lineRule="auto"/>
              <w:ind w:left="66" w:right="-24" w:hanging="142"/>
              <w:jc w:val="both"/>
              <w:rPr>
                <w:rFonts w:ascii="Cambria" w:eastAsiaTheme="minorEastAsia" w:hAnsi="Cambria" w:cs="Cambria"/>
                <w:kern w:val="2"/>
                <w:sz w:val="20"/>
                <w:szCs w:val="20"/>
                <w:lang w:eastAsia="ja-JP"/>
                <w14:ligatures w14:val="standardContextual"/>
              </w:rPr>
            </w:pPr>
            <w:r w:rsidRPr="00F0379B">
              <w:rPr>
                <w:rFonts w:ascii="Cambria" w:eastAsiaTheme="minorEastAsia" w:hAnsi="Cambria" w:cs="Cambria"/>
                <w:kern w:val="2"/>
                <w:sz w:val="20"/>
                <w:szCs w:val="20"/>
                <w:lang w:eastAsia="ja-JP"/>
                <w14:ligatures w14:val="standardContextual"/>
              </w:rPr>
              <w:t>Decreto del ministro de agricultura, recursos hidráulicos y pesca del 25 de abril de 2024 sobre la organización de la pesca de atún rojo y su engorde.</w:t>
            </w:r>
          </w:p>
        </w:tc>
        <w:tc>
          <w:tcPr>
            <w:tcW w:w="700" w:type="pct"/>
          </w:tcPr>
          <w:p w14:paraId="6D849487" w14:textId="77777777" w:rsidR="009123AC" w:rsidRPr="00F0379B" w:rsidRDefault="009123AC" w:rsidP="00CE0EC8">
            <w:pPr>
              <w:widowControl w:val="0"/>
              <w:numPr>
                <w:ilvl w:val="0"/>
                <w:numId w:val="62"/>
              </w:numPr>
              <w:spacing w:line="240" w:lineRule="auto"/>
              <w:ind w:left="66" w:right="-24" w:hanging="142"/>
              <w:contextualSpacing/>
              <w:jc w:val="both"/>
              <w:rPr>
                <w:rFonts w:eastAsiaTheme="minorEastAsia"/>
                <w:kern w:val="2"/>
                <w:lang w:eastAsia="ja-JP"/>
                <w14:ligatures w14:val="standardContextual"/>
              </w:rPr>
            </w:pPr>
          </w:p>
        </w:tc>
      </w:tr>
      <w:tr w:rsidR="009123AC" w:rsidRPr="00F0379B" w14:paraId="06C8D6CE" w14:textId="77777777" w:rsidTr="00CA749B">
        <w:tc>
          <w:tcPr>
            <w:tcW w:w="250" w:type="pct"/>
          </w:tcPr>
          <w:p w14:paraId="2E35D1D9"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8</w:t>
            </w:r>
          </w:p>
        </w:tc>
        <w:tc>
          <w:tcPr>
            <w:tcW w:w="1075" w:type="pct"/>
          </w:tcPr>
          <w:p w14:paraId="61C02CB9"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Programa de observadores de las CPC (párrs. 95-100)</w:t>
            </w:r>
          </w:p>
        </w:tc>
        <w:tc>
          <w:tcPr>
            <w:tcW w:w="1560" w:type="pct"/>
          </w:tcPr>
          <w:p w14:paraId="2480AC9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Al igual que en temporadas de pesca anteriores, la autoridad competente mantendrá una tasa de cobertura de observadores nacionales del 100 % a bordo de los remolcadores. Antes de su asignación, se organizará una sesión de formación para estos observadores.</w:t>
            </w:r>
          </w:p>
        </w:tc>
        <w:tc>
          <w:tcPr>
            <w:tcW w:w="1415" w:type="pct"/>
          </w:tcPr>
          <w:p w14:paraId="77691E13"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700" w:type="pct"/>
          </w:tcPr>
          <w:p w14:paraId="16B3B238"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7A496BCB" w14:textId="77777777" w:rsidTr="00CA749B">
        <w:tc>
          <w:tcPr>
            <w:tcW w:w="250" w:type="pct"/>
          </w:tcPr>
          <w:p w14:paraId="61E542BF"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9</w:t>
            </w:r>
          </w:p>
        </w:tc>
        <w:tc>
          <w:tcPr>
            <w:tcW w:w="1075" w:type="pct"/>
          </w:tcPr>
          <w:p w14:paraId="333E9625"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szCs w:val="20"/>
                <w:lang w:val="pt-BR" w:eastAsia="ja-JP"/>
                <w14:ligatures w14:val="standardContextual"/>
              </w:rPr>
              <w:t>Programa regional de observadores (párrs. </w:t>
            </w:r>
            <w:r w:rsidRPr="00F0379B">
              <w:rPr>
                <w:rFonts w:ascii="Cambria" w:eastAsiaTheme="minorEastAsia" w:hAnsi="Cambria"/>
                <w:b/>
                <w:kern w:val="2"/>
                <w:sz w:val="20"/>
                <w:szCs w:val="20"/>
                <w:lang w:eastAsia="ja-JP"/>
                <w14:ligatures w14:val="standardContextual"/>
              </w:rPr>
              <w:t>101-107)</w:t>
            </w:r>
          </w:p>
        </w:tc>
        <w:tc>
          <w:tcPr>
            <w:tcW w:w="1560" w:type="pct"/>
          </w:tcPr>
          <w:p w14:paraId="0312CD7B"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 autoridad competente garantizará la implementación del programa regional de observadores para cubrir las siguientes operaciones:</w:t>
            </w:r>
          </w:p>
          <w:p w14:paraId="03619877" w14:textId="77777777" w:rsidR="009123AC" w:rsidRPr="00F0379B" w:rsidRDefault="009123AC" w:rsidP="00CE0EC8">
            <w:pPr>
              <w:widowControl w:val="0"/>
              <w:numPr>
                <w:ilvl w:val="0"/>
                <w:numId w:val="63"/>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actividades a bordo de cerqueros;</w:t>
            </w:r>
          </w:p>
          <w:p w14:paraId="5222CA39" w14:textId="77777777" w:rsidR="009123AC" w:rsidRPr="00F0379B" w:rsidRDefault="009123AC" w:rsidP="00CE0EC8">
            <w:pPr>
              <w:widowControl w:val="0"/>
              <w:numPr>
                <w:ilvl w:val="0"/>
                <w:numId w:val="63"/>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transferencias de atún rojo vivo a las jaulas de remolque;</w:t>
            </w:r>
          </w:p>
          <w:p w14:paraId="1BB4D7FF" w14:textId="77777777" w:rsidR="009123AC" w:rsidRPr="00F0379B" w:rsidRDefault="009123AC" w:rsidP="00CE0EC8">
            <w:pPr>
              <w:widowControl w:val="0"/>
              <w:numPr>
                <w:ilvl w:val="0"/>
                <w:numId w:val="63"/>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primeras introducciones en jaula de atún rojo vivo en las granjas de engorde;</w:t>
            </w:r>
          </w:p>
          <w:p w14:paraId="03CF2064" w14:textId="77777777" w:rsidR="009123AC" w:rsidRPr="00F0379B" w:rsidRDefault="009123AC" w:rsidP="00CE0EC8">
            <w:pPr>
              <w:widowControl w:val="0"/>
              <w:numPr>
                <w:ilvl w:val="0"/>
                <w:numId w:val="63"/>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el sacrificio del de atún rojo vivo en las granjas de engorde;</w:t>
            </w:r>
          </w:p>
          <w:p w14:paraId="3C1A4C22" w14:textId="77777777" w:rsidR="009123AC" w:rsidRPr="00F0379B" w:rsidRDefault="009123AC" w:rsidP="00CE0EC8">
            <w:pPr>
              <w:widowControl w:val="0"/>
              <w:numPr>
                <w:ilvl w:val="0"/>
                <w:numId w:val="63"/>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transferencias de control del atún rojo vivo en las zonas de pesca;</w:t>
            </w:r>
          </w:p>
          <w:p w14:paraId="57E789D8" w14:textId="77777777" w:rsidR="009123AC" w:rsidRPr="00F0379B" w:rsidRDefault="009123AC" w:rsidP="00CE0EC8">
            <w:pPr>
              <w:widowControl w:val="0"/>
              <w:numPr>
                <w:ilvl w:val="0"/>
                <w:numId w:val="63"/>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introducciones en jaulas de control del atún rojo vivo en las granjas de engorde;</w:t>
            </w:r>
          </w:p>
          <w:p w14:paraId="68A006F9" w14:textId="77777777" w:rsidR="009123AC" w:rsidRPr="00F0379B" w:rsidRDefault="009123AC" w:rsidP="00CE0EC8">
            <w:pPr>
              <w:widowControl w:val="0"/>
              <w:numPr>
                <w:ilvl w:val="0"/>
                <w:numId w:val="63"/>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transferencias entre granjas de atún rojo vivo;</w:t>
            </w:r>
          </w:p>
          <w:p w14:paraId="5E3860B0" w14:textId="77777777" w:rsidR="009123AC" w:rsidRPr="00F0379B" w:rsidRDefault="009123AC" w:rsidP="00CE0EC8">
            <w:pPr>
              <w:widowControl w:val="0"/>
              <w:numPr>
                <w:ilvl w:val="0"/>
                <w:numId w:val="63"/>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las liberaciones desde los cerqueros y las granjas de engorde;</w:t>
            </w:r>
          </w:p>
        </w:tc>
        <w:tc>
          <w:tcPr>
            <w:tcW w:w="1415" w:type="pct"/>
          </w:tcPr>
          <w:p w14:paraId="33E21EC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700" w:type="pct"/>
          </w:tcPr>
          <w:p w14:paraId="04C4504E"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61D83880" w14:textId="77777777" w:rsidTr="00CA749B">
        <w:tc>
          <w:tcPr>
            <w:tcW w:w="250" w:type="pct"/>
          </w:tcPr>
          <w:p w14:paraId="6DB93212" w14:textId="77777777" w:rsidR="009123AC" w:rsidRPr="00F0379B" w:rsidRDefault="009123AC" w:rsidP="009123AC">
            <w:pPr>
              <w:widowControl w:val="0"/>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bCs/>
                <w:iCs/>
                <w:kern w:val="2"/>
                <w:sz w:val="20"/>
                <w:szCs w:val="20"/>
                <w:lang w:eastAsia="ja-JP"/>
                <w14:ligatures w14:val="standardContextual"/>
              </w:rPr>
              <w:t>10</w:t>
            </w:r>
          </w:p>
        </w:tc>
        <w:tc>
          <w:tcPr>
            <w:tcW w:w="1075" w:type="pct"/>
          </w:tcPr>
          <w:p w14:paraId="74C2C8F5" w14:textId="77777777" w:rsidR="009123AC" w:rsidRPr="00F0379B" w:rsidRDefault="009123AC" w:rsidP="009123AC">
            <w:pPr>
              <w:widowControl w:val="0"/>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bCs/>
                <w:iCs/>
                <w:kern w:val="2"/>
                <w:sz w:val="20"/>
                <w:szCs w:val="20"/>
                <w:lang w:eastAsia="ja-JP"/>
                <w14:ligatures w14:val="standardContextual"/>
              </w:rPr>
              <w:t>Legislación nacional</w:t>
            </w:r>
          </w:p>
        </w:tc>
        <w:tc>
          <w:tcPr>
            <w:tcW w:w="1560" w:type="pct"/>
          </w:tcPr>
          <w:p w14:paraId="6FA458E9"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Túnez sigue realizando los esfuerzos adecuados para ordenar de forma responsable la actividad de pesca de atún rojo mediante los textos legislativos apropiados, con el fin de cumplir las recomendaciones de ICCAT.  </w:t>
            </w:r>
          </w:p>
        </w:tc>
        <w:tc>
          <w:tcPr>
            <w:tcW w:w="1415" w:type="pct"/>
          </w:tcPr>
          <w:p w14:paraId="0EF3D0DE" w14:textId="77777777" w:rsidR="009123AC" w:rsidRPr="00F0379B" w:rsidRDefault="009123AC" w:rsidP="00CE0EC8">
            <w:pPr>
              <w:widowControl w:val="0"/>
              <w:numPr>
                <w:ilvl w:val="0"/>
                <w:numId w:val="62"/>
              </w:numPr>
              <w:autoSpaceDE w:val="0"/>
              <w:autoSpaceDN w:val="0"/>
              <w:adjustRightInd w:val="0"/>
              <w:spacing w:line="240" w:lineRule="auto"/>
              <w:ind w:left="66" w:right="-24" w:hanging="142"/>
              <w:jc w:val="both"/>
              <w:rPr>
                <w:rFonts w:ascii="Cambria" w:eastAsiaTheme="minorEastAsia" w:hAnsi="Cambria" w:cs="Cambria"/>
                <w:kern w:val="2"/>
                <w:sz w:val="20"/>
                <w:szCs w:val="20"/>
                <w:lang w:eastAsia="ja-JP"/>
                <w14:ligatures w14:val="standardContextual"/>
              </w:rPr>
            </w:pPr>
            <w:r w:rsidRPr="00F0379B">
              <w:rPr>
                <w:rFonts w:ascii="Cambria" w:eastAsiaTheme="minorEastAsia" w:hAnsi="Cambria" w:cs="Cambria"/>
                <w:kern w:val="2"/>
                <w:sz w:val="20"/>
                <w:szCs w:val="20"/>
                <w:lang w:eastAsia="ja-JP"/>
                <w14:ligatures w14:val="standardContextual"/>
              </w:rPr>
              <w:t xml:space="preserve">Ley n.º 94-13 del 31 de enero de 1994 sobre el ejercicio de la pesca tal y como ha sido completada por la ley 2013-34 del 21 de septiembre de 2013 y la ley 2018-30 del 23 de mayo de 2018. </w:t>
            </w:r>
          </w:p>
          <w:p w14:paraId="3AA08F9E" w14:textId="77777777" w:rsidR="009123AC" w:rsidRPr="00F0379B" w:rsidRDefault="009123AC" w:rsidP="00CE0EC8">
            <w:pPr>
              <w:widowControl w:val="0"/>
              <w:numPr>
                <w:ilvl w:val="0"/>
                <w:numId w:val="62"/>
              </w:numPr>
              <w:autoSpaceDE w:val="0"/>
              <w:autoSpaceDN w:val="0"/>
              <w:adjustRightInd w:val="0"/>
              <w:spacing w:line="240" w:lineRule="auto"/>
              <w:ind w:left="66" w:right="-24" w:hanging="142"/>
              <w:jc w:val="both"/>
              <w:rPr>
                <w:rFonts w:ascii="Cambria" w:eastAsiaTheme="minorEastAsia" w:hAnsi="Cambria" w:cs="Cambria"/>
                <w:kern w:val="2"/>
                <w:sz w:val="20"/>
                <w:szCs w:val="20"/>
                <w:lang w:eastAsia="ja-JP"/>
                <w14:ligatures w14:val="standardContextual"/>
              </w:rPr>
            </w:pPr>
            <w:r w:rsidRPr="00F0379B">
              <w:rPr>
                <w:rFonts w:ascii="Cambria" w:eastAsiaTheme="minorEastAsia" w:hAnsi="Cambria" w:cs="Cambria"/>
                <w:kern w:val="2"/>
                <w:sz w:val="20"/>
                <w:szCs w:val="20"/>
                <w:lang w:eastAsia="ja-JP"/>
                <w14:ligatures w14:val="standardContextual"/>
              </w:rPr>
              <w:t>Decreto del Ministerio de Agricultura, de Recursos Hidráulicos y de Pesca del 26 de junio de 2015 que establece el tipo de instrumentos que permiten recoger información instantánea sobre las posiciones de las unidades de pesca en el mar y el tipo de unidades que deben estar equipadas.</w:t>
            </w:r>
          </w:p>
          <w:p w14:paraId="3CB2785D" w14:textId="77777777" w:rsidR="009123AC" w:rsidRPr="00F0379B" w:rsidRDefault="009123AC" w:rsidP="00CE0EC8">
            <w:pPr>
              <w:widowControl w:val="0"/>
              <w:numPr>
                <w:ilvl w:val="0"/>
                <w:numId w:val="62"/>
              </w:numPr>
              <w:autoSpaceDE w:val="0"/>
              <w:autoSpaceDN w:val="0"/>
              <w:adjustRightInd w:val="0"/>
              <w:spacing w:line="240" w:lineRule="auto"/>
              <w:ind w:left="66" w:right="-24" w:hanging="142"/>
              <w:jc w:val="both"/>
              <w:rPr>
                <w:rFonts w:ascii="Cambria" w:eastAsiaTheme="minorEastAsia" w:hAnsi="Cambria" w:cs="Cambria"/>
                <w:kern w:val="2"/>
                <w:sz w:val="20"/>
                <w:szCs w:val="20"/>
                <w:lang w:eastAsia="ja-JP"/>
                <w14:ligatures w14:val="standardContextual"/>
              </w:rPr>
            </w:pPr>
            <w:r w:rsidRPr="00F0379B">
              <w:rPr>
                <w:rFonts w:ascii="Cambria" w:eastAsiaTheme="minorEastAsia" w:hAnsi="Cambria" w:cs="Cambria"/>
                <w:kern w:val="2"/>
                <w:sz w:val="20"/>
                <w:szCs w:val="20"/>
                <w:lang w:eastAsia="ja-JP"/>
                <w14:ligatures w14:val="standardContextual"/>
              </w:rPr>
              <w:t>Decreto del ministro de agricultura, recursos hidráulicos y pesca del 7 de abril de 2025 sobre la organización de la pesca de atún rojo y su engorde.</w:t>
            </w:r>
          </w:p>
        </w:tc>
        <w:tc>
          <w:tcPr>
            <w:tcW w:w="700" w:type="pct"/>
          </w:tcPr>
          <w:p w14:paraId="25C06B1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r>
      <w:tr w:rsidR="009123AC" w:rsidRPr="00F0379B" w14:paraId="500C94DA" w14:textId="77777777" w:rsidTr="00CA749B">
        <w:tc>
          <w:tcPr>
            <w:tcW w:w="250" w:type="pct"/>
          </w:tcPr>
          <w:p w14:paraId="3EFC71B9"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p>
        </w:tc>
        <w:tc>
          <w:tcPr>
            <w:tcW w:w="1075" w:type="pct"/>
          </w:tcPr>
          <w:p w14:paraId="75A39D45" w14:textId="77777777" w:rsidR="009123AC" w:rsidRPr="00F0379B" w:rsidRDefault="009123AC" w:rsidP="009123AC">
            <w:pPr>
              <w:widowControl w:val="0"/>
              <w:spacing w:line="240" w:lineRule="auto"/>
              <w:jc w:val="both"/>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Otros requisitos, como:</w:t>
            </w:r>
          </w:p>
          <w:p w14:paraId="20D562D2"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szCs w:val="20"/>
                <w:lang w:eastAsia="ja-JP"/>
                <w14:ligatures w14:val="standardContextual"/>
              </w:rPr>
              <w:t>programa de marcado (párr. 44). etc.</w:t>
            </w:r>
          </w:p>
        </w:tc>
        <w:tc>
          <w:tcPr>
            <w:tcW w:w="1560" w:type="pct"/>
          </w:tcPr>
          <w:p w14:paraId="353CC46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ha implementado un programa científico nacional que cubre el 10 % de los buques de captura autorizados. Del mismo modo, todas las operaciones de sacrificio se llevan a cabo en presencia de representantes de la autoridad competente y de la investigación, con el fin de realizar el muestreo exigido por las disposiciones de la Rec. 22-08 y cumplir los requisitos de declaración de datos estadísticos relacionados con la Tarea 2.</w:t>
            </w:r>
          </w:p>
        </w:tc>
        <w:tc>
          <w:tcPr>
            <w:tcW w:w="1415" w:type="pct"/>
          </w:tcPr>
          <w:p w14:paraId="77480433"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700" w:type="pct"/>
          </w:tcPr>
          <w:p w14:paraId="20D615B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bl>
    <w:p w14:paraId="0DB75AF2" w14:textId="77777777" w:rsidR="009123AC" w:rsidRPr="00F0379B" w:rsidRDefault="009123AC" w:rsidP="009123AC">
      <w:pPr>
        <w:widowControl w:val="0"/>
        <w:spacing w:after="0" w:line="240" w:lineRule="auto"/>
        <w:rPr>
          <w:rFonts w:ascii="Cambria" w:eastAsia="MS Gothic" w:hAnsi="Cambria" w:cs="Times New Roman"/>
          <w:bCs/>
          <w:sz w:val="20"/>
          <w:szCs w:val="20"/>
          <w:lang w:eastAsia="fr-FR" w:bidi="fr-FR"/>
        </w:rPr>
      </w:pPr>
    </w:p>
    <w:p w14:paraId="3E91A209" w14:textId="77777777" w:rsidR="009E02DA" w:rsidRPr="00F0379B" w:rsidRDefault="009E02DA">
      <w:pPr>
        <w:spacing w:line="259" w:lineRule="auto"/>
        <w:rPr>
          <w:rFonts w:ascii="Cambria" w:eastAsia="MS Gothic" w:hAnsi="Cambria" w:cs="Times New Roman"/>
          <w:b/>
          <w:bCs/>
          <w:i/>
          <w:iCs/>
          <w:sz w:val="20"/>
          <w:szCs w:val="20"/>
          <w:lang w:eastAsia="fr-FR" w:bidi="fr-FR"/>
        </w:rPr>
      </w:pPr>
      <w:bookmarkStart w:id="24" w:name="_Hlk157769430"/>
      <w:r w:rsidRPr="00F0379B">
        <w:rPr>
          <w:rFonts w:ascii="Cambria" w:eastAsia="MS Gothic" w:hAnsi="Cambria" w:cs="Times New Roman"/>
          <w:b/>
          <w:bCs/>
          <w:i/>
          <w:iCs/>
          <w:sz w:val="20"/>
          <w:szCs w:val="20"/>
          <w:lang w:eastAsia="fr-FR" w:bidi="fr-FR"/>
        </w:rPr>
        <w:br w:type="page"/>
      </w:r>
    </w:p>
    <w:p w14:paraId="4E28B108" w14:textId="23102CC1"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r w:rsidRPr="00F0379B">
        <w:rPr>
          <w:rFonts w:ascii="Cambria" w:eastAsia="MS Gothic" w:hAnsi="Cambria" w:cs="Times New Roman"/>
          <w:b/>
          <w:bCs/>
          <w:i/>
          <w:iCs/>
          <w:sz w:val="20"/>
          <w:szCs w:val="20"/>
          <w:lang w:eastAsia="fr-FR" w:bidi="fr-FR"/>
        </w:rPr>
        <w:t>1 e) Puertos designados (párr. 80)</w:t>
      </w:r>
    </w:p>
    <w:bookmarkEnd w:id="24"/>
    <w:p w14:paraId="0A1C65D0" w14:textId="77777777" w:rsidR="009123AC" w:rsidRPr="00F0379B" w:rsidRDefault="009123AC" w:rsidP="009123AC">
      <w:pPr>
        <w:widowControl w:val="0"/>
        <w:spacing w:after="0" w:line="240" w:lineRule="auto"/>
        <w:rPr>
          <w:rFonts w:ascii="Cambria" w:eastAsia="MS Gothic" w:hAnsi="Cambria" w:cs="Times New Roman"/>
          <w:bCs/>
          <w:sz w:val="20"/>
          <w:szCs w:val="20"/>
          <w:lang w:eastAsia="fr-FR" w:bidi="fr-FR"/>
        </w:rPr>
      </w:pPr>
    </w:p>
    <w:p w14:paraId="7E7A913C" w14:textId="77777777" w:rsidR="009123AC" w:rsidRPr="00F0379B" w:rsidRDefault="009123AC" w:rsidP="009123AC">
      <w:pPr>
        <w:widowControl w:val="0"/>
        <w:spacing w:after="0" w:line="240" w:lineRule="auto"/>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bCs/>
          <w:sz w:val="20"/>
          <w:szCs w:val="20"/>
          <w:lang w:eastAsia="fr-FR" w:bidi="fr-FR"/>
        </w:rPr>
        <w:t>El desembarque y transbordo de atún rojo muerto sólo se autoriza en los puertos designados, cuya lista se comunicará a ICCAT dentro del plazo. Se trata de los 12 puertos situados en las zonas norte, este y sur:</w:t>
      </w:r>
      <w:r w:rsidRPr="00F0379B">
        <w:rPr>
          <w:rFonts w:ascii="Cambria" w:eastAsia="MS Gothic" w:hAnsi="Cambria" w:cs="Times New Roman"/>
          <w:color w:val="000000"/>
          <w:sz w:val="20"/>
          <w:szCs w:val="20"/>
          <w:lang w:eastAsia="fr-FR" w:bidi="fr-FR"/>
        </w:rPr>
        <w:t xml:space="preserve"> </w:t>
      </w:r>
    </w:p>
    <w:p w14:paraId="3F229F3C" w14:textId="77777777" w:rsidR="009123AC" w:rsidRPr="00F0379B" w:rsidRDefault="009123AC" w:rsidP="009123AC">
      <w:pPr>
        <w:widowControl w:val="0"/>
        <w:spacing w:after="0" w:line="240" w:lineRule="auto"/>
        <w:contextualSpacing/>
        <w:jc w:val="both"/>
        <w:rPr>
          <w:rFonts w:ascii="Cambria" w:eastAsia="Times New Roman" w:hAnsi="Cambria" w:cs="Calibri"/>
          <w:color w:val="000000"/>
          <w:sz w:val="20"/>
          <w:szCs w:val="20"/>
          <w:lang w:eastAsia="fr-FR" w:bidi="fr-FR"/>
        </w:rPr>
      </w:pPr>
    </w:p>
    <w:p w14:paraId="2E43A521" w14:textId="77777777" w:rsidR="009123AC" w:rsidRPr="00F0379B" w:rsidRDefault="009123AC" w:rsidP="00CE0EC8">
      <w:pPr>
        <w:widowControl w:val="0"/>
        <w:numPr>
          <w:ilvl w:val="0"/>
          <w:numId w:val="23"/>
        </w:numPr>
        <w:spacing w:after="0" w:line="240" w:lineRule="auto"/>
        <w:contextualSpacing/>
        <w:jc w:val="both"/>
        <w:rPr>
          <w:rFonts w:ascii="Cambria" w:eastAsia="MS Gothic" w:hAnsi="Cambria" w:cs="Times New Roman"/>
          <w:bCs/>
          <w:sz w:val="20"/>
          <w:szCs w:val="20"/>
          <w:lang w:eastAsia="fr-FR" w:bidi="fr-FR"/>
        </w:rPr>
      </w:pPr>
      <w:proofErr w:type="spellStart"/>
      <w:r w:rsidRPr="00F0379B">
        <w:rPr>
          <w:rFonts w:ascii="Cambria" w:eastAsia="MS Gothic" w:hAnsi="Cambria" w:cs="Times New Roman"/>
          <w:color w:val="000000"/>
          <w:sz w:val="20"/>
          <w:szCs w:val="20"/>
          <w:lang w:eastAsia="fr-FR" w:bidi="fr-FR"/>
        </w:rPr>
        <w:t>Tabarka</w:t>
      </w:r>
      <w:proofErr w:type="spellEnd"/>
      <w:r w:rsidRPr="00F0379B">
        <w:rPr>
          <w:rFonts w:ascii="Cambria" w:eastAsia="MS Gothic" w:hAnsi="Cambria" w:cs="Times New Roman"/>
          <w:color w:val="000000"/>
          <w:sz w:val="20"/>
          <w:szCs w:val="20"/>
          <w:lang w:eastAsia="fr-FR" w:bidi="fr-FR"/>
        </w:rPr>
        <w:t>,</w:t>
      </w:r>
    </w:p>
    <w:p w14:paraId="74229EC7" w14:textId="77777777" w:rsidR="009123AC" w:rsidRPr="00F0379B" w:rsidRDefault="009123AC" w:rsidP="00CE0EC8">
      <w:pPr>
        <w:widowControl w:val="0"/>
        <w:numPr>
          <w:ilvl w:val="0"/>
          <w:numId w:val="23"/>
        </w:numPr>
        <w:spacing w:after="0" w:line="240" w:lineRule="auto"/>
        <w:contextualSpacing/>
        <w:jc w:val="both"/>
        <w:rPr>
          <w:rFonts w:ascii="Cambria" w:eastAsia="MS Gothic" w:hAnsi="Cambria" w:cs="Times New Roman"/>
          <w:bCs/>
          <w:sz w:val="20"/>
          <w:szCs w:val="20"/>
          <w:lang w:eastAsia="fr-FR" w:bidi="fr-FR"/>
        </w:rPr>
      </w:pPr>
      <w:proofErr w:type="spellStart"/>
      <w:r w:rsidRPr="00F0379B">
        <w:rPr>
          <w:rFonts w:ascii="Cambria" w:eastAsia="MS Gothic" w:hAnsi="Cambria" w:cs="Times New Roman"/>
          <w:color w:val="000000"/>
          <w:sz w:val="20"/>
          <w:szCs w:val="20"/>
          <w:lang w:eastAsia="fr-FR" w:bidi="fr-FR"/>
        </w:rPr>
        <w:t>Bizerte</w:t>
      </w:r>
      <w:proofErr w:type="spellEnd"/>
      <w:r w:rsidRPr="00F0379B">
        <w:rPr>
          <w:rFonts w:ascii="Cambria" w:eastAsia="MS Gothic" w:hAnsi="Cambria" w:cs="Times New Roman"/>
          <w:color w:val="000000"/>
          <w:sz w:val="20"/>
          <w:szCs w:val="20"/>
          <w:lang w:eastAsia="fr-FR" w:bidi="fr-FR"/>
        </w:rPr>
        <w:t>,</w:t>
      </w:r>
    </w:p>
    <w:p w14:paraId="6F32368B" w14:textId="77777777" w:rsidR="009123AC" w:rsidRPr="00F0379B" w:rsidRDefault="009123AC" w:rsidP="00CE0EC8">
      <w:pPr>
        <w:widowControl w:val="0"/>
        <w:numPr>
          <w:ilvl w:val="0"/>
          <w:numId w:val="23"/>
        </w:numPr>
        <w:spacing w:after="0" w:line="240" w:lineRule="auto"/>
        <w:contextualSpacing/>
        <w:jc w:val="both"/>
        <w:rPr>
          <w:rFonts w:ascii="Cambria" w:eastAsia="MS Gothic" w:hAnsi="Cambria" w:cs="Times New Roman"/>
          <w:bCs/>
          <w:sz w:val="20"/>
          <w:szCs w:val="20"/>
          <w:lang w:eastAsia="fr-FR" w:bidi="fr-FR"/>
        </w:rPr>
      </w:pPr>
      <w:r w:rsidRPr="00F0379B">
        <w:rPr>
          <w:rFonts w:ascii="Cambria" w:eastAsia="MS Gothic" w:hAnsi="Cambria" w:cs="Times New Roman"/>
          <w:color w:val="000000"/>
          <w:sz w:val="20"/>
          <w:szCs w:val="20"/>
          <w:lang w:eastAsia="fr-FR" w:bidi="fr-FR"/>
        </w:rPr>
        <w:t xml:space="preserve">La Goulette, </w:t>
      </w:r>
    </w:p>
    <w:p w14:paraId="7463753E" w14:textId="77777777" w:rsidR="009123AC" w:rsidRPr="00F0379B" w:rsidRDefault="009123AC" w:rsidP="00CE0EC8">
      <w:pPr>
        <w:widowControl w:val="0"/>
        <w:numPr>
          <w:ilvl w:val="0"/>
          <w:numId w:val="23"/>
        </w:numPr>
        <w:spacing w:after="0" w:line="240" w:lineRule="auto"/>
        <w:contextualSpacing/>
        <w:jc w:val="both"/>
        <w:rPr>
          <w:rFonts w:ascii="Cambria" w:eastAsia="MS Gothic" w:hAnsi="Cambria" w:cs="Times New Roman"/>
          <w:bCs/>
          <w:sz w:val="20"/>
          <w:szCs w:val="20"/>
          <w:lang w:eastAsia="fr-FR" w:bidi="fr-FR"/>
        </w:rPr>
      </w:pPr>
      <w:proofErr w:type="spellStart"/>
      <w:r w:rsidRPr="00F0379B">
        <w:rPr>
          <w:rFonts w:ascii="Cambria" w:eastAsia="MS Gothic" w:hAnsi="Cambria" w:cs="Times New Roman"/>
          <w:color w:val="000000"/>
          <w:sz w:val="20"/>
          <w:szCs w:val="20"/>
          <w:lang w:eastAsia="fr-FR" w:bidi="fr-FR"/>
        </w:rPr>
        <w:t>Kélibia</w:t>
      </w:r>
      <w:proofErr w:type="spellEnd"/>
      <w:r w:rsidRPr="00F0379B">
        <w:rPr>
          <w:rFonts w:ascii="Cambria" w:eastAsia="MS Gothic" w:hAnsi="Cambria" w:cs="Times New Roman"/>
          <w:color w:val="000000"/>
          <w:sz w:val="20"/>
          <w:szCs w:val="20"/>
          <w:lang w:eastAsia="fr-FR" w:bidi="fr-FR"/>
        </w:rPr>
        <w:t xml:space="preserve">, </w:t>
      </w:r>
    </w:p>
    <w:p w14:paraId="2695CA61" w14:textId="77777777" w:rsidR="009123AC" w:rsidRPr="00F0379B" w:rsidRDefault="009123AC" w:rsidP="00CE0EC8">
      <w:pPr>
        <w:widowControl w:val="0"/>
        <w:numPr>
          <w:ilvl w:val="0"/>
          <w:numId w:val="23"/>
        </w:numPr>
        <w:spacing w:after="0" w:line="240" w:lineRule="auto"/>
        <w:contextualSpacing/>
        <w:jc w:val="both"/>
        <w:rPr>
          <w:rFonts w:ascii="Cambria" w:eastAsia="MS Gothic" w:hAnsi="Cambria" w:cs="Times New Roman"/>
          <w:bCs/>
          <w:sz w:val="20"/>
          <w:szCs w:val="20"/>
          <w:lang w:eastAsia="fr-FR" w:bidi="fr-FR"/>
        </w:rPr>
      </w:pPr>
      <w:proofErr w:type="spellStart"/>
      <w:r w:rsidRPr="00F0379B">
        <w:rPr>
          <w:rFonts w:ascii="Cambria" w:eastAsia="MS Gothic" w:hAnsi="Cambria" w:cs="Times New Roman"/>
          <w:color w:val="000000"/>
          <w:sz w:val="20"/>
          <w:szCs w:val="20"/>
          <w:lang w:eastAsia="fr-FR" w:bidi="fr-FR"/>
        </w:rPr>
        <w:t>Sousse</w:t>
      </w:r>
      <w:proofErr w:type="spellEnd"/>
      <w:r w:rsidRPr="00F0379B">
        <w:rPr>
          <w:rFonts w:ascii="Cambria" w:eastAsia="MS Gothic" w:hAnsi="Cambria" w:cs="Times New Roman"/>
          <w:color w:val="000000"/>
          <w:sz w:val="20"/>
          <w:szCs w:val="20"/>
          <w:lang w:eastAsia="fr-FR" w:bidi="fr-FR"/>
        </w:rPr>
        <w:t xml:space="preserve">, </w:t>
      </w:r>
    </w:p>
    <w:p w14:paraId="5B81B2A5" w14:textId="77777777" w:rsidR="009123AC" w:rsidRPr="00F0379B" w:rsidRDefault="009123AC" w:rsidP="00CE0EC8">
      <w:pPr>
        <w:widowControl w:val="0"/>
        <w:numPr>
          <w:ilvl w:val="0"/>
          <w:numId w:val="23"/>
        </w:numPr>
        <w:spacing w:after="0" w:line="240" w:lineRule="auto"/>
        <w:contextualSpacing/>
        <w:jc w:val="both"/>
        <w:rPr>
          <w:rFonts w:ascii="Cambria" w:eastAsia="MS Gothic" w:hAnsi="Cambria" w:cs="Times New Roman"/>
          <w:bCs/>
          <w:sz w:val="20"/>
          <w:szCs w:val="20"/>
          <w:lang w:eastAsia="fr-FR" w:bidi="fr-FR"/>
        </w:rPr>
      </w:pPr>
      <w:proofErr w:type="spellStart"/>
      <w:r w:rsidRPr="00F0379B">
        <w:rPr>
          <w:rFonts w:ascii="Cambria" w:eastAsia="MS Gothic" w:hAnsi="Cambria" w:cs="Times New Roman"/>
          <w:color w:val="000000"/>
          <w:sz w:val="20"/>
          <w:szCs w:val="20"/>
          <w:lang w:eastAsia="fr-FR" w:bidi="fr-FR"/>
        </w:rPr>
        <w:t>Monastir</w:t>
      </w:r>
      <w:proofErr w:type="spellEnd"/>
      <w:r w:rsidRPr="00F0379B">
        <w:rPr>
          <w:rFonts w:ascii="Cambria" w:eastAsia="MS Gothic" w:hAnsi="Cambria" w:cs="Times New Roman"/>
          <w:color w:val="000000"/>
          <w:sz w:val="20"/>
          <w:szCs w:val="20"/>
          <w:lang w:eastAsia="fr-FR" w:bidi="fr-FR"/>
        </w:rPr>
        <w:t xml:space="preserve">, </w:t>
      </w:r>
    </w:p>
    <w:p w14:paraId="19AF41C1" w14:textId="77777777" w:rsidR="009123AC" w:rsidRPr="00F0379B" w:rsidRDefault="009123AC" w:rsidP="00CE0EC8">
      <w:pPr>
        <w:widowControl w:val="0"/>
        <w:numPr>
          <w:ilvl w:val="0"/>
          <w:numId w:val="23"/>
        </w:numPr>
        <w:spacing w:after="0" w:line="240" w:lineRule="auto"/>
        <w:contextualSpacing/>
        <w:jc w:val="both"/>
        <w:rPr>
          <w:rFonts w:ascii="Cambria" w:eastAsia="MS Gothic" w:hAnsi="Cambria" w:cs="Times New Roman"/>
          <w:bCs/>
          <w:sz w:val="20"/>
          <w:szCs w:val="20"/>
          <w:lang w:eastAsia="fr-FR" w:bidi="fr-FR"/>
        </w:rPr>
      </w:pPr>
      <w:proofErr w:type="spellStart"/>
      <w:r w:rsidRPr="00F0379B">
        <w:rPr>
          <w:rFonts w:ascii="Cambria" w:eastAsia="MS Gothic" w:hAnsi="Cambria" w:cs="Times New Roman"/>
          <w:color w:val="000000"/>
          <w:sz w:val="20"/>
          <w:szCs w:val="20"/>
          <w:lang w:eastAsia="fr-FR" w:bidi="fr-FR"/>
        </w:rPr>
        <w:t>Téboulba</w:t>
      </w:r>
      <w:proofErr w:type="spellEnd"/>
      <w:r w:rsidRPr="00F0379B">
        <w:rPr>
          <w:rFonts w:ascii="Cambria" w:eastAsia="MS Gothic" w:hAnsi="Cambria" w:cs="Times New Roman"/>
          <w:color w:val="000000"/>
          <w:sz w:val="20"/>
          <w:szCs w:val="20"/>
          <w:lang w:eastAsia="fr-FR" w:bidi="fr-FR"/>
        </w:rPr>
        <w:t xml:space="preserve">, </w:t>
      </w:r>
    </w:p>
    <w:p w14:paraId="737A4C79" w14:textId="77777777" w:rsidR="009123AC" w:rsidRPr="00F0379B" w:rsidRDefault="009123AC" w:rsidP="00CE0EC8">
      <w:pPr>
        <w:widowControl w:val="0"/>
        <w:numPr>
          <w:ilvl w:val="0"/>
          <w:numId w:val="23"/>
        </w:numPr>
        <w:spacing w:after="0" w:line="240" w:lineRule="auto"/>
        <w:contextualSpacing/>
        <w:jc w:val="both"/>
        <w:rPr>
          <w:rFonts w:ascii="Cambria" w:eastAsia="MS Gothic" w:hAnsi="Cambria" w:cs="Times New Roman"/>
          <w:bCs/>
          <w:sz w:val="20"/>
          <w:szCs w:val="20"/>
          <w:lang w:eastAsia="fr-FR" w:bidi="fr-FR"/>
        </w:rPr>
      </w:pPr>
      <w:r w:rsidRPr="00F0379B">
        <w:rPr>
          <w:rFonts w:ascii="Cambria" w:eastAsia="MS Gothic" w:hAnsi="Cambria" w:cs="Times New Roman"/>
          <w:color w:val="000000"/>
          <w:sz w:val="20"/>
          <w:szCs w:val="20"/>
          <w:lang w:eastAsia="fr-FR" w:bidi="fr-FR"/>
        </w:rPr>
        <w:t xml:space="preserve">Mahdia, </w:t>
      </w:r>
    </w:p>
    <w:p w14:paraId="35D4A31C" w14:textId="77777777" w:rsidR="009123AC" w:rsidRPr="00F0379B" w:rsidRDefault="009123AC" w:rsidP="00CE0EC8">
      <w:pPr>
        <w:widowControl w:val="0"/>
        <w:numPr>
          <w:ilvl w:val="0"/>
          <w:numId w:val="23"/>
        </w:numPr>
        <w:spacing w:after="0" w:line="240" w:lineRule="auto"/>
        <w:contextualSpacing/>
        <w:jc w:val="both"/>
        <w:rPr>
          <w:rFonts w:ascii="Cambria" w:eastAsia="MS Gothic" w:hAnsi="Cambria" w:cs="Times New Roman"/>
          <w:bCs/>
          <w:sz w:val="20"/>
          <w:szCs w:val="20"/>
          <w:lang w:eastAsia="fr-FR" w:bidi="fr-FR"/>
        </w:rPr>
      </w:pPr>
      <w:r w:rsidRPr="00F0379B">
        <w:rPr>
          <w:rFonts w:ascii="Cambria" w:eastAsia="MS Gothic" w:hAnsi="Cambria" w:cs="Times New Roman"/>
          <w:color w:val="000000"/>
          <w:sz w:val="20"/>
          <w:szCs w:val="20"/>
          <w:lang w:eastAsia="fr-FR" w:bidi="fr-FR"/>
        </w:rPr>
        <w:t xml:space="preserve">La </w:t>
      </w:r>
      <w:proofErr w:type="spellStart"/>
      <w:r w:rsidRPr="00F0379B">
        <w:rPr>
          <w:rFonts w:ascii="Cambria" w:eastAsia="MS Gothic" w:hAnsi="Cambria" w:cs="Times New Roman"/>
          <w:color w:val="000000"/>
          <w:sz w:val="20"/>
          <w:szCs w:val="20"/>
          <w:lang w:eastAsia="fr-FR" w:bidi="fr-FR"/>
        </w:rPr>
        <w:t>Chebba</w:t>
      </w:r>
      <w:proofErr w:type="spellEnd"/>
      <w:r w:rsidRPr="00F0379B">
        <w:rPr>
          <w:rFonts w:ascii="Cambria" w:eastAsia="MS Gothic" w:hAnsi="Cambria" w:cs="Times New Roman"/>
          <w:color w:val="000000"/>
          <w:sz w:val="20"/>
          <w:szCs w:val="20"/>
          <w:lang w:eastAsia="fr-FR" w:bidi="fr-FR"/>
        </w:rPr>
        <w:t>,</w:t>
      </w:r>
    </w:p>
    <w:p w14:paraId="39824B67" w14:textId="77777777" w:rsidR="009123AC" w:rsidRPr="00F0379B" w:rsidRDefault="009123AC" w:rsidP="00CE0EC8">
      <w:pPr>
        <w:widowControl w:val="0"/>
        <w:numPr>
          <w:ilvl w:val="0"/>
          <w:numId w:val="23"/>
        </w:numPr>
        <w:spacing w:after="0" w:line="240" w:lineRule="auto"/>
        <w:contextualSpacing/>
        <w:jc w:val="both"/>
        <w:rPr>
          <w:rFonts w:ascii="Cambria" w:eastAsia="MS Gothic" w:hAnsi="Cambria" w:cs="Times New Roman"/>
          <w:bCs/>
          <w:sz w:val="20"/>
          <w:szCs w:val="20"/>
          <w:lang w:eastAsia="fr-FR" w:bidi="fr-FR"/>
        </w:rPr>
      </w:pPr>
      <w:r w:rsidRPr="00F0379B">
        <w:rPr>
          <w:rFonts w:ascii="Cambria" w:eastAsia="MS Gothic" w:hAnsi="Cambria" w:cs="Times New Roman"/>
          <w:color w:val="000000"/>
          <w:sz w:val="20"/>
          <w:szCs w:val="20"/>
          <w:lang w:eastAsia="fr-FR" w:bidi="fr-FR"/>
        </w:rPr>
        <w:t xml:space="preserve">Sfax, </w:t>
      </w:r>
    </w:p>
    <w:p w14:paraId="56938D47" w14:textId="77777777" w:rsidR="009123AC" w:rsidRPr="00F0379B" w:rsidRDefault="009123AC" w:rsidP="00CE0EC8">
      <w:pPr>
        <w:widowControl w:val="0"/>
        <w:numPr>
          <w:ilvl w:val="0"/>
          <w:numId w:val="23"/>
        </w:numPr>
        <w:spacing w:after="0" w:line="240" w:lineRule="auto"/>
        <w:contextualSpacing/>
        <w:jc w:val="both"/>
        <w:rPr>
          <w:rFonts w:ascii="Cambria" w:eastAsia="MS Gothic" w:hAnsi="Cambria" w:cs="Times New Roman"/>
          <w:bCs/>
          <w:sz w:val="20"/>
          <w:szCs w:val="20"/>
          <w:lang w:eastAsia="fr-FR" w:bidi="fr-FR"/>
        </w:rPr>
      </w:pPr>
      <w:proofErr w:type="spellStart"/>
      <w:r w:rsidRPr="00F0379B">
        <w:rPr>
          <w:rFonts w:ascii="Cambria" w:eastAsia="MS Gothic" w:hAnsi="Cambria" w:cs="Times New Roman"/>
          <w:color w:val="000000"/>
          <w:sz w:val="20"/>
          <w:szCs w:val="20"/>
          <w:lang w:eastAsia="fr-FR" w:bidi="fr-FR"/>
        </w:rPr>
        <w:t>Gabès</w:t>
      </w:r>
      <w:proofErr w:type="spellEnd"/>
      <w:r w:rsidRPr="00F0379B">
        <w:rPr>
          <w:rFonts w:ascii="Cambria" w:eastAsia="MS Gothic" w:hAnsi="Cambria" w:cs="Times New Roman"/>
          <w:color w:val="000000"/>
          <w:sz w:val="20"/>
          <w:szCs w:val="20"/>
          <w:lang w:eastAsia="fr-FR" w:bidi="fr-FR"/>
        </w:rPr>
        <w:t xml:space="preserve">, </w:t>
      </w:r>
    </w:p>
    <w:p w14:paraId="759FB4FB" w14:textId="77777777" w:rsidR="009123AC" w:rsidRPr="00F0379B" w:rsidRDefault="009123AC" w:rsidP="00CE0EC8">
      <w:pPr>
        <w:widowControl w:val="0"/>
        <w:numPr>
          <w:ilvl w:val="0"/>
          <w:numId w:val="23"/>
        </w:numPr>
        <w:spacing w:after="0" w:line="240" w:lineRule="auto"/>
        <w:contextualSpacing/>
        <w:jc w:val="both"/>
        <w:rPr>
          <w:rFonts w:ascii="Cambria" w:eastAsia="MS Gothic" w:hAnsi="Cambria" w:cs="Times New Roman"/>
          <w:bCs/>
          <w:sz w:val="20"/>
          <w:szCs w:val="20"/>
          <w:lang w:eastAsia="fr-FR" w:bidi="fr-FR"/>
        </w:rPr>
      </w:pPr>
      <w:proofErr w:type="spellStart"/>
      <w:r w:rsidRPr="00F0379B">
        <w:rPr>
          <w:rFonts w:ascii="Cambria" w:eastAsia="MS Gothic" w:hAnsi="Cambria" w:cs="Times New Roman"/>
          <w:color w:val="000000"/>
          <w:sz w:val="20"/>
          <w:szCs w:val="20"/>
          <w:lang w:eastAsia="fr-FR" w:bidi="fr-FR"/>
        </w:rPr>
        <w:t>Zarzis</w:t>
      </w:r>
      <w:proofErr w:type="spellEnd"/>
      <w:r w:rsidRPr="00F0379B">
        <w:rPr>
          <w:rFonts w:ascii="Cambria" w:eastAsia="MS Gothic" w:hAnsi="Cambria" w:cs="Times New Roman"/>
          <w:color w:val="000000"/>
          <w:sz w:val="20"/>
          <w:szCs w:val="20"/>
          <w:lang w:eastAsia="fr-FR" w:bidi="fr-FR"/>
        </w:rPr>
        <w:t>.</w:t>
      </w:r>
    </w:p>
    <w:p w14:paraId="0AEEF95F" w14:textId="77777777" w:rsidR="009123AC" w:rsidRPr="00F0379B" w:rsidRDefault="009123AC" w:rsidP="009123AC">
      <w:pPr>
        <w:widowControl w:val="0"/>
        <w:spacing w:after="0" w:line="240" w:lineRule="auto"/>
        <w:rPr>
          <w:rFonts w:ascii="Cambria" w:eastAsia="MS Gothic" w:hAnsi="Cambria" w:cs="Times New Roman"/>
          <w:b/>
          <w:sz w:val="20"/>
          <w:szCs w:val="20"/>
          <w:lang w:eastAsia="ja-JP" w:bidi="fr-FR"/>
        </w:rPr>
      </w:pPr>
    </w:p>
    <w:p w14:paraId="0CE1727A" w14:textId="77777777" w:rsidR="009123AC" w:rsidRPr="00F0379B" w:rsidRDefault="009123AC" w:rsidP="009123AC">
      <w:pPr>
        <w:widowControl w:val="0"/>
        <w:spacing w:after="0" w:line="240" w:lineRule="auto"/>
        <w:ind w:left="426" w:hanging="426"/>
        <w:rPr>
          <w:rFonts w:ascii="Cambria" w:eastAsia="MS Gothic" w:hAnsi="Cambria" w:cs="Times New Roman"/>
          <w:b/>
          <w:sz w:val="20"/>
          <w:szCs w:val="20"/>
          <w:lang w:eastAsia="fr-FR" w:bidi="fr-FR"/>
        </w:rPr>
      </w:pPr>
      <w:bookmarkStart w:id="25" w:name="_Hlk158706914"/>
    </w:p>
    <w:bookmarkEnd w:id="25"/>
    <w:p w14:paraId="3FF1784E" w14:textId="77777777" w:rsidR="009123AC" w:rsidRPr="00F0379B" w:rsidRDefault="009123AC" w:rsidP="00CE0EC8">
      <w:pPr>
        <w:widowControl w:val="0"/>
        <w:numPr>
          <w:ilvl w:val="0"/>
          <w:numId w:val="64"/>
        </w:numPr>
        <w:tabs>
          <w:tab w:val="left" w:pos="426"/>
        </w:tabs>
        <w:spacing w:after="0" w:line="240" w:lineRule="auto"/>
        <w:ind w:left="426" w:hanging="426"/>
        <w:contextualSpacing/>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Plan anual de ordenación de la capacidad pesquera (párrs. 14-21)</w:t>
      </w:r>
    </w:p>
    <w:p w14:paraId="2DA114D7"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p>
    <w:p w14:paraId="17A9410B"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iCs/>
          <w:sz w:val="20"/>
          <w:szCs w:val="20"/>
          <w:lang w:eastAsia="fr-FR" w:bidi="fr-FR"/>
        </w:rPr>
        <w:t>El TAC tunecino se ha ajustado a 3.528,55 t, de las cuales 35,28 t se reservan para la captura fortuita. La cuota admisible para los cerqueros es de 3.493,26 t. La tabla de capacidad que se adjunta a este informe resume la capacidad pesquera por tipo de buque. Hay un remanente de 128,58 t.</w:t>
      </w:r>
    </w:p>
    <w:p w14:paraId="5330FAAB"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ja-JP" w:bidi="fr-FR"/>
        </w:rPr>
      </w:pPr>
    </w:p>
    <w:p w14:paraId="190D4A64"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ja-JP" w:bidi="fr-FR"/>
        </w:rPr>
      </w:pPr>
    </w:p>
    <w:p w14:paraId="2DEB90C2" w14:textId="77777777" w:rsidR="009123AC" w:rsidRPr="00F0379B" w:rsidRDefault="009123AC" w:rsidP="00CE0EC8">
      <w:pPr>
        <w:widowControl w:val="0"/>
        <w:numPr>
          <w:ilvl w:val="0"/>
          <w:numId w:val="64"/>
        </w:numPr>
        <w:spacing w:after="0" w:line="240" w:lineRule="auto"/>
        <w:ind w:left="426" w:hanging="426"/>
        <w:contextualSpacing/>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Plan anual de ordenación de la cría (párrs. 22-23), si es aplicable</w:t>
      </w:r>
    </w:p>
    <w:p w14:paraId="411D1F52"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15475326"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De conformidad con lo dispuesto en el párrafo 22 y 23 de la Rec. 25-04, Túnez autoriza un volumen total de entradas de atún rojo del orden de 3.600 t en 2026.</w:t>
      </w:r>
    </w:p>
    <w:p w14:paraId="6C4DA1C8" w14:textId="77777777" w:rsidR="009123AC" w:rsidRPr="00F0379B" w:rsidRDefault="009123AC" w:rsidP="009123AC">
      <w:pPr>
        <w:widowControl w:val="0"/>
        <w:spacing w:after="0" w:line="240" w:lineRule="auto"/>
        <w:jc w:val="both"/>
        <w:rPr>
          <w:rFonts w:ascii="Cambria" w:eastAsia="MS Gothic" w:hAnsi="Cambria" w:cs="Times New Roman"/>
          <w:bCs/>
          <w:color w:val="000000"/>
          <w:sz w:val="20"/>
          <w:szCs w:val="20"/>
          <w:lang w:eastAsia="fr-FR" w:bidi="fr-FR"/>
        </w:rPr>
      </w:pPr>
    </w:p>
    <w:p w14:paraId="794472B5" w14:textId="77777777" w:rsidR="009123AC" w:rsidRPr="00F0379B" w:rsidRDefault="009123AC" w:rsidP="009123AC">
      <w:pPr>
        <w:widowControl w:val="0"/>
        <w:tabs>
          <w:tab w:val="left" w:pos="1065"/>
        </w:tabs>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Se prevén dos controles aleatorios en las granjas, uno después de la introducción en jaulas y otro antes del sacrificio.</w:t>
      </w:r>
    </w:p>
    <w:p w14:paraId="51F19019" w14:textId="77777777" w:rsidR="009123AC" w:rsidRPr="00F0379B" w:rsidRDefault="009123AC" w:rsidP="009123AC">
      <w:pPr>
        <w:widowControl w:val="0"/>
        <w:tabs>
          <w:tab w:val="left" w:pos="1065"/>
        </w:tabs>
        <w:spacing w:after="0" w:line="240" w:lineRule="auto"/>
        <w:jc w:val="both"/>
        <w:rPr>
          <w:rFonts w:ascii="Cambria" w:eastAsia="MS Gothic" w:hAnsi="Cambria" w:cs="Times New Roman"/>
          <w:color w:val="000000"/>
          <w:sz w:val="20"/>
          <w:szCs w:val="20"/>
          <w:lang w:eastAsia="fr-FR" w:bidi="fr-FR"/>
        </w:rPr>
      </w:pPr>
    </w:p>
    <w:p w14:paraId="3B320326" w14:textId="77777777" w:rsidR="009123AC" w:rsidRPr="00F0379B" w:rsidRDefault="009123AC" w:rsidP="009123AC">
      <w:pPr>
        <w:widowControl w:val="0"/>
        <w:tabs>
          <w:tab w:val="left" w:pos="1065"/>
        </w:tabs>
        <w:spacing w:after="0" w:line="240" w:lineRule="auto"/>
        <w:jc w:val="both"/>
        <w:rPr>
          <w:rFonts w:ascii="Cambria" w:eastAsia="MS Gothic" w:hAnsi="Cambria" w:cs="Times New Roman"/>
          <w:bCs/>
          <w:color w:val="000000"/>
          <w:sz w:val="20"/>
          <w:szCs w:val="20"/>
          <w:lang w:eastAsia="fr-FR" w:bidi="fr-FR"/>
        </w:rPr>
      </w:pPr>
      <w:r w:rsidRPr="00F0379B">
        <w:rPr>
          <w:rFonts w:ascii="Cambria" w:eastAsia="MS Gothic" w:hAnsi="Cambria" w:cs="Times New Roman"/>
          <w:color w:val="000000"/>
          <w:sz w:val="20"/>
          <w:szCs w:val="20"/>
          <w:lang w:eastAsia="fr-FR" w:bidi="fr-FR"/>
        </w:rPr>
        <w:t>Seis (6) granjas están autorizadas a ejercer actividades de engorde en 2026 (ver tabla más abajo).</w:t>
      </w:r>
      <w:r w:rsidRPr="00F0379B">
        <w:rPr>
          <w:rFonts w:ascii="Cambria" w:eastAsia="MS Gothic" w:hAnsi="Cambria" w:cs="Times New Roman"/>
          <w:bCs/>
          <w:color w:val="000000"/>
          <w:sz w:val="20"/>
          <w:szCs w:val="20"/>
          <w:lang w:eastAsia="fr-FR" w:bidi="fr-FR"/>
        </w:rPr>
        <w:t xml:space="preserve"> </w:t>
      </w:r>
    </w:p>
    <w:p w14:paraId="08AF8A25" w14:textId="77777777" w:rsidR="009123AC" w:rsidRPr="00F0379B" w:rsidRDefault="009123AC" w:rsidP="009123AC">
      <w:pPr>
        <w:widowControl w:val="0"/>
        <w:tabs>
          <w:tab w:val="left" w:pos="1065"/>
        </w:tabs>
        <w:spacing w:after="0" w:line="240" w:lineRule="auto"/>
        <w:jc w:val="both"/>
        <w:rPr>
          <w:rFonts w:ascii="Cambria" w:eastAsia="MS Gothic" w:hAnsi="Cambria" w:cs="Times New Roman"/>
          <w:bCs/>
          <w:color w:val="000000"/>
          <w:sz w:val="20"/>
          <w:szCs w:val="20"/>
          <w:lang w:eastAsia="fr-FR" w:bidi="fr-FR"/>
        </w:rPr>
      </w:pPr>
    </w:p>
    <w:p w14:paraId="51536FE7" w14:textId="77777777" w:rsidR="009123AC" w:rsidRPr="00F0379B" w:rsidRDefault="009123AC" w:rsidP="00CE0EC8">
      <w:pPr>
        <w:widowControl w:val="0"/>
        <w:numPr>
          <w:ilvl w:val="0"/>
          <w:numId w:val="65"/>
        </w:numPr>
        <w:spacing w:after="0" w:line="240" w:lineRule="auto"/>
        <w:ind w:left="567"/>
        <w:contextualSpacing/>
        <w:jc w:val="both"/>
        <w:rPr>
          <w:rFonts w:ascii="Cambria" w:eastAsia="MS Gothic" w:hAnsi="Cambria" w:cs="Times New Roman"/>
          <w:sz w:val="20"/>
          <w:szCs w:val="20"/>
          <w:lang w:eastAsia="fr-FR" w:bidi="fr-FR"/>
        </w:rPr>
      </w:pPr>
      <w:r w:rsidRPr="00F0379B">
        <w:rPr>
          <w:rFonts w:ascii="Cambria" w:eastAsia="MS Gothic" w:hAnsi="Cambria" w:cs="Times New Roman"/>
          <w:sz w:val="20"/>
          <w:szCs w:val="20"/>
          <w:lang w:eastAsia="fr-FR" w:bidi="fr-FR"/>
        </w:rPr>
        <w:t>Actualmente se prevé un plan para el traspaso de atún rojo vivo de 2025 a 2026 en la granja Tunisia Tuna. Se declarará a ICCAT una declaración actualizada a este respecto de conformidad con el párrafo 210 de la Rec. 25-04.</w:t>
      </w:r>
    </w:p>
    <w:p w14:paraId="08F8CF2E" w14:textId="77777777" w:rsidR="009123AC" w:rsidRPr="00F0379B" w:rsidRDefault="009123AC" w:rsidP="009123AC">
      <w:pPr>
        <w:widowControl w:val="0"/>
        <w:tabs>
          <w:tab w:val="left" w:pos="1065"/>
        </w:tabs>
        <w:spacing w:after="0" w:line="240" w:lineRule="auto"/>
        <w:jc w:val="both"/>
        <w:rPr>
          <w:rFonts w:ascii="Cambria" w:eastAsia="MS Gothic" w:hAnsi="Cambria" w:cs="Times New Roman"/>
          <w:bCs/>
          <w:color w:val="000000"/>
          <w:sz w:val="20"/>
          <w:szCs w:val="20"/>
          <w:lang w:eastAsia="fr-FR" w:bidi="fr-FR"/>
        </w:rPr>
      </w:pPr>
    </w:p>
    <w:p w14:paraId="4C30DE85" w14:textId="77777777" w:rsidR="009123AC" w:rsidRPr="00F0379B" w:rsidRDefault="009123AC" w:rsidP="009123AC">
      <w:pPr>
        <w:widowControl w:val="0"/>
        <w:tabs>
          <w:tab w:val="left" w:pos="1065"/>
        </w:tabs>
        <w:spacing w:after="0" w:line="240" w:lineRule="auto"/>
        <w:jc w:val="both"/>
        <w:rPr>
          <w:rFonts w:ascii="Cambria" w:eastAsia="MS Gothic" w:hAnsi="Cambria" w:cs="Times New Roman"/>
          <w:bCs/>
          <w:color w:val="000000"/>
          <w:sz w:val="20"/>
          <w:szCs w:val="20"/>
          <w:lang w:eastAsia="fr-FR" w:bidi="fr-FR"/>
        </w:rPr>
      </w:pPr>
      <w:r w:rsidRPr="00F0379B">
        <w:rPr>
          <w:rFonts w:ascii="Cambria" w:eastAsia="MS Gothic" w:hAnsi="Cambria" w:cs="Times New Roman"/>
          <w:bCs/>
          <w:color w:val="000000"/>
          <w:sz w:val="20"/>
          <w:szCs w:val="20"/>
          <w:lang w:eastAsia="fr-FR" w:bidi="fr-FR"/>
        </w:rPr>
        <w:t>No obstante, cualquier posible modificación al plan de cría se notificará a la Secretaría de ICCAT en los plazos.</w:t>
      </w:r>
    </w:p>
    <w:p w14:paraId="09D560BF"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59ED3D5A"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7D5787D9" w14:textId="77777777" w:rsidR="009123AC" w:rsidRPr="00F0379B" w:rsidRDefault="009123AC" w:rsidP="00CE0EC8">
      <w:pPr>
        <w:widowControl w:val="0"/>
        <w:numPr>
          <w:ilvl w:val="0"/>
          <w:numId w:val="64"/>
        </w:numPr>
        <w:tabs>
          <w:tab w:val="left" w:pos="426"/>
        </w:tabs>
        <w:spacing w:after="0" w:line="240" w:lineRule="auto"/>
        <w:ind w:left="426" w:hanging="426"/>
        <w:contextualSpacing/>
        <w:jc w:val="both"/>
        <w:rPr>
          <w:rFonts w:ascii="Cambria" w:eastAsia="MS Gothic" w:hAnsi="Cambria" w:cs="Times New Roman"/>
          <w:b/>
          <w:bCs/>
          <w:sz w:val="20"/>
          <w:szCs w:val="24"/>
          <w:lang w:eastAsia="fr-FR" w:bidi="fr-FR"/>
        </w:rPr>
      </w:pPr>
      <w:r w:rsidRPr="00F0379B">
        <w:rPr>
          <w:rFonts w:ascii="Cambria" w:eastAsia="MS Gothic" w:hAnsi="Cambria" w:cs="Times New Roman"/>
          <w:b/>
          <w:bCs/>
          <w:sz w:val="20"/>
          <w:szCs w:val="24"/>
          <w:lang w:eastAsia="fr-FR" w:bidi="fr-FR"/>
        </w:rPr>
        <w:t xml:space="preserve">Plan de acuicultura anual (párr. 10 e de la </w:t>
      </w:r>
      <w:hyperlink r:id="rId217" w:history="1">
        <w:r w:rsidRPr="00F0379B">
          <w:rPr>
            <w:rFonts w:ascii="Cambria" w:eastAsia="MS Gothic" w:hAnsi="Cambria" w:cs="Times New Roman"/>
            <w:b/>
            <w:bCs/>
            <w:color w:val="0563C1"/>
            <w:sz w:val="20"/>
            <w:szCs w:val="24"/>
            <w:lang w:eastAsia="fr-FR" w:bidi="fr-FR"/>
          </w:rPr>
          <w:t xml:space="preserve">Rec. 25-04 </w:t>
        </w:r>
      </w:hyperlink>
      <w:r w:rsidRPr="00F0379B">
        <w:rPr>
          <w:rFonts w:ascii="Cambria" w:eastAsia="MS Gothic" w:hAnsi="Cambria" w:cs="Times New Roman"/>
          <w:b/>
          <w:bCs/>
          <w:sz w:val="20"/>
          <w:szCs w:val="24"/>
          <w:lang w:eastAsia="fr-FR" w:bidi="fr-FR"/>
        </w:rPr>
        <w:t xml:space="preserve">de conformidad con la </w:t>
      </w:r>
      <w:hyperlink r:id="rId218" w:history="1">
        <w:r w:rsidRPr="00F0379B">
          <w:rPr>
            <w:rFonts w:ascii="Cambria" w:eastAsia="MS Gothic" w:hAnsi="Cambria" w:cs="Times New Roman"/>
            <w:b/>
            <w:bCs/>
            <w:color w:val="0563C1"/>
            <w:sz w:val="20"/>
            <w:szCs w:val="24"/>
            <w:lang w:eastAsia="fr-FR" w:bidi="fr-FR"/>
          </w:rPr>
          <w:t>Rec. 24-07</w:t>
        </w:r>
      </w:hyperlink>
      <w:r w:rsidRPr="00F0379B">
        <w:rPr>
          <w:rFonts w:ascii="Cambria" w:eastAsia="MS Gothic" w:hAnsi="Cambria" w:cs="Times New Roman"/>
          <w:b/>
          <w:bCs/>
          <w:sz w:val="20"/>
          <w:szCs w:val="24"/>
          <w:lang w:eastAsia="fr-FR" w:bidi="fr-FR"/>
        </w:rPr>
        <w:t>), si es aplicable</w:t>
      </w:r>
    </w:p>
    <w:p w14:paraId="22038E17"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p>
    <w:p w14:paraId="7D6EBE60" w14:textId="77777777" w:rsidR="009123AC" w:rsidRPr="00F0379B" w:rsidRDefault="009123AC" w:rsidP="009123AC">
      <w:pPr>
        <w:widowControl w:val="0"/>
        <w:spacing w:after="0" w:line="240" w:lineRule="auto"/>
        <w:jc w:val="both"/>
        <w:rPr>
          <w:rFonts w:ascii="Cambria" w:eastAsia="MS Gothic" w:hAnsi="Cambria" w:cs="Times New Roman"/>
          <w:iCs/>
          <w:color w:val="000000"/>
          <w:sz w:val="20"/>
          <w:szCs w:val="20"/>
        </w:rPr>
      </w:pPr>
      <w:r w:rsidRPr="00F0379B">
        <w:rPr>
          <w:rFonts w:ascii="Cambria" w:eastAsia="Aptos" w:hAnsi="Cambria" w:cs="Times New Roman"/>
          <w:color w:val="000000"/>
          <w:kern w:val="2"/>
          <w:sz w:val="20"/>
          <w14:ligatures w14:val="standardContextual"/>
        </w:rPr>
        <w:t>No está prevista ninguna actividad de acuicultura de atún rojo en 2026. Toda la información adicional al respecto se presentará a ICCAT de conformidad con los requisitos pertinentes.</w:t>
      </w:r>
    </w:p>
    <w:p w14:paraId="1C8A67A8"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p>
    <w:p w14:paraId="04B75866"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p>
    <w:p w14:paraId="08C6F5A8" w14:textId="77777777" w:rsidR="009123AC" w:rsidRPr="00F0379B" w:rsidRDefault="009123AC" w:rsidP="00CE0EC8">
      <w:pPr>
        <w:widowControl w:val="0"/>
        <w:numPr>
          <w:ilvl w:val="0"/>
          <w:numId w:val="64"/>
        </w:numPr>
        <w:spacing w:after="0" w:line="240" w:lineRule="auto"/>
        <w:ind w:left="426" w:hanging="426"/>
        <w:contextualSpacing/>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Plan de inspección, control y seguimiento</w:t>
      </w:r>
    </w:p>
    <w:p w14:paraId="53CAF523"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p>
    <w:p w14:paraId="2C2B2804" w14:textId="77777777"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bookmarkStart w:id="26" w:name="_Hlk157769889"/>
      <w:r w:rsidRPr="00F0379B">
        <w:rPr>
          <w:rFonts w:ascii="Cambria" w:eastAsia="MS Gothic" w:hAnsi="Cambria" w:cs="Times New Roman"/>
          <w:b/>
          <w:i/>
          <w:iCs/>
          <w:sz w:val="20"/>
          <w:szCs w:val="20"/>
          <w:lang w:eastAsia="fr-FR" w:bidi="fr-FR"/>
        </w:rPr>
        <w:t>5 a) Inspección, control y seguimiento de la CPC (párr. 10c)</w:t>
      </w:r>
    </w:p>
    <w:bookmarkEnd w:id="26"/>
    <w:p w14:paraId="0EAAF54D" w14:textId="77777777"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p>
    <w:p w14:paraId="4F914843" w14:textId="77777777" w:rsidR="009123AC" w:rsidRPr="00F0379B" w:rsidRDefault="009123AC" w:rsidP="009123AC">
      <w:pPr>
        <w:widowControl w:val="0"/>
        <w:spacing w:after="0" w:line="240" w:lineRule="auto"/>
        <w:jc w:val="both"/>
        <w:rPr>
          <w:rFonts w:ascii="Cambria" w:eastAsia="MS Gothic" w:hAnsi="Cambria" w:cs="Times New Roman"/>
          <w:bCs/>
          <w:sz w:val="20"/>
          <w:szCs w:val="20"/>
          <w:lang w:eastAsia="fr-FR" w:bidi="fr-FR"/>
        </w:rPr>
      </w:pPr>
      <w:r w:rsidRPr="00F0379B">
        <w:rPr>
          <w:rFonts w:ascii="Cambria" w:eastAsia="MS Gothic" w:hAnsi="Cambria" w:cs="Times New Roman"/>
          <w:bCs/>
          <w:sz w:val="20"/>
          <w:szCs w:val="20"/>
          <w:lang w:eastAsia="fr-FR" w:bidi="fr-FR"/>
        </w:rPr>
        <w:t>La legislación tunecina ha subrayado la necesidad de realizar un seguimiento de la trazabilidad de todos los productos de la pesca, en particular los túnidos, con el objetivo principal de racionalizar la explotación del atún rojo. Los controles de la pesca del atún rojo se realizan a varios niveles, desde el punto de captura hasta su sacrificio en granjas de engorde y transporte o transformación para la exportación.</w:t>
      </w:r>
    </w:p>
    <w:p w14:paraId="138E2283" w14:textId="77777777" w:rsidR="009123AC" w:rsidRPr="00F0379B" w:rsidRDefault="009123AC" w:rsidP="009123AC">
      <w:pPr>
        <w:widowControl w:val="0"/>
        <w:spacing w:after="0" w:line="240" w:lineRule="auto"/>
        <w:rPr>
          <w:rFonts w:ascii="Cambria" w:eastAsia="MS Gothic" w:hAnsi="Cambria" w:cs="Times New Roman"/>
          <w:bCs/>
          <w:sz w:val="20"/>
          <w:szCs w:val="20"/>
          <w:lang w:eastAsia="fr-FR" w:bidi="fr-FR"/>
        </w:rPr>
      </w:pPr>
    </w:p>
    <w:p w14:paraId="4ECEABD8" w14:textId="77777777" w:rsidR="009123AC" w:rsidRPr="00F0379B" w:rsidRDefault="009123AC" w:rsidP="00CE0EC8">
      <w:pPr>
        <w:widowControl w:val="0"/>
        <w:numPr>
          <w:ilvl w:val="0"/>
          <w:numId w:val="61"/>
        </w:numPr>
        <w:spacing w:after="0" w:line="240" w:lineRule="auto"/>
        <w:ind w:left="851" w:hanging="425"/>
        <w:contextualSpacing/>
        <w:jc w:val="both"/>
        <w:rPr>
          <w:rFonts w:ascii="Cambria" w:eastAsia="MS Gothic" w:hAnsi="Cambria" w:cs="Times New Roman"/>
          <w:bCs/>
          <w:color w:val="000000"/>
          <w:sz w:val="20"/>
          <w:szCs w:val="20"/>
          <w:lang w:eastAsia="fr-FR" w:bidi="fr-FR"/>
        </w:rPr>
      </w:pPr>
      <w:r w:rsidRPr="00F0379B">
        <w:rPr>
          <w:rFonts w:ascii="Cambria" w:eastAsia="MS Gothic" w:hAnsi="Cambria" w:cs="Times New Roman"/>
          <w:bCs/>
          <w:i/>
          <w:iCs/>
          <w:color w:val="000000"/>
          <w:sz w:val="20"/>
          <w:szCs w:val="20"/>
          <w:lang w:eastAsia="fr-FR" w:bidi="fr-FR"/>
        </w:rPr>
        <w:t>Control en los puertos pesqueros:</w:t>
      </w:r>
      <w:r w:rsidRPr="00F0379B">
        <w:rPr>
          <w:rFonts w:ascii="Cambria" w:eastAsia="MS Gothic" w:hAnsi="Cambria" w:cs="Times New Roman"/>
          <w:bCs/>
          <w:color w:val="000000"/>
          <w:sz w:val="20"/>
          <w:szCs w:val="20"/>
          <w:lang w:eastAsia="fr-FR" w:bidi="fr-FR"/>
        </w:rPr>
        <w:t xml:space="preserve"> a lo largo de todo el año se realizan misiones de inspección diarias a cargo de los agentes </w:t>
      </w:r>
      <w:r w:rsidRPr="00F0379B">
        <w:rPr>
          <w:rFonts w:ascii="Cambria" w:eastAsia="Aptos" w:hAnsi="Cambria" w:cs="Times New Roman"/>
          <w:kern w:val="2"/>
          <w:sz w:val="20"/>
          <w14:ligatures w14:val="standardContextual"/>
        </w:rPr>
        <w:t>competentes y habilitados a ejercer de policía de pesca y que informan a los servicios regionales de la autoridad competente (Ministerio de Agricultura, Recursos Hidráulicos y Pesca), así como de otros organismos de los Ministerios de Interior, Ministerio de Defensa, Ministerio de Transportes y Ministerio de Finanzas (Ley n.º 94-13 de 31 de enero de 1994 sobre la pesca, completada por la ley 2013-34 de 21 de septiembre de 2013 y la ley 2018-30 de 23 de mayo de 2018)</w:t>
      </w:r>
      <w:r w:rsidRPr="00F0379B">
        <w:rPr>
          <w:rFonts w:ascii="Cambria" w:eastAsia="MS Gothic" w:hAnsi="Cambria" w:cs="Times New Roman"/>
          <w:bCs/>
          <w:color w:val="000000"/>
          <w:sz w:val="20"/>
          <w:szCs w:val="20"/>
          <w:lang w:eastAsia="fr-FR" w:bidi="fr-FR"/>
        </w:rPr>
        <w:t>. Dichos agentes se encargarán del seguimiento de la aplicación y el cumplimiento de las medidas de ordenación de ICCAT. Además, todos los desembarques durante la temporada de pesca están cubiertos por un control que incluye permisos de pesca, declaraciones de capturas, artes de pesca, vales de transporte, etc.</w:t>
      </w:r>
    </w:p>
    <w:p w14:paraId="69A35668" w14:textId="77777777" w:rsidR="009123AC" w:rsidRPr="00F0379B" w:rsidRDefault="009123AC" w:rsidP="009123AC">
      <w:pPr>
        <w:widowControl w:val="0"/>
        <w:spacing w:after="0" w:line="240" w:lineRule="auto"/>
        <w:ind w:left="851"/>
        <w:contextualSpacing/>
        <w:jc w:val="both"/>
        <w:rPr>
          <w:rFonts w:ascii="Cambria" w:eastAsia="MS Gothic" w:hAnsi="Cambria" w:cs="Times New Roman"/>
          <w:bCs/>
          <w:color w:val="000000"/>
          <w:sz w:val="20"/>
          <w:szCs w:val="20"/>
          <w:lang w:eastAsia="fr-FR" w:bidi="fr-FR"/>
        </w:rPr>
      </w:pPr>
    </w:p>
    <w:p w14:paraId="3A36C4EC" w14:textId="77777777" w:rsidR="009123AC" w:rsidRPr="00F0379B" w:rsidRDefault="009123AC" w:rsidP="009123AC">
      <w:pPr>
        <w:widowControl w:val="0"/>
        <w:spacing w:after="0" w:line="240" w:lineRule="auto"/>
        <w:jc w:val="both"/>
        <w:rPr>
          <w:rFonts w:ascii="Cambria" w:eastAsia="MS Gothic" w:hAnsi="Cambria" w:cs="Times New Roman"/>
          <w:bCs/>
          <w:color w:val="000000"/>
          <w:sz w:val="20"/>
          <w:szCs w:val="20"/>
          <w:lang w:eastAsia="fr-FR" w:bidi="fr-FR"/>
        </w:rPr>
      </w:pPr>
    </w:p>
    <w:p w14:paraId="622D7636" w14:textId="77777777" w:rsidR="009123AC" w:rsidRPr="00F0379B" w:rsidRDefault="009123AC" w:rsidP="009123AC">
      <w:pPr>
        <w:widowControl w:val="0"/>
        <w:spacing w:after="0" w:line="240" w:lineRule="auto"/>
        <w:jc w:val="both"/>
        <w:rPr>
          <w:rFonts w:ascii="Cambria" w:eastAsia="MS Gothic" w:hAnsi="Cambria" w:cs="Times New Roman"/>
          <w:bCs/>
          <w:color w:val="000000"/>
          <w:sz w:val="20"/>
          <w:szCs w:val="20"/>
          <w:lang w:eastAsia="fr-FR" w:bidi="fr-FR"/>
        </w:rPr>
      </w:pPr>
      <w:r w:rsidRPr="00F0379B">
        <w:rPr>
          <w:rFonts w:ascii="Cambria" w:eastAsia="MS Gothic" w:hAnsi="Cambria" w:cs="Times New Roman"/>
          <w:bCs/>
          <w:color w:val="000000"/>
          <w:sz w:val="20"/>
          <w:szCs w:val="20"/>
          <w:lang w:eastAsia="fr-FR" w:bidi="fr-FR"/>
        </w:rPr>
        <w:t>Las solicitudes de entrada en los puertos tunecinos de los buques con pabellón extranjero serán tramitadas por las autoridades marítimas y portuarias competentes.</w:t>
      </w:r>
    </w:p>
    <w:p w14:paraId="051CE5B7" w14:textId="77777777" w:rsidR="009123AC" w:rsidRPr="00F0379B" w:rsidRDefault="009123AC" w:rsidP="009123AC">
      <w:pPr>
        <w:widowControl w:val="0"/>
        <w:spacing w:after="0" w:line="240" w:lineRule="auto"/>
        <w:jc w:val="both"/>
        <w:rPr>
          <w:rFonts w:ascii="Cambria" w:eastAsia="MS Gothic" w:hAnsi="Cambria" w:cs="Times New Roman"/>
          <w:bCs/>
          <w:color w:val="000000"/>
          <w:sz w:val="20"/>
          <w:szCs w:val="20"/>
          <w:lang w:eastAsia="fr-FR" w:bidi="fr-FR"/>
        </w:rPr>
      </w:pPr>
    </w:p>
    <w:p w14:paraId="40A546C4" w14:textId="77777777" w:rsidR="009123AC" w:rsidRPr="00F0379B" w:rsidRDefault="009123AC" w:rsidP="009123AC">
      <w:pPr>
        <w:widowControl w:val="0"/>
        <w:spacing w:after="0" w:line="240" w:lineRule="auto"/>
        <w:jc w:val="both"/>
        <w:rPr>
          <w:rFonts w:ascii="Cambria" w:eastAsia="MS Gothic" w:hAnsi="Cambria" w:cs="Times New Roman"/>
          <w:bCs/>
          <w:color w:val="000000"/>
          <w:sz w:val="20"/>
          <w:szCs w:val="20"/>
          <w:lang w:eastAsia="fr-FR" w:bidi="fr-FR"/>
        </w:rPr>
      </w:pPr>
    </w:p>
    <w:p w14:paraId="1F98AA44" w14:textId="77777777" w:rsidR="009123AC" w:rsidRPr="00F0379B" w:rsidRDefault="009123AC" w:rsidP="00CE0EC8">
      <w:pPr>
        <w:widowControl w:val="0"/>
        <w:numPr>
          <w:ilvl w:val="0"/>
          <w:numId w:val="61"/>
        </w:numPr>
        <w:spacing w:after="0" w:line="240" w:lineRule="auto"/>
        <w:ind w:left="851" w:hanging="425"/>
        <w:contextualSpacing/>
        <w:jc w:val="both"/>
        <w:rPr>
          <w:rFonts w:ascii="Cambria" w:eastAsia="MS Gothic" w:hAnsi="Cambria" w:cs="Times New Roman"/>
          <w:bCs/>
          <w:sz w:val="20"/>
          <w:szCs w:val="20"/>
          <w:lang w:eastAsia="fr-FR" w:bidi="fr-FR"/>
        </w:rPr>
      </w:pPr>
      <w:r w:rsidRPr="00F0379B">
        <w:rPr>
          <w:rFonts w:ascii="Cambria" w:eastAsia="MS Gothic" w:hAnsi="Cambria" w:cs="Times New Roman"/>
          <w:bCs/>
          <w:i/>
          <w:iCs/>
          <w:color w:val="000000"/>
          <w:sz w:val="20"/>
          <w:szCs w:val="20"/>
          <w:lang w:eastAsia="fr-FR" w:bidi="fr-FR"/>
        </w:rPr>
        <w:t>Control en el mar:</w:t>
      </w:r>
      <w:r w:rsidRPr="00F0379B">
        <w:rPr>
          <w:rFonts w:ascii="Cambria" w:eastAsia="MS Gothic" w:hAnsi="Cambria" w:cs="Times New Roman"/>
          <w:bCs/>
          <w:color w:val="000000"/>
          <w:sz w:val="20"/>
          <w:szCs w:val="20"/>
          <w:lang w:eastAsia="fr-FR" w:bidi="fr-FR"/>
        </w:rPr>
        <w:t xml:space="preserve"> durante la temporada de pesca, la autoridad competente llevará a cabo misiones de control conjuntas con otros organismos que intervienen en el mar </w:t>
      </w:r>
      <w:r w:rsidRPr="00F0379B">
        <w:rPr>
          <w:rFonts w:ascii="Cambria" w:eastAsia="MS Gothic" w:hAnsi="Cambria" w:cs="Times New Roman"/>
          <w:color w:val="000000"/>
          <w:sz w:val="20"/>
          <w:szCs w:val="24"/>
          <w:lang w:eastAsia="fr-FR" w:bidi="fr-FR"/>
        </w:rPr>
        <w:t>y autorizados para ejercer de policía de pesca bajo la autoridad de los Ministerios de Interior, de Defensa y de Finanzas.</w:t>
      </w:r>
    </w:p>
    <w:p w14:paraId="3EC8BD1B" w14:textId="77777777" w:rsidR="009123AC" w:rsidRPr="00F0379B" w:rsidRDefault="009123AC" w:rsidP="009123AC">
      <w:pPr>
        <w:widowControl w:val="0"/>
        <w:spacing w:after="0" w:line="240" w:lineRule="auto"/>
        <w:ind w:left="360"/>
        <w:contextualSpacing/>
        <w:jc w:val="both"/>
        <w:rPr>
          <w:rFonts w:ascii="Cambria" w:eastAsia="MS Gothic" w:hAnsi="Cambria" w:cs="Times New Roman"/>
          <w:bCs/>
          <w:sz w:val="20"/>
          <w:szCs w:val="20"/>
          <w:lang w:eastAsia="fr-FR" w:bidi="fr-FR"/>
        </w:rPr>
      </w:pPr>
    </w:p>
    <w:p w14:paraId="360B9CCF" w14:textId="77777777" w:rsidR="009123AC" w:rsidRPr="00F0379B" w:rsidRDefault="009123AC" w:rsidP="009123AC">
      <w:pPr>
        <w:widowControl w:val="0"/>
        <w:spacing w:after="0" w:line="240" w:lineRule="auto"/>
        <w:jc w:val="both"/>
        <w:rPr>
          <w:rFonts w:ascii="Cambria" w:eastAsia="MS Gothic" w:hAnsi="Cambria" w:cs="Times New Roman"/>
          <w:bCs/>
          <w:color w:val="000000"/>
          <w:sz w:val="20"/>
          <w:szCs w:val="20"/>
          <w:lang w:eastAsia="fr-FR" w:bidi="fr-FR"/>
        </w:rPr>
      </w:pPr>
      <w:r w:rsidRPr="00F0379B">
        <w:rPr>
          <w:rFonts w:ascii="Cambria" w:eastAsia="MS Gothic" w:hAnsi="Cambria" w:cs="Times New Roman"/>
          <w:bCs/>
          <w:color w:val="000000"/>
          <w:sz w:val="20"/>
          <w:szCs w:val="20"/>
          <w:lang w:eastAsia="fr-FR" w:bidi="fr-FR"/>
        </w:rPr>
        <w:t>Los agentes competentes de la administración central también asistirán a las operaciones de control en el caso de jaulas precintadas si se cumplen las condiciones mencionadas en el párr. 128 de la Rec. 25-04.</w:t>
      </w:r>
    </w:p>
    <w:p w14:paraId="768B8F88" w14:textId="77777777" w:rsidR="009123AC" w:rsidRPr="00F0379B" w:rsidRDefault="009123AC" w:rsidP="009123AC">
      <w:pPr>
        <w:widowControl w:val="0"/>
        <w:spacing w:after="0" w:line="240" w:lineRule="auto"/>
        <w:jc w:val="both"/>
        <w:rPr>
          <w:rFonts w:ascii="Cambria" w:eastAsia="MS Gothic" w:hAnsi="Cambria" w:cs="Times New Roman"/>
          <w:bCs/>
          <w:color w:val="000000"/>
          <w:sz w:val="20"/>
          <w:szCs w:val="20"/>
          <w:lang w:eastAsia="fr-FR" w:bidi="fr-FR"/>
        </w:rPr>
      </w:pPr>
    </w:p>
    <w:p w14:paraId="630E488B" w14:textId="77777777" w:rsidR="009123AC" w:rsidRPr="00F0379B" w:rsidRDefault="009123AC" w:rsidP="00CE0EC8">
      <w:pPr>
        <w:widowControl w:val="0"/>
        <w:numPr>
          <w:ilvl w:val="0"/>
          <w:numId w:val="61"/>
        </w:numPr>
        <w:spacing w:after="0" w:line="240" w:lineRule="auto"/>
        <w:ind w:left="851" w:hanging="425"/>
        <w:contextualSpacing/>
        <w:jc w:val="both"/>
        <w:rPr>
          <w:rFonts w:ascii="Cambria" w:eastAsia="MS Gothic" w:hAnsi="Cambria" w:cs="Times New Roman"/>
          <w:bCs/>
          <w:color w:val="000000"/>
          <w:sz w:val="20"/>
          <w:szCs w:val="20"/>
          <w:lang w:eastAsia="fr-FR" w:bidi="fr-FR"/>
        </w:rPr>
      </w:pPr>
      <w:r w:rsidRPr="00F0379B">
        <w:rPr>
          <w:rFonts w:ascii="Cambria" w:eastAsia="MS Gothic" w:hAnsi="Cambria" w:cs="Times New Roman"/>
          <w:bCs/>
          <w:i/>
          <w:iCs/>
          <w:color w:val="000000"/>
          <w:sz w:val="20"/>
          <w:szCs w:val="20"/>
          <w:lang w:eastAsia="fr-FR" w:bidi="fr-FR"/>
        </w:rPr>
        <w:t>Control durante las operaciones de introducción en jaulas:</w:t>
      </w:r>
      <w:r w:rsidRPr="00F0379B">
        <w:rPr>
          <w:rFonts w:ascii="Cambria" w:eastAsia="MS Gothic" w:hAnsi="Cambria" w:cs="Times New Roman"/>
          <w:bCs/>
          <w:color w:val="000000"/>
          <w:sz w:val="20"/>
          <w:szCs w:val="20"/>
          <w:lang w:eastAsia="fr-FR" w:bidi="fr-FR"/>
        </w:rPr>
        <w:t xml:space="preserve"> un representante de la autoridad competente estará presente in situ para ver las grabaciones de vídeo de las transferencias de atún rojo vivo de las jaulas de remolque a las jaulas de engorde por primera vez o durante las operaciones de introducción en jaulas de control. Se documentará cualquier posible liberación en este ámbito.</w:t>
      </w:r>
    </w:p>
    <w:p w14:paraId="3601EB51" w14:textId="77777777" w:rsidR="009123AC" w:rsidRPr="00F0379B" w:rsidRDefault="009123AC" w:rsidP="009123AC">
      <w:pPr>
        <w:spacing w:after="0" w:line="240" w:lineRule="auto"/>
        <w:rPr>
          <w:rFonts w:ascii="Cambria" w:eastAsia="MS Gothic" w:hAnsi="Cambria" w:cs="Times New Roman"/>
          <w:bCs/>
          <w:color w:val="000000"/>
          <w:sz w:val="20"/>
          <w:szCs w:val="20"/>
          <w:lang w:eastAsia="fr-FR" w:bidi="fr-FR"/>
        </w:rPr>
      </w:pPr>
    </w:p>
    <w:p w14:paraId="02AD4EB5" w14:textId="77777777" w:rsidR="009123AC" w:rsidRPr="00F0379B" w:rsidRDefault="009123AC" w:rsidP="009123AC">
      <w:pPr>
        <w:widowControl w:val="0"/>
        <w:spacing w:after="0" w:line="240" w:lineRule="auto"/>
        <w:jc w:val="both"/>
        <w:rPr>
          <w:rFonts w:ascii="Cambria" w:eastAsia="MS Gothic" w:hAnsi="Cambria" w:cs="Times New Roman"/>
          <w:bCs/>
          <w:color w:val="000000"/>
          <w:sz w:val="20"/>
          <w:szCs w:val="20"/>
          <w:lang w:eastAsia="fr-FR" w:bidi="fr-FR"/>
        </w:rPr>
      </w:pPr>
      <w:r w:rsidRPr="00F0379B">
        <w:rPr>
          <w:rFonts w:ascii="Cambria" w:eastAsia="MS Gothic" w:hAnsi="Cambria" w:cs="Times New Roman"/>
          <w:color w:val="000000"/>
          <w:sz w:val="20"/>
          <w:szCs w:val="20"/>
          <w:lang w:eastAsia="fr-FR" w:bidi="fr-FR"/>
        </w:rPr>
        <w:t>De acuerdo con lo dispuesto en los párrafos 211-218 de la Rec. 25-04, la autoridad competente llevará a cabo un programa de control aleatorio fijado en el 10 % del número de jaulas de cada granja una vez finalizadas las operaciones de introducción en jaulas.</w:t>
      </w:r>
    </w:p>
    <w:p w14:paraId="4DB125C8" w14:textId="77777777" w:rsidR="009123AC" w:rsidRPr="00F0379B" w:rsidRDefault="009123AC" w:rsidP="009123AC">
      <w:pPr>
        <w:widowControl w:val="0"/>
        <w:spacing w:after="0" w:line="240" w:lineRule="auto"/>
        <w:ind w:left="720"/>
        <w:contextualSpacing/>
        <w:jc w:val="both"/>
        <w:rPr>
          <w:rFonts w:ascii="Cambria" w:eastAsia="MS Gothic" w:hAnsi="Cambria" w:cs="Times New Roman"/>
          <w:bCs/>
          <w:color w:val="000000"/>
          <w:sz w:val="20"/>
          <w:szCs w:val="20"/>
          <w:lang w:eastAsia="fr-FR" w:bidi="ar-TN"/>
        </w:rPr>
      </w:pPr>
    </w:p>
    <w:p w14:paraId="2003540F" w14:textId="77777777" w:rsidR="009123AC" w:rsidRPr="00F0379B" w:rsidRDefault="009123AC" w:rsidP="00CE0EC8">
      <w:pPr>
        <w:widowControl w:val="0"/>
        <w:numPr>
          <w:ilvl w:val="0"/>
          <w:numId w:val="61"/>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bCs/>
          <w:i/>
          <w:iCs/>
          <w:color w:val="000000"/>
          <w:sz w:val="20"/>
          <w:szCs w:val="20"/>
          <w:lang w:eastAsia="fr-FR" w:bidi="fr-FR"/>
        </w:rPr>
        <w:t>Control durante las operaciones de sacrificio:</w:t>
      </w:r>
      <w:r w:rsidRPr="00F0379B">
        <w:rPr>
          <w:rFonts w:ascii="Cambria" w:eastAsia="MS Gothic" w:hAnsi="Cambria" w:cs="Times New Roman"/>
          <w:bCs/>
          <w:color w:val="000000"/>
          <w:sz w:val="20"/>
          <w:szCs w:val="20"/>
          <w:lang w:eastAsia="fr-FR" w:bidi="fr-FR"/>
        </w:rPr>
        <w:t xml:space="preserve"> los agentes pertinentes de los servicios regionales de pesca estarán presentes en todas las operaciones de sacrificio de atún rojo en las granjas y se asegurarán de que las cantidades sacrificadas se ajustan al eBCD en cuestión. </w:t>
      </w:r>
    </w:p>
    <w:p w14:paraId="3ABC8B3B" w14:textId="77777777" w:rsidR="009123AC" w:rsidRPr="00F0379B" w:rsidRDefault="009123AC" w:rsidP="009123AC">
      <w:pPr>
        <w:spacing w:after="0" w:line="240" w:lineRule="auto"/>
        <w:ind w:left="720"/>
        <w:contextualSpacing/>
        <w:rPr>
          <w:rFonts w:ascii="Cambria" w:eastAsia="MS Gothic" w:hAnsi="Cambria" w:cs="Times New Roman"/>
          <w:color w:val="000000"/>
          <w:sz w:val="20"/>
          <w:szCs w:val="20"/>
          <w:lang w:eastAsia="fr-FR" w:bidi="fr-FR"/>
        </w:rPr>
      </w:pPr>
    </w:p>
    <w:p w14:paraId="6E3630B8" w14:textId="77777777" w:rsidR="009123AC" w:rsidRPr="00F0379B" w:rsidRDefault="009123AC" w:rsidP="00CE0EC8">
      <w:pPr>
        <w:widowControl w:val="0"/>
        <w:numPr>
          <w:ilvl w:val="0"/>
          <w:numId w:val="61"/>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i/>
          <w:iCs/>
          <w:color w:val="000000"/>
          <w:sz w:val="20"/>
          <w:szCs w:val="20"/>
          <w:lang w:eastAsia="fr-FR" w:bidi="fr-FR"/>
        </w:rPr>
        <w:t>Control durante la operación comercial de atún rojo fresco en las granjas:</w:t>
      </w:r>
      <w:r w:rsidRPr="00F0379B">
        <w:rPr>
          <w:rFonts w:ascii="Cambria" w:eastAsia="MS Gothic" w:hAnsi="Cambria" w:cs="Times New Roman"/>
          <w:color w:val="000000"/>
          <w:sz w:val="20"/>
          <w:szCs w:val="20"/>
          <w:lang w:eastAsia="fr-FR" w:bidi="fr-FR"/>
        </w:rPr>
        <w:t xml:space="preserve"> Túnez autorizará las operaciones de sacrificio en sus granjas de hasta 1.000 kg por día y hasta un máximo de 50 t por granja para suministrar atún rojo fresco al mercado, en presencia de inspectores nacionales. </w:t>
      </w:r>
    </w:p>
    <w:p w14:paraId="2FF7FE54"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57E49D2D"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Puntos de contacto designados: la autoridad de control competente en Túnez es la Dirección General de Pesca y Acuicultura (DGPA), dependiente del Ministerio de Agricultura, de Recursos Hidráulicos y de la Pesca (MARHP).</w:t>
      </w:r>
    </w:p>
    <w:p w14:paraId="786EBE2E"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4B82EE0F"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Los puntos de contacto designados como responsables de la implementación del plan de seguimiento, control e inspección son los siguientes:</w:t>
      </w:r>
    </w:p>
    <w:p w14:paraId="78F39F52"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3533FFE1" w14:textId="77777777" w:rsidR="009123AC" w:rsidRPr="00F0379B" w:rsidRDefault="009123AC" w:rsidP="00CE0EC8">
      <w:pPr>
        <w:widowControl w:val="0"/>
        <w:numPr>
          <w:ilvl w:val="0"/>
          <w:numId w:val="60"/>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Director General de Pesca y Acuicultura (Sr. </w:t>
      </w:r>
      <w:proofErr w:type="spellStart"/>
      <w:r w:rsidRPr="00F0379B">
        <w:rPr>
          <w:rFonts w:ascii="Cambria" w:eastAsia="MS Gothic" w:hAnsi="Cambria" w:cs="Times New Roman"/>
          <w:color w:val="000000"/>
          <w:sz w:val="20"/>
          <w:szCs w:val="20"/>
          <w:lang w:eastAsia="fr-FR" w:bidi="fr-FR"/>
        </w:rPr>
        <w:t>Ali.cheikh</w:t>
      </w:r>
      <w:proofErr w:type="spellEnd"/>
      <w:r w:rsidRPr="00F0379B">
        <w:rPr>
          <w:rFonts w:ascii="Cambria" w:eastAsia="MS Gothic" w:hAnsi="Cambria" w:cs="Times New Roman"/>
          <w:color w:val="000000"/>
          <w:sz w:val="20"/>
          <w:szCs w:val="20"/>
          <w:lang w:eastAsia="fr-FR" w:bidi="fr-FR"/>
        </w:rPr>
        <w:t xml:space="preserve"> Sboui)</w:t>
      </w:r>
    </w:p>
    <w:p w14:paraId="26EC3494" w14:textId="77777777" w:rsidR="009123AC" w:rsidRPr="00F0379B" w:rsidRDefault="009123AC" w:rsidP="009123AC">
      <w:pPr>
        <w:widowControl w:val="0"/>
        <w:spacing w:after="0" w:line="240" w:lineRule="auto"/>
        <w:ind w:left="851"/>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C</w:t>
      </w:r>
      <w:r w:rsidRPr="00F0379B">
        <w:rPr>
          <w:rFonts w:ascii="Cambria" w:eastAsia="Aptos" w:hAnsi="Cambria" w:cs="Times New Roman"/>
          <w:color w:val="000000"/>
          <w:kern w:val="2"/>
          <w:sz w:val="20"/>
          <w14:ligatures w14:val="standardContextual"/>
        </w:rPr>
        <w:t>orreo electrónico</w:t>
      </w:r>
      <w:r w:rsidRPr="00F0379B">
        <w:rPr>
          <w:rFonts w:ascii="Cambria" w:eastAsia="MS Gothic" w:hAnsi="Cambria" w:cs="Times New Roman"/>
          <w:color w:val="000000"/>
          <w:sz w:val="20"/>
          <w:szCs w:val="20"/>
          <w:lang w:eastAsia="fr-FR" w:bidi="fr-FR"/>
        </w:rPr>
        <w:t>: bft@iresa.agrinet.tn</w:t>
      </w:r>
    </w:p>
    <w:p w14:paraId="4EA9E370" w14:textId="77777777" w:rsidR="009123AC" w:rsidRPr="00F0379B" w:rsidRDefault="009123AC" w:rsidP="009123AC">
      <w:pPr>
        <w:widowControl w:val="0"/>
        <w:spacing w:after="0" w:line="240" w:lineRule="auto"/>
        <w:ind w:left="851"/>
        <w:contextualSpacing/>
        <w:jc w:val="both"/>
        <w:rPr>
          <w:rFonts w:ascii="Cambria" w:eastAsia="MS Gothic" w:hAnsi="Cambria" w:cs="Times New Roman"/>
          <w:color w:val="000000"/>
          <w:sz w:val="20"/>
          <w:szCs w:val="20"/>
          <w:lang w:val="fr-BE" w:eastAsia="fr-FR" w:bidi="fr-FR"/>
        </w:rPr>
      </w:pPr>
      <w:proofErr w:type="spellStart"/>
      <w:proofErr w:type="gramStart"/>
      <w:r w:rsidRPr="00F0379B">
        <w:rPr>
          <w:rFonts w:ascii="Cambria" w:eastAsia="MS Gothic" w:hAnsi="Cambria" w:cs="Times New Roman"/>
          <w:color w:val="000000"/>
          <w:sz w:val="20"/>
          <w:szCs w:val="20"/>
          <w:lang w:val="fr-BE" w:eastAsia="fr-FR" w:bidi="fr-FR"/>
        </w:rPr>
        <w:t>Teléfono</w:t>
      </w:r>
      <w:proofErr w:type="spellEnd"/>
      <w:r w:rsidRPr="00F0379B">
        <w:rPr>
          <w:rFonts w:ascii="Cambria" w:eastAsia="MS Gothic" w:hAnsi="Cambria" w:cs="Times New Roman"/>
          <w:color w:val="000000"/>
          <w:sz w:val="20"/>
          <w:szCs w:val="20"/>
          <w:lang w:val="fr-BE" w:eastAsia="fr-FR" w:bidi="fr-FR"/>
        </w:rPr>
        <w:t>:</w:t>
      </w:r>
      <w:proofErr w:type="gramEnd"/>
      <w:r w:rsidRPr="00F0379B">
        <w:rPr>
          <w:rFonts w:ascii="Cambria" w:eastAsia="MS Gothic" w:hAnsi="Cambria" w:cs="Times New Roman"/>
          <w:color w:val="000000"/>
          <w:sz w:val="20"/>
          <w:szCs w:val="20"/>
          <w:lang w:val="fr-BE" w:eastAsia="fr-FR" w:bidi="fr-FR"/>
        </w:rPr>
        <w:t xml:space="preserve"> +216 71 892 253</w:t>
      </w:r>
    </w:p>
    <w:p w14:paraId="66871913" w14:textId="77777777" w:rsidR="009123AC" w:rsidRPr="00F0379B" w:rsidRDefault="009123AC" w:rsidP="009123AC">
      <w:pPr>
        <w:widowControl w:val="0"/>
        <w:spacing w:after="0" w:line="240" w:lineRule="auto"/>
        <w:ind w:left="851"/>
        <w:contextualSpacing/>
        <w:jc w:val="both"/>
        <w:rPr>
          <w:rFonts w:ascii="Cambria" w:eastAsia="MS Gothic" w:hAnsi="Cambria" w:cs="Times New Roman"/>
          <w:color w:val="000000"/>
          <w:sz w:val="20"/>
          <w:szCs w:val="20"/>
          <w:lang w:val="fr-BE" w:eastAsia="fr-FR" w:bidi="fr-FR"/>
        </w:rPr>
      </w:pPr>
      <w:proofErr w:type="gramStart"/>
      <w:r w:rsidRPr="00F0379B">
        <w:rPr>
          <w:rFonts w:ascii="Cambria" w:eastAsia="MS Gothic" w:hAnsi="Cambria" w:cs="Times New Roman"/>
          <w:color w:val="000000"/>
          <w:sz w:val="20"/>
          <w:szCs w:val="20"/>
          <w:lang w:val="fr-BE" w:eastAsia="fr-FR" w:bidi="fr-FR"/>
        </w:rPr>
        <w:t>Fax:</w:t>
      </w:r>
      <w:proofErr w:type="gramEnd"/>
      <w:r w:rsidRPr="00F0379B">
        <w:rPr>
          <w:rFonts w:ascii="Cambria" w:eastAsia="MS Gothic" w:hAnsi="Cambria" w:cs="Times New Roman"/>
          <w:color w:val="000000"/>
          <w:sz w:val="20"/>
          <w:szCs w:val="20"/>
          <w:lang w:val="fr-BE" w:eastAsia="fr-FR" w:bidi="fr-FR"/>
        </w:rPr>
        <w:t xml:space="preserve"> +216 71 799 401</w:t>
      </w:r>
    </w:p>
    <w:p w14:paraId="67D9E27D" w14:textId="77777777" w:rsidR="009123AC" w:rsidRPr="00F0379B" w:rsidRDefault="009123AC" w:rsidP="009123AC">
      <w:pPr>
        <w:widowControl w:val="0"/>
        <w:spacing w:after="0" w:line="240" w:lineRule="auto"/>
        <w:ind w:left="720"/>
        <w:contextualSpacing/>
        <w:jc w:val="both"/>
        <w:rPr>
          <w:rFonts w:ascii="Cambria" w:eastAsia="MS Gothic" w:hAnsi="Cambria" w:cs="Times New Roman"/>
          <w:color w:val="000000"/>
          <w:sz w:val="20"/>
          <w:szCs w:val="20"/>
          <w:lang w:val="fr-BE" w:eastAsia="fr-FR" w:bidi="fr-FR"/>
        </w:rPr>
      </w:pPr>
    </w:p>
    <w:p w14:paraId="2CD2C787" w14:textId="77777777" w:rsidR="009123AC" w:rsidRPr="00F0379B" w:rsidRDefault="009123AC" w:rsidP="00CE0EC8">
      <w:pPr>
        <w:widowControl w:val="0"/>
        <w:numPr>
          <w:ilvl w:val="0"/>
          <w:numId w:val="60"/>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Director de Preservación de Recursos Pesqueros (Sr. </w:t>
      </w:r>
      <w:proofErr w:type="spellStart"/>
      <w:r w:rsidRPr="00F0379B">
        <w:rPr>
          <w:rFonts w:ascii="Cambria" w:eastAsia="MS Gothic" w:hAnsi="Cambria" w:cs="Times New Roman"/>
          <w:color w:val="000000"/>
          <w:sz w:val="20"/>
          <w:szCs w:val="20"/>
          <w:lang w:eastAsia="fr-FR" w:bidi="fr-FR"/>
        </w:rPr>
        <w:t>Himrit</w:t>
      </w:r>
      <w:proofErr w:type="spellEnd"/>
      <w:r w:rsidRPr="00F0379B">
        <w:rPr>
          <w:rFonts w:ascii="Cambria" w:eastAsia="MS Gothic" w:hAnsi="Cambria" w:cs="Times New Roman"/>
          <w:color w:val="000000"/>
          <w:sz w:val="20"/>
          <w:szCs w:val="20"/>
          <w:lang w:eastAsia="fr-FR" w:bidi="fr-FR"/>
        </w:rPr>
        <w:t xml:space="preserve"> Ramzi)</w:t>
      </w:r>
    </w:p>
    <w:p w14:paraId="2D3D5206" w14:textId="77777777" w:rsidR="009123AC" w:rsidRPr="00F0379B" w:rsidRDefault="009123AC" w:rsidP="009123AC">
      <w:pPr>
        <w:widowControl w:val="0"/>
        <w:spacing w:after="0" w:line="240" w:lineRule="auto"/>
        <w:ind w:left="851"/>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C</w:t>
      </w:r>
      <w:r w:rsidRPr="00F0379B">
        <w:rPr>
          <w:rFonts w:ascii="Cambria" w:eastAsia="Aptos" w:hAnsi="Cambria" w:cs="Times New Roman"/>
          <w:color w:val="000000"/>
          <w:kern w:val="2"/>
          <w:sz w:val="20"/>
          <w14:ligatures w14:val="standardContextual"/>
        </w:rPr>
        <w:t>orreo electrónico</w:t>
      </w:r>
      <w:r w:rsidRPr="00F0379B">
        <w:rPr>
          <w:rFonts w:ascii="Cambria" w:eastAsia="MS Gothic" w:hAnsi="Cambria" w:cs="Times New Roman"/>
          <w:color w:val="000000"/>
          <w:sz w:val="20"/>
          <w:szCs w:val="20"/>
          <w:lang w:eastAsia="fr-FR" w:bidi="fr-FR"/>
        </w:rPr>
        <w:t>: ramzi.hamrit@gmail.com</w:t>
      </w:r>
    </w:p>
    <w:p w14:paraId="24806AB3" w14:textId="77777777" w:rsidR="009123AC" w:rsidRPr="00F0379B" w:rsidRDefault="009123AC" w:rsidP="009123AC">
      <w:pPr>
        <w:widowControl w:val="0"/>
        <w:shd w:val="clear" w:color="auto" w:fill="FFFFFF"/>
        <w:spacing w:after="0" w:line="240" w:lineRule="auto"/>
        <w:ind w:left="720" w:firstLine="120"/>
        <w:contextualSpacing/>
        <w:jc w:val="both"/>
        <w:rPr>
          <w:rFonts w:ascii="Cambria" w:eastAsia="MS Gothic" w:hAnsi="Cambria" w:cs="Times New Roman"/>
          <w:color w:val="000000"/>
          <w:sz w:val="20"/>
          <w:szCs w:val="20"/>
          <w:lang w:val="fr-BE" w:eastAsia="fr-FR" w:bidi="fr-FR"/>
        </w:rPr>
      </w:pPr>
      <w:proofErr w:type="spellStart"/>
      <w:proofErr w:type="gramStart"/>
      <w:r w:rsidRPr="00F0379B">
        <w:rPr>
          <w:rFonts w:ascii="Cambria" w:eastAsia="MS Gothic" w:hAnsi="Cambria" w:cs="Times New Roman"/>
          <w:color w:val="000000"/>
          <w:sz w:val="20"/>
          <w:szCs w:val="20"/>
          <w:lang w:val="fr-BE" w:eastAsia="fr-FR" w:bidi="fr-FR"/>
        </w:rPr>
        <w:t>Teléfono</w:t>
      </w:r>
      <w:proofErr w:type="spellEnd"/>
      <w:r w:rsidRPr="00F0379B">
        <w:rPr>
          <w:rFonts w:ascii="Cambria" w:eastAsia="MS Gothic" w:hAnsi="Cambria" w:cs="Times New Roman"/>
          <w:color w:val="000000"/>
          <w:sz w:val="20"/>
          <w:szCs w:val="20"/>
          <w:lang w:val="fr-BE" w:eastAsia="fr-FR" w:bidi="fr-FR"/>
        </w:rPr>
        <w:t>:</w:t>
      </w:r>
      <w:proofErr w:type="gramEnd"/>
      <w:r w:rsidRPr="00F0379B">
        <w:rPr>
          <w:rFonts w:ascii="Cambria" w:eastAsia="MS Gothic" w:hAnsi="Cambria" w:cs="Times New Roman"/>
          <w:color w:val="000000"/>
          <w:sz w:val="20"/>
          <w:szCs w:val="20"/>
          <w:lang w:val="fr-BE" w:eastAsia="fr-FR" w:bidi="fr-FR"/>
        </w:rPr>
        <w:t xml:space="preserve"> +216 </w:t>
      </w:r>
      <w:r w:rsidRPr="00F0379B">
        <w:rPr>
          <w:rFonts w:ascii="Cambria" w:eastAsia="MS Gothic" w:hAnsi="Cambria" w:cs="Times New Roman"/>
          <w:color w:val="000000"/>
          <w:sz w:val="20"/>
          <w:szCs w:val="20"/>
          <w:lang w:eastAsia="fr-FR" w:bidi="fr-FR"/>
        </w:rPr>
        <w:t>25916755</w:t>
      </w:r>
    </w:p>
    <w:p w14:paraId="6D8A298B" w14:textId="77777777" w:rsidR="009123AC" w:rsidRPr="00F0379B" w:rsidRDefault="009123AC" w:rsidP="009123AC">
      <w:pPr>
        <w:widowControl w:val="0"/>
        <w:spacing w:after="0" w:line="240" w:lineRule="auto"/>
        <w:ind w:left="851"/>
        <w:contextualSpacing/>
        <w:jc w:val="both"/>
        <w:rPr>
          <w:rFonts w:ascii="Cambria" w:eastAsia="MS Gothic" w:hAnsi="Cambria" w:cs="Times New Roman"/>
          <w:color w:val="000000"/>
          <w:sz w:val="20"/>
          <w:szCs w:val="20"/>
          <w:lang w:val="fr-BE" w:eastAsia="fr-FR" w:bidi="fr-FR"/>
        </w:rPr>
      </w:pPr>
      <w:proofErr w:type="gramStart"/>
      <w:r w:rsidRPr="00F0379B">
        <w:rPr>
          <w:rFonts w:ascii="Cambria" w:eastAsia="MS Gothic" w:hAnsi="Cambria" w:cs="Times New Roman"/>
          <w:color w:val="000000"/>
          <w:sz w:val="20"/>
          <w:szCs w:val="20"/>
          <w:lang w:val="fr-BE" w:eastAsia="fr-FR" w:bidi="fr-FR"/>
        </w:rPr>
        <w:t>Fax:</w:t>
      </w:r>
      <w:proofErr w:type="gramEnd"/>
      <w:r w:rsidRPr="00F0379B">
        <w:rPr>
          <w:rFonts w:ascii="Cambria" w:eastAsia="MS Gothic" w:hAnsi="Cambria" w:cs="Times New Roman"/>
          <w:color w:val="000000"/>
          <w:sz w:val="20"/>
          <w:szCs w:val="20"/>
          <w:lang w:val="fr-BE" w:eastAsia="fr-FR" w:bidi="fr-FR"/>
        </w:rPr>
        <w:t xml:space="preserve"> +216 71 799 401</w:t>
      </w:r>
    </w:p>
    <w:p w14:paraId="6868B580" w14:textId="77777777" w:rsidR="009123AC" w:rsidRPr="00F0379B" w:rsidRDefault="009123AC" w:rsidP="009123AC">
      <w:pPr>
        <w:widowControl w:val="0"/>
        <w:spacing w:after="0" w:line="240" w:lineRule="auto"/>
        <w:ind w:left="851"/>
        <w:contextualSpacing/>
        <w:jc w:val="both"/>
        <w:rPr>
          <w:rFonts w:ascii="Cambria" w:eastAsia="MS Gothic" w:hAnsi="Cambria" w:cs="Times New Roman"/>
          <w:color w:val="000000"/>
          <w:sz w:val="20"/>
          <w:szCs w:val="20"/>
          <w:lang w:val="fr-BE" w:eastAsia="fr-FR" w:bidi="fr-FR"/>
        </w:rPr>
      </w:pPr>
    </w:p>
    <w:p w14:paraId="1407E105" w14:textId="77777777" w:rsidR="009123AC" w:rsidRPr="00F0379B" w:rsidRDefault="009123AC" w:rsidP="00CE0EC8">
      <w:pPr>
        <w:widowControl w:val="0"/>
        <w:numPr>
          <w:ilvl w:val="0"/>
          <w:numId w:val="60"/>
        </w:numPr>
        <w:shd w:val="clear" w:color="auto" w:fill="FFFFFF"/>
        <w:tabs>
          <w:tab w:val="left" w:pos="851"/>
        </w:tabs>
        <w:spacing w:after="0" w:line="240" w:lineRule="auto"/>
        <w:ind w:left="851" w:hanging="425"/>
        <w:contextualSpacing/>
        <w:jc w:val="both"/>
        <w:rPr>
          <w:rFonts w:ascii="Cambria" w:eastAsia="MS Gothic" w:hAnsi="Cambria" w:cs="Times New Roman"/>
          <w:color w:val="000000"/>
          <w:sz w:val="20"/>
          <w:szCs w:val="20"/>
        </w:rPr>
      </w:pPr>
      <w:r w:rsidRPr="00F0379B">
        <w:rPr>
          <w:rFonts w:ascii="Cambria" w:eastAsia="Aptos" w:hAnsi="Cambria" w:cs="Times New Roman"/>
          <w:color w:val="000000"/>
          <w:kern w:val="2"/>
          <w:sz w:val="20"/>
          <w14:ligatures w14:val="standardContextual"/>
        </w:rPr>
        <w:t>Subdirectora de Preservación de Recursos Hidráulicos de la Dirección de Preservación de Recursos Pesqueros (Sra. Dhekra Hayouni)</w:t>
      </w:r>
    </w:p>
    <w:p w14:paraId="0D50376A" w14:textId="77777777" w:rsidR="009123AC" w:rsidRPr="00F0379B" w:rsidRDefault="009123AC" w:rsidP="009123AC">
      <w:pPr>
        <w:widowControl w:val="0"/>
        <w:shd w:val="clear" w:color="auto" w:fill="FFFFFF"/>
        <w:tabs>
          <w:tab w:val="left" w:pos="851"/>
        </w:tabs>
        <w:spacing w:after="0" w:line="240" w:lineRule="auto"/>
        <w:ind w:left="851"/>
        <w:contextualSpacing/>
        <w:jc w:val="both"/>
        <w:rPr>
          <w:rFonts w:ascii="Cambria" w:eastAsia="Aptos" w:hAnsi="Cambria" w:cs="Times New Roman"/>
          <w:color w:val="000000"/>
          <w:kern w:val="2"/>
          <w:sz w:val="20"/>
          <w14:ligatures w14:val="standardContextual"/>
        </w:rPr>
      </w:pPr>
      <w:r w:rsidRPr="00F0379B">
        <w:rPr>
          <w:rFonts w:ascii="Cambria" w:eastAsia="Aptos" w:hAnsi="Cambria" w:cs="Times New Roman"/>
          <w:color w:val="000000"/>
          <w:kern w:val="2"/>
          <w:sz w:val="20"/>
          <w14:ligatures w14:val="standardContextual"/>
        </w:rPr>
        <w:t>Teléfono: +216 29116249</w:t>
      </w:r>
    </w:p>
    <w:p w14:paraId="596A92A1" w14:textId="77777777" w:rsidR="009123AC" w:rsidRPr="00F0379B" w:rsidRDefault="009123AC" w:rsidP="009123AC">
      <w:pPr>
        <w:widowControl w:val="0"/>
        <w:shd w:val="clear" w:color="auto" w:fill="FFFFFF"/>
        <w:tabs>
          <w:tab w:val="left" w:pos="851"/>
          <w:tab w:val="left" w:pos="6797"/>
        </w:tabs>
        <w:spacing w:after="0" w:line="240" w:lineRule="auto"/>
        <w:ind w:left="851"/>
        <w:contextualSpacing/>
        <w:jc w:val="both"/>
        <w:rPr>
          <w:rFonts w:ascii="Cambria" w:eastAsia="Aptos" w:hAnsi="Cambria" w:cs="Times New Roman"/>
          <w:color w:val="000000"/>
          <w:kern w:val="2"/>
          <w:sz w:val="20"/>
          <w14:ligatures w14:val="standardContextual"/>
        </w:rPr>
      </w:pPr>
      <w:r w:rsidRPr="00F0379B">
        <w:rPr>
          <w:rFonts w:ascii="Cambria" w:eastAsia="Aptos" w:hAnsi="Cambria" w:cs="Times New Roman"/>
          <w:color w:val="000000"/>
          <w:kern w:val="2"/>
          <w:sz w:val="20"/>
          <w14:ligatures w14:val="standardContextual"/>
        </w:rPr>
        <w:t>Fax: +216 71 799 401</w:t>
      </w:r>
      <w:r w:rsidRPr="00F0379B">
        <w:rPr>
          <w:rFonts w:ascii="Cambria" w:eastAsia="Aptos" w:hAnsi="Cambria" w:cs="Times New Roman"/>
          <w:color w:val="000000"/>
          <w:kern w:val="2"/>
          <w:sz w:val="20"/>
          <w14:ligatures w14:val="standardContextual"/>
        </w:rPr>
        <w:tab/>
      </w:r>
    </w:p>
    <w:p w14:paraId="6888225F" w14:textId="77777777" w:rsidR="009123AC" w:rsidRPr="00F0379B" w:rsidRDefault="009123AC" w:rsidP="009123AC">
      <w:pPr>
        <w:widowControl w:val="0"/>
        <w:shd w:val="clear" w:color="auto" w:fill="FFFFFF"/>
        <w:tabs>
          <w:tab w:val="left" w:pos="851"/>
        </w:tabs>
        <w:spacing w:after="0" w:line="240" w:lineRule="auto"/>
        <w:ind w:left="851"/>
        <w:contextualSpacing/>
        <w:jc w:val="both"/>
        <w:rPr>
          <w:rFonts w:ascii="Cambria" w:eastAsia="MS Gothic" w:hAnsi="Cambria" w:cs="Times New Roman"/>
          <w:color w:val="000000"/>
          <w:sz w:val="20"/>
          <w:szCs w:val="20"/>
        </w:rPr>
      </w:pPr>
      <w:r w:rsidRPr="00F0379B">
        <w:rPr>
          <w:rFonts w:ascii="Cambria" w:eastAsia="Aptos" w:hAnsi="Cambria" w:cs="Times New Roman"/>
          <w:color w:val="000000"/>
          <w:kern w:val="2"/>
          <w:sz w:val="20"/>
          <w14:ligatures w14:val="standardContextual"/>
        </w:rPr>
        <w:t>Correo electrónico: hayouni.dhekra1@gmail.com</w:t>
      </w:r>
    </w:p>
    <w:p w14:paraId="499B8854" w14:textId="77777777" w:rsidR="009123AC" w:rsidRPr="00F0379B" w:rsidRDefault="009123AC" w:rsidP="009123AC">
      <w:pPr>
        <w:widowControl w:val="0"/>
        <w:spacing w:after="0" w:line="240" w:lineRule="auto"/>
        <w:ind w:left="720"/>
        <w:contextualSpacing/>
        <w:jc w:val="both"/>
        <w:rPr>
          <w:rFonts w:ascii="Cambria" w:eastAsia="MS Gothic" w:hAnsi="Cambria" w:cs="Times New Roman"/>
          <w:color w:val="000000"/>
          <w:sz w:val="20"/>
          <w:szCs w:val="20"/>
          <w:lang w:eastAsia="fr-FR" w:bidi="fr-FR"/>
        </w:rPr>
      </w:pPr>
    </w:p>
    <w:p w14:paraId="6EC9D4FB"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4FFC928D" w14:textId="77777777" w:rsidR="009123AC" w:rsidRPr="00F0379B" w:rsidRDefault="009123AC" w:rsidP="009123AC">
      <w:pPr>
        <w:widowControl w:val="0"/>
        <w:tabs>
          <w:tab w:val="left" w:pos="426"/>
        </w:tabs>
        <w:spacing w:after="0" w:line="240" w:lineRule="auto"/>
        <w:rPr>
          <w:rFonts w:ascii="Cambria" w:eastAsia="MS Gothic" w:hAnsi="Cambria" w:cs="Times New Roman"/>
          <w:b/>
          <w:i/>
          <w:iCs/>
          <w:sz w:val="20"/>
          <w:szCs w:val="20"/>
          <w:lang w:eastAsia="fr-FR" w:bidi="fr-FR"/>
        </w:rPr>
      </w:pPr>
      <w:r w:rsidRPr="00F0379B">
        <w:rPr>
          <w:rFonts w:ascii="Cambria" w:eastAsia="MS Gothic" w:hAnsi="Cambria" w:cs="Times New Roman"/>
          <w:b/>
          <w:i/>
          <w:iCs/>
          <w:sz w:val="20"/>
          <w:szCs w:val="24"/>
          <w:lang w:eastAsia="fr-FR" w:bidi="fr-FR"/>
        </w:rPr>
        <w:t>5 b)</w:t>
      </w:r>
      <w:r w:rsidRPr="00F0379B">
        <w:rPr>
          <w:rFonts w:ascii="Cambria" w:eastAsia="MS Gothic" w:hAnsi="Cambria" w:cs="Times New Roman"/>
          <w:b/>
          <w:i/>
          <w:iCs/>
          <w:sz w:val="20"/>
          <w:szCs w:val="24"/>
          <w:lang w:eastAsia="fr-FR" w:bidi="fr-FR"/>
        </w:rPr>
        <w:tab/>
        <w:t>Programa conjunto de Inspección internacional (párrs. 232-235)</w:t>
      </w:r>
    </w:p>
    <w:p w14:paraId="278EFE52" w14:textId="77777777" w:rsidR="009123AC" w:rsidRPr="00F0379B" w:rsidRDefault="009123AC" w:rsidP="009123AC">
      <w:pPr>
        <w:widowControl w:val="0"/>
        <w:tabs>
          <w:tab w:val="left" w:pos="5258"/>
        </w:tabs>
        <w:spacing w:after="0" w:line="240" w:lineRule="auto"/>
        <w:rPr>
          <w:rFonts w:ascii="Cambria" w:eastAsia="MS Gothic" w:hAnsi="Cambria" w:cs="Times New Roman"/>
          <w:b/>
          <w:i/>
          <w:iCs/>
          <w:sz w:val="20"/>
          <w:szCs w:val="20"/>
          <w:lang w:eastAsia="fr-FR" w:bidi="fr-FR"/>
        </w:rPr>
      </w:pPr>
      <w:r w:rsidRPr="00F0379B">
        <w:rPr>
          <w:rFonts w:ascii="Cambria" w:eastAsia="MS Gothic" w:hAnsi="Cambria" w:cs="Times New Roman"/>
          <w:b/>
          <w:i/>
          <w:iCs/>
          <w:sz w:val="20"/>
          <w:szCs w:val="20"/>
          <w:lang w:eastAsia="fr-FR" w:bidi="fr-FR"/>
        </w:rPr>
        <w:tab/>
      </w:r>
    </w:p>
    <w:p w14:paraId="33BF5420" w14:textId="77777777" w:rsidR="009123AC" w:rsidRPr="00F0379B" w:rsidRDefault="009123AC" w:rsidP="009123AC">
      <w:pPr>
        <w:widowControl w:val="0"/>
        <w:spacing w:after="0" w:line="240" w:lineRule="auto"/>
        <w:jc w:val="both"/>
        <w:rPr>
          <w:rFonts w:ascii="Cambria" w:eastAsia="MS Gothic" w:hAnsi="Cambria" w:cs="Times New Roman"/>
          <w:bCs/>
          <w:sz w:val="20"/>
          <w:szCs w:val="20"/>
          <w:lang w:eastAsia="fr-FR" w:bidi="fr-FR"/>
        </w:rPr>
      </w:pPr>
      <w:r w:rsidRPr="00F0379B">
        <w:rPr>
          <w:rFonts w:ascii="Cambria" w:eastAsia="MS Gothic" w:hAnsi="Cambria" w:cs="Times New Roman"/>
          <w:bCs/>
          <w:sz w:val="20"/>
          <w:szCs w:val="20"/>
          <w:lang w:eastAsia="fr-FR" w:bidi="fr-FR"/>
        </w:rPr>
        <w:t>En virtud de lo dispuesto en los párrafos 232-235 de la Rec. 25-04, se prevé que tres buques de control, a saber Amilcar, Hannibal 3 y</w:t>
      </w:r>
      <w:r w:rsidRPr="00F0379B">
        <w:rPr>
          <w:rFonts w:ascii="Cambria" w:eastAsia="MS Gothic" w:hAnsi="Cambria" w:cs="Times New Roman"/>
          <w:bCs/>
          <w:i/>
          <w:iCs/>
          <w:sz w:val="20"/>
          <w:szCs w:val="20"/>
          <w:lang w:eastAsia="fr-FR" w:bidi="fr-FR"/>
        </w:rPr>
        <w:t xml:space="preserve"> </w:t>
      </w:r>
      <w:r w:rsidRPr="00F0379B">
        <w:rPr>
          <w:rFonts w:ascii="Cambria" w:eastAsia="MS Gothic" w:hAnsi="Cambria" w:cs="Times New Roman"/>
          <w:bCs/>
          <w:sz w:val="20"/>
          <w:szCs w:val="20"/>
          <w:lang w:eastAsia="fr-FR" w:bidi="fr-FR"/>
        </w:rPr>
        <w:t>Hannibal 4</w:t>
      </w:r>
      <w:r w:rsidRPr="00F0379B">
        <w:rPr>
          <w:rFonts w:ascii="Cambria" w:eastAsia="MS Gothic" w:hAnsi="Cambria" w:cs="Times New Roman"/>
          <w:bCs/>
          <w:i/>
          <w:iCs/>
          <w:sz w:val="20"/>
          <w:szCs w:val="20"/>
          <w:lang w:eastAsia="fr-FR" w:bidi="fr-FR"/>
        </w:rPr>
        <w:t xml:space="preserve"> </w:t>
      </w:r>
      <w:r w:rsidRPr="00F0379B">
        <w:rPr>
          <w:rFonts w:ascii="Cambria" w:eastAsia="MS Gothic" w:hAnsi="Cambria" w:cs="Times New Roman"/>
          <w:bCs/>
          <w:sz w:val="20"/>
          <w:szCs w:val="20"/>
          <w:lang w:eastAsia="fr-FR" w:bidi="fr-FR"/>
        </w:rPr>
        <w:t xml:space="preserve">participarán en el programa conjunto de inspección internacional durante la temporada de pesca de atún rojo de 2026. Los inspectores a bordo realizarán inspecciones en todos los buques tunecinos y extranjeros en la zona de pesca de atún rojo del Mediterráneo entre el 1 de mayo y el 15 de julio de 2026. </w:t>
      </w:r>
    </w:p>
    <w:p w14:paraId="4E0B1C47" w14:textId="77777777" w:rsidR="009123AC" w:rsidRPr="00F0379B" w:rsidRDefault="009123AC" w:rsidP="009123AC">
      <w:pPr>
        <w:widowControl w:val="0"/>
        <w:spacing w:after="0" w:line="240" w:lineRule="auto"/>
        <w:jc w:val="both"/>
        <w:rPr>
          <w:rFonts w:ascii="Cambria" w:eastAsia="MS Gothic" w:hAnsi="Cambria" w:cs="Times New Roman"/>
          <w:bCs/>
          <w:sz w:val="20"/>
          <w:szCs w:val="20"/>
          <w:lang w:eastAsia="fr-FR" w:bidi="fr-FR"/>
        </w:rPr>
      </w:pPr>
    </w:p>
    <w:p w14:paraId="1B48A2AB" w14:textId="77777777" w:rsidR="009123AC" w:rsidRPr="00F0379B" w:rsidRDefault="009123AC" w:rsidP="009123AC">
      <w:pPr>
        <w:widowControl w:val="0"/>
        <w:spacing w:after="0" w:line="240" w:lineRule="auto"/>
        <w:jc w:val="both"/>
        <w:rPr>
          <w:rFonts w:ascii="Cambria" w:eastAsia="MS Gothic" w:hAnsi="Cambria" w:cs="Times New Roman"/>
          <w:bCs/>
          <w:sz w:val="20"/>
          <w:szCs w:val="20"/>
          <w:lang w:eastAsia="fr-FR" w:bidi="fr-FR"/>
        </w:rPr>
      </w:pPr>
      <w:r w:rsidRPr="00F0379B">
        <w:rPr>
          <w:rFonts w:ascii="Cambria" w:eastAsia="MS Gothic" w:hAnsi="Cambria" w:cs="Times New Roman"/>
          <w:bCs/>
          <w:sz w:val="20"/>
          <w:szCs w:val="20"/>
          <w:lang w:eastAsia="fr-FR" w:bidi="fr-FR"/>
        </w:rPr>
        <w:t>En aplicación de los requisitos enumerados en estas recomendaciones, los inspectores llevarán a cabo inspecciones de todas las actividades relacionadas con la captura y el remolque de atún rojo para cubrir esencialmente:</w:t>
      </w:r>
    </w:p>
    <w:p w14:paraId="4C95298D" w14:textId="77777777" w:rsidR="009123AC" w:rsidRPr="00F0379B" w:rsidRDefault="009123AC" w:rsidP="009123AC">
      <w:pPr>
        <w:widowControl w:val="0"/>
        <w:spacing w:after="0" w:line="240" w:lineRule="auto"/>
        <w:jc w:val="both"/>
        <w:rPr>
          <w:rFonts w:ascii="Cambria" w:eastAsia="MS Gothic" w:hAnsi="Cambria" w:cs="Times New Roman"/>
          <w:bCs/>
          <w:sz w:val="20"/>
          <w:szCs w:val="20"/>
          <w:lang w:eastAsia="fr-FR" w:bidi="fr-FR"/>
        </w:rPr>
      </w:pPr>
    </w:p>
    <w:p w14:paraId="1167DF3E" w14:textId="77777777" w:rsidR="009123AC" w:rsidRPr="00F0379B" w:rsidRDefault="009123AC" w:rsidP="00CE0EC8">
      <w:pPr>
        <w:widowControl w:val="0"/>
        <w:numPr>
          <w:ilvl w:val="0"/>
          <w:numId w:val="60"/>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los documentos a bordo, </w:t>
      </w:r>
    </w:p>
    <w:p w14:paraId="58EBF8E8" w14:textId="77777777" w:rsidR="009123AC" w:rsidRPr="00F0379B" w:rsidRDefault="009123AC" w:rsidP="00CE0EC8">
      <w:pPr>
        <w:widowControl w:val="0"/>
        <w:numPr>
          <w:ilvl w:val="0"/>
          <w:numId w:val="60"/>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los documentos de ICCAT</w:t>
      </w:r>
    </w:p>
    <w:p w14:paraId="6FB8BCA3" w14:textId="77777777" w:rsidR="009123AC" w:rsidRPr="00F0379B" w:rsidRDefault="009123AC" w:rsidP="00CE0EC8">
      <w:pPr>
        <w:widowControl w:val="0"/>
        <w:numPr>
          <w:ilvl w:val="0"/>
          <w:numId w:val="60"/>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las grabaciones de vídeo de las operaciones de transferencia de capturas;</w:t>
      </w:r>
    </w:p>
    <w:p w14:paraId="1D29A9AF" w14:textId="77777777" w:rsidR="009123AC" w:rsidRPr="00F0379B" w:rsidRDefault="009123AC" w:rsidP="00CE0EC8">
      <w:pPr>
        <w:widowControl w:val="0"/>
        <w:numPr>
          <w:ilvl w:val="0"/>
          <w:numId w:val="60"/>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el VMS,  </w:t>
      </w:r>
    </w:p>
    <w:p w14:paraId="625F6AC6" w14:textId="77777777" w:rsidR="009123AC" w:rsidRPr="00F0379B" w:rsidRDefault="009123AC" w:rsidP="00CE0EC8">
      <w:pPr>
        <w:widowControl w:val="0"/>
        <w:numPr>
          <w:ilvl w:val="0"/>
          <w:numId w:val="60"/>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las infracciones, en su caso, de las medidas de conservación y ordenación de ICCAT, </w:t>
      </w:r>
    </w:p>
    <w:p w14:paraId="019023B9" w14:textId="77777777" w:rsidR="009123AC" w:rsidRPr="00F0379B" w:rsidRDefault="009123AC" w:rsidP="00CE0EC8">
      <w:pPr>
        <w:widowControl w:val="0"/>
        <w:numPr>
          <w:ilvl w:val="0"/>
          <w:numId w:val="60"/>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los sistemas de comunicación de datos para recibir las autorizaciones previas de transferencia, de liberación.</w:t>
      </w:r>
    </w:p>
    <w:p w14:paraId="11B71201"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373A60C5"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559F3195" w14:textId="77777777" w:rsidR="009123AC" w:rsidRPr="00F0379B" w:rsidRDefault="009123AC" w:rsidP="00CE0EC8">
      <w:pPr>
        <w:widowControl w:val="0"/>
        <w:numPr>
          <w:ilvl w:val="0"/>
          <w:numId w:val="64"/>
        </w:numPr>
        <w:spacing w:after="0" w:line="240" w:lineRule="auto"/>
        <w:ind w:left="426" w:hanging="426"/>
        <w:contextualSpacing/>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0"/>
          <w:lang w:eastAsia="fr-FR" w:bidi="fr-FR"/>
        </w:rPr>
        <w:t>Otros</w:t>
      </w:r>
    </w:p>
    <w:p w14:paraId="573DF25A" w14:textId="77777777" w:rsidR="009123AC" w:rsidRPr="00F0379B" w:rsidRDefault="009123AC" w:rsidP="009123AC">
      <w:pPr>
        <w:widowControl w:val="0"/>
        <w:spacing w:after="0" w:line="240" w:lineRule="auto"/>
        <w:ind w:left="426" w:hanging="426"/>
        <w:jc w:val="both"/>
        <w:rPr>
          <w:rFonts w:ascii="Cambria" w:eastAsia="MS Gothic" w:hAnsi="Cambria" w:cs="Times New Roman"/>
          <w:b/>
          <w:sz w:val="20"/>
          <w:szCs w:val="20"/>
          <w:lang w:eastAsia="fr-FR" w:bidi="fr-FR"/>
        </w:rPr>
      </w:pPr>
    </w:p>
    <w:p w14:paraId="7E873CA2"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sz w:val="20"/>
          <w:szCs w:val="20"/>
          <w:lang w:eastAsia="fr-FR" w:bidi="fr-FR"/>
        </w:rPr>
        <w:t xml:space="preserve">Además de su participación en el Programa GBYP de ICCAT, la autoridad competente coopera con el </w:t>
      </w:r>
      <w:proofErr w:type="spellStart"/>
      <w:r w:rsidRPr="00F0379B">
        <w:rPr>
          <w:rFonts w:ascii="Cambria" w:eastAsia="MS Gothic" w:hAnsi="Cambria" w:cs="Times New Roman"/>
          <w:sz w:val="20"/>
          <w:szCs w:val="20"/>
          <w:lang w:eastAsia="fr-FR" w:bidi="fr-FR"/>
        </w:rPr>
        <w:t>Institut</w:t>
      </w:r>
      <w:proofErr w:type="spellEnd"/>
      <w:r w:rsidRPr="00F0379B">
        <w:rPr>
          <w:rFonts w:ascii="Cambria" w:eastAsia="MS Gothic" w:hAnsi="Cambria" w:cs="Times New Roman"/>
          <w:sz w:val="20"/>
          <w:szCs w:val="20"/>
          <w:lang w:eastAsia="fr-FR" w:bidi="fr-FR"/>
        </w:rPr>
        <w:t xml:space="preserve"> </w:t>
      </w:r>
      <w:proofErr w:type="spellStart"/>
      <w:r w:rsidRPr="00F0379B">
        <w:rPr>
          <w:rFonts w:ascii="Cambria" w:eastAsia="MS Gothic" w:hAnsi="Cambria" w:cs="Times New Roman"/>
          <w:sz w:val="20"/>
          <w:szCs w:val="20"/>
          <w:lang w:eastAsia="fr-FR" w:bidi="fr-FR"/>
        </w:rPr>
        <w:t>National</w:t>
      </w:r>
      <w:proofErr w:type="spellEnd"/>
      <w:r w:rsidRPr="00F0379B">
        <w:rPr>
          <w:rFonts w:ascii="Cambria" w:eastAsia="MS Gothic" w:hAnsi="Cambria" w:cs="Times New Roman"/>
          <w:sz w:val="20"/>
          <w:szCs w:val="20"/>
          <w:lang w:eastAsia="fr-FR" w:bidi="fr-FR"/>
        </w:rPr>
        <w:t xml:space="preserve"> des </w:t>
      </w:r>
      <w:proofErr w:type="spellStart"/>
      <w:r w:rsidRPr="00F0379B">
        <w:rPr>
          <w:rFonts w:ascii="Cambria" w:eastAsia="MS Gothic" w:hAnsi="Cambria" w:cs="Times New Roman"/>
          <w:sz w:val="20"/>
          <w:szCs w:val="20"/>
          <w:lang w:eastAsia="fr-FR" w:bidi="fr-FR"/>
        </w:rPr>
        <w:t>Sciences</w:t>
      </w:r>
      <w:proofErr w:type="spellEnd"/>
      <w:r w:rsidRPr="00F0379B">
        <w:rPr>
          <w:rFonts w:ascii="Cambria" w:eastAsia="MS Gothic" w:hAnsi="Cambria" w:cs="Times New Roman"/>
          <w:sz w:val="20"/>
          <w:szCs w:val="20"/>
          <w:lang w:eastAsia="fr-FR" w:bidi="fr-FR"/>
        </w:rPr>
        <w:t xml:space="preserve"> et Technologies de la Mer (INSTM) para llevar a cabo programas de seguimiento científico de la especie </w:t>
      </w:r>
      <w:proofErr w:type="spellStart"/>
      <w:r w:rsidRPr="00F0379B">
        <w:rPr>
          <w:rFonts w:ascii="Cambria" w:eastAsia="MS Gothic" w:hAnsi="Cambria" w:cs="Times New Roman"/>
          <w:i/>
          <w:iCs/>
          <w:sz w:val="20"/>
          <w:szCs w:val="20"/>
          <w:lang w:eastAsia="fr-FR" w:bidi="fr-FR"/>
        </w:rPr>
        <w:t>Thunnus</w:t>
      </w:r>
      <w:proofErr w:type="spellEnd"/>
      <w:r w:rsidRPr="00F0379B">
        <w:rPr>
          <w:rFonts w:ascii="Cambria" w:eastAsia="MS Gothic" w:hAnsi="Cambria" w:cs="Times New Roman"/>
          <w:i/>
          <w:iCs/>
          <w:sz w:val="20"/>
          <w:szCs w:val="20"/>
          <w:lang w:eastAsia="fr-FR" w:bidi="fr-FR"/>
        </w:rPr>
        <w:t xml:space="preserve"> </w:t>
      </w:r>
      <w:proofErr w:type="spellStart"/>
      <w:r w:rsidRPr="00F0379B">
        <w:rPr>
          <w:rFonts w:ascii="Cambria" w:eastAsia="MS Gothic" w:hAnsi="Cambria" w:cs="Times New Roman"/>
          <w:i/>
          <w:iCs/>
          <w:sz w:val="20"/>
          <w:szCs w:val="20"/>
          <w:lang w:eastAsia="fr-FR" w:bidi="fr-FR"/>
        </w:rPr>
        <w:t>tynnus</w:t>
      </w:r>
      <w:proofErr w:type="spellEnd"/>
      <w:r w:rsidRPr="00F0379B">
        <w:rPr>
          <w:rFonts w:ascii="Cambria" w:eastAsia="MS Gothic" w:hAnsi="Cambria" w:cs="Times New Roman"/>
          <w:sz w:val="20"/>
          <w:szCs w:val="20"/>
          <w:lang w:eastAsia="fr-FR" w:bidi="fr-FR"/>
        </w:rPr>
        <w:t>. En concreto:</w:t>
      </w:r>
    </w:p>
    <w:p w14:paraId="252E202B"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p w14:paraId="7594DB46" w14:textId="77777777" w:rsidR="009123AC" w:rsidRPr="00F0379B" w:rsidRDefault="009123AC" w:rsidP="00CE0EC8">
      <w:pPr>
        <w:widowControl w:val="0"/>
        <w:numPr>
          <w:ilvl w:val="0"/>
          <w:numId w:val="60"/>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El programa de observadores científicos, que cubrirá el 10 % del número de cerqueros autorizados y cuyos resultados sobre capturas por arte, tallas, zonas de pesca y capturas fortuitas se comunicarán al SCRS;</w:t>
      </w:r>
    </w:p>
    <w:p w14:paraId="6AACFB79" w14:textId="77777777" w:rsidR="009123AC" w:rsidRPr="00F0379B" w:rsidRDefault="009123AC" w:rsidP="00CE0EC8">
      <w:pPr>
        <w:widowControl w:val="0"/>
        <w:numPr>
          <w:ilvl w:val="0"/>
          <w:numId w:val="60"/>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El programa de muestreo en granjas de engorde durante la introducción en jaulas utilizando datos de grabaciones de vídeo de cámaras estereoscópicas;</w:t>
      </w:r>
    </w:p>
    <w:p w14:paraId="0938324B" w14:textId="77777777" w:rsidR="009123AC" w:rsidRPr="00F0379B" w:rsidRDefault="009123AC" w:rsidP="00CE0EC8">
      <w:pPr>
        <w:widowControl w:val="0"/>
        <w:numPr>
          <w:ilvl w:val="0"/>
          <w:numId w:val="60"/>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El programa de muestreo en granjas de engorde durante el sacrificio para seguir de cerca los ciclos de reproducción y crecimiento del atún rojo.</w:t>
      </w:r>
    </w:p>
    <w:p w14:paraId="4BEE18D9" w14:textId="77777777" w:rsidR="009123AC" w:rsidRPr="00F0379B" w:rsidRDefault="009123AC" w:rsidP="009123AC">
      <w:pPr>
        <w:widowControl w:val="0"/>
        <w:spacing w:after="0" w:line="240" w:lineRule="auto"/>
        <w:ind w:left="426" w:hanging="426"/>
        <w:jc w:val="both"/>
        <w:rPr>
          <w:rFonts w:ascii="Cambria" w:eastAsia="MS Gothic" w:hAnsi="Cambria" w:cs="Times New Roman"/>
          <w:b/>
          <w:sz w:val="20"/>
          <w:szCs w:val="20"/>
          <w:lang w:eastAsia="fr-FR" w:bidi="fr-FR"/>
        </w:rPr>
      </w:pPr>
    </w:p>
    <w:p w14:paraId="083C201E" w14:textId="77777777" w:rsidR="009123AC" w:rsidRPr="00F0379B" w:rsidRDefault="009123AC" w:rsidP="009123AC">
      <w:pPr>
        <w:widowControl w:val="0"/>
        <w:spacing w:after="0" w:line="240" w:lineRule="auto"/>
        <w:jc w:val="both"/>
        <w:rPr>
          <w:rFonts w:ascii="Cambria" w:eastAsia="MS Gothic" w:hAnsi="Cambria" w:cs="Times New Roman"/>
          <w:bCs/>
          <w:color w:val="000000"/>
          <w:sz w:val="20"/>
          <w:szCs w:val="20"/>
          <w:lang w:eastAsia="fr-FR" w:bidi="fr-FR"/>
        </w:rPr>
      </w:pPr>
    </w:p>
    <w:p w14:paraId="05A8C5DD"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sectPr w:rsidR="009123AC" w:rsidRPr="00F0379B" w:rsidSect="009123AC">
          <w:headerReference w:type="default" r:id="rId219"/>
          <w:footerReference w:type="default" r:id="rId220"/>
          <w:headerReference w:type="first" r:id="rId221"/>
          <w:footerReference w:type="first" r:id="rId222"/>
          <w:pgSz w:w="11906" w:h="16838" w:code="9"/>
          <w:pgMar w:top="1418" w:right="1418" w:bottom="1418" w:left="1418" w:header="851" w:footer="1134" w:gutter="0"/>
          <w:cols w:space="425"/>
          <w:docGrid w:linePitch="360"/>
        </w:sectPr>
      </w:pPr>
    </w:p>
    <w:p w14:paraId="36BB7425" w14:textId="77777777" w:rsidR="009123AC" w:rsidRPr="00F0379B" w:rsidRDefault="009123AC" w:rsidP="009123AC">
      <w:pPr>
        <w:spacing w:after="0" w:line="240" w:lineRule="auto"/>
        <w:rPr>
          <w:rFonts w:ascii="Cambria" w:eastAsia="MS Gothic" w:hAnsi="Cambria" w:cs="Times New Roman"/>
          <w:b/>
          <w:bCs/>
          <w:sz w:val="20"/>
          <w:szCs w:val="20"/>
          <w:lang w:eastAsia="fr-FR" w:bidi="fr-FR"/>
        </w:rPr>
      </w:pPr>
      <w:r w:rsidRPr="00F0379B">
        <w:rPr>
          <w:rFonts w:ascii="Cambria" w:eastAsia="MS Gothic" w:hAnsi="Cambria" w:cs="Times New Roman"/>
          <w:b/>
          <w:bCs/>
          <w:sz w:val="20"/>
          <w:szCs w:val="20"/>
          <w:lang w:eastAsia="fr-FR" w:bidi="fr-FR"/>
        </w:rPr>
        <w:t>Tabla de capacidad</w:t>
      </w:r>
    </w:p>
    <w:p w14:paraId="50638682" w14:textId="77777777" w:rsidR="009123AC" w:rsidRPr="00F0379B" w:rsidRDefault="009123AC" w:rsidP="009123AC">
      <w:pPr>
        <w:spacing w:after="0" w:line="240" w:lineRule="auto"/>
        <w:rPr>
          <w:rFonts w:ascii="Cambria" w:eastAsia="MS Gothic" w:hAnsi="Cambria" w:cs="Times New Roman"/>
          <w:b/>
          <w:bCs/>
          <w:sz w:val="16"/>
          <w:szCs w:val="16"/>
          <w:lang w:eastAsia="fr-FR" w:bidi="fr-FR"/>
        </w:rPr>
      </w:pPr>
    </w:p>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2"/>
        <w:gridCol w:w="1230"/>
        <w:gridCol w:w="765"/>
        <w:gridCol w:w="602"/>
        <w:gridCol w:w="602"/>
        <w:gridCol w:w="572"/>
        <w:gridCol w:w="572"/>
        <w:gridCol w:w="572"/>
        <w:gridCol w:w="572"/>
        <w:gridCol w:w="223"/>
        <w:gridCol w:w="831"/>
        <w:gridCol w:w="831"/>
        <w:gridCol w:w="831"/>
        <w:gridCol w:w="831"/>
        <w:gridCol w:w="831"/>
        <w:gridCol w:w="831"/>
        <w:gridCol w:w="748"/>
      </w:tblGrid>
      <w:tr w:rsidR="009123AC" w:rsidRPr="00F0379B" w14:paraId="6513BB30" w14:textId="77777777" w:rsidTr="00CA749B">
        <w:trPr>
          <w:trHeight w:val="23"/>
        </w:trPr>
        <w:tc>
          <w:tcPr>
            <w:tcW w:w="2831" w:type="dxa"/>
            <w:noWrap/>
            <w:vAlign w:val="center"/>
            <w:hideMark/>
          </w:tcPr>
          <w:p w14:paraId="152C059E" w14:textId="77777777" w:rsidR="009123AC" w:rsidRPr="00F0379B" w:rsidRDefault="009123AC" w:rsidP="009123AC">
            <w:pPr>
              <w:keepNext/>
              <w:spacing w:after="0" w:line="240" w:lineRule="auto"/>
              <w:jc w:val="center"/>
              <w:outlineLvl w:val="1"/>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Tipo de buque atunero</w:t>
            </w:r>
          </w:p>
        </w:tc>
        <w:tc>
          <w:tcPr>
            <w:tcW w:w="1230" w:type="dxa"/>
            <w:noWrap/>
            <w:vAlign w:val="center"/>
            <w:hideMark/>
          </w:tcPr>
          <w:p w14:paraId="54E03073"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1966" w:type="dxa"/>
            <w:gridSpan w:val="3"/>
          </w:tcPr>
          <w:p w14:paraId="37AF9281" w14:textId="77777777" w:rsidR="009123AC" w:rsidRPr="00F0379B" w:rsidRDefault="009123AC" w:rsidP="009123AC">
            <w:pPr>
              <w:spacing w:after="0" w:line="240" w:lineRule="auto"/>
              <w:jc w:val="center"/>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Años de referencia</w:t>
            </w:r>
          </w:p>
        </w:tc>
        <w:tc>
          <w:tcPr>
            <w:tcW w:w="0" w:type="auto"/>
            <w:gridSpan w:val="4"/>
            <w:vAlign w:val="center"/>
          </w:tcPr>
          <w:p w14:paraId="659439D3" w14:textId="77777777" w:rsidR="009123AC" w:rsidRPr="00F0379B" w:rsidRDefault="009123AC" w:rsidP="009123AC">
            <w:pPr>
              <w:spacing w:after="0" w:line="240" w:lineRule="auto"/>
              <w:jc w:val="center"/>
              <w:rPr>
                <w:rFonts w:ascii="Cambria" w:eastAsia="Times New Roman" w:hAnsi="Cambria" w:cs="Times New Roman"/>
                <w:sz w:val="16"/>
                <w:szCs w:val="16"/>
                <w:lang w:eastAsia="fr-FR" w:bidi="fr-FR"/>
              </w:rPr>
            </w:pPr>
            <w:r w:rsidRPr="00F0379B">
              <w:rPr>
                <w:rFonts w:ascii="Cambria" w:eastAsia="MS Gothic" w:hAnsi="Cambria" w:cs="Times New Roman"/>
                <w:i/>
                <w:sz w:val="16"/>
                <w:szCs w:val="16"/>
                <w:lang w:eastAsia="fr-FR" w:bidi="fr-FR"/>
              </w:rPr>
              <w:t>N.º de buques</w:t>
            </w:r>
          </w:p>
        </w:tc>
        <w:tc>
          <w:tcPr>
            <w:tcW w:w="0" w:type="auto"/>
            <w:shd w:val="clear" w:color="auto" w:fill="D9D9D9"/>
            <w:vAlign w:val="center"/>
            <w:hideMark/>
          </w:tcPr>
          <w:p w14:paraId="027B4120" w14:textId="77777777" w:rsidR="009123AC" w:rsidRPr="00F0379B" w:rsidRDefault="009123AC" w:rsidP="009123AC">
            <w:pPr>
              <w:spacing w:after="0" w:line="240" w:lineRule="auto"/>
              <w:jc w:val="center"/>
              <w:rPr>
                <w:rFonts w:ascii="Cambria" w:eastAsia="Times New Roman" w:hAnsi="Cambria" w:cs="Times New Roman"/>
                <w:sz w:val="16"/>
                <w:szCs w:val="16"/>
                <w:lang w:val="en-US" w:eastAsia="ja-JP"/>
              </w:rPr>
            </w:pPr>
          </w:p>
        </w:tc>
        <w:tc>
          <w:tcPr>
            <w:tcW w:w="0" w:type="auto"/>
            <w:gridSpan w:val="3"/>
          </w:tcPr>
          <w:p w14:paraId="4D7E2A90" w14:textId="77777777" w:rsidR="009123AC" w:rsidRPr="00F0379B" w:rsidRDefault="009123AC" w:rsidP="009123AC">
            <w:pPr>
              <w:spacing w:after="0" w:line="240" w:lineRule="auto"/>
              <w:jc w:val="center"/>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Años de referencia</w:t>
            </w:r>
          </w:p>
        </w:tc>
        <w:tc>
          <w:tcPr>
            <w:tcW w:w="0" w:type="auto"/>
            <w:gridSpan w:val="4"/>
          </w:tcPr>
          <w:p w14:paraId="7C33AA28" w14:textId="77777777" w:rsidR="009123AC" w:rsidRPr="00F0379B" w:rsidRDefault="009123AC" w:rsidP="009123AC">
            <w:pPr>
              <w:spacing w:after="0" w:line="240" w:lineRule="auto"/>
              <w:jc w:val="center"/>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Capacidad de pesca</w:t>
            </w:r>
          </w:p>
        </w:tc>
      </w:tr>
      <w:tr w:rsidR="009123AC" w:rsidRPr="00F0379B" w14:paraId="27409E58" w14:textId="77777777" w:rsidTr="00CA749B">
        <w:trPr>
          <w:trHeight w:val="23"/>
        </w:trPr>
        <w:tc>
          <w:tcPr>
            <w:tcW w:w="2831" w:type="dxa"/>
            <w:tcBorders>
              <w:bottom w:val="single" w:sz="12" w:space="0" w:color="000000"/>
            </w:tcBorders>
            <w:noWrap/>
            <w:vAlign w:val="center"/>
            <w:hideMark/>
          </w:tcPr>
          <w:p w14:paraId="4101079D"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Tipo</w:t>
            </w:r>
          </w:p>
        </w:tc>
        <w:tc>
          <w:tcPr>
            <w:tcW w:w="1230" w:type="dxa"/>
            <w:tcBorders>
              <w:bottom w:val="single" w:sz="12" w:space="0" w:color="000000"/>
            </w:tcBorders>
            <w:vAlign w:val="center"/>
            <w:hideMark/>
          </w:tcPr>
          <w:p w14:paraId="5F8DF071"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Mejores tasas de captura definidas por el SCRS en 2009 (t)</w:t>
            </w:r>
          </w:p>
        </w:tc>
        <w:tc>
          <w:tcPr>
            <w:tcW w:w="727" w:type="dxa"/>
            <w:tcBorders>
              <w:bottom w:val="single" w:sz="12" w:space="0" w:color="000000"/>
            </w:tcBorders>
            <w:vAlign w:val="center"/>
          </w:tcPr>
          <w:p w14:paraId="634E1A28"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2006</w:t>
            </w:r>
          </w:p>
        </w:tc>
        <w:tc>
          <w:tcPr>
            <w:tcW w:w="0" w:type="auto"/>
            <w:tcBorders>
              <w:bottom w:val="single" w:sz="12" w:space="0" w:color="000000"/>
            </w:tcBorders>
            <w:noWrap/>
            <w:vAlign w:val="center"/>
            <w:hideMark/>
          </w:tcPr>
          <w:p w14:paraId="464E5B14"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2008</w:t>
            </w:r>
          </w:p>
        </w:tc>
        <w:tc>
          <w:tcPr>
            <w:tcW w:w="0" w:type="auto"/>
            <w:tcBorders>
              <w:bottom w:val="single" w:sz="12" w:space="0" w:color="000000"/>
            </w:tcBorders>
            <w:vAlign w:val="center"/>
            <w:hideMark/>
          </w:tcPr>
          <w:p w14:paraId="4708F358"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2018</w:t>
            </w:r>
          </w:p>
        </w:tc>
        <w:tc>
          <w:tcPr>
            <w:tcW w:w="0" w:type="auto"/>
            <w:tcBorders>
              <w:bottom w:val="single" w:sz="12" w:space="0" w:color="000000"/>
            </w:tcBorders>
            <w:vAlign w:val="center"/>
            <w:hideMark/>
          </w:tcPr>
          <w:p w14:paraId="3D6C5215"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2023</w:t>
            </w:r>
          </w:p>
        </w:tc>
        <w:tc>
          <w:tcPr>
            <w:tcW w:w="0" w:type="auto"/>
            <w:tcBorders>
              <w:bottom w:val="single" w:sz="12" w:space="0" w:color="000000"/>
            </w:tcBorders>
            <w:vAlign w:val="center"/>
            <w:hideMark/>
          </w:tcPr>
          <w:p w14:paraId="7F95C4AB"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2024</w:t>
            </w:r>
          </w:p>
        </w:tc>
        <w:tc>
          <w:tcPr>
            <w:tcW w:w="0" w:type="auto"/>
            <w:tcBorders>
              <w:bottom w:val="single" w:sz="12" w:space="0" w:color="000000"/>
            </w:tcBorders>
            <w:vAlign w:val="center"/>
          </w:tcPr>
          <w:p w14:paraId="2FA6DA8B"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2025</w:t>
            </w:r>
          </w:p>
        </w:tc>
        <w:tc>
          <w:tcPr>
            <w:tcW w:w="0" w:type="auto"/>
            <w:tcBorders>
              <w:bottom w:val="single" w:sz="12" w:space="0" w:color="000000"/>
            </w:tcBorders>
            <w:vAlign w:val="center"/>
          </w:tcPr>
          <w:p w14:paraId="2F1ADB3E"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2026</w:t>
            </w:r>
          </w:p>
        </w:tc>
        <w:tc>
          <w:tcPr>
            <w:tcW w:w="0" w:type="auto"/>
            <w:tcBorders>
              <w:bottom w:val="single" w:sz="12" w:space="0" w:color="000000"/>
            </w:tcBorders>
            <w:shd w:val="clear" w:color="000000" w:fill="D9D9D9"/>
            <w:vAlign w:val="center"/>
            <w:hideMark/>
          </w:tcPr>
          <w:p w14:paraId="34599DB6"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0" w:type="auto"/>
            <w:tcBorders>
              <w:bottom w:val="single" w:sz="12" w:space="0" w:color="000000"/>
            </w:tcBorders>
            <w:vAlign w:val="center"/>
          </w:tcPr>
          <w:p w14:paraId="6D040DD4"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2006</w:t>
            </w:r>
          </w:p>
        </w:tc>
        <w:tc>
          <w:tcPr>
            <w:tcW w:w="0" w:type="auto"/>
            <w:tcBorders>
              <w:bottom w:val="single" w:sz="12" w:space="0" w:color="000000"/>
            </w:tcBorders>
            <w:vAlign w:val="center"/>
            <w:hideMark/>
          </w:tcPr>
          <w:p w14:paraId="4F937F7E"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2008</w:t>
            </w:r>
          </w:p>
        </w:tc>
        <w:tc>
          <w:tcPr>
            <w:tcW w:w="0" w:type="auto"/>
            <w:tcBorders>
              <w:bottom w:val="single" w:sz="12" w:space="0" w:color="000000"/>
            </w:tcBorders>
            <w:vAlign w:val="center"/>
            <w:hideMark/>
          </w:tcPr>
          <w:p w14:paraId="688ED9D1"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2018</w:t>
            </w:r>
          </w:p>
        </w:tc>
        <w:tc>
          <w:tcPr>
            <w:tcW w:w="0" w:type="auto"/>
            <w:tcBorders>
              <w:bottom w:val="single" w:sz="12" w:space="0" w:color="000000"/>
            </w:tcBorders>
            <w:vAlign w:val="center"/>
            <w:hideMark/>
          </w:tcPr>
          <w:p w14:paraId="4B4706FC"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2023</w:t>
            </w:r>
          </w:p>
        </w:tc>
        <w:tc>
          <w:tcPr>
            <w:tcW w:w="0" w:type="auto"/>
            <w:tcBorders>
              <w:bottom w:val="single" w:sz="12" w:space="0" w:color="000000"/>
            </w:tcBorders>
            <w:vAlign w:val="center"/>
            <w:hideMark/>
          </w:tcPr>
          <w:p w14:paraId="7EE3C623"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2024</w:t>
            </w:r>
          </w:p>
        </w:tc>
        <w:tc>
          <w:tcPr>
            <w:tcW w:w="0" w:type="auto"/>
            <w:tcBorders>
              <w:bottom w:val="single" w:sz="12" w:space="0" w:color="000000"/>
            </w:tcBorders>
            <w:vAlign w:val="center"/>
            <w:hideMark/>
          </w:tcPr>
          <w:p w14:paraId="03352FB2"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2025</w:t>
            </w:r>
          </w:p>
        </w:tc>
        <w:tc>
          <w:tcPr>
            <w:tcW w:w="0" w:type="auto"/>
            <w:tcBorders>
              <w:bottom w:val="single" w:sz="12" w:space="0" w:color="000000"/>
            </w:tcBorders>
            <w:vAlign w:val="center"/>
          </w:tcPr>
          <w:p w14:paraId="2A736042"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2026</w:t>
            </w:r>
          </w:p>
        </w:tc>
      </w:tr>
      <w:tr w:rsidR="009123AC" w:rsidRPr="00F0379B" w14:paraId="108F4A8A" w14:textId="77777777" w:rsidTr="00CA749B">
        <w:trPr>
          <w:trHeight w:val="247"/>
        </w:trPr>
        <w:tc>
          <w:tcPr>
            <w:tcW w:w="2831" w:type="dxa"/>
            <w:tcBorders>
              <w:top w:val="single" w:sz="12" w:space="0" w:color="000000"/>
              <w:left w:val="single" w:sz="12" w:space="0" w:color="000000"/>
            </w:tcBorders>
            <w:noWrap/>
            <w:vAlign w:val="center"/>
            <w:hideMark/>
          </w:tcPr>
          <w:p w14:paraId="750762B1"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Cerqueros de más de 40 m</w:t>
            </w:r>
          </w:p>
        </w:tc>
        <w:tc>
          <w:tcPr>
            <w:tcW w:w="1230" w:type="dxa"/>
            <w:tcBorders>
              <w:top w:val="single" w:sz="12" w:space="0" w:color="000000"/>
            </w:tcBorders>
            <w:noWrap/>
            <w:vAlign w:val="center"/>
            <w:hideMark/>
          </w:tcPr>
          <w:p w14:paraId="37622081"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70,66</w:t>
            </w:r>
          </w:p>
        </w:tc>
        <w:tc>
          <w:tcPr>
            <w:tcW w:w="727" w:type="dxa"/>
            <w:tcBorders>
              <w:top w:val="single" w:sz="12" w:space="0" w:color="000000"/>
            </w:tcBorders>
            <w:vAlign w:val="center"/>
          </w:tcPr>
          <w:p w14:paraId="4A85C69C"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sz w:val="14"/>
                <w:szCs w:val="14"/>
                <w:rtl/>
                <w:lang w:eastAsia="fr-FR" w:bidi="ar-TN"/>
              </w:rPr>
              <w:t>1</w:t>
            </w:r>
          </w:p>
        </w:tc>
        <w:tc>
          <w:tcPr>
            <w:tcW w:w="0" w:type="auto"/>
            <w:tcBorders>
              <w:top w:val="single" w:sz="12" w:space="0" w:color="000000"/>
            </w:tcBorders>
            <w:noWrap/>
            <w:vAlign w:val="center"/>
          </w:tcPr>
          <w:p w14:paraId="09212F0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1</w:t>
            </w:r>
          </w:p>
        </w:tc>
        <w:tc>
          <w:tcPr>
            <w:tcW w:w="0" w:type="auto"/>
            <w:tcBorders>
              <w:top w:val="single" w:sz="12" w:space="0" w:color="000000"/>
            </w:tcBorders>
            <w:vAlign w:val="center"/>
          </w:tcPr>
          <w:p w14:paraId="5916100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bidi="fr-FR"/>
              </w:rPr>
              <w:t>0</w:t>
            </w:r>
          </w:p>
        </w:tc>
        <w:tc>
          <w:tcPr>
            <w:tcW w:w="0" w:type="auto"/>
            <w:tcBorders>
              <w:top w:val="single" w:sz="12" w:space="0" w:color="000000"/>
            </w:tcBorders>
            <w:vAlign w:val="center"/>
          </w:tcPr>
          <w:p w14:paraId="3E710F3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tcBorders>
              <w:top w:val="single" w:sz="12" w:space="0" w:color="000000"/>
            </w:tcBorders>
            <w:vAlign w:val="center"/>
          </w:tcPr>
          <w:p w14:paraId="12619FC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tcBorders>
              <w:top w:val="single" w:sz="12" w:space="0" w:color="000000"/>
            </w:tcBorders>
            <w:vAlign w:val="center"/>
          </w:tcPr>
          <w:p w14:paraId="463C47C0"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bidi="fr-FR"/>
              </w:rPr>
              <w:t>0</w:t>
            </w:r>
          </w:p>
        </w:tc>
        <w:tc>
          <w:tcPr>
            <w:tcW w:w="0" w:type="auto"/>
            <w:tcBorders>
              <w:top w:val="single" w:sz="12" w:space="0" w:color="000000"/>
            </w:tcBorders>
            <w:vAlign w:val="center"/>
          </w:tcPr>
          <w:p w14:paraId="11996725"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color w:val="000000"/>
                <w:sz w:val="14"/>
                <w:szCs w:val="14"/>
                <w:lang w:eastAsia="ja-JP" w:bidi="fr-FR"/>
              </w:rPr>
              <w:t>0</w:t>
            </w:r>
          </w:p>
        </w:tc>
        <w:tc>
          <w:tcPr>
            <w:tcW w:w="0" w:type="auto"/>
            <w:tcBorders>
              <w:top w:val="single" w:sz="12" w:space="0" w:color="000000"/>
            </w:tcBorders>
            <w:shd w:val="clear" w:color="000000" w:fill="D9D9D9"/>
            <w:vAlign w:val="center"/>
          </w:tcPr>
          <w:p w14:paraId="4516BA7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tcBorders>
              <w:top w:val="single" w:sz="12" w:space="0" w:color="000000"/>
            </w:tcBorders>
            <w:vAlign w:val="center"/>
          </w:tcPr>
          <w:p w14:paraId="13FCB177"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sz w:val="14"/>
                <w:szCs w:val="14"/>
                <w:lang w:eastAsia="fr-FR"/>
              </w:rPr>
              <w:t>70,7</w:t>
            </w:r>
          </w:p>
        </w:tc>
        <w:tc>
          <w:tcPr>
            <w:tcW w:w="0" w:type="auto"/>
            <w:tcBorders>
              <w:top w:val="single" w:sz="12" w:space="0" w:color="000000"/>
            </w:tcBorders>
            <w:vAlign w:val="center"/>
          </w:tcPr>
          <w:p w14:paraId="6030DF3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70,7</w:t>
            </w:r>
          </w:p>
        </w:tc>
        <w:tc>
          <w:tcPr>
            <w:tcW w:w="0" w:type="auto"/>
            <w:tcBorders>
              <w:top w:val="single" w:sz="12" w:space="0" w:color="000000"/>
            </w:tcBorders>
            <w:vAlign w:val="center"/>
          </w:tcPr>
          <w:p w14:paraId="4DF0620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bidi="fr-FR"/>
              </w:rPr>
              <w:t>0</w:t>
            </w:r>
          </w:p>
        </w:tc>
        <w:tc>
          <w:tcPr>
            <w:tcW w:w="0" w:type="auto"/>
            <w:tcBorders>
              <w:top w:val="single" w:sz="12" w:space="0" w:color="000000"/>
            </w:tcBorders>
            <w:vAlign w:val="center"/>
          </w:tcPr>
          <w:p w14:paraId="19EC811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tcBorders>
              <w:top w:val="single" w:sz="12" w:space="0" w:color="000000"/>
            </w:tcBorders>
            <w:vAlign w:val="center"/>
          </w:tcPr>
          <w:p w14:paraId="212199E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tcBorders>
              <w:top w:val="single" w:sz="12" w:space="0" w:color="000000"/>
            </w:tcBorders>
            <w:vAlign w:val="center"/>
          </w:tcPr>
          <w:p w14:paraId="2119725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tcBorders>
              <w:top w:val="single" w:sz="12" w:space="0" w:color="000000"/>
              <w:right w:val="single" w:sz="12" w:space="0" w:color="000000"/>
            </w:tcBorders>
            <w:vAlign w:val="center"/>
          </w:tcPr>
          <w:p w14:paraId="6843EAB0"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color w:val="000000"/>
                <w:sz w:val="14"/>
                <w:szCs w:val="14"/>
                <w:lang w:eastAsia="ja-JP" w:bidi="fr-FR"/>
              </w:rPr>
              <w:t>0</w:t>
            </w:r>
          </w:p>
        </w:tc>
      </w:tr>
      <w:tr w:rsidR="009123AC" w:rsidRPr="00F0379B" w14:paraId="6757582A" w14:textId="77777777" w:rsidTr="00CA749B">
        <w:trPr>
          <w:trHeight w:val="23"/>
        </w:trPr>
        <w:tc>
          <w:tcPr>
            <w:tcW w:w="2831" w:type="dxa"/>
            <w:tcBorders>
              <w:left w:val="single" w:sz="12" w:space="0" w:color="000000"/>
            </w:tcBorders>
            <w:noWrap/>
            <w:vAlign w:val="center"/>
            <w:hideMark/>
          </w:tcPr>
          <w:p w14:paraId="642B597C"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Cerqueros entre 24 y 40 m</w:t>
            </w:r>
          </w:p>
        </w:tc>
        <w:tc>
          <w:tcPr>
            <w:tcW w:w="1230" w:type="dxa"/>
            <w:noWrap/>
            <w:vAlign w:val="center"/>
            <w:hideMark/>
          </w:tcPr>
          <w:p w14:paraId="6E14E394"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49,78</w:t>
            </w:r>
          </w:p>
        </w:tc>
        <w:tc>
          <w:tcPr>
            <w:tcW w:w="727" w:type="dxa"/>
            <w:vAlign w:val="center"/>
          </w:tcPr>
          <w:p w14:paraId="326B966F"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sz w:val="14"/>
                <w:szCs w:val="14"/>
                <w:rtl/>
                <w:lang w:eastAsia="fr-FR" w:bidi="ar-TN"/>
              </w:rPr>
              <w:t>24</w:t>
            </w:r>
          </w:p>
        </w:tc>
        <w:tc>
          <w:tcPr>
            <w:tcW w:w="0" w:type="auto"/>
            <w:noWrap/>
            <w:vAlign w:val="center"/>
          </w:tcPr>
          <w:p w14:paraId="6476E8E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24</w:t>
            </w:r>
          </w:p>
        </w:tc>
        <w:tc>
          <w:tcPr>
            <w:tcW w:w="0" w:type="auto"/>
            <w:vAlign w:val="center"/>
          </w:tcPr>
          <w:p w14:paraId="40D2CCA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bidi="fr-FR"/>
              </w:rPr>
              <w:t>29</w:t>
            </w:r>
          </w:p>
        </w:tc>
        <w:tc>
          <w:tcPr>
            <w:tcW w:w="0" w:type="auto"/>
            <w:vAlign w:val="center"/>
          </w:tcPr>
          <w:p w14:paraId="7202D6F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34</w:t>
            </w:r>
          </w:p>
        </w:tc>
        <w:tc>
          <w:tcPr>
            <w:tcW w:w="0" w:type="auto"/>
            <w:vAlign w:val="center"/>
          </w:tcPr>
          <w:p w14:paraId="71FEDFC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45</w:t>
            </w:r>
          </w:p>
        </w:tc>
        <w:tc>
          <w:tcPr>
            <w:tcW w:w="0" w:type="auto"/>
            <w:vAlign w:val="center"/>
          </w:tcPr>
          <w:p w14:paraId="59DBF244"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bidi="fr-FR"/>
              </w:rPr>
              <w:t>42</w:t>
            </w:r>
          </w:p>
        </w:tc>
        <w:tc>
          <w:tcPr>
            <w:tcW w:w="0" w:type="auto"/>
            <w:vAlign w:val="center"/>
          </w:tcPr>
          <w:p w14:paraId="65EA0938"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color w:val="000000"/>
                <w:sz w:val="14"/>
                <w:szCs w:val="14"/>
                <w:lang w:eastAsia="ja-JP" w:bidi="fr-FR"/>
              </w:rPr>
              <w:t>50</w:t>
            </w:r>
          </w:p>
        </w:tc>
        <w:tc>
          <w:tcPr>
            <w:tcW w:w="0" w:type="auto"/>
            <w:shd w:val="clear" w:color="000000" w:fill="D9D9D9"/>
            <w:vAlign w:val="center"/>
          </w:tcPr>
          <w:p w14:paraId="5E70A67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vAlign w:val="center"/>
          </w:tcPr>
          <w:p w14:paraId="22AF56D6"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sz w:val="14"/>
                <w:szCs w:val="14"/>
                <w:lang w:eastAsia="fr-FR"/>
              </w:rPr>
              <w:t>1194,72</w:t>
            </w:r>
          </w:p>
        </w:tc>
        <w:tc>
          <w:tcPr>
            <w:tcW w:w="0" w:type="auto"/>
            <w:vAlign w:val="center"/>
          </w:tcPr>
          <w:p w14:paraId="3BA3124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1194,72</w:t>
            </w:r>
          </w:p>
        </w:tc>
        <w:tc>
          <w:tcPr>
            <w:tcW w:w="0" w:type="auto"/>
            <w:vAlign w:val="center"/>
          </w:tcPr>
          <w:p w14:paraId="7A01130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bidi="fr-FR"/>
              </w:rPr>
              <w:t>1443,62</w:t>
            </w:r>
          </w:p>
        </w:tc>
        <w:tc>
          <w:tcPr>
            <w:tcW w:w="0" w:type="auto"/>
            <w:vAlign w:val="center"/>
          </w:tcPr>
          <w:p w14:paraId="16438FD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1692,52</w:t>
            </w:r>
          </w:p>
        </w:tc>
        <w:tc>
          <w:tcPr>
            <w:tcW w:w="0" w:type="auto"/>
            <w:vAlign w:val="center"/>
          </w:tcPr>
          <w:p w14:paraId="38F3049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2240,100</w:t>
            </w:r>
          </w:p>
        </w:tc>
        <w:tc>
          <w:tcPr>
            <w:tcW w:w="0" w:type="auto"/>
            <w:vAlign w:val="center"/>
          </w:tcPr>
          <w:p w14:paraId="5E04505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2090,760</w:t>
            </w:r>
          </w:p>
        </w:tc>
        <w:tc>
          <w:tcPr>
            <w:tcW w:w="0" w:type="auto"/>
            <w:tcBorders>
              <w:right w:val="single" w:sz="12" w:space="0" w:color="000000"/>
            </w:tcBorders>
            <w:vAlign w:val="center"/>
          </w:tcPr>
          <w:p w14:paraId="668A6BD3"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color w:val="000000"/>
                <w:sz w:val="14"/>
                <w:szCs w:val="14"/>
                <w:lang w:eastAsia="ja-JP" w:bidi="fr-FR"/>
              </w:rPr>
              <w:t>2489</w:t>
            </w:r>
          </w:p>
        </w:tc>
      </w:tr>
      <w:tr w:rsidR="009123AC" w:rsidRPr="00F0379B" w14:paraId="19D4DF06" w14:textId="77777777" w:rsidTr="00CA749B">
        <w:trPr>
          <w:trHeight w:val="23"/>
        </w:trPr>
        <w:tc>
          <w:tcPr>
            <w:tcW w:w="2831" w:type="dxa"/>
            <w:tcBorders>
              <w:left w:val="single" w:sz="12" w:space="0" w:color="000000"/>
            </w:tcBorders>
            <w:noWrap/>
            <w:vAlign w:val="center"/>
            <w:hideMark/>
          </w:tcPr>
          <w:p w14:paraId="1CDE2D4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Cerqueros de menos de 24 m</w:t>
            </w:r>
          </w:p>
        </w:tc>
        <w:tc>
          <w:tcPr>
            <w:tcW w:w="1230" w:type="dxa"/>
            <w:noWrap/>
            <w:vAlign w:val="center"/>
            <w:hideMark/>
          </w:tcPr>
          <w:p w14:paraId="127BFDD3"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33,68</w:t>
            </w:r>
          </w:p>
        </w:tc>
        <w:tc>
          <w:tcPr>
            <w:tcW w:w="727" w:type="dxa"/>
            <w:vAlign w:val="center"/>
          </w:tcPr>
          <w:p w14:paraId="39C532E3"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sz w:val="14"/>
                <w:szCs w:val="14"/>
                <w:rtl/>
                <w:lang w:eastAsia="fr-FR" w:bidi="ar-TN"/>
              </w:rPr>
              <w:t>16</w:t>
            </w:r>
          </w:p>
        </w:tc>
        <w:tc>
          <w:tcPr>
            <w:tcW w:w="0" w:type="auto"/>
            <w:noWrap/>
            <w:vAlign w:val="center"/>
          </w:tcPr>
          <w:p w14:paraId="5D3E00E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16</w:t>
            </w:r>
          </w:p>
        </w:tc>
        <w:tc>
          <w:tcPr>
            <w:tcW w:w="0" w:type="auto"/>
            <w:vAlign w:val="center"/>
          </w:tcPr>
          <w:p w14:paraId="2EB4D6D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bidi="fr-FR"/>
              </w:rPr>
              <w:t>8</w:t>
            </w:r>
          </w:p>
        </w:tc>
        <w:tc>
          <w:tcPr>
            <w:tcW w:w="0" w:type="auto"/>
            <w:vAlign w:val="center"/>
          </w:tcPr>
          <w:p w14:paraId="6AA1B4F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20</w:t>
            </w:r>
          </w:p>
        </w:tc>
        <w:tc>
          <w:tcPr>
            <w:tcW w:w="0" w:type="auto"/>
            <w:vAlign w:val="center"/>
          </w:tcPr>
          <w:p w14:paraId="58A7510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9</w:t>
            </w:r>
          </w:p>
        </w:tc>
        <w:tc>
          <w:tcPr>
            <w:tcW w:w="0" w:type="auto"/>
            <w:vAlign w:val="center"/>
          </w:tcPr>
          <w:p w14:paraId="25DD2ED9"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bidi="fr-FR"/>
              </w:rPr>
              <w:t>26</w:t>
            </w:r>
          </w:p>
        </w:tc>
        <w:tc>
          <w:tcPr>
            <w:tcW w:w="0" w:type="auto"/>
            <w:vAlign w:val="center"/>
          </w:tcPr>
          <w:p w14:paraId="315B0D7B"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color w:val="000000"/>
                <w:sz w:val="14"/>
                <w:szCs w:val="14"/>
                <w:lang w:eastAsia="ja-JP" w:bidi="fr-FR"/>
              </w:rPr>
              <w:t>26</w:t>
            </w:r>
          </w:p>
        </w:tc>
        <w:tc>
          <w:tcPr>
            <w:tcW w:w="0" w:type="auto"/>
            <w:shd w:val="clear" w:color="000000" w:fill="D9D9D9"/>
            <w:vAlign w:val="center"/>
          </w:tcPr>
          <w:p w14:paraId="0D20E89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vAlign w:val="center"/>
          </w:tcPr>
          <w:p w14:paraId="42870E6B"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sz w:val="14"/>
                <w:szCs w:val="14"/>
                <w:lang w:eastAsia="fr-FR"/>
              </w:rPr>
              <w:t>538,88</w:t>
            </w:r>
          </w:p>
        </w:tc>
        <w:tc>
          <w:tcPr>
            <w:tcW w:w="0" w:type="auto"/>
            <w:vAlign w:val="center"/>
          </w:tcPr>
          <w:p w14:paraId="5240EF7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538,88</w:t>
            </w:r>
          </w:p>
        </w:tc>
        <w:tc>
          <w:tcPr>
            <w:tcW w:w="0" w:type="auto"/>
            <w:vAlign w:val="center"/>
          </w:tcPr>
          <w:p w14:paraId="20309FB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bidi="fr-FR"/>
              </w:rPr>
              <w:t>269,44</w:t>
            </w:r>
          </w:p>
        </w:tc>
        <w:tc>
          <w:tcPr>
            <w:tcW w:w="0" w:type="auto"/>
            <w:vAlign w:val="center"/>
          </w:tcPr>
          <w:p w14:paraId="046B513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673,600</w:t>
            </w:r>
          </w:p>
        </w:tc>
        <w:tc>
          <w:tcPr>
            <w:tcW w:w="0" w:type="auto"/>
            <w:vAlign w:val="center"/>
          </w:tcPr>
          <w:p w14:paraId="2417BE3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303,120</w:t>
            </w:r>
          </w:p>
        </w:tc>
        <w:tc>
          <w:tcPr>
            <w:tcW w:w="0" w:type="auto"/>
            <w:vAlign w:val="center"/>
          </w:tcPr>
          <w:p w14:paraId="3DE91AE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875,680</w:t>
            </w:r>
          </w:p>
        </w:tc>
        <w:tc>
          <w:tcPr>
            <w:tcW w:w="0" w:type="auto"/>
            <w:tcBorders>
              <w:right w:val="single" w:sz="12" w:space="0" w:color="000000"/>
            </w:tcBorders>
            <w:vAlign w:val="center"/>
          </w:tcPr>
          <w:p w14:paraId="32B9B801"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rPr>
              <w:t>875,680</w:t>
            </w:r>
          </w:p>
        </w:tc>
      </w:tr>
      <w:tr w:rsidR="009123AC" w:rsidRPr="00F0379B" w14:paraId="3CEF0B71" w14:textId="77777777" w:rsidTr="00CA749B">
        <w:trPr>
          <w:trHeight w:val="23"/>
        </w:trPr>
        <w:tc>
          <w:tcPr>
            <w:tcW w:w="2831" w:type="dxa"/>
            <w:tcBorders>
              <w:left w:val="single" w:sz="12" w:space="0" w:color="000000"/>
            </w:tcBorders>
            <w:noWrap/>
            <w:vAlign w:val="center"/>
            <w:hideMark/>
          </w:tcPr>
          <w:p w14:paraId="167CA8CC"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Total flota de cerco</w:t>
            </w:r>
          </w:p>
        </w:tc>
        <w:tc>
          <w:tcPr>
            <w:tcW w:w="1230" w:type="dxa"/>
            <w:noWrap/>
            <w:vAlign w:val="center"/>
            <w:hideMark/>
          </w:tcPr>
          <w:p w14:paraId="476455C1" w14:textId="77777777" w:rsidR="009123AC" w:rsidRPr="00F0379B" w:rsidRDefault="009123AC" w:rsidP="009123AC">
            <w:pPr>
              <w:spacing w:after="0" w:line="240" w:lineRule="auto"/>
              <w:jc w:val="center"/>
              <w:rPr>
                <w:rFonts w:ascii="Cambria" w:eastAsia="Times New Roman" w:hAnsi="Cambria" w:cs="Times New Roman"/>
                <w:sz w:val="16"/>
                <w:szCs w:val="16"/>
                <w:lang w:eastAsia="fr-FR" w:bidi="fr-FR"/>
              </w:rPr>
            </w:pPr>
          </w:p>
        </w:tc>
        <w:tc>
          <w:tcPr>
            <w:tcW w:w="727" w:type="dxa"/>
            <w:vAlign w:val="center"/>
          </w:tcPr>
          <w:p w14:paraId="6F3A9711"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r w:rsidRPr="00F0379B">
              <w:rPr>
                <w:rFonts w:ascii="Times New Roman" w:eastAsia="MS Gothic" w:hAnsi="Times New Roman" w:cs="Times New Roman"/>
                <w:color w:val="000000"/>
                <w:sz w:val="14"/>
                <w:szCs w:val="14"/>
                <w:rtl/>
                <w:lang w:eastAsia="fr-FR" w:bidi="fr-FR"/>
              </w:rPr>
              <w:t>41</w:t>
            </w:r>
          </w:p>
        </w:tc>
        <w:tc>
          <w:tcPr>
            <w:tcW w:w="0" w:type="auto"/>
            <w:noWrap/>
            <w:vAlign w:val="center"/>
          </w:tcPr>
          <w:p w14:paraId="35C24BBB"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41</w:t>
            </w:r>
          </w:p>
        </w:tc>
        <w:tc>
          <w:tcPr>
            <w:tcW w:w="0" w:type="auto"/>
            <w:vAlign w:val="center"/>
          </w:tcPr>
          <w:p w14:paraId="79E015C7"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bidi="fr-FR"/>
              </w:rPr>
              <w:t>37</w:t>
            </w:r>
          </w:p>
        </w:tc>
        <w:tc>
          <w:tcPr>
            <w:tcW w:w="0" w:type="auto"/>
            <w:vAlign w:val="center"/>
          </w:tcPr>
          <w:p w14:paraId="24B0731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54</w:t>
            </w:r>
          </w:p>
        </w:tc>
        <w:tc>
          <w:tcPr>
            <w:tcW w:w="0" w:type="auto"/>
            <w:vAlign w:val="center"/>
          </w:tcPr>
          <w:p w14:paraId="203D419B"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54</w:t>
            </w:r>
          </w:p>
        </w:tc>
        <w:tc>
          <w:tcPr>
            <w:tcW w:w="0" w:type="auto"/>
            <w:vAlign w:val="center"/>
          </w:tcPr>
          <w:p w14:paraId="690AACE0"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Times New Roman" w:hAnsi="Cambria" w:cs="Calibri"/>
                <w:b/>
                <w:bCs/>
                <w:sz w:val="14"/>
                <w:szCs w:val="14"/>
                <w:lang w:eastAsia="fr-FR" w:bidi="fr-FR"/>
              </w:rPr>
              <w:t>68</w:t>
            </w:r>
          </w:p>
        </w:tc>
        <w:tc>
          <w:tcPr>
            <w:tcW w:w="0" w:type="auto"/>
            <w:vAlign w:val="center"/>
          </w:tcPr>
          <w:p w14:paraId="5996F7D9"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color w:val="000000"/>
                <w:sz w:val="14"/>
                <w:szCs w:val="14"/>
                <w:lang w:eastAsia="ja-JP" w:bidi="fr-FR"/>
              </w:rPr>
              <w:t>76</w:t>
            </w:r>
          </w:p>
        </w:tc>
        <w:tc>
          <w:tcPr>
            <w:tcW w:w="0" w:type="auto"/>
            <w:shd w:val="clear" w:color="000000" w:fill="D9D9D9"/>
            <w:vAlign w:val="center"/>
          </w:tcPr>
          <w:p w14:paraId="0FAF1DF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4C1C85C9"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r w:rsidRPr="00F0379B">
              <w:rPr>
                <w:rFonts w:ascii="Cambria" w:eastAsia="Times New Roman" w:hAnsi="Cambria" w:cs="Calibri"/>
                <w:b/>
                <w:bCs/>
                <w:sz w:val="14"/>
                <w:szCs w:val="14"/>
                <w:lang w:eastAsia="fr-FR"/>
              </w:rPr>
              <w:t>1804,300</w:t>
            </w:r>
          </w:p>
        </w:tc>
        <w:tc>
          <w:tcPr>
            <w:tcW w:w="0" w:type="auto"/>
            <w:vAlign w:val="center"/>
          </w:tcPr>
          <w:p w14:paraId="7D4544A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1804,300</w:t>
            </w:r>
          </w:p>
        </w:tc>
        <w:tc>
          <w:tcPr>
            <w:tcW w:w="0" w:type="auto"/>
            <w:vAlign w:val="center"/>
          </w:tcPr>
          <w:p w14:paraId="6568F784"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bidi="fr-FR"/>
              </w:rPr>
              <w:t>1713,06</w:t>
            </w:r>
          </w:p>
        </w:tc>
        <w:tc>
          <w:tcPr>
            <w:tcW w:w="0" w:type="auto"/>
            <w:vAlign w:val="center"/>
          </w:tcPr>
          <w:p w14:paraId="06EC6C3B"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2366,120</w:t>
            </w:r>
          </w:p>
        </w:tc>
        <w:tc>
          <w:tcPr>
            <w:tcW w:w="0" w:type="auto"/>
            <w:vAlign w:val="center"/>
          </w:tcPr>
          <w:p w14:paraId="3700CEC7"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2543,220</w:t>
            </w:r>
          </w:p>
        </w:tc>
        <w:tc>
          <w:tcPr>
            <w:tcW w:w="0" w:type="auto"/>
            <w:vAlign w:val="center"/>
          </w:tcPr>
          <w:p w14:paraId="35097CBD"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2966,440</w:t>
            </w:r>
          </w:p>
        </w:tc>
        <w:tc>
          <w:tcPr>
            <w:tcW w:w="0" w:type="auto"/>
            <w:tcBorders>
              <w:right w:val="single" w:sz="12" w:space="0" w:color="000000"/>
            </w:tcBorders>
            <w:vAlign w:val="center"/>
          </w:tcPr>
          <w:p w14:paraId="48032D56"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Times New Roman" w:hAnsi="Cambria" w:cs="Calibri"/>
                <w:b/>
                <w:bCs/>
                <w:color w:val="000000"/>
                <w:sz w:val="14"/>
                <w:szCs w:val="14"/>
                <w:lang w:eastAsia="ja-JP" w:bidi="fr-FR"/>
              </w:rPr>
              <w:t>3364,68</w:t>
            </w:r>
          </w:p>
        </w:tc>
      </w:tr>
      <w:tr w:rsidR="009123AC" w:rsidRPr="00F0379B" w14:paraId="001AAA82" w14:textId="77777777" w:rsidTr="00CA749B">
        <w:trPr>
          <w:trHeight w:val="23"/>
        </w:trPr>
        <w:tc>
          <w:tcPr>
            <w:tcW w:w="2831" w:type="dxa"/>
            <w:tcBorders>
              <w:left w:val="single" w:sz="12" w:space="0" w:color="000000"/>
            </w:tcBorders>
            <w:noWrap/>
            <w:vAlign w:val="center"/>
            <w:hideMark/>
          </w:tcPr>
          <w:p w14:paraId="3996C7AA"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Palangreros de más de 40 m</w:t>
            </w:r>
          </w:p>
        </w:tc>
        <w:tc>
          <w:tcPr>
            <w:tcW w:w="1230" w:type="dxa"/>
            <w:noWrap/>
            <w:vAlign w:val="center"/>
            <w:hideMark/>
          </w:tcPr>
          <w:p w14:paraId="6876A7E3"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25</w:t>
            </w:r>
          </w:p>
        </w:tc>
        <w:tc>
          <w:tcPr>
            <w:tcW w:w="727" w:type="dxa"/>
            <w:vAlign w:val="center"/>
          </w:tcPr>
          <w:p w14:paraId="2B139538" w14:textId="77777777" w:rsidR="009123AC" w:rsidRPr="00F0379B" w:rsidRDefault="009123AC" w:rsidP="009123AC">
            <w:pPr>
              <w:keepNext/>
              <w:spacing w:after="0" w:line="240" w:lineRule="auto"/>
              <w:jc w:val="center"/>
              <w:outlineLvl w:val="0"/>
              <w:rPr>
                <w:rFonts w:ascii="Cambria" w:eastAsia="Times New Roman" w:hAnsi="Cambria" w:cs="Calibri"/>
                <w:b/>
                <w:bCs/>
                <w:sz w:val="14"/>
                <w:szCs w:val="14"/>
                <w:lang w:eastAsia="ja-JP"/>
              </w:rPr>
            </w:pPr>
            <w:r w:rsidRPr="00F0379B">
              <w:rPr>
                <w:rFonts w:ascii="Cambria" w:eastAsia="Times New Roman" w:hAnsi="Cambria" w:cs="Calibri"/>
                <w:b/>
                <w:bCs/>
                <w:sz w:val="14"/>
                <w:szCs w:val="14"/>
                <w:rtl/>
                <w:lang w:eastAsia="fr-FR" w:bidi="ar-TN"/>
              </w:rPr>
              <w:t>0</w:t>
            </w:r>
          </w:p>
        </w:tc>
        <w:tc>
          <w:tcPr>
            <w:tcW w:w="0" w:type="auto"/>
            <w:noWrap/>
            <w:vAlign w:val="center"/>
          </w:tcPr>
          <w:p w14:paraId="2950527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0977B5B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bidi="fr-FR"/>
              </w:rPr>
              <w:t>0</w:t>
            </w:r>
          </w:p>
        </w:tc>
        <w:tc>
          <w:tcPr>
            <w:tcW w:w="0" w:type="auto"/>
            <w:vAlign w:val="center"/>
          </w:tcPr>
          <w:p w14:paraId="5083AA5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662B8D0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2FCEE857"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bidi="fr-FR"/>
              </w:rPr>
              <w:t>0</w:t>
            </w:r>
          </w:p>
        </w:tc>
        <w:tc>
          <w:tcPr>
            <w:tcW w:w="0" w:type="auto"/>
            <w:vAlign w:val="center"/>
          </w:tcPr>
          <w:p w14:paraId="2FB4296C"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bidi="fr-FR"/>
              </w:rPr>
              <w:t>0</w:t>
            </w:r>
          </w:p>
        </w:tc>
        <w:tc>
          <w:tcPr>
            <w:tcW w:w="0" w:type="auto"/>
            <w:shd w:val="clear" w:color="000000" w:fill="D9D9D9"/>
            <w:vAlign w:val="center"/>
          </w:tcPr>
          <w:p w14:paraId="2DA5E99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vAlign w:val="center"/>
          </w:tcPr>
          <w:p w14:paraId="50FEA855"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sz w:val="14"/>
                <w:szCs w:val="14"/>
                <w:lang w:eastAsia="fr-FR"/>
              </w:rPr>
              <w:t>0</w:t>
            </w:r>
          </w:p>
        </w:tc>
        <w:tc>
          <w:tcPr>
            <w:tcW w:w="0" w:type="auto"/>
            <w:vAlign w:val="center"/>
          </w:tcPr>
          <w:p w14:paraId="548CAF5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342FEDC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bidi="fr-FR"/>
              </w:rPr>
              <w:t>0</w:t>
            </w:r>
          </w:p>
        </w:tc>
        <w:tc>
          <w:tcPr>
            <w:tcW w:w="0" w:type="auto"/>
            <w:vAlign w:val="center"/>
          </w:tcPr>
          <w:p w14:paraId="2DC2D71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26C1A23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6D78AED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tcBorders>
              <w:right w:val="single" w:sz="12" w:space="0" w:color="000000"/>
            </w:tcBorders>
            <w:vAlign w:val="center"/>
          </w:tcPr>
          <w:p w14:paraId="49D80A94"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rPr>
              <w:t>0</w:t>
            </w:r>
          </w:p>
        </w:tc>
      </w:tr>
      <w:tr w:rsidR="009123AC" w:rsidRPr="00F0379B" w14:paraId="5BFE661A" w14:textId="77777777" w:rsidTr="00CA749B">
        <w:trPr>
          <w:trHeight w:val="23"/>
        </w:trPr>
        <w:tc>
          <w:tcPr>
            <w:tcW w:w="2831" w:type="dxa"/>
            <w:tcBorders>
              <w:left w:val="single" w:sz="12" w:space="0" w:color="000000"/>
            </w:tcBorders>
            <w:noWrap/>
            <w:vAlign w:val="center"/>
            <w:hideMark/>
          </w:tcPr>
          <w:p w14:paraId="1A0BEF6E"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Palangreros entre 24 y 40 m</w:t>
            </w:r>
          </w:p>
        </w:tc>
        <w:tc>
          <w:tcPr>
            <w:tcW w:w="1230" w:type="dxa"/>
            <w:noWrap/>
            <w:vAlign w:val="center"/>
            <w:hideMark/>
          </w:tcPr>
          <w:p w14:paraId="56ED1D43"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5,68</w:t>
            </w:r>
          </w:p>
        </w:tc>
        <w:tc>
          <w:tcPr>
            <w:tcW w:w="727" w:type="dxa"/>
            <w:vAlign w:val="center"/>
          </w:tcPr>
          <w:p w14:paraId="6188746D"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sz w:val="14"/>
                <w:szCs w:val="14"/>
                <w:rtl/>
                <w:lang w:eastAsia="fr-FR" w:bidi="ar-TN"/>
              </w:rPr>
              <w:t>0</w:t>
            </w:r>
          </w:p>
        </w:tc>
        <w:tc>
          <w:tcPr>
            <w:tcW w:w="0" w:type="auto"/>
            <w:noWrap/>
            <w:vAlign w:val="center"/>
          </w:tcPr>
          <w:p w14:paraId="4AE76AE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2AFC78E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bidi="fr-FR"/>
              </w:rPr>
              <w:t>0</w:t>
            </w:r>
          </w:p>
        </w:tc>
        <w:tc>
          <w:tcPr>
            <w:tcW w:w="0" w:type="auto"/>
            <w:vAlign w:val="center"/>
          </w:tcPr>
          <w:p w14:paraId="32B6379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137F6C4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1A68CFA2"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bidi="fr-FR"/>
              </w:rPr>
              <w:t>0</w:t>
            </w:r>
          </w:p>
        </w:tc>
        <w:tc>
          <w:tcPr>
            <w:tcW w:w="0" w:type="auto"/>
            <w:vAlign w:val="center"/>
          </w:tcPr>
          <w:p w14:paraId="41F24169"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bidi="fr-FR"/>
              </w:rPr>
              <w:t>0</w:t>
            </w:r>
          </w:p>
        </w:tc>
        <w:tc>
          <w:tcPr>
            <w:tcW w:w="0" w:type="auto"/>
            <w:shd w:val="clear" w:color="000000" w:fill="D9D9D9"/>
            <w:vAlign w:val="center"/>
          </w:tcPr>
          <w:p w14:paraId="05C41E8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vAlign w:val="center"/>
          </w:tcPr>
          <w:p w14:paraId="4FD40286"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sz w:val="14"/>
                <w:szCs w:val="14"/>
                <w:lang w:eastAsia="fr-FR"/>
              </w:rPr>
              <w:t>0</w:t>
            </w:r>
          </w:p>
        </w:tc>
        <w:tc>
          <w:tcPr>
            <w:tcW w:w="0" w:type="auto"/>
            <w:vAlign w:val="center"/>
          </w:tcPr>
          <w:p w14:paraId="1371B49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0C29932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bidi="fr-FR"/>
              </w:rPr>
              <w:t>0</w:t>
            </w:r>
          </w:p>
        </w:tc>
        <w:tc>
          <w:tcPr>
            <w:tcW w:w="0" w:type="auto"/>
            <w:vAlign w:val="center"/>
          </w:tcPr>
          <w:p w14:paraId="31FFA6B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37AADED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3133D8B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tcBorders>
              <w:right w:val="single" w:sz="12" w:space="0" w:color="000000"/>
            </w:tcBorders>
            <w:vAlign w:val="center"/>
          </w:tcPr>
          <w:p w14:paraId="2D0CB812"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rPr>
              <w:t>0</w:t>
            </w:r>
          </w:p>
        </w:tc>
      </w:tr>
      <w:tr w:rsidR="009123AC" w:rsidRPr="00F0379B" w14:paraId="29E2F8A7" w14:textId="77777777" w:rsidTr="00CA749B">
        <w:trPr>
          <w:trHeight w:val="23"/>
        </w:trPr>
        <w:tc>
          <w:tcPr>
            <w:tcW w:w="2831" w:type="dxa"/>
            <w:tcBorders>
              <w:left w:val="single" w:sz="12" w:space="0" w:color="000000"/>
            </w:tcBorders>
            <w:noWrap/>
            <w:vAlign w:val="center"/>
            <w:hideMark/>
          </w:tcPr>
          <w:p w14:paraId="499FCBEF"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Palangreros de menos de 24 m</w:t>
            </w:r>
          </w:p>
        </w:tc>
        <w:tc>
          <w:tcPr>
            <w:tcW w:w="1230" w:type="dxa"/>
            <w:noWrap/>
            <w:vAlign w:val="center"/>
            <w:hideMark/>
          </w:tcPr>
          <w:p w14:paraId="125F7D86"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w:t>
            </w:r>
          </w:p>
        </w:tc>
        <w:tc>
          <w:tcPr>
            <w:tcW w:w="727" w:type="dxa"/>
            <w:vAlign w:val="center"/>
          </w:tcPr>
          <w:p w14:paraId="745F2E28"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sz w:val="14"/>
                <w:szCs w:val="14"/>
                <w:lang w:eastAsia="fr-FR" w:bidi="fr-FR"/>
              </w:rPr>
              <w:t>1</w:t>
            </w:r>
          </w:p>
        </w:tc>
        <w:tc>
          <w:tcPr>
            <w:tcW w:w="0" w:type="auto"/>
            <w:noWrap/>
            <w:vAlign w:val="center"/>
          </w:tcPr>
          <w:p w14:paraId="027AA26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1</w:t>
            </w:r>
          </w:p>
        </w:tc>
        <w:tc>
          <w:tcPr>
            <w:tcW w:w="0" w:type="auto"/>
            <w:vAlign w:val="center"/>
          </w:tcPr>
          <w:p w14:paraId="35B421C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bidi="fr-FR"/>
              </w:rPr>
              <w:t>0</w:t>
            </w:r>
          </w:p>
        </w:tc>
        <w:tc>
          <w:tcPr>
            <w:tcW w:w="0" w:type="auto"/>
            <w:vAlign w:val="center"/>
          </w:tcPr>
          <w:p w14:paraId="5A81A90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3B3DCC6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4CD67B7B"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bidi="fr-FR"/>
              </w:rPr>
              <w:t>0</w:t>
            </w:r>
          </w:p>
        </w:tc>
        <w:tc>
          <w:tcPr>
            <w:tcW w:w="0" w:type="auto"/>
            <w:vAlign w:val="center"/>
          </w:tcPr>
          <w:p w14:paraId="5B4BFA25"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bidi="fr-FR"/>
              </w:rPr>
              <w:t>0</w:t>
            </w:r>
          </w:p>
        </w:tc>
        <w:tc>
          <w:tcPr>
            <w:tcW w:w="0" w:type="auto"/>
            <w:shd w:val="clear" w:color="000000" w:fill="D9D9D9"/>
            <w:vAlign w:val="center"/>
          </w:tcPr>
          <w:p w14:paraId="0CC83CD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vAlign w:val="center"/>
          </w:tcPr>
          <w:p w14:paraId="78D24D41"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sz w:val="14"/>
                <w:szCs w:val="14"/>
                <w:lang w:eastAsia="fr-FR"/>
              </w:rPr>
              <w:t>5</w:t>
            </w:r>
          </w:p>
        </w:tc>
        <w:tc>
          <w:tcPr>
            <w:tcW w:w="0" w:type="auto"/>
            <w:vAlign w:val="center"/>
          </w:tcPr>
          <w:p w14:paraId="36EAB851"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5</w:t>
            </w:r>
          </w:p>
        </w:tc>
        <w:tc>
          <w:tcPr>
            <w:tcW w:w="0" w:type="auto"/>
            <w:vAlign w:val="center"/>
          </w:tcPr>
          <w:p w14:paraId="65ADBF1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bidi="fr-FR"/>
              </w:rPr>
              <w:t>0</w:t>
            </w:r>
          </w:p>
        </w:tc>
        <w:tc>
          <w:tcPr>
            <w:tcW w:w="0" w:type="auto"/>
            <w:vAlign w:val="center"/>
          </w:tcPr>
          <w:p w14:paraId="558889A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7215C3A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47FEC9E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tcBorders>
              <w:right w:val="single" w:sz="12" w:space="0" w:color="000000"/>
            </w:tcBorders>
            <w:vAlign w:val="center"/>
          </w:tcPr>
          <w:p w14:paraId="1494C1FE"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rPr>
              <w:t>0</w:t>
            </w:r>
          </w:p>
        </w:tc>
      </w:tr>
      <w:tr w:rsidR="009123AC" w:rsidRPr="00F0379B" w14:paraId="13BCFE9B" w14:textId="77777777" w:rsidTr="00CA749B">
        <w:trPr>
          <w:trHeight w:val="23"/>
        </w:trPr>
        <w:tc>
          <w:tcPr>
            <w:tcW w:w="2831" w:type="dxa"/>
            <w:tcBorders>
              <w:left w:val="single" w:sz="12" w:space="0" w:color="000000"/>
            </w:tcBorders>
            <w:noWrap/>
            <w:vAlign w:val="center"/>
            <w:hideMark/>
          </w:tcPr>
          <w:p w14:paraId="0369EE2C"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Total flota de palangre</w:t>
            </w:r>
          </w:p>
        </w:tc>
        <w:tc>
          <w:tcPr>
            <w:tcW w:w="1230" w:type="dxa"/>
            <w:noWrap/>
            <w:vAlign w:val="center"/>
            <w:hideMark/>
          </w:tcPr>
          <w:p w14:paraId="11E2B6C0" w14:textId="77777777" w:rsidR="009123AC" w:rsidRPr="00F0379B" w:rsidRDefault="009123AC" w:rsidP="009123AC">
            <w:pPr>
              <w:spacing w:after="0" w:line="240" w:lineRule="auto"/>
              <w:jc w:val="center"/>
              <w:rPr>
                <w:rFonts w:ascii="Cambria" w:eastAsia="Times New Roman" w:hAnsi="Cambria" w:cs="Times New Roman"/>
                <w:sz w:val="16"/>
                <w:szCs w:val="16"/>
                <w:lang w:eastAsia="fr-FR" w:bidi="fr-FR"/>
              </w:rPr>
            </w:pPr>
          </w:p>
        </w:tc>
        <w:tc>
          <w:tcPr>
            <w:tcW w:w="727" w:type="dxa"/>
            <w:vAlign w:val="center"/>
          </w:tcPr>
          <w:p w14:paraId="41899008"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r w:rsidRPr="00F0379B">
              <w:rPr>
                <w:rFonts w:ascii="Cambria" w:eastAsia="Times New Roman" w:hAnsi="Cambria" w:cs="Calibri"/>
                <w:b/>
                <w:bCs/>
                <w:sz w:val="14"/>
                <w:szCs w:val="14"/>
                <w:lang w:eastAsia="fr-FR" w:bidi="fr-FR"/>
              </w:rPr>
              <w:t>1</w:t>
            </w:r>
          </w:p>
        </w:tc>
        <w:tc>
          <w:tcPr>
            <w:tcW w:w="0" w:type="auto"/>
            <w:noWrap/>
            <w:vAlign w:val="center"/>
          </w:tcPr>
          <w:p w14:paraId="55676A2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1</w:t>
            </w:r>
          </w:p>
        </w:tc>
        <w:tc>
          <w:tcPr>
            <w:tcW w:w="0" w:type="auto"/>
            <w:vAlign w:val="center"/>
          </w:tcPr>
          <w:p w14:paraId="7B6065E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bidi="fr-FR"/>
              </w:rPr>
              <w:t>0</w:t>
            </w:r>
          </w:p>
        </w:tc>
        <w:tc>
          <w:tcPr>
            <w:tcW w:w="0" w:type="auto"/>
            <w:vAlign w:val="center"/>
          </w:tcPr>
          <w:p w14:paraId="3C326C4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0</w:t>
            </w:r>
          </w:p>
        </w:tc>
        <w:tc>
          <w:tcPr>
            <w:tcW w:w="0" w:type="auto"/>
            <w:vAlign w:val="center"/>
          </w:tcPr>
          <w:p w14:paraId="7570579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0</w:t>
            </w:r>
          </w:p>
        </w:tc>
        <w:tc>
          <w:tcPr>
            <w:tcW w:w="0" w:type="auto"/>
            <w:vAlign w:val="center"/>
          </w:tcPr>
          <w:p w14:paraId="71DE76AE"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Times New Roman" w:hAnsi="Cambria" w:cs="Calibri"/>
                <w:b/>
                <w:bCs/>
                <w:sz w:val="14"/>
                <w:szCs w:val="14"/>
                <w:lang w:eastAsia="fr-FR" w:bidi="fr-FR"/>
              </w:rPr>
              <w:t>0</w:t>
            </w:r>
          </w:p>
        </w:tc>
        <w:tc>
          <w:tcPr>
            <w:tcW w:w="0" w:type="auto"/>
            <w:vAlign w:val="center"/>
          </w:tcPr>
          <w:p w14:paraId="7E7BDE3A"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b/>
                <w:bCs/>
                <w:sz w:val="14"/>
                <w:szCs w:val="14"/>
                <w:lang w:eastAsia="fr-FR" w:bidi="fr-FR"/>
              </w:rPr>
              <w:t>0</w:t>
            </w:r>
          </w:p>
        </w:tc>
        <w:tc>
          <w:tcPr>
            <w:tcW w:w="0" w:type="auto"/>
            <w:shd w:val="clear" w:color="000000" w:fill="D9D9D9"/>
            <w:vAlign w:val="center"/>
          </w:tcPr>
          <w:p w14:paraId="7109625C"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100F570A"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r w:rsidRPr="00F0379B">
              <w:rPr>
                <w:rFonts w:ascii="Cambria" w:eastAsia="Times New Roman" w:hAnsi="Cambria" w:cs="Calibri"/>
                <w:b/>
                <w:bCs/>
                <w:sz w:val="14"/>
                <w:szCs w:val="14"/>
                <w:lang w:eastAsia="fr-FR"/>
              </w:rPr>
              <w:t>5</w:t>
            </w:r>
          </w:p>
        </w:tc>
        <w:tc>
          <w:tcPr>
            <w:tcW w:w="0" w:type="auto"/>
            <w:vAlign w:val="center"/>
          </w:tcPr>
          <w:p w14:paraId="378AD899"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5</w:t>
            </w:r>
          </w:p>
        </w:tc>
        <w:tc>
          <w:tcPr>
            <w:tcW w:w="0" w:type="auto"/>
            <w:vAlign w:val="center"/>
          </w:tcPr>
          <w:p w14:paraId="64A447BC"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bidi="fr-FR"/>
              </w:rPr>
              <w:t>0</w:t>
            </w:r>
          </w:p>
        </w:tc>
        <w:tc>
          <w:tcPr>
            <w:tcW w:w="0" w:type="auto"/>
            <w:vAlign w:val="center"/>
          </w:tcPr>
          <w:p w14:paraId="0D60F58E"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0</w:t>
            </w:r>
          </w:p>
        </w:tc>
        <w:tc>
          <w:tcPr>
            <w:tcW w:w="0" w:type="auto"/>
            <w:vAlign w:val="center"/>
          </w:tcPr>
          <w:p w14:paraId="5BB8FE8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0</w:t>
            </w:r>
          </w:p>
        </w:tc>
        <w:tc>
          <w:tcPr>
            <w:tcW w:w="0" w:type="auto"/>
            <w:vAlign w:val="center"/>
          </w:tcPr>
          <w:p w14:paraId="63099F37"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0</w:t>
            </w:r>
          </w:p>
        </w:tc>
        <w:tc>
          <w:tcPr>
            <w:tcW w:w="0" w:type="auto"/>
            <w:tcBorders>
              <w:right w:val="single" w:sz="12" w:space="0" w:color="000000"/>
            </w:tcBorders>
            <w:vAlign w:val="center"/>
          </w:tcPr>
          <w:p w14:paraId="032DEBD5"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Times New Roman" w:hAnsi="Cambria" w:cs="Calibri"/>
                <w:b/>
                <w:bCs/>
                <w:sz w:val="14"/>
                <w:szCs w:val="14"/>
                <w:lang w:eastAsia="fr-FR"/>
              </w:rPr>
              <w:t>0</w:t>
            </w:r>
          </w:p>
        </w:tc>
      </w:tr>
      <w:tr w:rsidR="009123AC" w:rsidRPr="00F0379B" w14:paraId="0A28F0B8" w14:textId="77777777" w:rsidTr="00CA749B">
        <w:trPr>
          <w:trHeight w:val="221"/>
        </w:trPr>
        <w:tc>
          <w:tcPr>
            <w:tcW w:w="2831" w:type="dxa"/>
            <w:tcBorders>
              <w:left w:val="single" w:sz="12" w:space="0" w:color="000000"/>
            </w:tcBorders>
            <w:noWrap/>
            <w:vAlign w:val="center"/>
            <w:hideMark/>
          </w:tcPr>
          <w:p w14:paraId="54804AF0"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Cebo vivo</w:t>
            </w:r>
          </w:p>
        </w:tc>
        <w:tc>
          <w:tcPr>
            <w:tcW w:w="1230" w:type="dxa"/>
            <w:noWrap/>
            <w:vAlign w:val="center"/>
            <w:hideMark/>
          </w:tcPr>
          <w:p w14:paraId="58C7C6BB"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19,75</w:t>
            </w:r>
          </w:p>
        </w:tc>
        <w:tc>
          <w:tcPr>
            <w:tcW w:w="727" w:type="dxa"/>
            <w:vAlign w:val="center"/>
          </w:tcPr>
          <w:p w14:paraId="031FE335"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r w:rsidRPr="00F0379B">
              <w:rPr>
                <w:rFonts w:ascii="Cambria" w:eastAsia="Times New Roman" w:hAnsi="Cambria" w:cs="Calibri"/>
                <w:sz w:val="14"/>
                <w:szCs w:val="14"/>
                <w:lang w:eastAsia="fr-FR" w:bidi="fr-FR"/>
              </w:rPr>
              <w:t>0</w:t>
            </w:r>
          </w:p>
        </w:tc>
        <w:tc>
          <w:tcPr>
            <w:tcW w:w="0" w:type="auto"/>
            <w:noWrap/>
            <w:vAlign w:val="center"/>
          </w:tcPr>
          <w:p w14:paraId="795C119C"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5C1C9811"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bidi="fr-FR"/>
              </w:rPr>
              <w:t>0</w:t>
            </w:r>
          </w:p>
        </w:tc>
        <w:tc>
          <w:tcPr>
            <w:tcW w:w="0" w:type="auto"/>
            <w:vAlign w:val="center"/>
          </w:tcPr>
          <w:p w14:paraId="5002A176"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0FF90B2E"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602E98FC"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Times New Roman" w:hAnsi="Cambria" w:cs="Calibri"/>
                <w:sz w:val="14"/>
                <w:szCs w:val="14"/>
                <w:lang w:eastAsia="fr-FR" w:bidi="fr-FR"/>
              </w:rPr>
              <w:t>0</w:t>
            </w:r>
          </w:p>
        </w:tc>
        <w:tc>
          <w:tcPr>
            <w:tcW w:w="0" w:type="auto"/>
            <w:vAlign w:val="center"/>
          </w:tcPr>
          <w:p w14:paraId="76AFDB01"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bidi="fr-FR"/>
              </w:rPr>
              <w:t>0</w:t>
            </w:r>
          </w:p>
        </w:tc>
        <w:tc>
          <w:tcPr>
            <w:tcW w:w="0" w:type="auto"/>
            <w:shd w:val="clear" w:color="000000" w:fill="D9D9D9"/>
            <w:vAlign w:val="center"/>
          </w:tcPr>
          <w:p w14:paraId="53719EF0"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48EB347B"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r w:rsidRPr="00F0379B">
              <w:rPr>
                <w:rFonts w:ascii="Cambria" w:eastAsia="Times New Roman" w:hAnsi="Cambria" w:cs="Calibri"/>
                <w:sz w:val="14"/>
                <w:szCs w:val="14"/>
                <w:lang w:eastAsia="fr-FR"/>
              </w:rPr>
              <w:t>0</w:t>
            </w:r>
          </w:p>
        </w:tc>
        <w:tc>
          <w:tcPr>
            <w:tcW w:w="0" w:type="auto"/>
            <w:vAlign w:val="center"/>
          </w:tcPr>
          <w:p w14:paraId="02491D9E"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4A01DC16"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bidi="fr-FR"/>
              </w:rPr>
              <w:t>0</w:t>
            </w:r>
          </w:p>
        </w:tc>
        <w:tc>
          <w:tcPr>
            <w:tcW w:w="0" w:type="auto"/>
            <w:vAlign w:val="center"/>
          </w:tcPr>
          <w:p w14:paraId="44651FD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768388DE"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2F269FF7"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tcBorders>
              <w:right w:val="single" w:sz="12" w:space="0" w:color="000000"/>
            </w:tcBorders>
            <w:vAlign w:val="center"/>
          </w:tcPr>
          <w:p w14:paraId="77D38F2F"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Times New Roman" w:hAnsi="Cambria" w:cs="Calibri"/>
                <w:sz w:val="14"/>
                <w:szCs w:val="14"/>
                <w:lang w:eastAsia="fr-FR"/>
              </w:rPr>
              <w:t>0</w:t>
            </w:r>
          </w:p>
        </w:tc>
      </w:tr>
      <w:tr w:rsidR="009123AC" w:rsidRPr="00F0379B" w14:paraId="098DA984" w14:textId="77777777" w:rsidTr="00CA749B">
        <w:trPr>
          <w:trHeight w:val="23"/>
        </w:trPr>
        <w:tc>
          <w:tcPr>
            <w:tcW w:w="2831" w:type="dxa"/>
            <w:tcBorders>
              <w:left w:val="single" w:sz="12" w:space="0" w:color="000000"/>
            </w:tcBorders>
            <w:noWrap/>
            <w:vAlign w:val="center"/>
            <w:hideMark/>
          </w:tcPr>
          <w:p w14:paraId="5FA77305"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Liña de mano</w:t>
            </w:r>
          </w:p>
        </w:tc>
        <w:tc>
          <w:tcPr>
            <w:tcW w:w="1230" w:type="dxa"/>
            <w:noWrap/>
            <w:vAlign w:val="center"/>
            <w:hideMark/>
          </w:tcPr>
          <w:p w14:paraId="35F47F27"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w:t>
            </w:r>
          </w:p>
        </w:tc>
        <w:tc>
          <w:tcPr>
            <w:tcW w:w="727" w:type="dxa"/>
            <w:vAlign w:val="center"/>
          </w:tcPr>
          <w:p w14:paraId="7FBECA10"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sz w:val="14"/>
                <w:szCs w:val="14"/>
                <w:lang w:eastAsia="fr-FR" w:bidi="fr-FR"/>
              </w:rPr>
              <w:t>0</w:t>
            </w:r>
          </w:p>
        </w:tc>
        <w:tc>
          <w:tcPr>
            <w:tcW w:w="0" w:type="auto"/>
            <w:noWrap/>
            <w:vAlign w:val="center"/>
          </w:tcPr>
          <w:p w14:paraId="555AD24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1841E16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bidi="fr-FR"/>
              </w:rPr>
              <w:t>0</w:t>
            </w:r>
          </w:p>
        </w:tc>
        <w:tc>
          <w:tcPr>
            <w:tcW w:w="0" w:type="auto"/>
            <w:vAlign w:val="center"/>
          </w:tcPr>
          <w:p w14:paraId="3271370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3C592F7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447E7784"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bidi="fr-FR"/>
              </w:rPr>
              <w:t>0</w:t>
            </w:r>
          </w:p>
        </w:tc>
        <w:tc>
          <w:tcPr>
            <w:tcW w:w="0" w:type="auto"/>
            <w:vAlign w:val="center"/>
          </w:tcPr>
          <w:p w14:paraId="42BBDEE4"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bidi="fr-FR"/>
              </w:rPr>
              <w:t>0</w:t>
            </w:r>
          </w:p>
        </w:tc>
        <w:tc>
          <w:tcPr>
            <w:tcW w:w="0" w:type="auto"/>
            <w:shd w:val="clear" w:color="000000" w:fill="D9D9D9"/>
            <w:vAlign w:val="center"/>
          </w:tcPr>
          <w:p w14:paraId="3C62A5C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vAlign w:val="center"/>
          </w:tcPr>
          <w:p w14:paraId="2F7F5C33"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sz w:val="14"/>
                <w:szCs w:val="14"/>
                <w:lang w:eastAsia="fr-FR"/>
              </w:rPr>
              <w:t>0</w:t>
            </w:r>
          </w:p>
        </w:tc>
        <w:tc>
          <w:tcPr>
            <w:tcW w:w="0" w:type="auto"/>
            <w:vAlign w:val="center"/>
          </w:tcPr>
          <w:p w14:paraId="4400E93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7200CBC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bidi="fr-FR"/>
              </w:rPr>
              <w:t>0</w:t>
            </w:r>
          </w:p>
        </w:tc>
        <w:tc>
          <w:tcPr>
            <w:tcW w:w="0" w:type="auto"/>
            <w:vAlign w:val="center"/>
          </w:tcPr>
          <w:p w14:paraId="2395C25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434C8C8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6AB898A5"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tcBorders>
              <w:right w:val="single" w:sz="12" w:space="0" w:color="000000"/>
            </w:tcBorders>
            <w:vAlign w:val="center"/>
          </w:tcPr>
          <w:p w14:paraId="46C4DE36"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rPr>
              <w:t>0</w:t>
            </w:r>
          </w:p>
        </w:tc>
      </w:tr>
      <w:tr w:rsidR="009123AC" w:rsidRPr="00F0379B" w14:paraId="660F86FA" w14:textId="77777777" w:rsidTr="00CA749B">
        <w:trPr>
          <w:trHeight w:val="23"/>
        </w:trPr>
        <w:tc>
          <w:tcPr>
            <w:tcW w:w="2831" w:type="dxa"/>
            <w:tcBorders>
              <w:left w:val="single" w:sz="12" w:space="0" w:color="000000"/>
            </w:tcBorders>
            <w:noWrap/>
            <w:vAlign w:val="center"/>
            <w:hideMark/>
          </w:tcPr>
          <w:p w14:paraId="1AACF603"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Arrastreros</w:t>
            </w:r>
          </w:p>
        </w:tc>
        <w:tc>
          <w:tcPr>
            <w:tcW w:w="1230" w:type="dxa"/>
            <w:noWrap/>
            <w:vAlign w:val="center"/>
            <w:hideMark/>
          </w:tcPr>
          <w:p w14:paraId="78668862"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10</w:t>
            </w:r>
          </w:p>
        </w:tc>
        <w:tc>
          <w:tcPr>
            <w:tcW w:w="727" w:type="dxa"/>
            <w:vAlign w:val="center"/>
          </w:tcPr>
          <w:p w14:paraId="108B19C1"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sz w:val="14"/>
                <w:szCs w:val="14"/>
                <w:lang w:eastAsia="fr-FR" w:bidi="fr-FR"/>
              </w:rPr>
              <w:t>0</w:t>
            </w:r>
          </w:p>
        </w:tc>
        <w:tc>
          <w:tcPr>
            <w:tcW w:w="0" w:type="auto"/>
            <w:noWrap/>
            <w:vAlign w:val="center"/>
          </w:tcPr>
          <w:p w14:paraId="4367C83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7F78F4A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bidi="fr-FR"/>
              </w:rPr>
              <w:t>0</w:t>
            </w:r>
          </w:p>
        </w:tc>
        <w:tc>
          <w:tcPr>
            <w:tcW w:w="0" w:type="auto"/>
            <w:vAlign w:val="center"/>
          </w:tcPr>
          <w:p w14:paraId="5E4E31C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78D8CFB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30A6C986"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bidi="fr-FR"/>
              </w:rPr>
              <w:t>0</w:t>
            </w:r>
          </w:p>
        </w:tc>
        <w:tc>
          <w:tcPr>
            <w:tcW w:w="0" w:type="auto"/>
            <w:vAlign w:val="center"/>
          </w:tcPr>
          <w:p w14:paraId="098DEC54"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bidi="fr-FR"/>
              </w:rPr>
              <w:t>0</w:t>
            </w:r>
          </w:p>
        </w:tc>
        <w:tc>
          <w:tcPr>
            <w:tcW w:w="0" w:type="auto"/>
            <w:shd w:val="clear" w:color="000000" w:fill="D9D9D9"/>
            <w:vAlign w:val="center"/>
          </w:tcPr>
          <w:p w14:paraId="24B0136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vAlign w:val="center"/>
          </w:tcPr>
          <w:p w14:paraId="11E53BCD"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sz w:val="14"/>
                <w:szCs w:val="14"/>
                <w:lang w:eastAsia="fr-FR"/>
              </w:rPr>
              <w:t>0</w:t>
            </w:r>
          </w:p>
        </w:tc>
        <w:tc>
          <w:tcPr>
            <w:tcW w:w="0" w:type="auto"/>
            <w:vAlign w:val="center"/>
          </w:tcPr>
          <w:p w14:paraId="2233D1B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3901DDD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bidi="fr-FR"/>
              </w:rPr>
              <w:t>0</w:t>
            </w:r>
          </w:p>
        </w:tc>
        <w:tc>
          <w:tcPr>
            <w:tcW w:w="0" w:type="auto"/>
            <w:vAlign w:val="center"/>
          </w:tcPr>
          <w:p w14:paraId="17A8FC1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48DCD168"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5A5A59B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sz w:val="14"/>
                <w:szCs w:val="14"/>
                <w:lang w:eastAsia="fr-FR"/>
              </w:rPr>
              <w:t>0</w:t>
            </w:r>
          </w:p>
        </w:tc>
        <w:tc>
          <w:tcPr>
            <w:tcW w:w="0" w:type="auto"/>
            <w:tcBorders>
              <w:right w:val="single" w:sz="12" w:space="0" w:color="000000"/>
            </w:tcBorders>
            <w:vAlign w:val="center"/>
          </w:tcPr>
          <w:p w14:paraId="572FF67A"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rPr>
              <w:t>0</w:t>
            </w:r>
          </w:p>
        </w:tc>
      </w:tr>
      <w:tr w:rsidR="009123AC" w:rsidRPr="00F0379B" w14:paraId="3163864B" w14:textId="77777777" w:rsidTr="00CA749B">
        <w:trPr>
          <w:trHeight w:val="23"/>
        </w:trPr>
        <w:tc>
          <w:tcPr>
            <w:tcW w:w="2831" w:type="dxa"/>
            <w:tcBorders>
              <w:left w:val="single" w:sz="12" w:space="0" w:color="000000"/>
            </w:tcBorders>
            <w:noWrap/>
            <w:vAlign w:val="center"/>
            <w:hideMark/>
          </w:tcPr>
          <w:p w14:paraId="7CBA0ACB"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Almadrabas</w:t>
            </w:r>
          </w:p>
        </w:tc>
        <w:tc>
          <w:tcPr>
            <w:tcW w:w="1230" w:type="dxa"/>
            <w:noWrap/>
            <w:vAlign w:val="center"/>
            <w:hideMark/>
          </w:tcPr>
          <w:p w14:paraId="083D161F"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130</w:t>
            </w:r>
          </w:p>
        </w:tc>
        <w:tc>
          <w:tcPr>
            <w:tcW w:w="727" w:type="dxa"/>
            <w:vAlign w:val="center"/>
          </w:tcPr>
          <w:p w14:paraId="2A8646DB"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r w:rsidRPr="00F0379B">
              <w:rPr>
                <w:rFonts w:ascii="Cambria" w:eastAsia="Times New Roman" w:hAnsi="Cambria" w:cs="Calibri"/>
                <w:sz w:val="14"/>
                <w:szCs w:val="14"/>
                <w:lang w:eastAsia="fr-FR" w:bidi="fr-FR"/>
              </w:rPr>
              <w:t>0</w:t>
            </w:r>
          </w:p>
        </w:tc>
        <w:tc>
          <w:tcPr>
            <w:tcW w:w="0" w:type="auto"/>
            <w:noWrap/>
            <w:vAlign w:val="center"/>
          </w:tcPr>
          <w:p w14:paraId="7C58FDB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7D0B7F7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bidi="fr-FR"/>
              </w:rPr>
              <w:t>0</w:t>
            </w:r>
          </w:p>
        </w:tc>
        <w:tc>
          <w:tcPr>
            <w:tcW w:w="0" w:type="auto"/>
            <w:vAlign w:val="center"/>
          </w:tcPr>
          <w:p w14:paraId="3D252A61"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55D7AFB7"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4E7CEF93"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Times New Roman" w:hAnsi="Cambria" w:cs="Calibri"/>
                <w:sz w:val="14"/>
                <w:szCs w:val="14"/>
                <w:lang w:eastAsia="fr-FR" w:bidi="fr-FR"/>
              </w:rPr>
              <w:t>0</w:t>
            </w:r>
          </w:p>
        </w:tc>
        <w:tc>
          <w:tcPr>
            <w:tcW w:w="0" w:type="auto"/>
            <w:vAlign w:val="center"/>
          </w:tcPr>
          <w:p w14:paraId="29FFAA0E"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sz w:val="14"/>
                <w:szCs w:val="14"/>
                <w:lang w:eastAsia="fr-FR" w:bidi="fr-FR"/>
              </w:rPr>
              <w:t>0</w:t>
            </w:r>
          </w:p>
        </w:tc>
        <w:tc>
          <w:tcPr>
            <w:tcW w:w="0" w:type="auto"/>
            <w:shd w:val="clear" w:color="000000" w:fill="D9D9D9"/>
            <w:vAlign w:val="center"/>
          </w:tcPr>
          <w:p w14:paraId="502B91C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3284966D"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r w:rsidRPr="00F0379B">
              <w:rPr>
                <w:rFonts w:ascii="Cambria" w:eastAsia="Times New Roman" w:hAnsi="Cambria" w:cs="Calibri"/>
                <w:sz w:val="14"/>
                <w:szCs w:val="14"/>
                <w:lang w:eastAsia="fr-FR"/>
              </w:rPr>
              <w:t>0</w:t>
            </w:r>
          </w:p>
        </w:tc>
        <w:tc>
          <w:tcPr>
            <w:tcW w:w="0" w:type="auto"/>
            <w:vAlign w:val="center"/>
          </w:tcPr>
          <w:p w14:paraId="238B953D"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3CE8FD2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bidi="fr-FR"/>
              </w:rPr>
              <w:t>0</w:t>
            </w:r>
          </w:p>
        </w:tc>
        <w:tc>
          <w:tcPr>
            <w:tcW w:w="0" w:type="auto"/>
            <w:vAlign w:val="center"/>
          </w:tcPr>
          <w:p w14:paraId="5143CF20"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316DED4C"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61353AF3"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tcBorders>
              <w:right w:val="single" w:sz="12" w:space="0" w:color="000000"/>
            </w:tcBorders>
            <w:vAlign w:val="center"/>
          </w:tcPr>
          <w:p w14:paraId="52235AE9"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Times New Roman" w:hAnsi="Cambria" w:cs="Calibri"/>
                <w:sz w:val="14"/>
                <w:szCs w:val="14"/>
                <w:lang w:eastAsia="fr-FR"/>
              </w:rPr>
              <w:t>0</w:t>
            </w:r>
          </w:p>
        </w:tc>
      </w:tr>
      <w:tr w:rsidR="009123AC" w:rsidRPr="00F0379B" w14:paraId="242607C9" w14:textId="77777777" w:rsidTr="00CA749B">
        <w:trPr>
          <w:trHeight w:val="23"/>
        </w:trPr>
        <w:tc>
          <w:tcPr>
            <w:tcW w:w="2831" w:type="dxa"/>
            <w:tcBorders>
              <w:left w:val="single" w:sz="12" w:space="0" w:color="000000"/>
            </w:tcBorders>
            <w:vAlign w:val="center"/>
            <w:hideMark/>
          </w:tcPr>
          <w:p w14:paraId="5223C96E"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Pequeños barcos costeros</w:t>
            </w:r>
          </w:p>
        </w:tc>
        <w:tc>
          <w:tcPr>
            <w:tcW w:w="1230" w:type="dxa"/>
            <w:noWrap/>
            <w:vAlign w:val="center"/>
            <w:hideMark/>
          </w:tcPr>
          <w:p w14:paraId="41F3672A"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N/A</w:t>
            </w:r>
          </w:p>
        </w:tc>
        <w:tc>
          <w:tcPr>
            <w:tcW w:w="727" w:type="dxa"/>
            <w:vAlign w:val="center"/>
          </w:tcPr>
          <w:p w14:paraId="31C986CF"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noWrap/>
            <w:vAlign w:val="center"/>
          </w:tcPr>
          <w:p w14:paraId="1B4570CB"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5204DB0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1F54BAF3"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1094B05B"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333E4FC0"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0" w:type="auto"/>
            <w:vAlign w:val="center"/>
          </w:tcPr>
          <w:p w14:paraId="78865788"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0" w:type="auto"/>
            <w:shd w:val="clear" w:color="000000" w:fill="D9D9D9"/>
            <w:vAlign w:val="center"/>
          </w:tcPr>
          <w:p w14:paraId="54D8F3FE"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22152D38"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21747DE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0D100355"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3A5C8EA0"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0BD85330"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04FC21B9"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tcBorders>
              <w:right w:val="single" w:sz="12" w:space="0" w:color="000000"/>
            </w:tcBorders>
            <w:vAlign w:val="center"/>
          </w:tcPr>
          <w:p w14:paraId="57A65C0B"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r>
      <w:tr w:rsidR="009123AC" w:rsidRPr="00F0379B" w14:paraId="3153F32E" w14:textId="77777777" w:rsidTr="00CA749B">
        <w:trPr>
          <w:trHeight w:val="23"/>
        </w:trPr>
        <w:tc>
          <w:tcPr>
            <w:tcW w:w="2831" w:type="dxa"/>
            <w:tcBorders>
              <w:left w:val="single" w:sz="12" w:space="0" w:color="000000"/>
            </w:tcBorders>
            <w:vAlign w:val="center"/>
            <w:hideMark/>
          </w:tcPr>
          <w:p w14:paraId="6205722C"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Otros (especificar)</w:t>
            </w:r>
          </w:p>
        </w:tc>
        <w:tc>
          <w:tcPr>
            <w:tcW w:w="1230" w:type="dxa"/>
            <w:noWrap/>
            <w:vAlign w:val="center"/>
            <w:hideMark/>
          </w:tcPr>
          <w:p w14:paraId="05F9FF1E"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w:t>
            </w:r>
          </w:p>
        </w:tc>
        <w:tc>
          <w:tcPr>
            <w:tcW w:w="727" w:type="dxa"/>
            <w:vAlign w:val="center"/>
          </w:tcPr>
          <w:p w14:paraId="62BCE269"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noWrap/>
            <w:vAlign w:val="center"/>
          </w:tcPr>
          <w:p w14:paraId="0346BF0C"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4C1BEE39"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668EE9C2"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13AA9B49"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1313F0E6"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0" w:type="auto"/>
            <w:vAlign w:val="center"/>
          </w:tcPr>
          <w:p w14:paraId="7F0D75ED"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0" w:type="auto"/>
            <w:shd w:val="clear" w:color="000000" w:fill="D9D9D9"/>
            <w:vAlign w:val="center"/>
          </w:tcPr>
          <w:p w14:paraId="42720526"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vAlign w:val="center"/>
          </w:tcPr>
          <w:p w14:paraId="2B3C6CFB"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r w:rsidRPr="00F0379B">
              <w:rPr>
                <w:rFonts w:ascii="Cambria" w:eastAsia="Times New Roman" w:hAnsi="Cambria" w:cs="Calibri"/>
                <w:sz w:val="14"/>
                <w:szCs w:val="14"/>
                <w:lang w:eastAsia="fr-FR"/>
              </w:rPr>
              <w:t>0</w:t>
            </w:r>
          </w:p>
        </w:tc>
        <w:tc>
          <w:tcPr>
            <w:tcW w:w="0" w:type="auto"/>
            <w:vAlign w:val="center"/>
          </w:tcPr>
          <w:p w14:paraId="482D9B6C"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18B0479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bidi="fr-FR"/>
              </w:rPr>
              <w:t>0</w:t>
            </w:r>
          </w:p>
        </w:tc>
        <w:tc>
          <w:tcPr>
            <w:tcW w:w="0" w:type="auto"/>
            <w:vAlign w:val="center"/>
          </w:tcPr>
          <w:p w14:paraId="3DB73F07"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39F9BAD9"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vAlign w:val="center"/>
          </w:tcPr>
          <w:p w14:paraId="3C81DF5D"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sz w:val="14"/>
                <w:szCs w:val="14"/>
                <w:lang w:eastAsia="fr-FR"/>
              </w:rPr>
              <w:t>0</w:t>
            </w:r>
          </w:p>
        </w:tc>
        <w:tc>
          <w:tcPr>
            <w:tcW w:w="0" w:type="auto"/>
            <w:tcBorders>
              <w:right w:val="single" w:sz="12" w:space="0" w:color="000000"/>
            </w:tcBorders>
            <w:vAlign w:val="center"/>
          </w:tcPr>
          <w:p w14:paraId="5D62C607"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Times New Roman" w:hAnsi="Cambria" w:cs="Calibri"/>
                <w:sz w:val="14"/>
                <w:szCs w:val="14"/>
                <w:lang w:eastAsia="fr-FR"/>
              </w:rPr>
              <w:t>0</w:t>
            </w:r>
          </w:p>
        </w:tc>
      </w:tr>
      <w:tr w:rsidR="009123AC" w:rsidRPr="00F0379B" w14:paraId="2B82ED8E" w14:textId="77777777" w:rsidTr="00CA749B">
        <w:trPr>
          <w:trHeight w:val="23"/>
        </w:trPr>
        <w:tc>
          <w:tcPr>
            <w:tcW w:w="2831" w:type="dxa"/>
            <w:tcBorders>
              <w:left w:val="single" w:sz="12" w:space="0" w:color="000000"/>
              <w:bottom w:val="single" w:sz="12" w:space="0" w:color="000000"/>
            </w:tcBorders>
            <w:noWrap/>
            <w:vAlign w:val="center"/>
            <w:hideMark/>
          </w:tcPr>
          <w:p w14:paraId="7CA4F01E"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Capacidad pesquera/flota total</w:t>
            </w:r>
          </w:p>
        </w:tc>
        <w:tc>
          <w:tcPr>
            <w:tcW w:w="1230" w:type="dxa"/>
            <w:tcBorders>
              <w:bottom w:val="single" w:sz="12" w:space="0" w:color="000000"/>
            </w:tcBorders>
            <w:noWrap/>
            <w:vAlign w:val="center"/>
            <w:hideMark/>
          </w:tcPr>
          <w:p w14:paraId="5E9CA8E1"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p>
        </w:tc>
        <w:tc>
          <w:tcPr>
            <w:tcW w:w="727" w:type="dxa"/>
            <w:tcBorders>
              <w:bottom w:val="single" w:sz="12" w:space="0" w:color="000000"/>
            </w:tcBorders>
            <w:vAlign w:val="center"/>
          </w:tcPr>
          <w:p w14:paraId="3B07B4DA"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r w:rsidRPr="00F0379B">
              <w:rPr>
                <w:rFonts w:ascii="Cambria" w:eastAsia="Times New Roman" w:hAnsi="Cambria" w:cs="Calibri"/>
                <w:b/>
                <w:bCs/>
                <w:sz w:val="14"/>
                <w:szCs w:val="14"/>
                <w:lang w:eastAsia="fr-FR" w:bidi="fr-FR"/>
              </w:rPr>
              <w:t>42</w:t>
            </w:r>
          </w:p>
        </w:tc>
        <w:tc>
          <w:tcPr>
            <w:tcW w:w="0" w:type="auto"/>
            <w:tcBorders>
              <w:bottom w:val="single" w:sz="12" w:space="0" w:color="000000"/>
            </w:tcBorders>
            <w:noWrap/>
            <w:vAlign w:val="center"/>
          </w:tcPr>
          <w:p w14:paraId="31B1E55D"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42</w:t>
            </w:r>
          </w:p>
        </w:tc>
        <w:tc>
          <w:tcPr>
            <w:tcW w:w="0" w:type="auto"/>
            <w:tcBorders>
              <w:bottom w:val="single" w:sz="12" w:space="0" w:color="000000"/>
            </w:tcBorders>
            <w:vAlign w:val="center"/>
          </w:tcPr>
          <w:p w14:paraId="10B8F64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bidi="fr-FR"/>
              </w:rPr>
              <w:t>37</w:t>
            </w:r>
          </w:p>
        </w:tc>
        <w:tc>
          <w:tcPr>
            <w:tcW w:w="0" w:type="auto"/>
            <w:tcBorders>
              <w:bottom w:val="single" w:sz="12" w:space="0" w:color="000000"/>
            </w:tcBorders>
            <w:vAlign w:val="center"/>
          </w:tcPr>
          <w:p w14:paraId="22CCE54D"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54</w:t>
            </w:r>
          </w:p>
        </w:tc>
        <w:tc>
          <w:tcPr>
            <w:tcW w:w="0" w:type="auto"/>
            <w:tcBorders>
              <w:bottom w:val="single" w:sz="12" w:space="0" w:color="000000"/>
            </w:tcBorders>
            <w:vAlign w:val="center"/>
          </w:tcPr>
          <w:p w14:paraId="298576D8"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54</w:t>
            </w:r>
          </w:p>
        </w:tc>
        <w:tc>
          <w:tcPr>
            <w:tcW w:w="0" w:type="auto"/>
            <w:tcBorders>
              <w:bottom w:val="single" w:sz="12" w:space="0" w:color="000000"/>
            </w:tcBorders>
            <w:vAlign w:val="center"/>
          </w:tcPr>
          <w:p w14:paraId="002CF4F8"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Times New Roman" w:hAnsi="Cambria" w:cs="Calibri"/>
                <w:b/>
                <w:bCs/>
                <w:sz w:val="14"/>
                <w:szCs w:val="14"/>
                <w:lang w:eastAsia="fr-FR" w:bidi="fr-FR"/>
              </w:rPr>
              <w:t>68</w:t>
            </w:r>
          </w:p>
        </w:tc>
        <w:tc>
          <w:tcPr>
            <w:tcW w:w="0" w:type="auto"/>
            <w:tcBorders>
              <w:bottom w:val="single" w:sz="12" w:space="0" w:color="000000"/>
            </w:tcBorders>
            <w:vAlign w:val="center"/>
          </w:tcPr>
          <w:p w14:paraId="57BE7FEC"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color w:val="000000"/>
                <w:sz w:val="14"/>
                <w:szCs w:val="14"/>
                <w:lang w:eastAsia="ja-JP" w:bidi="fr-FR"/>
              </w:rPr>
              <w:t>76</w:t>
            </w:r>
          </w:p>
        </w:tc>
        <w:tc>
          <w:tcPr>
            <w:tcW w:w="0" w:type="auto"/>
            <w:tcBorders>
              <w:bottom w:val="single" w:sz="12" w:space="0" w:color="000000"/>
            </w:tcBorders>
            <w:shd w:val="clear" w:color="000000" w:fill="D9D9D9"/>
            <w:vAlign w:val="center"/>
          </w:tcPr>
          <w:p w14:paraId="423E528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p>
        </w:tc>
        <w:tc>
          <w:tcPr>
            <w:tcW w:w="0" w:type="auto"/>
            <w:tcBorders>
              <w:bottom w:val="single" w:sz="12" w:space="0" w:color="000000"/>
            </w:tcBorders>
            <w:vAlign w:val="center"/>
          </w:tcPr>
          <w:p w14:paraId="6BF2074C"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r w:rsidRPr="00F0379B">
              <w:rPr>
                <w:rFonts w:ascii="Cambria" w:eastAsia="Times New Roman" w:hAnsi="Cambria" w:cs="Calibri"/>
                <w:b/>
                <w:bCs/>
                <w:sz w:val="14"/>
                <w:szCs w:val="14"/>
                <w:lang w:eastAsia="fr-FR" w:bidi="fr-FR"/>
              </w:rPr>
              <w:t>1809,300</w:t>
            </w:r>
          </w:p>
        </w:tc>
        <w:tc>
          <w:tcPr>
            <w:tcW w:w="0" w:type="auto"/>
            <w:tcBorders>
              <w:bottom w:val="single" w:sz="12" w:space="0" w:color="000000"/>
            </w:tcBorders>
            <w:vAlign w:val="center"/>
          </w:tcPr>
          <w:p w14:paraId="3F0ED629"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1809,300</w:t>
            </w:r>
          </w:p>
        </w:tc>
        <w:tc>
          <w:tcPr>
            <w:tcW w:w="0" w:type="auto"/>
            <w:tcBorders>
              <w:bottom w:val="single" w:sz="12" w:space="0" w:color="000000"/>
            </w:tcBorders>
            <w:vAlign w:val="center"/>
          </w:tcPr>
          <w:p w14:paraId="373ABDEF"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bidi="fr-FR"/>
              </w:rPr>
              <w:t>1713,06</w:t>
            </w:r>
          </w:p>
        </w:tc>
        <w:tc>
          <w:tcPr>
            <w:tcW w:w="0" w:type="auto"/>
            <w:tcBorders>
              <w:bottom w:val="single" w:sz="12" w:space="0" w:color="000000"/>
            </w:tcBorders>
            <w:noWrap/>
            <w:vAlign w:val="center"/>
          </w:tcPr>
          <w:p w14:paraId="639547E6"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2366,120</w:t>
            </w:r>
          </w:p>
        </w:tc>
        <w:tc>
          <w:tcPr>
            <w:tcW w:w="0" w:type="auto"/>
            <w:tcBorders>
              <w:bottom w:val="single" w:sz="12" w:space="0" w:color="000000"/>
            </w:tcBorders>
            <w:noWrap/>
            <w:vAlign w:val="center"/>
          </w:tcPr>
          <w:p w14:paraId="70F426BB"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2543,220</w:t>
            </w:r>
          </w:p>
        </w:tc>
        <w:tc>
          <w:tcPr>
            <w:tcW w:w="0" w:type="auto"/>
            <w:tcBorders>
              <w:bottom w:val="single" w:sz="12" w:space="0" w:color="000000"/>
            </w:tcBorders>
            <w:noWrap/>
            <w:vAlign w:val="center"/>
          </w:tcPr>
          <w:p w14:paraId="617ECE84" w14:textId="77777777" w:rsidR="009123AC" w:rsidRPr="00F0379B" w:rsidRDefault="009123AC" w:rsidP="009123AC">
            <w:pPr>
              <w:spacing w:after="0" w:line="240" w:lineRule="auto"/>
              <w:jc w:val="center"/>
              <w:rPr>
                <w:rFonts w:ascii="Cambria" w:eastAsia="Times New Roman" w:hAnsi="Cambria" w:cs="Calibri"/>
                <w:b/>
                <w:bCs/>
                <w:sz w:val="14"/>
                <w:szCs w:val="14"/>
                <w:lang w:eastAsia="fr-FR" w:bidi="fr-FR"/>
              </w:rPr>
            </w:pPr>
            <w:r w:rsidRPr="00F0379B">
              <w:rPr>
                <w:rFonts w:ascii="Cambria" w:eastAsia="Times New Roman" w:hAnsi="Cambria" w:cs="Calibri"/>
                <w:b/>
                <w:bCs/>
                <w:sz w:val="14"/>
                <w:szCs w:val="14"/>
                <w:lang w:eastAsia="fr-FR"/>
              </w:rPr>
              <w:t>2966,440</w:t>
            </w:r>
          </w:p>
        </w:tc>
        <w:tc>
          <w:tcPr>
            <w:tcW w:w="0" w:type="auto"/>
            <w:tcBorders>
              <w:bottom w:val="single" w:sz="12" w:space="0" w:color="000000"/>
              <w:right w:val="single" w:sz="12" w:space="0" w:color="000000"/>
            </w:tcBorders>
            <w:vAlign w:val="center"/>
          </w:tcPr>
          <w:p w14:paraId="58C57E16"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Times New Roman" w:hAnsi="Cambria" w:cs="Calibri"/>
                <w:b/>
                <w:bCs/>
                <w:color w:val="000000"/>
                <w:sz w:val="14"/>
                <w:szCs w:val="14"/>
                <w:lang w:eastAsia="ja-JP" w:bidi="fr-FR"/>
              </w:rPr>
              <w:t>3364,68</w:t>
            </w:r>
          </w:p>
        </w:tc>
      </w:tr>
      <w:tr w:rsidR="009123AC" w:rsidRPr="00F0379B" w14:paraId="141C70BD" w14:textId="77777777" w:rsidTr="00CA749B">
        <w:trPr>
          <w:trHeight w:val="23"/>
        </w:trPr>
        <w:tc>
          <w:tcPr>
            <w:tcW w:w="2831" w:type="dxa"/>
            <w:tcBorders>
              <w:top w:val="single" w:sz="12" w:space="0" w:color="000000"/>
              <w:left w:val="single" w:sz="12" w:space="0" w:color="000000"/>
            </w:tcBorders>
            <w:shd w:val="clear" w:color="auto" w:fill="D9D9D9"/>
            <w:noWrap/>
            <w:vAlign w:val="center"/>
            <w:hideMark/>
          </w:tcPr>
          <w:p w14:paraId="58E03913"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inicial</w:t>
            </w:r>
          </w:p>
        </w:tc>
        <w:tc>
          <w:tcPr>
            <w:tcW w:w="1230" w:type="dxa"/>
            <w:tcBorders>
              <w:top w:val="single" w:sz="12" w:space="0" w:color="000000"/>
            </w:tcBorders>
            <w:shd w:val="clear" w:color="auto" w:fill="D9D9D9"/>
            <w:noWrap/>
            <w:vAlign w:val="center"/>
            <w:hideMark/>
          </w:tcPr>
          <w:p w14:paraId="2CFA7B99"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p>
        </w:tc>
        <w:tc>
          <w:tcPr>
            <w:tcW w:w="727" w:type="dxa"/>
            <w:tcBorders>
              <w:top w:val="single" w:sz="12" w:space="0" w:color="000000"/>
            </w:tcBorders>
            <w:shd w:val="clear" w:color="auto" w:fill="D9D9D9"/>
            <w:vAlign w:val="center"/>
          </w:tcPr>
          <w:p w14:paraId="2064736D"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tcBorders>
              <w:top w:val="single" w:sz="12" w:space="0" w:color="000000"/>
            </w:tcBorders>
            <w:shd w:val="clear" w:color="auto" w:fill="D9D9D9"/>
            <w:noWrap/>
            <w:vAlign w:val="center"/>
          </w:tcPr>
          <w:p w14:paraId="48ACE41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tcBorders>
              <w:top w:val="single" w:sz="12" w:space="0" w:color="000000"/>
            </w:tcBorders>
            <w:shd w:val="clear" w:color="auto" w:fill="D9D9D9"/>
            <w:vAlign w:val="center"/>
          </w:tcPr>
          <w:p w14:paraId="2BB6B80C"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tcBorders>
              <w:top w:val="single" w:sz="12" w:space="0" w:color="000000"/>
            </w:tcBorders>
            <w:shd w:val="clear" w:color="auto" w:fill="D9D9D9"/>
            <w:vAlign w:val="center"/>
          </w:tcPr>
          <w:p w14:paraId="1BBF639A"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tcBorders>
              <w:top w:val="single" w:sz="12" w:space="0" w:color="000000"/>
            </w:tcBorders>
            <w:shd w:val="clear" w:color="auto" w:fill="D9D9D9"/>
            <w:vAlign w:val="center"/>
          </w:tcPr>
          <w:p w14:paraId="185CCA1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tcBorders>
              <w:top w:val="single" w:sz="12" w:space="0" w:color="000000"/>
            </w:tcBorders>
            <w:shd w:val="clear" w:color="auto" w:fill="D9D9D9"/>
            <w:vAlign w:val="center"/>
          </w:tcPr>
          <w:p w14:paraId="3AC272BB"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0" w:type="auto"/>
            <w:tcBorders>
              <w:top w:val="single" w:sz="12" w:space="0" w:color="000000"/>
            </w:tcBorders>
            <w:shd w:val="clear" w:color="auto" w:fill="D9D9D9"/>
            <w:vAlign w:val="center"/>
          </w:tcPr>
          <w:p w14:paraId="50B8529D"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0" w:type="auto"/>
            <w:tcBorders>
              <w:top w:val="single" w:sz="12" w:space="0" w:color="000000"/>
            </w:tcBorders>
            <w:shd w:val="clear" w:color="auto" w:fill="D9D9D9"/>
            <w:vAlign w:val="center"/>
          </w:tcPr>
          <w:p w14:paraId="4A463357"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tcBorders>
              <w:top w:val="single" w:sz="12" w:space="0" w:color="000000"/>
            </w:tcBorders>
            <w:shd w:val="clear" w:color="auto" w:fill="D9D9D9"/>
            <w:vAlign w:val="center"/>
          </w:tcPr>
          <w:p w14:paraId="022C7670"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b/>
                <w:bCs/>
                <w:sz w:val="14"/>
                <w:szCs w:val="14"/>
                <w:lang w:eastAsia="fr-FR" w:bidi="fr-FR"/>
              </w:rPr>
              <w:t>2625</w:t>
            </w:r>
          </w:p>
        </w:tc>
        <w:tc>
          <w:tcPr>
            <w:tcW w:w="0" w:type="auto"/>
            <w:tcBorders>
              <w:top w:val="single" w:sz="12" w:space="0" w:color="000000"/>
            </w:tcBorders>
            <w:shd w:val="clear" w:color="auto" w:fill="D9D9D9"/>
            <w:vAlign w:val="center"/>
          </w:tcPr>
          <w:p w14:paraId="7EC8546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b/>
                <w:bCs/>
                <w:sz w:val="14"/>
                <w:szCs w:val="14"/>
                <w:lang w:eastAsia="fr-FR"/>
              </w:rPr>
              <w:t>2254,48</w:t>
            </w:r>
          </w:p>
        </w:tc>
        <w:tc>
          <w:tcPr>
            <w:tcW w:w="0" w:type="auto"/>
            <w:tcBorders>
              <w:top w:val="single" w:sz="12" w:space="0" w:color="000000"/>
            </w:tcBorders>
            <w:shd w:val="clear" w:color="auto" w:fill="D9D9D9"/>
            <w:vAlign w:val="center"/>
          </w:tcPr>
          <w:p w14:paraId="665A78E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b/>
                <w:bCs/>
                <w:sz w:val="14"/>
                <w:szCs w:val="14"/>
                <w:lang w:eastAsia="fr-FR" w:bidi="fr-FR"/>
              </w:rPr>
              <w:t>2115</w:t>
            </w:r>
          </w:p>
        </w:tc>
        <w:tc>
          <w:tcPr>
            <w:tcW w:w="0" w:type="auto"/>
            <w:tcBorders>
              <w:top w:val="single" w:sz="12" w:space="0" w:color="000000"/>
            </w:tcBorders>
            <w:shd w:val="clear" w:color="auto" w:fill="D9D9D9"/>
            <w:vAlign w:val="center"/>
          </w:tcPr>
          <w:p w14:paraId="37DC974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b/>
                <w:bCs/>
                <w:sz w:val="14"/>
                <w:szCs w:val="14"/>
                <w:lang w:eastAsia="fr-FR"/>
              </w:rPr>
              <w:t>3000,000</w:t>
            </w:r>
          </w:p>
        </w:tc>
        <w:tc>
          <w:tcPr>
            <w:tcW w:w="0" w:type="auto"/>
            <w:tcBorders>
              <w:top w:val="single" w:sz="12" w:space="0" w:color="000000"/>
            </w:tcBorders>
            <w:shd w:val="clear" w:color="auto" w:fill="D9D9D9"/>
            <w:vAlign w:val="center"/>
          </w:tcPr>
          <w:p w14:paraId="24A4271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b/>
                <w:bCs/>
                <w:sz w:val="14"/>
                <w:szCs w:val="14"/>
                <w:lang w:eastAsia="fr-FR"/>
              </w:rPr>
              <w:t>3000,000</w:t>
            </w:r>
          </w:p>
        </w:tc>
        <w:tc>
          <w:tcPr>
            <w:tcW w:w="0" w:type="auto"/>
            <w:tcBorders>
              <w:top w:val="single" w:sz="12" w:space="0" w:color="000000"/>
            </w:tcBorders>
            <w:shd w:val="clear" w:color="auto" w:fill="D9D9D9"/>
            <w:vAlign w:val="center"/>
          </w:tcPr>
          <w:p w14:paraId="487D060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b/>
                <w:bCs/>
                <w:sz w:val="14"/>
                <w:szCs w:val="14"/>
                <w:lang w:eastAsia="fr-FR"/>
              </w:rPr>
              <w:t>3000,000</w:t>
            </w:r>
          </w:p>
        </w:tc>
        <w:tc>
          <w:tcPr>
            <w:tcW w:w="0" w:type="auto"/>
            <w:tcBorders>
              <w:top w:val="single" w:sz="12" w:space="0" w:color="000000"/>
              <w:right w:val="single" w:sz="12" w:space="0" w:color="000000"/>
            </w:tcBorders>
            <w:shd w:val="clear" w:color="auto" w:fill="D9D9D9"/>
            <w:vAlign w:val="center"/>
          </w:tcPr>
          <w:p w14:paraId="7F5C5456"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color w:val="000000"/>
                <w:sz w:val="14"/>
                <w:szCs w:val="14"/>
                <w:lang w:eastAsia="ja-JP" w:bidi="fr-FR"/>
              </w:rPr>
              <w:t>3508,85</w:t>
            </w:r>
          </w:p>
        </w:tc>
      </w:tr>
      <w:tr w:rsidR="009123AC" w:rsidRPr="00F0379B" w14:paraId="42AB5B3A" w14:textId="77777777" w:rsidTr="00CA749B">
        <w:trPr>
          <w:trHeight w:val="23"/>
        </w:trPr>
        <w:tc>
          <w:tcPr>
            <w:tcW w:w="2831" w:type="dxa"/>
            <w:tcBorders>
              <w:left w:val="single" w:sz="12" w:space="0" w:color="000000"/>
              <w:bottom w:val="single" w:sz="12" w:space="0" w:color="000000"/>
            </w:tcBorders>
            <w:shd w:val="clear" w:color="auto" w:fill="D9D9D9"/>
            <w:noWrap/>
            <w:vAlign w:val="center"/>
          </w:tcPr>
          <w:p w14:paraId="221DC220"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ajustada (si procede)</w:t>
            </w:r>
          </w:p>
        </w:tc>
        <w:tc>
          <w:tcPr>
            <w:tcW w:w="1230" w:type="dxa"/>
            <w:tcBorders>
              <w:bottom w:val="single" w:sz="12" w:space="0" w:color="000000"/>
            </w:tcBorders>
            <w:shd w:val="clear" w:color="auto" w:fill="D9D9D9"/>
            <w:noWrap/>
            <w:vAlign w:val="center"/>
          </w:tcPr>
          <w:p w14:paraId="6AAD19B1"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727" w:type="dxa"/>
            <w:tcBorders>
              <w:bottom w:val="single" w:sz="12" w:space="0" w:color="000000"/>
            </w:tcBorders>
            <w:shd w:val="clear" w:color="auto" w:fill="D9D9D9"/>
            <w:vAlign w:val="center"/>
          </w:tcPr>
          <w:p w14:paraId="0DBF93DD"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tcBorders>
              <w:bottom w:val="single" w:sz="12" w:space="0" w:color="000000"/>
            </w:tcBorders>
            <w:shd w:val="clear" w:color="auto" w:fill="D9D9D9"/>
            <w:noWrap/>
            <w:vAlign w:val="center"/>
          </w:tcPr>
          <w:p w14:paraId="099842BB"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tcBorders>
              <w:bottom w:val="single" w:sz="12" w:space="0" w:color="000000"/>
            </w:tcBorders>
            <w:shd w:val="clear" w:color="auto" w:fill="D9D9D9"/>
            <w:vAlign w:val="center"/>
          </w:tcPr>
          <w:p w14:paraId="3144B150"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tcBorders>
              <w:bottom w:val="single" w:sz="12" w:space="0" w:color="000000"/>
            </w:tcBorders>
            <w:shd w:val="clear" w:color="auto" w:fill="D9D9D9"/>
            <w:vAlign w:val="center"/>
          </w:tcPr>
          <w:p w14:paraId="33531870"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0" w:type="auto"/>
            <w:tcBorders>
              <w:bottom w:val="single" w:sz="12" w:space="0" w:color="000000"/>
            </w:tcBorders>
            <w:shd w:val="clear" w:color="auto" w:fill="D9D9D9"/>
            <w:vAlign w:val="center"/>
          </w:tcPr>
          <w:p w14:paraId="15DD5A61"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0" w:type="auto"/>
            <w:tcBorders>
              <w:bottom w:val="single" w:sz="12" w:space="0" w:color="000000"/>
            </w:tcBorders>
            <w:shd w:val="clear" w:color="auto" w:fill="D9D9D9"/>
            <w:vAlign w:val="center"/>
          </w:tcPr>
          <w:p w14:paraId="67E0FEF9"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0" w:type="auto"/>
            <w:tcBorders>
              <w:bottom w:val="single" w:sz="12" w:space="0" w:color="000000"/>
            </w:tcBorders>
            <w:shd w:val="clear" w:color="auto" w:fill="D9D9D9"/>
            <w:vAlign w:val="center"/>
          </w:tcPr>
          <w:p w14:paraId="3DA27817"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0" w:type="auto"/>
            <w:tcBorders>
              <w:bottom w:val="single" w:sz="12" w:space="0" w:color="000000"/>
            </w:tcBorders>
            <w:shd w:val="clear" w:color="auto" w:fill="D9D9D9"/>
            <w:vAlign w:val="center"/>
          </w:tcPr>
          <w:p w14:paraId="1CE5D7D5"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0" w:type="auto"/>
            <w:tcBorders>
              <w:bottom w:val="single" w:sz="12" w:space="0" w:color="000000"/>
            </w:tcBorders>
            <w:shd w:val="clear" w:color="auto" w:fill="D9D9D9"/>
            <w:vAlign w:val="center"/>
          </w:tcPr>
          <w:p w14:paraId="3895D92D"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b/>
                <w:bCs/>
                <w:sz w:val="14"/>
                <w:szCs w:val="14"/>
                <w:lang w:eastAsia="fr-FR" w:bidi="fr-FR"/>
              </w:rPr>
              <w:t>2625</w:t>
            </w:r>
          </w:p>
        </w:tc>
        <w:tc>
          <w:tcPr>
            <w:tcW w:w="0" w:type="auto"/>
            <w:tcBorders>
              <w:bottom w:val="single" w:sz="12" w:space="0" w:color="000000"/>
            </w:tcBorders>
            <w:shd w:val="clear" w:color="auto" w:fill="D9D9D9"/>
            <w:vAlign w:val="center"/>
          </w:tcPr>
          <w:p w14:paraId="67B9622C"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b/>
                <w:bCs/>
                <w:sz w:val="14"/>
                <w:szCs w:val="14"/>
                <w:lang w:eastAsia="fr-FR"/>
              </w:rPr>
              <w:t>2364,48</w:t>
            </w:r>
          </w:p>
        </w:tc>
        <w:tc>
          <w:tcPr>
            <w:tcW w:w="0" w:type="auto"/>
            <w:tcBorders>
              <w:bottom w:val="single" w:sz="12" w:space="0" w:color="000000"/>
            </w:tcBorders>
            <w:shd w:val="clear" w:color="auto" w:fill="D9D9D9"/>
            <w:vAlign w:val="center"/>
          </w:tcPr>
          <w:p w14:paraId="4DF80F1F"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b/>
                <w:bCs/>
                <w:sz w:val="14"/>
                <w:szCs w:val="14"/>
                <w:lang w:eastAsia="fr-FR" w:bidi="fr-FR"/>
              </w:rPr>
              <w:t>2093,850</w:t>
            </w:r>
          </w:p>
        </w:tc>
        <w:tc>
          <w:tcPr>
            <w:tcW w:w="0" w:type="auto"/>
            <w:tcBorders>
              <w:bottom w:val="single" w:sz="12" w:space="0" w:color="000000"/>
            </w:tcBorders>
            <w:shd w:val="clear" w:color="auto" w:fill="D9D9D9"/>
            <w:vAlign w:val="center"/>
          </w:tcPr>
          <w:p w14:paraId="4068E9A2"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b/>
                <w:bCs/>
                <w:sz w:val="14"/>
                <w:szCs w:val="14"/>
                <w:lang w:eastAsia="fr-FR"/>
              </w:rPr>
              <w:t>2990</w:t>
            </w:r>
          </w:p>
        </w:tc>
        <w:tc>
          <w:tcPr>
            <w:tcW w:w="0" w:type="auto"/>
            <w:tcBorders>
              <w:bottom w:val="single" w:sz="12" w:space="0" w:color="000000"/>
            </w:tcBorders>
            <w:shd w:val="clear" w:color="auto" w:fill="D9D9D9"/>
            <w:vAlign w:val="center"/>
          </w:tcPr>
          <w:p w14:paraId="13D7CFBC"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b/>
                <w:bCs/>
                <w:sz w:val="14"/>
                <w:szCs w:val="14"/>
                <w:lang w:eastAsia="fr-FR"/>
              </w:rPr>
              <w:t>3000</w:t>
            </w:r>
          </w:p>
        </w:tc>
        <w:tc>
          <w:tcPr>
            <w:tcW w:w="0" w:type="auto"/>
            <w:tcBorders>
              <w:bottom w:val="single" w:sz="12" w:space="0" w:color="000000"/>
            </w:tcBorders>
            <w:shd w:val="clear" w:color="auto" w:fill="D9D9D9"/>
            <w:vAlign w:val="center"/>
          </w:tcPr>
          <w:p w14:paraId="594917A4"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b/>
                <w:bCs/>
                <w:sz w:val="14"/>
                <w:szCs w:val="14"/>
                <w:lang w:eastAsia="fr-FR"/>
              </w:rPr>
              <w:t>2.990,62</w:t>
            </w:r>
          </w:p>
        </w:tc>
        <w:tc>
          <w:tcPr>
            <w:tcW w:w="0" w:type="auto"/>
            <w:tcBorders>
              <w:bottom w:val="single" w:sz="12" w:space="0" w:color="000000"/>
              <w:right w:val="single" w:sz="12" w:space="0" w:color="000000"/>
            </w:tcBorders>
            <w:shd w:val="clear" w:color="auto" w:fill="D9D9D9"/>
            <w:vAlign w:val="center"/>
          </w:tcPr>
          <w:p w14:paraId="641CDF32"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color w:val="000000"/>
                <w:sz w:val="14"/>
                <w:szCs w:val="14"/>
                <w:lang w:eastAsia="ja-JP" w:bidi="fr-FR"/>
              </w:rPr>
              <w:t>3528,55</w:t>
            </w:r>
          </w:p>
        </w:tc>
      </w:tr>
      <w:tr w:rsidR="009123AC" w:rsidRPr="00F0379B" w14:paraId="28CC13DC" w14:textId="77777777" w:rsidTr="00CA749B">
        <w:trPr>
          <w:trHeight w:val="23"/>
        </w:trPr>
        <w:tc>
          <w:tcPr>
            <w:tcW w:w="2831" w:type="dxa"/>
            <w:tcBorders>
              <w:top w:val="single" w:sz="12" w:space="0" w:color="000000"/>
              <w:left w:val="single" w:sz="12" w:space="0" w:color="000000"/>
            </w:tcBorders>
            <w:noWrap/>
            <w:vAlign w:val="center"/>
            <w:hideMark/>
          </w:tcPr>
          <w:p w14:paraId="42D7A6A6"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Porcentaje asignado a captura fortuita</w:t>
            </w:r>
          </w:p>
        </w:tc>
        <w:tc>
          <w:tcPr>
            <w:tcW w:w="1230" w:type="dxa"/>
            <w:tcBorders>
              <w:top w:val="single" w:sz="12" w:space="0" w:color="000000"/>
            </w:tcBorders>
            <w:noWrap/>
            <w:vAlign w:val="center"/>
            <w:hideMark/>
          </w:tcPr>
          <w:p w14:paraId="6620FB54"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p>
        </w:tc>
        <w:tc>
          <w:tcPr>
            <w:tcW w:w="727" w:type="dxa"/>
            <w:tcBorders>
              <w:top w:val="single" w:sz="12" w:space="0" w:color="000000"/>
            </w:tcBorders>
            <w:vAlign w:val="center"/>
          </w:tcPr>
          <w:p w14:paraId="1A56BB3B"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tcBorders>
              <w:top w:val="single" w:sz="12" w:space="0" w:color="000000"/>
            </w:tcBorders>
            <w:noWrap/>
            <w:vAlign w:val="center"/>
          </w:tcPr>
          <w:p w14:paraId="0C5987A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tcBorders>
              <w:top w:val="single" w:sz="12" w:space="0" w:color="000000"/>
            </w:tcBorders>
            <w:vAlign w:val="center"/>
          </w:tcPr>
          <w:p w14:paraId="61B4B9A6"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tcBorders>
              <w:top w:val="single" w:sz="12" w:space="0" w:color="000000"/>
            </w:tcBorders>
            <w:vAlign w:val="center"/>
          </w:tcPr>
          <w:p w14:paraId="6D42FBC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tcBorders>
              <w:top w:val="single" w:sz="12" w:space="0" w:color="000000"/>
            </w:tcBorders>
            <w:vAlign w:val="center"/>
          </w:tcPr>
          <w:p w14:paraId="3DC2FA4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tcBorders>
              <w:top w:val="single" w:sz="12" w:space="0" w:color="000000"/>
            </w:tcBorders>
            <w:vAlign w:val="center"/>
          </w:tcPr>
          <w:p w14:paraId="7C078985"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tcBorders>
              <w:top w:val="single" w:sz="12" w:space="0" w:color="000000"/>
            </w:tcBorders>
            <w:vAlign w:val="center"/>
          </w:tcPr>
          <w:p w14:paraId="4833A176"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tcBorders>
              <w:top w:val="single" w:sz="12" w:space="0" w:color="000000"/>
            </w:tcBorders>
            <w:shd w:val="clear" w:color="000000" w:fill="D9D9D9"/>
            <w:vAlign w:val="center"/>
          </w:tcPr>
          <w:p w14:paraId="7FC6064D"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p>
        </w:tc>
        <w:tc>
          <w:tcPr>
            <w:tcW w:w="0" w:type="auto"/>
            <w:tcBorders>
              <w:top w:val="single" w:sz="12" w:space="0" w:color="000000"/>
            </w:tcBorders>
            <w:vAlign w:val="center"/>
          </w:tcPr>
          <w:p w14:paraId="6AECC164"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b/>
                <w:bCs/>
                <w:sz w:val="14"/>
                <w:szCs w:val="14"/>
                <w:lang w:eastAsia="fr-FR" w:bidi="fr-FR"/>
              </w:rPr>
              <w:t>0</w:t>
            </w:r>
          </w:p>
        </w:tc>
        <w:tc>
          <w:tcPr>
            <w:tcW w:w="0" w:type="auto"/>
            <w:tcBorders>
              <w:top w:val="single" w:sz="12" w:space="0" w:color="000000"/>
            </w:tcBorders>
            <w:vAlign w:val="center"/>
          </w:tcPr>
          <w:p w14:paraId="17C3F844"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b/>
                <w:bCs/>
                <w:sz w:val="14"/>
                <w:szCs w:val="14"/>
                <w:lang w:eastAsia="fr-FR"/>
              </w:rPr>
              <w:t>0</w:t>
            </w:r>
          </w:p>
        </w:tc>
        <w:tc>
          <w:tcPr>
            <w:tcW w:w="0" w:type="auto"/>
            <w:tcBorders>
              <w:top w:val="single" w:sz="12" w:space="0" w:color="000000"/>
            </w:tcBorders>
            <w:vAlign w:val="center"/>
          </w:tcPr>
          <w:p w14:paraId="54180193"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b/>
                <w:bCs/>
                <w:sz w:val="14"/>
                <w:szCs w:val="14"/>
                <w:lang w:eastAsia="fr-FR" w:bidi="fr-FR"/>
              </w:rPr>
              <w:t>1%</w:t>
            </w:r>
          </w:p>
        </w:tc>
        <w:tc>
          <w:tcPr>
            <w:tcW w:w="0" w:type="auto"/>
            <w:tcBorders>
              <w:top w:val="single" w:sz="12" w:space="0" w:color="000000"/>
            </w:tcBorders>
            <w:vAlign w:val="center"/>
          </w:tcPr>
          <w:p w14:paraId="38013912"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b/>
                <w:bCs/>
                <w:sz w:val="14"/>
                <w:szCs w:val="14"/>
                <w:lang w:eastAsia="fr-FR"/>
              </w:rPr>
              <w:t>1%</w:t>
            </w:r>
          </w:p>
        </w:tc>
        <w:tc>
          <w:tcPr>
            <w:tcW w:w="0" w:type="auto"/>
            <w:tcBorders>
              <w:top w:val="single" w:sz="12" w:space="0" w:color="000000"/>
            </w:tcBorders>
            <w:vAlign w:val="center"/>
          </w:tcPr>
          <w:p w14:paraId="21F74B1F"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b/>
                <w:bCs/>
                <w:sz w:val="14"/>
                <w:szCs w:val="14"/>
                <w:lang w:eastAsia="fr-FR"/>
              </w:rPr>
              <w:t>1%</w:t>
            </w:r>
          </w:p>
        </w:tc>
        <w:tc>
          <w:tcPr>
            <w:tcW w:w="0" w:type="auto"/>
            <w:tcBorders>
              <w:top w:val="single" w:sz="12" w:space="0" w:color="000000"/>
            </w:tcBorders>
            <w:vAlign w:val="center"/>
          </w:tcPr>
          <w:p w14:paraId="2709A71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b/>
                <w:bCs/>
                <w:sz w:val="14"/>
                <w:szCs w:val="14"/>
                <w:lang w:eastAsia="fr-FR"/>
              </w:rPr>
              <w:t>1%</w:t>
            </w:r>
          </w:p>
        </w:tc>
        <w:tc>
          <w:tcPr>
            <w:tcW w:w="0" w:type="auto"/>
            <w:tcBorders>
              <w:top w:val="single" w:sz="12" w:space="0" w:color="000000"/>
              <w:right w:val="single" w:sz="12" w:space="0" w:color="000000"/>
            </w:tcBorders>
            <w:vAlign w:val="center"/>
          </w:tcPr>
          <w:p w14:paraId="385C44D2" w14:textId="77777777" w:rsidR="009123AC" w:rsidRPr="00F0379B" w:rsidRDefault="009123AC" w:rsidP="009123AC">
            <w:pPr>
              <w:spacing w:after="0" w:line="240" w:lineRule="auto"/>
              <w:ind w:right="280"/>
              <w:jc w:val="center"/>
              <w:rPr>
                <w:rFonts w:ascii="Cambria" w:eastAsia="Times New Roman" w:hAnsi="Cambria" w:cs="Calibri"/>
                <w:b/>
                <w:bCs/>
                <w:sz w:val="14"/>
                <w:szCs w:val="14"/>
                <w:lang w:eastAsia="fr-FR"/>
              </w:rPr>
            </w:pPr>
            <w:r w:rsidRPr="00F0379B">
              <w:rPr>
                <w:rFonts w:ascii="Cambria" w:eastAsia="Times New Roman" w:hAnsi="Cambria" w:cs="Calibri"/>
                <w:color w:val="000000"/>
                <w:sz w:val="14"/>
                <w:szCs w:val="14"/>
                <w:lang w:eastAsia="ja-JP" w:bidi="fr-FR"/>
              </w:rPr>
              <w:t>1</w:t>
            </w:r>
            <w:r w:rsidRPr="00F0379B">
              <w:rPr>
                <w:rFonts w:ascii="Cambria" w:eastAsia="Times New Roman" w:hAnsi="Cambria" w:cs="Calibri"/>
                <w:b/>
                <w:bCs/>
                <w:sz w:val="14"/>
                <w:szCs w:val="14"/>
                <w:lang w:eastAsia="fr-FR"/>
              </w:rPr>
              <w:t>%</w:t>
            </w:r>
          </w:p>
          <w:p w14:paraId="46C904DB"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r>
      <w:tr w:rsidR="009123AC" w:rsidRPr="00F0379B" w14:paraId="34053A61" w14:textId="77777777" w:rsidTr="00CA749B">
        <w:trPr>
          <w:trHeight w:val="23"/>
        </w:trPr>
        <w:tc>
          <w:tcPr>
            <w:tcW w:w="2831" w:type="dxa"/>
            <w:tcBorders>
              <w:left w:val="single" w:sz="12" w:space="0" w:color="000000"/>
            </w:tcBorders>
            <w:noWrap/>
            <w:vAlign w:val="center"/>
          </w:tcPr>
          <w:p w14:paraId="3822B1A5"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Asignación a la captura fortuita</w:t>
            </w:r>
          </w:p>
        </w:tc>
        <w:tc>
          <w:tcPr>
            <w:tcW w:w="1230" w:type="dxa"/>
            <w:noWrap/>
            <w:vAlign w:val="center"/>
          </w:tcPr>
          <w:p w14:paraId="2605CECD"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727" w:type="dxa"/>
            <w:vAlign w:val="center"/>
          </w:tcPr>
          <w:p w14:paraId="47DB495E"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noWrap/>
            <w:vAlign w:val="center"/>
          </w:tcPr>
          <w:p w14:paraId="429A6C25"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vAlign w:val="center"/>
          </w:tcPr>
          <w:p w14:paraId="3933AED8"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vAlign w:val="center"/>
          </w:tcPr>
          <w:p w14:paraId="0EC7616C"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vAlign w:val="center"/>
          </w:tcPr>
          <w:p w14:paraId="11F1349E"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vAlign w:val="center"/>
          </w:tcPr>
          <w:p w14:paraId="6D7C56B4"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vAlign w:val="center"/>
          </w:tcPr>
          <w:p w14:paraId="56173844"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shd w:val="clear" w:color="000000" w:fill="D9D9D9"/>
            <w:vAlign w:val="center"/>
          </w:tcPr>
          <w:p w14:paraId="53D672BA"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vAlign w:val="center"/>
          </w:tcPr>
          <w:p w14:paraId="64FC243B"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b/>
                <w:bCs/>
                <w:sz w:val="14"/>
                <w:szCs w:val="14"/>
                <w:lang w:eastAsia="fr-FR" w:bidi="fr-FR"/>
              </w:rPr>
              <w:t>0</w:t>
            </w:r>
          </w:p>
        </w:tc>
        <w:tc>
          <w:tcPr>
            <w:tcW w:w="0" w:type="auto"/>
            <w:vAlign w:val="center"/>
          </w:tcPr>
          <w:p w14:paraId="3806E365"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b/>
                <w:bCs/>
                <w:sz w:val="14"/>
                <w:szCs w:val="14"/>
                <w:lang w:eastAsia="fr-FR" w:bidi="fr-FR"/>
              </w:rPr>
              <w:t>0</w:t>
            </w:r>
          </w:p>
        </w:tc>
        <w:tc>
          <w:tcPr>
            <w:tcW w:w="0" w:type="auto"/>
            <w:vAlign w:val="center"/>
          </w:tcPr>
          <w:p w14:paraId="7B4E6C1C"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b/>
                <w:bCs/>
                <w:sz w:val="14"/>
                <w:szCs w:val="14"/>
                <w:lang w:eastAsia="fr-FR" w:bidi="fr-FR"/>
              </w:rPr>
              <w:t>21,15</w:t>
            </w:r>
          </w:p>
        </w:tc>
        <w:tc>
          <w:tcPr>
            <w:tcW w:w="0" w:type="auto"/>
            <w:vAlign w:val="center"/>
          </w:tcPr>
          <w:p w14:paraId="0A9666E3"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b/>
                <w:bCs/>
                <w:sz w:val="14"/>
                <w:szCs w:val="14"/>
                <w:lang w:eastAsia="fr-FR"/>
              </w:rPr>
              <w:t>30</w:t>
            </w:r>
          </w:p>
        </w:tc>
        <w:tc>
          <w:tcPr>
            <w:tcW w:w="0" w:type="auto"/>
            <w:vAlign w:val="center"/>
          </w:tcPr>
          <w:p w14:paraId="46F5B78E"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b/>
                <w:bCs/>
                <w:sz w:val="14"/>
                <w:szCs w:val="14"/>
                <w:lang w:eastAsia="fr-FR"/>
              </w:rPr>
              <w:t>30</w:t>
            </w:r>
          </w:p>
        </w:tc>
        <w:tc>
          <w:tcPr>
            <w:tcW w:w="0" w:type="auto"/>
            <w:vAlign w:val="center"/>
          </w:tcPr>
          <w:p w14:paraId="5B8F990D"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b/>
                <w:bCs/>
                <w:sz w:val="14"/>
                <w:szCs w:val="14"/>
                <w:lang w:eastAsia="fr-FR"/>
              </w:rPr>
              <w:t>30</w:t>
            </w:r>
          </w:p>
        </w:tc>
        <w:tc>
          <w:tcPr>
            <w:tcW w:w="0" w:type="auto"/>
            <w:tcBorders>
              <w:right w:val="single" w:sz="12" w:space="0" w:color="000000"/>
            </w:tcBorders>
            <w:vAlign w:val="center"/>
          </w:tcPr>
          <w:p w14:paraId="2EEF7917"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color w:val="000000"/>
                <w:sz w:val="14"/>
                <w:szCs w:val="14"/>
                <w:lang w:eastAsia="ja-JP" w:bidi="fr-FR"/>
              </w:rPr>
              <w:t>35,28</w:t>
            </w:r>
          </w:p>
        </w:tc>
      </w:tr>
      <w:tr w:rsidR="009123AC" w:rsidRPr="00F0379B" w14:paraId="365E1CC2" w14:textId="77777777" w:rsidTr="00CA749B">
        <w:trPr>
          <w:trHeight w:val="23"/>
        </w:trPr>
        <w:tc>
          <w:tcPr>
            <w:tcW w:w="2831" w:type="dxa"/>
            <w:tcBorders>
              <w:left w:val="single" w:sz="12" w:space="0" w:color="000000"/>
            </w:tcBorders>
            <w:vAlign w:val="center"/>
          </w:tcPr>
          <w:p w14:paraId="479D589B"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para investigación científica (si procede)</w:t>
            </w:r>
          </w:p>
        </w:tc>
        <w:tc>
          <w:tcPr>
            <w:tcW w:w="1230" w:type="dxa"/>
            <w:noWrap/>
            <w:vAlign w:val="center"/>
          </w:tcPr>
          <w:p w14:paraId="7A5D0314" w14:textId="77777777" w:rsidR="009123AC" w:rsidRPr="00F0379B" w:rsidRDefault="009123AC" w:rsidP="009123AC">
            <w:pPr>
              <w:spacing w:after="0" w:line="240" w:lineRule="auto"/>
              <w:jc w:val="center"/>
              <w:rPr>
                <w:rFonts w:ascii="Cambria" w:eastAsia="Times New Roman" w:hAnsi="Cambria" w:cs="Calibri"/>
                <w:b/>
                <w:bCs/>
                <w:sz w:val="16"/>
                <w:szCs w:val="16"/>
                <w:lang w:eastAsia="ja-JP"/>
              </w:rPr>
            </w:pPr>
          </w:p>
        </w:tc>
        <w:tc>
          <w:tcPr>
            <w:tcW w:w="727" w:type="dxa"/>
            <w:vAlign w:val="center"/>
          </w:tcPr>
          <w:p w14:paraId="5D4C0F20"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noWrap/>
            <w:vAlign w:val="center"/>
          </w:tcPr>
          <w:p w14:paraId="49ED1804"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27BF1FAE"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6A2F21F6"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2D36CCB6"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2A581CA3"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114F6DBD"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shd w:val="clear" w:color="000000" w:fill="D9D9D9"/>
            <w:vAlign w:val="center"/>
          </w:tcPr>
          <w:p w14:paraId="2F319AF1"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1D11DAA2"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50FD2C7A"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1BA023EE"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noWrap/>
            <w:vAlign w:val="center"/>
          </w:tcPr>
          <w:p w14:paraId="698F329B"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noWrap/>
            <w:vAlign w:val="center"/>
          </w:tcPr>
          <w:p w14:paraId="359559A6"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noWrap/>
            <w:vAlign w:val="center"/>
          </w:tcPr>
          <w:p w14:paraId="3D9CFA04"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tcBorders>
              <w:right w:val="single" w:sz="12" w:space="0" w:color="000000"/>
            </w:tcBorders>
            <w:vAlign w:val="center"/>
          </w:tcPr>
          <w:p w14:paraId="4A303495"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r>
      <w:tr w:rsidR="009123AC" w:rsidRPr="00F0379B" w14:paraId="07CFC331" w14:textId="77777777" w:rsidTr="00CA749B">
        <w:trPr>
          <w:trHeight w:val="23"/>
        </w:trPr>
        <w:tc>
          <w:tcPr>
            <w:tcW w:w="2831" w:type="dxa"/>
            <w:tcBorders>
              <w:left w:val="single" w:sz="12" w:space="0" w:color="000000"/>
            </w:tcBorders>
            <w:vAlign w:val="center"/>
          </w:tcPr>
          <w:p w14:paraId="5382162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Tolerancia para pesca deportiva/de recreo (si procede)</w:t>
            </w:r>
          </w:p>
        </w:tc>
        <w:tc>
          <w:tcPr>
            <w:tcW w:w="1230" w:type="dxa"/>
            <w:noWrap/>
            <w:vAlign w:val="center"/>
          </w:tcPr>
          <w:p w14:paraId="409850D9" w14:textId="77777777" w:rsidR="009123AC" w:rsidRPr="00F0379B" w:rsidRDefault="009123AC" w:rsidP="009123AC">
            <w:pPr>
              <w:spacing w:after="0" w:line="240" w:lineRule="auto"/>
              <w:jc w:val="center"/>
              <w:rPr>
                <w:rFonts w:ascii="Cambria" w:eastAsia="Times New Roman" w:hAnsi="Cambria" w:cs="Calibri"/>
                <w:b/>
                <w:bCs/>
                <w:sz w:val="16"/>
                <w:szCs w:val="16"/>
                <w:lang w:eastAsia="ja-JP"/>
              </w:rPr>
            </w:pPr>
          </w:p>
        </w:tc>
        <w:tc>
          <w:tcPr>
            <w:tcW w:w="727" w:type="dxa"/>
            <w:vAlign w:val="center"/>
          </w:tcPr>
          <w:p w14:paraId="2E6272A5"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noWrap/>
            <w:vAlign w:val="center"/>
          </w:tcPr>
          <w:p w14:paraId="11D4E74E"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2FBA5A21"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1B205FB5"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440473AD"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79D69447"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38035F3B"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p>
        </w:tc>
        <w:tc>
          <w:tcPr>
            <w:tcW w:w="0" w:type="auto"/>
            <w:shd w:val="clear" w:color="000000" w:fill="D9D9D9"/>
            <w:vAlign w:val="center"/>
          </w:tcPr>
          <w:p w14:paraId="74692296"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0060D1A0"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1D56A7CA"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vAlign w:val="center"/>
          </w:tcPr>
          <w:p w14:paraId="206FC0DC"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noWrap/>
            <w:vAlign w:val="center"/>
          </w:tcPr>
          <w:p w14:paraId="7A467CED"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noWrap/>
            <w:vAlign w:val="center"/>
          </w:tcPr>
          <w:p w14:paraId="7D339B76"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noWrap/>
            <w:vAlign w:val="center"/>
          </w:tcPr>
          <w:p w14:paraId="3FDFF860"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tcBorders>
              <w:right w:val="single" w:sz="12" w:space="0" w:color="000000"/>
            </w:tcBorders>
            <w:vAlign w:val="center"/>
          </w:tcPr>
          <w:p w14:paraId="0E48541E"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r>
      <w:tr w:rsidR="009123AC" w:rsidRPr="00F0379B" w14:paraId="2E516B93" w14:textId="77777777" w:rsidTr="00CA749B">
        <w:trPr>
          <w:trHeight w:val="23"/>
        </w:trPr>
        <w:tc>
          <w:tcPr>
            <w:tcW w:w="2831" w:type="dxa"/>
            <w:tcBorders>
              <w:left w:val="single" w:sz="12" w:space="0" w:color="000000"/>
              <w:bottom w:val="single" w:sz="12" w:space="0" w:color="000000"/>
            </w:tcBorders>
            <w:vAlign w:val="center"/>
          </w:tcPr>
          <w:p w14:paraId="487FDC6F"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disponible</w:t>
            </w:r>
          </w:p>
        </w:tc>
        <w:tc>
          <w:tcPr>
            <w:tcW w:w="1230" w:type="dxa"/>
            <w:tcBorders>
              <w:bottom w:val="single" w:sz="12" w:space="0" w:color="000000"/>
            </w:tcBorders>
            <w:noWrap/>
            <w:vAlign w:val="center"/>
          </w:tcPr>
          <w:p w14:paraId="6C38598D" w14:textId="77777777" w:rsidR="009123AC" w:rsidRPr="00F0379B" w:rsidRDefault="009123AC" w:rsidP="009123AC">
            <w:pPr>
              <w:spacing w:after="0" w:line="240" w:lineRule="auto"/>
              <w:jc w:val="center"/>
              <w:rPr>
                <w:rFonts w:ascii="Cambria" w:eastAsia="Times New Roman" w:hAnsi="Cambria" w:cs="Calibri"/>
                <w:b/>
                <w:bCs/>
                <w:sz w:val="16"/>
                <w:szCs w:val="16"/>
                <w:lang w:eastAsia="ja-JP"/>
              </w:rPr>
            </w:pPr>
          </w:p>
        </w:tc>
        <w:tc>
          <w:tcPr>
            <w:tcW w:w="727" w:type="dxa"/>
            <w:tcBorders>
              <w:bottom w:val="single" w:sz="12" w:space="0" w:color="000000"/>
            </w:tcBorders>
            <w:vAlign w:val="center"/>
          </w:tcPr>
          <w:p w14:paraId="48D05E26"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tcBorders>
              <w:bottom w:val="single" w:sz="12" w:space="0" w:color="000000"/>
            </w:tcBorders>
            <w:noWrap/>
            <w:vAlign w:val="center"/>
          </w:tcPr>
          <w:p w14:paraId="7CB8AF3E"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tcBorders>
              <w:bottom w:val="single" w:sz="12" w:space="0" w:color="000000"/>
            </w:tcBorders>
            <w:vAlign w:val="center"/>
          </w:tcPr>
          <w:p w14:paraId="5427DCC0"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tcBorders>
              <w:bottom w:val="single" w:sz="12" w:space="0" w:color="000000"/>
            </w:tcBorders>
            <w:vAlign w:val="center"/>
          </w:tcPr>
          <w:p w14:paraId="184C9C13"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0" w:type="auto"/>
            <w:tcBorders>
              <w:bottom w:val="single" w:sz="12" w:space="0" w:color="000000"/>
            </w:tcBorders>
            <w:vAlign w:val="center"/>
          </w:tcPr>
          <w:p w14:paraId="4E0C5513"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0" w:type="auto"/>
            <w:tcBorders>
              <w:bottom w:val="single" w:sz="12" w:space="0" w:color="000000"/>
            </w:tcBorders>
            <w:vAlign w:val="center"/>
          </w:tcPr>
          <w:p w14:paraId="4A28A161"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0" w:type="auto"/>
            <w:tcBorders>
              <w:bottom w:val="single" w:sz="12" w:space="0" w:color="000000"/>
            </w:tcBorders>
            <w:vAlign w:val="center"/>
          </w:tcPr>
          <w:p w14:paraId="13C3DA29"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p>
        </w:tc>
        <w:tc>
          <w:tcPr>
            <w:tcW w:w="0" w:type="auto"/>
            <w:tcBorders>
              <w:bottom w:val="single" w:sz="12" w:space="0" w:color="000000"/>
            </w:tcBorders>
            <w:shd w:val="clear" w:color="000000" w:fill="D9D9D9"/>
            <w:vAlign w:val="center"/>
          </w:tcPr>
          <w:p w14:paraId="5B951B27"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0" w:type="auto"/>
            <w:tcBorders>
              <w:bottom w:val="single" w:sz="12" w:space="0" w:color="000000"/>
            </w:tcBorders>
            <w:vAlign w:val="center"/>
          </w:tcPr>
          <w:p w14:paraId="023F9338"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tcBorders>
              <w:bottom w:val="single" w:sz="12" w:space="0" w:color="000000"/>
            </w:tcBorders>
            <w:vAlign w:val="center"/>
          </w:tcPr>
          <w:p w14:paraId="5BFF7BF9" w14:textId="77777777" w:rsidR="009123AC" w:rsidRPr="00F0379B" w:rsidRDefault="009123AC" w:rsidP="009123AC">
            <w:pPr>
              <w:spacing w:after="0" w:line="240" w:lineRule="auto"/>
              <w:jc w:val="center"/>
              <w:rPr>
                <w:rFonts w:ascii="Cambria" w:eastAsia="Times New Roman" w:hAnsi="Cambria" w:cs="Calibri"/>
                <w:b/>
                <w:bCs/>
                <w:sz w:val="14"/>
                <w:szCs w:val="14"/>
                <w:lang w:eastAsia="ja-JP"/>
              </w:rPr>
            </w:pPr>
          </w:p>
        </w:tc>
        <w:tc>
          <w:tcPr>
            <w:tcW w:w="0" w:type="auto"/>
            <w:tcBorders>
              <w:bottom w:val="single" w:sz="12" w:space="0" w:color="000000"/>
            </w:tcBorders>
            <w:vAlign w:val="center"/>
          </w:tcPr>
          <w:p w14:paraId="7343D4E0"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0" w:type="auto"/>
            <w:tcBorders>
              <w:bottom w:val="single" w:sz="12" w:space="0" w:color="000000"/>
            </w:tcBorders>
            <w:noWrap/>
            <w:vAlign w:val="center"/>
          </w:tcPr>
          <w:p w14:paraId="0C4A88EB"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0" w:type="auto"/>
            <w:tcBorders>
              <w:bottom w:val="single" w:sz="12" w:space="0" w:color="000000"/>
            </w:tcBorders>
            <w:noWrap/>
            <w:vAlign w:val="center"/>
          </w:tcPr>
          <w:p w14:paraId="22735672"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0" w:type="auto"/>
            <w:tcBorders>
              <w:bottom w:val="single" w:sz="12" w:space="0" w:color="000000"/>
            </w:tcBorders>
            <w:noWrap/>
            <w:vAlign w:val="center"/>
          </w:tcPr>
          <w:p w14:paraId="3DC81A4C"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p>
        </w:tc>
        <w:tc>
          <w:tcPr>
            <w:tcW w:w="0" w:type="auto"/>
            <w:tcBorders>
              <w:bottom w:val="single" w:sz="12" w:space="0" w:color="000000"/>
              <w:right w:val="single" w:sz="12" w:space="0" w:color="000000"/>
            </w:tcBorders>
            <w:vAlign w:val="center"/>
          </w:tcPr>
          <w:p w14:paraId="40A5A901" w14:textId="77777777" w:rsidR="009123AC" w:rsidRPr="00F0379B" w:rsidRDefault="009123AC" w:rsidP="009123AC">
            <w:pPr>
              <w:spacing w:after="0" w:line="240" w:lineRule="auto"/>
              <w:jc w:val="center"/>
              <w:rPr>
                <w:rFonts w:ascii="Cambria" w:eastAsia="Times New Roman" w:hAnsi="Cambria" w:cs="Calibri"/>
                <w:b/>
                <w:bCs/>
                <w:sz w:val="14"/>
                <w:szCs w:val="14"/>
                <w:lang w:val="en-US" w:eastAsia="ja-JP"/>
              </w:rPr>
            </w:pPr>
            <w:r w:rsidRPr="00F0379B">
              <w:rPr>
                <w:rFonts w:ascii="Cambria" w:eastAsia="MS Gothic" w:hAnsi="Cambria" w:cs="Times New Roman"/>
                <w:color w:val="000000"/>
                <w:sz w:val="14"/>
                <w:szCs w:val="14"/>
                <w:rtl/>
                <w:lang w:eastAsia="fr-FR"/>
              </w:rPr>
              <w:t>3493</w:t>
            </w:r>
            <w:r w:rsidRPr="00F0379B">
              <w:rPr>
                <w:rFonts w:ascii="Cambria" w:eastAsia="MS Gothic" w:hAnsi="Cambria" w:cs="Times New Roman"/>
                <w:color w:val="000000"/>
                <w:sz w:val="14"/>
                <w:szCs w:val="14"/>
                <w:lang w:val="en-US" w:eastAsia="fr-FR"/>
              </w:rPr>
              <w:t>,</w:t>
            </w:r>
            <w:r w:rsidRPr="00F0379B">
              <w:rPr>
                <w:rFonts w:ascii="Cambria" w:eastAsia="MS Gothic" w:hAnsi="Cambria" w:cs="Times New Roman"/>
                <w:color w:val="000000"/>
                <w:sz w:val="14"/>
                <w:szCs w:val="14"/>
                <w:rtl/>
                <w:lang w:eastAsia="fr-FR"/>
              </w:rPr>
              <w:t>26</w:t>
            </w:r>
          </w:p>
        </w:tc>
      </w:tr>
      <w:tr w:rsidR="009123AC" w:rsidRPr="00F0379B" w14:paraId="3CF60C1C" w14:textId="77777777" w:rsidTr="00CA749B">
        <w:trPr>
          <w:trHeight w:val="23"/>
        </w:trPr>
        <w:tc>
          <w:tcPr>
            <w:tcW w:w="2831" w:type="dxa"/>
            <w:tcBorders>
              <w:top w:val="single" w:sz="12" w:space="0" w:color="000000"/>
              <w:left w:val="single" w:sz="12" w:space="0" w:color="000000"/>
              <w:bottom w:val="single" w:sz="12" w:space="0" w:color="000000"/>
            </w:tcBorders>
            <w:shd w:val="clear" w:color="auto" w:fill="D9D9D9"/>
            <w:noWrap/>
            <w:vAlign w:val="center"/>
            <w:hideMark/>
          </w:tcPr>
          <w:p w14:paraId="0498A293"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roofErr w:type="spellStart"/>
            <w:r w:rsidRPr="00F0379B">
              <w:rPr>
                <w:rFonts w:ascii="Cambria" w:eastAsia="MS Gothic" w:hAnsi="Cambria" w:cs="Times New Roman"/>
                <w:b/>
                <w:sz w:val="16"/>
                <w:szCs w:val="16"/>
                <w:lang w:eastAsia="fr-FR" w:bidi="fr-FR"/>
              </w:rPr>
              <w:t>Subcapacidad</w:t>
            </w:r>
            <w:proofErr w:type="spellEnd"/>
            <w:r w:rsidRPr="00F0379B">
              <w:rPr>
                <w:rFonts w:ascii="Cambria" w:eastAsia="MS Gothic" w:hAnsi="Cambria" w:cs="Times New Roman"/>
                <w:b/>
                <w:sz w:val="16"/>
                <w:szCs w:val="16"/>
                <w:lang w:eastAsia="fr-FR" w:bidi="fr-FR"/>
              </w:rPr>
              <w:t>/exceso de capacidad</w:t>
            </w:r>
          </w:p>
        </w:tc>
        <w:tc>
          <w:tcPr>
            <w:tcW w:w="1230" w:type="dxa"/>
            <w:tcBorders>
              <w:top w:val="single" w:sz="12" w:space="0" w:color="000000"/>
              <w:bottom w:val="single" w:sz="12" w:space="0" w:color="000000"/>
            </w:tcBorders>
            <w:shd w:val="clear" w:color="auto" w:fill="D9D9D9"/>
            <w:noWrap/>
            <w:vAlign w:val="center"/>
            <w:hideMark/>
          </w:tcPr>
          <w:p w14:paraId="6EA18F68"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p>
        </w:tc>
        <w:tc>
          <w:tcPr>
            <w:tcW w:w="727" w:type="dxa"/>
            <w:tcBorders>
              <w:top w:val="single" w:sz="12" w:space="0" w:color="000000"/>
              <w:bottom w:val="single" w:sz="12" w:space="0" w:color="000000"/>
            </w:tcBorders>
            <w:shd w:val="clear" w:color="auto" w:fill="D9D9D9"/>
            <w:vAlign w:val="center"/>
          </w:tcPr>
          <w:p w14:paraId="470776DA"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0" w:type="auto"/>
            <w:tcBorders>
              <w:top w:val="single" w:sz="12" w:space="0" w:color="000000"/>
              <w:bottom w:val="single" w:sz="12" w:space="0" w:color="000000"/>
            </w:tcBorders>
            <w:shd w:val="clear" w:color="auto" w:fill="D9D9D9"/>
            <w:noWrap/>
            <w:vAlign w:val="center"/>
          </w:tcPr>
          <w:p w14:paraId="04675C98"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p>
        </w:tc>
        <w:tc>
          <w:tcPr>
            <w:tcW w:w="0" w:type="auto"/>
            <w:tcBorders>
              <w:top w:val="single" w:sz="12" w:space="0" w:color="000000"/>
              <w:bottom w:val="single" w:sz="12" w:space="0" w:color="000000"/>
            </w:tcBorders>
            <w:shd w:val="clear" w:color="auto" w:fill="D9D9D9"/>
            <w:vAlign w:val="center"/>
          </w:tcPr>
          <w:p w14:paraId="0C57ED11"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p>
        </w:tc>
        <w:tc>
          <w:tcPr>
            <w:tcW w:w="0" w:type="auto"/>
            <w:tcBorders>
              <w:top w:val="single" w:sz="12" w:space="0" w:color="000000"/>
              <w:bottom w:val="single" w:sz="12" w:space="0" w:color="000000"/>
            </w:tcBorders>
            <w:shd w:val="clear" w:color="auto" w:fill="D9D9D9"/>
            <w:vAlign w:val="center"/>
          </w:tcPr>
          <w:p w14:paraId="242E6158"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p>
        </w:tc>
        <w:tc>
          <w:tcPr>
            <w:tcW w:w="0" w:type="auto"/>
            <w:tcBorders>
              <w:top w:val="single" w:sz="12" w:space="0" w:color="000000"/>
              <w:bottom w:val="single" w:sz="12" w:space="0" w:color="000000"/>
            </w:tcBorders>
            <w:shd w:val="clear" w:color="auto" w:fill="D9D9D9"/>
            <w:vAlign w:val="center"/>
          </w:tcPr>
          <w:p w14:paraId="22594157"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p>
        </w:tc>
        <w:tc>
          <w:tcPr>
            <w:tcW w:w="0" w:type="auto"/>
            <w:tcBorders>
              <w:top w:val="single" w:sz="12" w:space="0" w:color="000000"/>
              <w:bottom w:val="single" w:sz="12" w:space="0" w:color="000000"/>
            </w:tcBorders>
            <w:shd w:val="clear" w:color="auto" w:fill="D9D9D9"/>
            <w:vAlign w:val="center"/>
          </w:tcPr>
          <w:p w14:paraId="552C6E50"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0" w:type="auto"/>
            <w:tcBorders>
              <w:top w:val="single" w:sz="12" w:space="0" w:color="000000"/>
              <w:bottom w:val="single" w:sz="12" w:space="0" w:color="000000"/>
            </w:tcBorders>
            <w:shd w:val="clear" w:color="auto" w:fill="D9D9D9"/>
            <w:vAlign w:val="center"/>
          </w:tcPr>
          <w:p w14:paraId="2490C662"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0" w:type="auto"/>
            <w:tcBorders>
              <w:top w:val="single" w:sz="12" w:space="0" w:color="000000"/>
              <w:bottom w:val="single" w:sz="12" w:space="0" w:color="000000"/>
            </w:tcBorders>
            <w:shd w:val="clear" w:color="auto" w:fill="D9D9D9"/>
            <w:vAlign w:val="center"/>
          </w:tcPr>
          <w:p w14:paraId="611776D7"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p>
        </w:tc>
        <w:tc>
          <w:tcPr>
            <w:tcW w:w="0" w:type="auto"/>
            <w:tcBorders>
              <w:top w:val="single" w:sz="12" w:space="0" w:color="000000"/>
              <w:bottom w:val="single" w:sz="12" w:space="0" w:color="000000"/>
            </w:tcBorders>
            <w:shd w:val="clear" w:color="auto" w:fill="D9D9D9"/>
            <w:vAlign w:val="center"/>
          </w:tcPr>
          <w:p w14:paraId="5C36FCC1" w14:textId="77777777" w:rsidR="009123AC" w:rsidRPr="00F0379B" w:rsidRDefault="009123AC" w:rsidP="009123AC">
            <w:pPr>
              <w:spacing w:after="0" w:line="240" w:lineRule="auto"/>
              <w:jc w:val="center"/>
              <w:rPr>
                <w:rFonts w:ascii="Cambria" w:eastAsia="Times New Roman" w:hAnsi="Cambria" w:cs="Calibri"/>
                <w:sz w:val="14"/>
                <w:szCs w:val="14"/>
                <w:lang w:eastAsia="ja-JP"/>
              </w:rPr>
            </w:pPr>
            <w:r w:rsidRPr="00F0379B">
              <w:rPr>
                <w:rFonts w:ascii="Cambria" w:eastAsia="Times New Roman" w:hAnsi="Cambria" w:cs="Calibri"/>
                <w:b/>
                <w:bCs/>
                <w:sz w:val="14"/>
                <w:szCs w:val="14"/>
                <w:lang w:eastAsia="fr-FR" w:bidi="fr-FR"/>
              </w:rPr>
              <w:t>-815,700</w:t>
            </w:r>
          </w:p>
        </w:tc>
        <w:tc>
          <w:tcPr>
            <w:tcW w:w="0" w:type="auto"/>
            <w:tcBorders>
              <w:top w:val="single" w:sz="12" w:space="0" w:color="000000"/>
              <w:bottom w:val="single" w:sz="12" w:space="0" w:color="000000"/>
            </w:tcBorders>
            <w:shd w:val="clear" w:color="auto" w:fill="D9D9D9"/>
            <w:vAlign w:val="center"/>
          </w:tcPr>
          <w:p w14:paraId="448B7279"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b/>
                <w:bCs/>
                <w:sz w:val="14"/>
                <w:szCs w:val="14"/>
                <w:lang w:eastAsia="fr-FR"/>
              </w:rPr>
              <w:t>-555,180</w:t>
            </w:r>
          </w:p>
        </w:tc>
        <w:tc>
          <w:tcPr>
            <w:tcW w:w="0" w:type="auto"/>
            <w:tcBorders>
              <w:top w:val="single" w:sz="12" w:space="0" w:color="000000"/>
              <w:bottom w:val="single" w:sz="12" w:space="0" w:color="000000"/>
            </w:tcBorders>
            <w:shd w:val="clear" w:color="auto" w:fill="D9D9D9"/>
            <w:vAlign w:val="center"/>
          </w:tcPr>
          <w:p w14:paraId="34B3573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b/>
                <w:bCs/>
                <w:sz w:val="14"/>
                <w:szCs w:val="14"/>
                <w:lang w:eastAsia="fr-FR" w:bidi="fr-FR"/>
              </w:rPr>
              <w:t>-380,79</w:t>
            </w:r>
          </w:p>
        </w:tc>
        <w:tc>
          <w:tcPr>
            <w:tcW w:w="0" w:type="auto"/>
            <w:tcBorders>
              <w:top w:val="single" w:sz="12" w:space="0" w:color="000000"/>
              <w:bottom w:val="single" w:sz="12" w:space="0" w:color="000000"/>
            </w:tcBorders>
            <w:shd w:val="clear" w:color="auto" w:fill="D9D9D9"/>
            <w:vAlign w:val="center"/>
          </w:tcPr>
          <w:p w14:paraId="5F248E00"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b/>
                <w:bCs/>
                <w:sz w:val="14"/>
                <w:szCs w:val="14"/>
                <w:lang w:eastAsia="fr-FR"/>
              </w:rPr>
              <w:t>-623.880</w:t>
            </w:r>
          </w:p>
        </w:tc>
        <w:tc>
          <w:tcPr>
            <w:tcW w:w="0" w:type="auto"/>
            <w:tcBorders>
              <w:top w:val="single" w:sz="12" w:space="0" w:color="000000"/>
              <w:bottom w:val="single" w:sz="12" w:space="0" w:color="000000"/>
            </w:tcBorders>
            <w:shd w:val="clear" w:color="auto" w:fill="D9D9D9"/>
            <w:vAlign w:val="center"/>
          </w:tcPr>
          <w:p w14:paraId="18686D5E"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b/>
                <w:bCs/>
                <w:sz w:val="14"/>
                <w:szCs w:val="14"/>
                <w:lang w:eastAsia="fr-FR"/>
              </w:rPr>
              <w:t>-456,780</w:t>
            </w:r>
          </w:p>
        </w:tc>
        <w:tc>
          <w:tcPr>
            <w:tcW w:w="0" w:type="auto"/>
            <w:tcBorders>
              <w:top w:val="single" w:sz="12" w:space="0" w:color="000000"/>
              <w:bottom w:val="single" w:sz="12" w:space="0" w:color="000000"/>
            </w:tcBorders>
            <w:shd w:val="clear" w:color="auto" w:fill="D9D9D9"/>
            <w:vAlign w:val="center"/>
          </w:tcPr>
          <w:p w14:paraId="7938810B" w14:textId="77777777" w:rsidR="009123AC" w:rsidRPr="00F0379B" w:rsidRDefault="009123AC" w:rsidP="009123AC">
            <w:pPr>
              <w:spacing w:after="0" w:line="240" w:lineRule="auto"/>
              <w:jc w:val="center"/>
              <w:rPr>
                <w:rFonts w:ascii="Cambria" w:eastAsia="Times New Roman" w:hAnsi="Cambria" w:cs="Calibri"/>
                <w:sz w:val="14"/>
                <w:szCs w:val="14"/>
                <w:lang w:eastAsia="fr-FR" w:bidi="fr-FR"/>
              </w:rPr>
            </w:pPr>
            <w:r w:rsidRPr="00F0379B">
              <w:rPr>
                <w:rFonts w:ascii="Cambria" w:eastAsia="Times New Roman" w:hAnsi="Cambria" w:cs="Calibri"/>
                <w:b/>
                <w:bCs/>
                <w:sz w:val="14"/>
                <w:szCs w:val="14"/>
                <w:lang w:eastAsia="fr-FR"/>
              </w:rPr>
              <w:t>-24,18</w:t>
            </w:r>
          </w:p>
        </w:tc>
        <w:tc>
          <w:tcPr>
            <w:tcW w:w="0" w:type="auto"/>
            <w:tcBorders>
              <w:top w:val="single" w:sz="12" w:space="0" w:color="000000"/>
              <w:bottom w:val="single" w:sz="12" w:space="0" w:color="000000"/>
              <w:right w:val="single" w:sz="12" w:space="0" w:color="000000"/>
            </w:tcBorders>
            <w:shd w:val="clear" w:color="auto" w:fill="D9D9D9"/>
          </w:tcPr>
          <w:p w14:paraId="07BB714B" w14:textId="77777777" w:rsidR="009123AC" w:rsidRPr="00F0379B" w:rsidRDefault="009123AC" w:rsidP="009123AC">
            <w:pPr>
              <w:spacing w:after="0" w:line="240" w:lineRule="auto"/>
              <w:jc w:val="center"/>
              <w:rPr>
                <w:rFonts w:ascii="Cambria" w:eastAsia="Times New Roman" w:hAnsi="Cambria" w:cs="Calibri"/>
                <w:sz w:val="14"/>
                <w:szCs w:val="14"/>
                <w:lang w:val="en-US" w:eastAsia="ja-JP"/>
              </w:rPr>
            </w:pPr>
            <w:r w:rsidRPr="00F0379B">
              <w:rPr>
                <w:rFonts w:ascii="Cambria" w:eastAsia="Times New Roman" w:hAnsi="Cambria" w:cs="Calibri"/>
                <w:b/>
                <w:bCs/>
                <w:sz w:val="12"/>
                <w:szCs w:val="12"/>
                <w:lang w:eastAsia="fr-FR"/>
              </w:rPr>
              <w:t>-128,58</w:t>
            </w:r>
          </w:p>
        </w:tc>
      </w:tr>
    </w:tbl>
    <w:p w14:paraId="463B5B0C" w14:textId="77777777" w:rsidR="009123AC" w:rsidRPr="00F0379B" w:rsidRDefault="009123AC" w:rsidP="009123AC">
      <w:pPr>
        <w:spacing w:after="0" w:line="240" w:lineRule="auto"/>
        <w:ind w:left="840"/>
        <w:jc w:val="both"/>
        <w:rPr>
          <w:rFonts w:ascii="Cambria" w:eastAsia="MS Gothic" w:hAnsi="Cambria" w:cs="Times New Roman"/>
          <w:sz w:val="16"/>
          <w:szCs w:val="16"/>
          <w:lang w:eastAsia="fr-FR" w:bidi="fr-FR"/>
        </w:rPr>
      </w:pPr>
    </w:p>
    <w:p w14:paraId="6E20C322" w14:textId="77777777" w:rsidR="009123AC" w:rsidRPr="00F0379B" w:rsidRDefault="009123AC" w:rsidP="009123AC">
      <w:pPr>
        <w:spacing w:after="0" w:line="240" w:lineRule="auto"/>
        <w:ind w:left="840"/>
        <w:jc w:val="both"/>
        <w:rPr>
          <w:rFonts w:ascii="Cambria" w:eastAsia="MS Gothic" w:hAnsi="Cambria" w:cs="Times New Roman"/>
          <w:sz w:val="16"/>
          <w:szCs w:val="16"/>
          <w:lang w:eastAsia="fr-FR" w:bidi="fr-FR"/>
        </w:rPr>
      </w:pPr>
    </w:p>
    <w:p w14:paraId="79EADF24" w14:textId="77777777" w:rsidR="009123AC" w:rsidRPr="00F0379B" w:rsidRDefault="009123AC" w:rsidP="009123AC">
      <w:pPr>
        <w:spacing w:after="0" w:line="240" w:lineRule="auto"/>
        <w:rPr>
          <w:rFonts w:ascii="Cambria" w:eastAsia="MS Gothic" w:hAnsi="Cambria" w:cs="Times New Roman"/>
          <w:b/>
          <w:bCs/>
          <w:sz w:val="20"/>
          <w:szCs w:val="20"/>
          <w:lang w:eastAsia="fr-FR" w:bidi="fr-FR"/>
        </w:rPr>
      </w:pPr>
      <w:r w:rsidRPr="00F0379B">
        <w:rPr>
          <w:rFonts w:ascii="Times New Roman" w:eastAsia="MS Gothic" w:hAnsi="Times New Roman" w:cs="Times New Roman"/>
          <w:color w:val="000000"/>
          <w:sz w:val="24"/>
          <w:szCs w:val="24"/>
          <w:lang w:eastAsia="fr-FR" w:bidi="fr-FR"/>
        </w:rPr>
        <w:br w:type="page"/>
      </w:r>
    </w:p>
    <w:p w14:paraId="427F6895" w14:textId="77777777" w:rsidR="009123AC" w:rsidRPr="00F0379B" w:rsidRDefault="009123AC" w:rsidP="009123AC">
      <w:pPr>
        <w:spacing w:after="0" w:line="240" w:lineRule="auto"/>
        <w:ind w:left="840" w:hanging="840"/>
        <w:jc w:val="center"/>
        <w:rPr>
          <w:rFonts w:ascii="Cambria" w:eastAsia="MS Gothic" w:hAnsi="Cambria" w:cs="Times New Roman"/>
          <w:b/>
          <w:bCs/>
          <w:sz w:val="20"/>
          <w:szCs w:val="20"/>
          <w:lang w:eastAsia="fr-FR" w:bidi="fr-FR"/>
        </w:rPr>
      </w:pPr>
      <w:r w:rsidRPr="00F0379B">
        <w:rPr>
          <w:rFonts w:ascii="Cambria" w:eastAsia="MS Gothic" w:hAnsi="Cambria" w:cs="Times New Roman"/>
          <w:b/>
          <w:bCs/>
          <w:sz w:val="20"/>
          <w:szCs w:val="20"/>
          <w:lang w:eastAsia="fr-FR" w:bidi="fr-FR"/>
        </w:rPr>
        <w:t>Ajuste de la capacidad de engorde para Túnez (2026)</w:t>
      </w:r>
    </w:p>
    <w:p w14:paraId="2CDBE363" w14:textId="77777777" w:rsidR="009123AC" w:rsidRPr="00F0379B" w:rsidRDefault="009123AC" w:rsidP="009123AC">
      <w:pPr>
        <w:spacing w:after="0" w:line="240" w:lineRule="auto"/>
        <w:rPr>
          <w:rFonts w:ascii="Cambria" w:eastAsia="MS Gothic" w:hAnsi="Cambria" w:cs="Times New Roman"/>
          <w:sz w:val="20"/>
          <w:szCs w:val="20"/>
          <w:lang w:eastAsia="fr-FR" w:bidi="fr-FR"/>
        </w:rPr>
      </w:pPr>
    </w:p>
    <w:tbl>
      <w:tblPr>
        <w:tblW w:w="13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2145"/>
        <w:gridCol w:w="2738"/>
        <w:gridCol w:w="3128"/>
        <w:gridCol w:w="2101"/>
        <w:gridCol w:w="1978"/>
      </w:tblGrid>
      <w:tr w:rsidR="009123AC" w:rsidRPr="00F0379B" w14:paraId="2D25F77B" w14:textId="77777777" w:rsidTr="00CA749B">
        <w:trPr>
          <w:trHeight w:val="667"/>
        </w:trPr>
        <w:tc>
          <w:tcPr>
            <w:tcW w:w="1790" w:type="dxa"/>
            <w:vAlign w:val="center"/>
          </w:tcPr>
          <w:p w14:paraId="0AAF1CD8" w14:textId="77777777" w:rsidR="009123AC" w:rsidRPr="00F0379B" w:rsidRDefault="009123AC" w:rsidP="009123AC">
            <w:pPr>
              <w:widowControl w:val="0"/>
              <w:spacing w:after="0" w:line="240" w:lineRule="auto"/>
              <w:jc w:val="center"/>
              <w:rPr>
                <w:rFonts w:ascii="Cambria" w:eastAsia="MS Gothic" w:hAnsi="Cambria" w:cs="Times New Roman"/>
                <w:bCs/>
                <w:i/>
                <w:sz w:val="20"/>
                <w:szCs w:val="20"/>
                <w:lang w:eastAsia="fr-FR" w:bidi="fr-FR"/>
              </w:rPr>
            </w:pPr>
            <w:r w:rsidRPr="00F0379B">
              <w:rPr>
                <w:rFonts w:ascii="Cambria" w:eastAsia="MS Gothic" w:hAnsi="Cambria" w:cs="Times New Roman"/>
                <w:bCs/>
                <w:i/>
                <w:sz w:val="20"/>
                <w:szCs w:val="20"/>
                <w:lang w:eastAsia="fr-FR" w:bidi="fr-FR"/>
              </w:rPr>
              <w:t>Nombre de la granja</w:t>
            </w:r>
          </w:p>
        </w:tc>
        <w:tc>
          <w:tcPr>
            <w:tcW w:w="2145" w:type="dxa"/>
            <w:vAlign w:val="center"/>
          </w:tcPr>
          <w:p w14:paraId="7AF22FB4" w14:textId="77777777" w:rsidR="009123AC" w:rsidRPr="00F0379B" w:rsidRDefault="009123AC" w:rsidP="009123AC">
            <w:pPr>
              <w:widowControl w:val="0"/>
              <w:spacing w:after="0" w:line="240" w:lineRule="auto"/>
              <w:jc w:val="center"/>
              <w:rPr>
                <w:rFonts w:ascii="Cambria" w:eastAsia="MS Gothic" w:hAnsi="Cambria" w:cs="Times New Roman"/>
                <w:bCs/>
                <w:i/>
                <w:sz w:val="20"/>
                <w:szCs w:val="20"/>
                <w:lang w:eastAsia="fr-FR" w:bidi="fr-FR"/>
              </w:rPr>
            </w:pPr>
            <w:proofErr w:type="spellStart"/>
            <w:r w:rsidRPr="00F0379B">
              <w:rPr>
                <w:rFonts w:ascii="Cambria" w:eastAsia="MS Gothic" w:hAnsi="Cambria" w:cs="Times New Roman"/>
                <w:bCs/>
                <w:i/>
                <w:sz w:val="20"/>
                <w:szCs w:val="20"/>
                <w:lang w:eastAsia="fr-FR" w:bidi="fr-FR"/>
              </w:rPr>
              <w:t>Nº</w:t>
            </w:r>
            <w:proofErr w:type="spellEnd"/>
            <w:r w:rsidRPr="00F0379B">
              <w:rPr>
                <w:rFonts w:ascii="Cambria" w:eastAsia="MS Gothic" w:hAnsi="Cambria" w:cs="Times New Roman"/>
                <w:bCs/>
                <w:i/>
                <w:sz w:val="20"/>
                <w:szCs w:val="20"/>
                <w:lang w:eastAsia="fr-FR" w:bidi="fr-FR"/>
              </w:rPr>
              <w:t xml:space="preserve"> ICCAT</w:t>
            </w:r>
          </w:p>
        </w:tc>
        <w:tc>
          <w:tcPr>
            <w:tcW w:w="2738" w:type="dxa"/>
            <w:vAlign w:val="center"/>
          </w:tcPr>
          <w:p w14:paraId="381D1729" w14:textId="77777777" w:rsidR="009123AC" w:rsidRPr="00F0379B" w:rsidRDefault="009123AC" w:rsidP="009123AC">
            <w:pPr>
              <w:widowControl w:val="0"/>
              <w:spacing w:after="0" w:line="240" w:lineRule="auto"/>
              <w:jc w:val="center"/>
              <w:rPr>
                <w:rFonts w:ascii="Cambria" w:eastAsia="MS Gothic" w:hAnsi="Cambria" w:cs="Times New Roman"/>
                <w:bCs/>
                <w:i/>
                <w:sz w:val="20"/>
                <w:szCs w:val="20"/>
                <w:lang w:eastAsia="fr-FR" w:bidi="fr-FR"/>
              </w:rPr>
            </w:pPr>
            <w:r w:rsidRPr="00F0379B">
              <w:rPr>
                <w:rFonts w:ascii="Cambria" w:eastAsia="MS Gothic" w:hAnsi="Cambria" w:cs="Times New Roman"/>
                <w:bCs/>
                <w:i/>
                <w:sz w:val="20"/>
                <w:szCs w:val="20"/>
                <w:lang w:eastAsia="fr-FR" w:bidi="fr-FR"/>
              </w:rPr>
              <w:t>Gerencia del establecimiento</w:t>
            </w:r>
          </w:p>
        </w:tc>
        <w:tc>
          <w:tcPr>
            <w:tcW w:w="3128" w:type="dxa"/>
            <w:vAlign w:val="center"/>
          </w:tcPr>
          <w:p w14:paraId="4F0E42A8" w14:textId="77777777" w:rsidR="009123AC" w:rsidRPr="00F0379B" w:rsidRDefault="009123AC" w:rsidP="009123AC">
            <w:pPr>
              <w:widowControl w:val="0"/>
              <w:spacing w:after="0" w:line="240" w:lineRule="auto"/>
              <w:jc w:val="center"/>
              <w:rPr>
                <w:rFonts w:ascii="Cambria" w:eastAsia="MS Gothic" w:hAnsi="Cambria" w:cs="Times New Roman"/>
                <w:bCs/>
                <w:i/>
                <w:sz w:val="20"/>
                <w:szCs w:val="20"/>
                <w:lang w:eastAsia="fr-FR" w:bidi="fr-FR"/>
              </w:rPr>
            </w:pPr>
            <w:r w:rsidRPr="00F0379B">
              <w:rPr>
                <w:rFonts w:ascii="Cambria" w:eastAsia="MS Gothic" w:hAnsi="Cambria" w:cs="Times New Roman"/>
                <w:bCs/>
                <w:i/>
                <w:sz w:val="20"/>
                <w:szCs w:val="20"/>
                <w:lang w:eastAsia="fr-FR" w:bidi="fr-FR"/>
              </w:rPr>
              <w:t>Detalles de contacto de la granja</w:t>
            </w:r>
          </w:p>
        </w:tc>
        <w:tc>
          <w:tcPr>
            <w:tcW w:w="2101" w:type="dxa"/>
            <w:vAlign w:val="center"/>
          </w:tcPr>
          <w:p w14:paraId="711FFACC" w14:textId="77777777" w:rsidR="009123AC" w:rsidRPr="00F0379B" w:rsidRDefault="009123AC" w:rsidP="009123AC">
            <w:pPr>
              <w:widowControl w:val="0"/>
              <w:spacing w:after="0" w:line="240" w:lineRule="auto"/>
              <w:jc w:val="center"/>
              <w:rPr>
                <w:rFonts w:ascii="Cambria" w:eastAsia="MS Gothic" w:hAnsi="Cambria" w:cs="Times New Roman"/>
                <w:bCs/>
                <w:i/>
                <w:sz w:val="20"/>
                <w:szCs w:val="20"/>
                <w:lang w:eastAsia="fr-FR" w:bidi="fr-FR"/>
              </w:rPr>
            </w:pPr>
            <w:r w:rsidRPr="00F0379B">
              <w:rPr>
                <w:rFonts w:ascii="Cambria" w:eastAsia="MS Gothic" w:hAnsi="Cambria" w:cs="Times New Roman"/>
                <w:bCs/>
                <w:i/>
                <w:sz w:val="20"/>
                <w:szCs w:val="20"/>
                <w:lang w:eastAsia="fr-FR" w:bidi="fr-FR"/>
              </w:rPr>
              <w:t xml:space="preserve">Entrada en estado salvaje </w:t>
            </w:r>
          </w:p>
          <w:p w14:paraId="72E56728" w14:textId="77777777" w:rsidR="009123AC" w:rsidRPr="00F0379B" w:rsidRDefault="009123AC" w:rsidP="009123AC">
            <w:pPr>
              <w:widowControl w:val="0"/>
              <w:spacing w:after="0" w:line="240" w:lineRule="auto"/>
              <w:jc w:val="center"/>
              <w:rPr>
                <w:rFonts w:ascii="Cambria" w:eastAsia="MS Gothic" w:hAnsi="Cambria" w:cs="Times New Roman"/>
                <w:bCs/>
                <w:i/>
                <w:sz w:val="20"/>
                <w:szCs w:val="20"/>
                <w:lang w:eastAsia="fr-FR" w:bidi="fr-FR"/>
              </w:rPr>
            </w:pPr>
            <w:r w:rsidRPr="00F0379B">
              <w:rPr>
                <w:rFonts w:ascii="Cambria" w:eastAsia="MS Gothic" w:hAnsi="Cambria" w:cs="Times New Roman"/>
                <w:bCs/>
                <w:i/>
                <w:sz w:val="20"/>
                <w:szCs w:val="20"/>
                <w:lang w:eastAsia="fr-FR" w:bidi="fr-FR"/>
              </w:rPr>
              <w:t xml:space="preserve">(t) </w:t>
            </w:r>
          </w:p>
        </w:tc>
        <w:tc>
          <w:tcPr>
            <w:tcW w:w="1978" w:type="dxa"/>
            <w:vAlign w:val="center"/>
          </w:tcPr>
          <w:p w14:paraId="65B35DE5" w14:textId="77777777" w:rsidR="009123AC" w:rsidRPr="00F0379B" w:rsidRDefault="009123AC" w:rsidP="009123AC">
            <w:pPr>
              <w:widowControl w:val="0"/>
              <w:spacing w:after="0" w:line="240" w:lineRule="auto"/>
              <w:jc w:val="center"/>
              <w:rPr>
                <w:rFonts w:ascii="Cambria" w:eastAsia="MS Gothic" w:hAnsi="Cambria" w:cs="Times New Roman"/>
                <w:bCs/>
                <w:i/>
                <w:sz w:val="20"/>
                <w:szCs w:val="20"/>
                <w:lang w:eastAsia="fr-FR" w:bidi="fr-FR"/>
              </w:rPr>
            </w:pPr>
            <w:r w:rsidRPr="00F0379B">
              <w:rPr>
                <w:rFonts w:ascii="Cambria" w:eastAsia="MS Gothic" w:hAnsi="Cambria" w:cs="Times New Roman"/>
                <w:bCs/>
                <w:i/>
                <w:sz w:val="20"/>
                <w:szCs w:val="20"/>
                <w:lang w:eastAsia="fr-FR" w:bidi="fr-FR"/>
              </w:rPr>
              <w:t>Capacidad de engorde (t)</w:t>
            </w:r>
          </w:p>
        </w:tc>
      </w:tr>
      <w:tr w:rsidR="009123AC" w:rsidRPr="00F0379B" w14:paraId="0B95985D" w14:textId="77777777" w:rsidTr="00CA749B">
        <w:trPr>
          <w:trHeight w:val="113"/>
        </w:trPr>
        <w:tc>
          <w:tcPr>
            <w:tcW w:w="1790" w:type="dxa"/>
            <w:vMerge w:val="restart"/>
            <w:vAlign w:val="center"/>
          </w:tcPr>
          <w:p w14:paraId="2493E2A2"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b/>
                <w:bCs/>
                <w:color w:val="000000"/>
                <w:sz w:val="20"/>
                <w:szCs w:val="20"/>
                <w:lang w:eastAsia="fr-FR" w:bidi="fr-FR"/>
              </w:rPr>
              <w:t>VMT</w:t>
            </w:r>
          </w:p>
        </w:tc>
        <w:tc>
          <w:tcPr>
            <w:tcW w:w="2145" w:type="dxa"/>
            <w:vMerge w:val="restart"/>
            <w:vAlign w:val="center"/>
          </w:tcPr>
          <w:p w14:paraId="586A1620"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AT001TUN00001</w:t>
            </w:r>
          </w:p>
        </w:tc>
        <w:tc>
          <w:tcPr>
            <w:tcW w:w="2738" w:type="dxa"/>
            <w:vMerge w:val="restart"/>
            <w:vAlign w:val="center"/>
          </w:tcPr>
          <w:p w14:paraId="78DFA915" w14:textId="77777777" w:rsidR="009123AC" w:rsidRPr="00F0379B" w:rsidRDefault="009123AC" w:rsidP="009123AC">
            <w:pPr>
              <w:widowControl w:val="0"/>
              <w:shd w:val="clear" w:color="auto" w:fill="FFFFFF"/>
              <w:spacing w:after="0" w:line="240" w:lineRule="auto"/>
              <w:rPr>
                <w:rFonts w:ascii="Cambria" w:eastAsia="MS Gothic" w:hAnsi="Cambria" w:cs="Times New Roman"/>
                <w:b/>
                <w:bCs/>
                <w:color w:val="000000"/>
                <w:sz w:val="20"/>
                <w:szCs w:val="20"/>
                <w:lang w:eastAsia="fr-FR" w:bidi="fr-FR"/>
              </w:rPr>
            </w:pPr>
            <w:r w:rsidRPr="00F0379B">
              <w:rPr>
                <w:rFonts w:ascii="Cambria" w:eastAsia="MS Gothic" w:hAnsi="Cambria" w:cs="Times New Roman"/>
                <w:b/>
                <w:bCs/>
                <w:color w:val="000000"/>
                <w:sz w:val="20"/>
                <w:szCs w:val="20"/>
                <w:lang w:eastAsia="fr-FR" w:bidi="fr-FR"/>
              </w:rPr>
              <w:t xml:space="preserve">VMT </w:t>
            </w:r>
          </w:p>
          <w:p w14:paraId="37667434"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 xml:space="preserve">Sahbi </w:t>
            </w:r>
            <w:proofErr w:type="spellStart"/>
            <w:r w:rsidRPr="00F0379B">
              <w:rPr>
                <w:rFonts w:ascii="Cambria" w:eastAsia="MS Gothic" w:hAnsi="Cambria" w:cs="Times New Roman"/>
                <w:color w:val="000000"/>
                <w:sz w:val="20"/>
                <w:szCs w:val="20"/>
                <w:lang w:eastAsia="fr-FR" w:bidi="fr-FR"/>
              </w:rPr>
              <w:t>Sallem</w:t>
            </w:r>
            <w:proofErr w:type="spellEnd"/>
          </w:p>
        </w:tc>
        <w:tc>
          <w:tcPr>
            <w:tcW w:w="3128" w:type="dxa"/>
            <w:vAlign w:val="center"/>
          </w:tcPr>
          <w:p w14:paraId="7084C62E"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36°00’18’’N - 10°34’ 36’’E</w:t>
            </w:r>
          </w:p>
        </w:tc>
        <w:tc>
          <w:tcPr>
            <w:tcW w:w="2101" w:type="dxa"/>
            <w:vMerge w:val="restart"/>
            <w:vAlign w:val="center"/>
          </w:tcPr>
          <w:p w14:paraId="30B3C401"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850</w:t>
            </w:r>
          </w:p>
        </w:tc>
        <w:tc>
          <w:tcPr>
            <w:tcW w:w="1978" w:type="dxa"/>
            <w:vMerge w:val="restart"/>
            <w:vAlign w:val="center"/>
          </w:tcPr>
          <w:p w14:paraId="7B73266A"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1.700</w:t>
            </w:r>
          </w:p>
        </w:tc>
      </w:tr>
      <w:tr w:rsidR="009123AC" w:rsidRPr="00F0379B" w14:paraId="2B05AE95" w14:textId="77777777" w:rsidTr="00CA749B">
        <w:trPr>
          <w:trHeight w:val="111"/>
        </w:trPr>
        <w:tc>
          <w:tcPr>
            <w:tcW w:w="1790" w:type="dxa"/>
            <w:vMerge/>
            <w:vAlign w:val="center"/>
          </w:tcPr>
          <w:p w14:paraId="0502D1F9"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145" w:type="dxa"/>
            <w:vMerge/>
            <w:vAlign w:val="center"/>
          </w:tcPr>
          <w:p w14:paraId="583DFB0C"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5CD4E109"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tc>
        <w:tc>
          <w:tcPr>
            <w:tcW w:w="3128" w:type="dxa"/>
            <w:vAlign w:val="center"/>
          </w:tcPr>
          <w:p w14:paraId="6DCA02C3"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36°00’18’’N - 10°34’ 55’’E</w:t>
            </w:r>
          </w:p>
        </w:tc>
        <w:tc>
          <w:tcPr>
            <w:tcW w:w="2101" w:type="dxa"/>
            <w:vMerge/>
            <w:vAlign w:val="center"/>
          </w:tcPr>
          <w:p w14:paraId="79D8F3A3"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c>
          <w:tcPr>
            <w:tcW w:w="1978" w:type="dxa"/>
            <w:vMerge/>
            <w:vAlign w:val="center"/>
          </w:tcPr>
          <w:p w14:paraId="1307BDB6"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p>
        </w:tc>
      </w:tr>
      <w:tr w:rsidR="009123AC" w:rsidRPr="00F0379B" w14:paraId="2C5F7F93" w14:textId="77777777" w:rsidTr="00CA749B">
        <w:trPr>
          <w:trHeight w:val="111"/>
        </w:trPr>
        <w:tc>
          <w:tcPr>
            <w:tcW w:w="1790" w:type="dxa"/>
            <w:vMerge/>
            <w:vAlign w:val="center"/>
          </w:tcPr>
          <w:p w14:paraId="14075E34"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145" w:type="dxa"/>
            <w:vMerge/>
            <w:vAlign w:val="center"/>
          </w:tcPr>
          <w:p w14:paraId="79B59CB8"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474A4903"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tc>
        <w:tc>
          <w:tcPr>
            <w:tcW w:w="3128" w:type="dxa"/>
            <w:vAlign w:val="center"/>
          </w:tcPr>
          <w:p w14:paraId="07DFCFD6"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36°00’15’’N - 10°34’ 00’’E</w:t>
            </w:r>
          </w:p>
        </w:tc>
        <w:tc>
          <w:tcPr>
            <w:tcW w:w="2101" w:type="dxa"/>
            <w:vMerge/>
            <w:vAlign w:val="center"/>
          </w:tcPr>
          <w:p w14:paraId="3034ECC1"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c>
          <w:tcPr>
            <w:tcW w:w="1978" w:type="dxa"/>
            <w:vMerge/>
            <w:vAlign w:val="center"/>
          </w:tcPr>
          <w:p w14:paraId="796B81CD"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p>
        </w:tc>
      </w:tr>
      <w:tr w:rsidR="009123AC" w:rsidRPr="00F0379B" w14:paraId="096A7328" w14:textId="77777777" w:rsidTr="00CA749B">
        <w:trPr>
          <w:trHeight w:val="111"/>
        </w:trPr>
        <w:tc>
          <w:tcPr>
            <w:tcW w:w="1790" w:type="dxa"/>
            <w:vMerge/>
            <w:vAlign w:val="center"/>
          </w:tcPr>
          <w:p w14:paraId="66ADE5AB"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145" w:type="dxa"/>
            <w:vMerge/>
            <w:vAlign w:val="center"/>
          </w:tcPr>
          <w:p w14:paraId="3850C4F6"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0DA0E42B"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tc>
        <w:tc>
          <w:tcPr>
            <w:tcW w:w="3128" w:type="dxa"/>
            <w:vAlign w:val="center"/>
          </w:tcPr>
          <w:p w14:paraId="705DEE14"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36°00’15’’N - 10°34’ 37’’E</w:t>
            </w:r>
          </w:p>
        </w:tc>
        <w:tc>
          <w:tcPr>
            <w:tcW w:w="2101" w:type="dxa"/>
            <w:vMerge/>
            <w:vAlign w:val="center"/>
          </w:tcPr>
          <w:p w14:paraId="5E8378C3"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c>
          <w:tcPr>
            <w:tcW w:w="1978" w:type="dxa"/>
            <w:vMerge/>
            <w:vAlign w:val="center"/>
          </w:tcPr>
          <w:p w14:paraId="74BCC8A6"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p>
        </w:tc>
      </w:tr>
      <w:tr w:rsidR="009123AC" w:rsidRPr="00F0379B" w14:paraId="6DBEAB04" w14:textId="77777777" w:rsidTr="00CA749B">
        <w:trPr>
          <w:trHeight w:val="166"/>
        </w:trPr>
        <w:tc>
          <w:tcPr>
            <w:tcW w:w="1790" w:type="dxa"/>
            <w:vMerge w:val="restart"/>
            <w:vAlign w:val="center"/>
          </w:tcPr>
          <w:p w14:paraId="53D079E8"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b/>
                <w:bCs/>
                <w:color w:val="000000"/>
                <w:sz w:val="20"/>
                <w:szCs w:val="20"/>
                <w:lang w:eastAsia="fr-FR" w:bidi="fr-FR"/>
              </w:rPr>
              <w:t>TT</w:t>
            </w:r>
          </w:p>
        </w:tc>
        <w:tc>
          <w:tcPr>
            <w:tcW w:w="2145" w:type="dxa"/>
            <w:vMerge w:val="restart"/>
            <w:vAlign w:val="center"/>
          </w:tcPr>
          <w:p w14:paraId="7FE191D8"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AT001TUN00002</w:t>
            </w:r>
          </w:p>
        </w:tc>
        <w:tc>
          <w:tcPr>
            <w:tcW w:w="2738" w:type="dxa"/>
            <w:vMerge w:val="restart"/>
            <w:vAlign w:val="center"/>
          </w:tcPr>
          <w:p w14:paraId="0BA50023" w14:textId="77777777" w:rsidR="009123AC" w:rsidRPr="00F0379B" w:rsidRDefault="009123AC" w:rsidP="009123AC">
            <w:pPr>
              <w:widowControl w:val="0"/>
              <w:shd w:val="clear" w:color="auto" w:fill="FFFFFF"/>
              <w:spacing w:after="0" w:line="240" w:lineRule="auto"/>
              <w:rPr>
                <w:rFonts w:ascii="Cambria" w:eastAsia="MS Gothic" w:hAnsi="Cambria" w:cs="Times New Roman"/>
                <w:color w:val="000000"/>
                <w:sz w:val="20"/>
                <w:szCs w:val="20"/>
                <w:lang w:eastAsia="fr-FR" w:bidi="fr-FR"/>
              </w:rPr>
            </w:pPr>
            <w:r w:rsidRPr="00F0379B">
              <w:rPr>
                <w:rFonts w:ascii="Cambria" w:eastAsia="MS Gothic" w:hAnsi="Cambria" w:cs="Times New Roman"/>
                <w:b/>
                <w:bCs/>
                <w:color w:val="000000"/>
                <w:sz w:val="20"/>
                <w:szCs w:val="20"/>
                <w:lang w:eastAsia="fr-FR" w:bidi="fr-FR"/>
              </w:rPr>
              <w:t>TT</w:t>
            </w:r>
          </w:p>
          <w:p w14:paraId="5402EB25"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Abdelwaheb Ben Ramdhane</w:t>
            </w:r>
          </w:p>
        </w:tc>
        <w:tc>
          <w:tcPr>
            <w:tcW w:w="3128" w:type="dxa"/>
            <w:vAlign w:val="center"/>
          </w:tcPr>
          <w:p w14:paraId="0F03DFA2"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35°25’00’’N - 11°04’ 40’’E</w:t>
            </w:r>
          </w:p>
        </w:tc>
        <w:tc>
          <w:tcPr>
            <w:tcW w:w="2101" w:type="dxa"/>
            <w:vMerge w:val="restart"/>
            <w:vAlign w:val="center"/>
          </w:tcPr>
          <w:p w14:paraId="22A700A0"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1.000</w:t>
            </w:r>
          </w:p>
        </w:tc>
        <w:tc>
          <w:tcPr>
            <w:tcW w:w="1978" w:type="dxa"/>
            <w:vMerge w:val="restart"/>
            <w:vAlign w:val="center"/>
          </w:tcPr>
          <w:p w14:paraId="7BCFCB7E"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2.000</w:t>
            </w:r>
          </w:p>
        </w:tc>
      </w:tr>
      <w:tr w:rsidR="009123AC" w:rsidRPr="00F0379B" w14:paraId="31367890" w14:textId="77777777" w:rsidTr="00CA749B">
        <w:trPr>
          <w:trHeight w:val="166"/>
        </w:trPr>
        <w:tc>
          <w:tcPr>
            <w:tcW w:w="1790" w:type="dxa"/>
            <w:vMerge/>
            <w:vAlign w:val="center"/>
          </w:tcPr>
          <w:p w14:paraId="46B3973D"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145" w:type="dxa"/>
            <w:vMerge/>
            <w:vAlign w:val="center"/>
          </w:tcPr>
          <w:p w14:paraId="72BDD074"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76F2F569"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tc>
        <w:tc>
          <w:tcPr>
            <w:tcW w:w="3128" w:type="dxa"/>
            <w:vAlign w:val="center"/>
          </w:tcPr>
          <w:p w14:paraId="61BDC656"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35°25’00’’N - 11°05’ 04’’E</w:t>
            </w:r>
          </w:p>
        </w:tc>
        <w:tc>
          <w:tcPr>
            <w:tcW w:w="2101" w:type="dxa"/>
            <w:vMerge/>
            <w:vAlign w:val="center"/>
          </w:tcPr>
          <w:p w14:paraId="486EC18F"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c>
          <w:tcPr>
            <w:tcW w:w="1978" w:type="dxa"/>
            <w:vMerge/>
            <w:vAlign w:val="center"/>
          </w:tcPr>
          <w:p w14:paraId="5C046F80"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p>
        </w:tc>
      </w:tr>
      <w:tr w:rsidR="009123AC" w:rsidRPr="00F0379B" w14:paraId="248F94F6" w14:textId="77777777" w:rsidTr="00CA749B">
        <w:trPr>
          <w:trHeight w:val="166"/>
        </w:trPr>
        <w:tc>
          <w:tcPr>
            <w:tcW w:w="1790" w:type="dxa"/>
            <w:vMerge/>
            <w:vAlign w:val="center"/>
          </w:tcPr>
          <w:p w14:paraId="11BBF7D8"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145" w:type="dxa"/>
            <w:vMerge/>
            <w:vAlign w:val="center"/>
          </w:tcPr>
          <w:p w14:paraId="731FD08A"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26902B61"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tc>
        <w:tc>
          <w:tcPr>
            <w:tcW w:w="3128" w:type="dxa"/>
            <w:vAlign w:val="center"/>
          </w:tcPr>
          <w:p w14:paraId="03DCFBCA"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35°24’38’’N - 11°04’ 40’’E</w:t>
            </w:r>
          </w:p>
        </w:tc>
        <w:tc>
          <w:tcPr>
            <w:tcW w:w="2101" w:type="dxa"/>
            <w:vMerge/>
            <w:vAlign w:val="center"/>
          </w:tcPr>
          <w:p w14:paraId="4FB415CD"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c>
          <w:tcPr>
            <w:tcW w:w="1978" w:type="dxa"/>
            <w:vMerge/>
            <w:vAlign w:val="center"/>
          </w:tcPr>
          <w:p w14:paraId="4AB533C3"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p>
        </w:tc>
      </w:tr>
      <w:tr w:rsidR="009123AC" w:rsidRPr="00F0379B" w14:paraId="69953CCD" w14:textId="77777777" w:rsidTr="00CA749B">
        <w:trPr>
          <w:trHeight w:val="166"/>
        </w:trPr>
        <w:tc>
          <w:tcPr>
            <w:tcW w:w="1790" w:type="dxa"/>
            <w:vMerge/>
            <w:vAlign w:val="center"/>
          </w:tcPr>
          <w:p w14:paraId="33526208"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145" w:type="dxa"/>
            <w:vMerge/>
            <w:vAlign w:val="center"/>
          </w:tcPr>
          <w:p w14:paraId="7A879D60"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3FAD6F3A"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tc>
        <w:tc>
          <w:tcPr>
            <w:tcW w:w="3128" w:type="dxa"/>
            <w:vAlign w:val="center"/>
          </w:tcPr>
          <w:p w14:paraId="7B90C794"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35°24’38’’N - 11°05’ 04’’E</w:t>
            </w:r>
          </w:p>
        </w:tc>
        <w:tc>
          <w:tcPr>
            <w:tcW w:w="2101" w:type="dxa"/>
            <w:vMerge/>
            <w:vAlign w:val="center"/>
          </w:tcPr>
          <w:p w14:paraId="7C456BDA"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c>
          <w:tcPr>
            <w:tcW w:w="1978" w:type="dxa"/>
            <w:vMerge/>
            <w:vAlign w:val="center"/>
          </w:tcPr>
          <w:p w14:paraId="0E478A67"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p>
        </w:tc>
      </w:tr>
      <w:tr w:rsidR="009123AC" w:rsidRPr="00F0379B" w14:paraId="2E785E48" w14:textId="77777777" w:rsidTr="00CA749B">
        <w:trPr>
          <w:trHeight w:val="113"/>
        </w:trPr>
        <w:tc>
          <w:tcPr>
            <w:tcW w:w="1790" w:type="dxa"/>
            <w:vMerge w:val="restart"/>
            <w:vAlign w:val="center"/>
          </w:tcPr>
          <w:p w14:paraId="1D4A64D5"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b/>
                <w:bCs/>
                <w:color w:val="000000"/>
                <w:sz w:val="20"/>
                <w:szCs w:val="20"/>
                <w:lang w:eastAsia="fr-FR" w:bidi="fr-FR"/>
              </w:rPr>
              <w:t>SAGUN-DOUSS</w:t>
            </w:r>
          </w:p>
        </w:tc>
        <w:tc>
          <w:tcPr>
            <w:tcW w:w="2145" w:type="dxa"/>
            <w:vMerge w:val="restart"/>
            <w:vAlign w:val="center"/>
          </w:tcPr>
          <w:p w14:paraId="4A0B097C"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AT001TUN00003</w:t>
            </w:r>
          </w:p>
        </w:tc>
        <w:tc>
          <w:tcPr>
            <w:tcW w:w="2738" w:type="dxa"/>
            <w:vMerge w:val="restart"/>
            <w:vAlign w:val="center"/>
          </w:tcPr>
          <w:p w14:paraId="2477A62D" w14:textId="77777777" w:rsidR="009123AC" w:rsidRPr="00F0379B" w:rsidRDefault="009123AC" w:rsidP="009123AC">
            <w:pPr>
              <w:widowControl w:val="0"/>
              <w:shd w:val="clear" w:color="auto" w:fill="FFFFFF"/>
              <w:spacing w:after="0" w:line="240" w:lineRule="auto"/>
              <w:rPr>
                <w:rFonts w:ascii="Cambria" w:eastAsia="MS Gothic" w:hAnsi="Cambria" w:cs="Times New Roman"/>
                <w:b/>
                <w:bCs/>
                <w:color w:val="000000"/>
                <w:sz w:val="20"/>
                <w:szCs w:val="20"/>
                <w:lang w:val="fr-FR" w:eastAsia="fr-FR" w:bidi="fr-FR"/>
              </w:rPr>
            </w:pPr>
            <w:r w:rsidRPr="00F0379B">
              <w:rPr>
                <w:rFonts w:ascii="Cambria" w:eastAsia="MS Gothic" w:hAnsi="Cambria" w:cs="Times New Roman"/>
                <w:b/>
                <w:bCs/>
                <w:color w:val="000000"/>
                <w:sz w:val="20"/>
                <w:szCs w:val="20"/>
                <w:lang w:val="fr-FR" w:eastAsia="fr-FR" w:bidi="fr-FR"/>
              </w:rPr>
              <w:t>Sagun-</w:t>
            </w:r>
            <w:proofErr w:type="spellStart"/>
            <w:r w:rsidRPr="00F0379B">
              <w:rPr>
                <w:rFonts w:ascii="Cambria" w:eastAsia="MS Gothic" w:hAnsi="Cambria" w:cs="Times New Roman"/>
                <w:b/>
                <w:bCs/>
                <w:color w:val="000000"/>
                <w:sz w:val="20"/>
                <w:szCs w:val="20"/>
                <w:lang w:val="fr-FR" w:eastAsia="fr-FR" w:bidi="fr-FR"/>
              </w:rPr>
              <w:t>Douss</w:t>
            </w:r>
            <w:proofErr w:type="spellEnd"/>
            <w:r w:rsidRPr="00F0379B">
              <w:rPr>
                <w:rFonts w:ascii="Cambria" w:eastAsia="MS Gothic" w:hAnsi="Cambria" w:cs="Times New Roman"/>
                <w:b/>
                <w:bCs/>
                <w:color w:val="000000"/>
                <w:sz w:val="20"/>
                <w:szCs w:val="20"/>
                <w:lang w:val="fr-FR" w:eastAsia="fr-FR" w:bidi="fr-FR"/>
              </w:rPr>
              <w:t xml:space="preserve"> </w:t>
            </w:r>
          </w:p>
          <w:p w14:paraId="1D2ED4CE" w14:textId="77777777" w:rsidR="009123AC" w:rsidRPr="00F0379B" w:rsidRDefault="009123AC" w:rsidP="009123AC">
            <w:pPr>
              <w:widowControl w:val="0"/>
              <w:spacing w:after="0" w:line="240" w:lineRule="auto"/>
              <w:rPr>
                <w:rFonts w:ascii="Cambria" w:eastAsia="MS Gothic" w:hAnsi="Cambria" w:cs="Times New Roman"/>
                <w:sz w:val="20"/>
                <w:szCs w:val="20"/>
                <w:lang w:val="fr-BE" w:eastAsia="fr-FR" w:bidi="fr-FR"/>
              </w:rPr>
            </w:pPr>
            <w:r w:rsidRPr="00F0379B">
              <w:rPr>
                <w:rFonts w:ascii="Cambria" w:eastAsia="MS Gothic" w:hAnsi="Cambria" w:cs="Times New Roman"/>
                <w:color w:val="000000"/>
                <w:sz w:val="20"/>
                <w:szCs w:val="20"/>
                <w:lang w:val="fr-FR" w:eastAsia="fr-FR" w:bidi="fr-FR"/>
              </w:rPr>
              <w:t xml:space="preserve">Mehdi Douss, Ahmet Sagun et Sabrine Douss </w:t>
            </w:r>
          </w:p>
        </w:tc>
        <w:tc>
          <w:tcPr>
            <w:tcW w:w="3128" w:type="dxa"/>
            <w:vAlign w:val="center"/>
          </w:tcPr>
          <w:p w14:paraId="28A6AF1D"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35°</w:t>
            </w:r>
            <w:r w:rsidRPr="00F0379B">
              <w:rPr>
                <w:rFonts w:ascii="Cambria" w:eastAsia="MS Gothic" w:hAnsi="Cambria" w:cs="Times New Roman"/>
                <w:color w:val="000000"/>
                <w:sz w:val="20"/>
                <w:szCs w:val="20"/>
                <w:rtl/>
                <w:lang w:eastAsia="fr-FR" w:bidi="ar-TN"/>
              </w:rPr>
              <w:t>19</w:t>
            </w:r>
            <w:r w:rsidRPr="00F0379B">
              <w:rPr>
                <w:rFonts w:ascii="Cambria" w:eastAsia="MS Gothic" w:hAnsi="Cambria" w:cs="Times New Roman"/>
                <w:color w:val="000000"/>
                <w:sz w:val="20"/>
                <w:szCs w:val="20"/>
                <w:lang w:eastAsia="fr-FR" w:bidi="fr-FR"/>
              </w:rPr>
              <w:t>’0</w:t>
            </w:r>
            <w:r w:rsidRPr="00F0379B">
              <w:rPr>
                <w:rFonts w:ascii="Cambria" w:eastAsia="MS Gothic" w:hAnsi="Cambria" w:cs="Times New Roman"/>
                <w:color w:val="000000"/>
                <w:sz w:val="20"/>
                <w:szCs w:val="20"/>
                <w:rtl/>
                <w:lang w:eastAsia="fr-FR" w:bidi="ar-TN"/>
              </w:rPr>
              <w:t>0</w:t>
            </w:r>
            <w:r w:rsidRPr="00F0379B">
              <w:rPr>
                <w:rFonts w:ascii="Cambria" w:eastAsia="MS Gothic" w:hAnsi="Cambria" w:cs="Times New Roman"/>
                <w:color w:val="000000"/>
                <w:sz w:val="20"/>
                <w:szCs w:val="20"/>
                <w:lang w:eastAsia="fr-FR" w:bidi="fr-FR"/>
              </w:rPr>
              <w:t>’’N - 11°0</w:t>
            </w:r>
            <w:r w:rsidRPr="00F0379B">
              <w:rPr>
                <w:rFonts w:ascii="Cambria" w:eastAsia="MS Gothic" w:hAnsi="Cambria" w:cs="Times New Roman"/>
                <w:color w:val="000000"/>
                <w:sz w:val="20"/>
                <w:szCs w:val="20"/>
                <w:rtl/>
                <w:lang w:eastAsia="fr-FR" w:bidi="ar-TN"/>
              </w:rPr>
              <w:t>9</w:t>
            </w:r>
            <w:r w:rsidRPr="00F0379B">
              <w:rPr>
                <w:rFonts w:ascii="Cambria" w:eastAsia="MS Gothic" w:hAnsi="Cambria" w:cs="Times New Roman"/>
                <w:color w:val="000000"/>
                <w:sz w:val="20"/>
                <w:szCs w:val="20"/>
                <w:lang w:eastAsia="fr-FR" w:bidi="fr-FR"/>
              </w:rPr>
              <w:t>’ </w:t>
            </w:r>
            <w:r w:rsidRPr="00F0379B">
              <w:rPr>
                <w:rFonts w:ascii="Cambria" w:eastAsia="MS Gothic" w:hAnsi="Cambria" w:cs="Times New Roman"/>
                <w:color w:val="000000"/>
                <w:sz w:val="20"/>
                <w:szCs w:val="20"/>
                <w:rtl/>
                <w:lang w:eastAsia="fr-FR" w:bidi="ar-TN"/>
              </w:rPr>
              <w:t>10</w:t>
            </w:r>
            <w:r w:rsidRPr="00F0379B">
              <w:rPr>
                <w:rFonts w:ascii="Cambria" w:eastAsia="MS Gothic" w:hAnsi="Cambria" w:cs="Times New Roman"/>
                <w:color w:val="000000"/>
                <w:sz w:val="20"/>
                <w:szCs w:val="20"/>
                <w:lang w:eastAsia="fr-FR" w:bidi="fr-FR"/>
              </w:rPr>
              <w:t>’’E</w:t>
            </w:r>
          </w:p>
        </w:tc>
        <w:tc>
          <w:tcPr>
            <w:tcW w:w="2101" w:type="dxa"/>
            <w:vMerge w:val="restart"/>
            <w:vAlign w:val="center"/>
          </w:tcPr>
          <w:p w14:paraId="1D98C1EE"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w:t>
            </w:r>
          </w:p>
        </w:tc>
        <w:tc>
          <w:tcPr>
            <w:tcW w:w="1978" w:type="dxa"/>
            <w:vMerge w:val="restart"/>
            <w:vAlign w:val="center"/>
          </w:tcPr>
          <w:p w14:paraId="08548B80"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w:t>
            </w:r>
          </w:p>
        </w:tc>
      </w:tr>
      <w:tr w:rsidR="009123AC" w:rsidRPr="00F0379B" w14:paraId="36CF60B9" w14:textId="77777777" w:rsidTr="00CA749B">
        <w:trPr>
          <w:trHeight w:val="111"/>
        </w:trPr>
        <w:tc>
          <w:tcPr>
            <w:tcW w:w="1790" w:type="dxa"/>
            <w:vMerge/>
            <w:vAlign w:val="center"/>
          </w:tcPr>
          <w:p w14:paraId="5AC5AD26"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145" w:type="dxa"/>
            <w:vMerge/>
            <w:vAlign w:val="center"/>
          </w:tcPr>
          <w:p w14:paraId="6C905F19"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799D292E"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tc>
        <w:tc>
          <w:tcPr>
            <w:tcW w:w="3128" w:type="dxa"/>
            <w:vAlign w:val="center"/>
          </w:tcPr>
          <w:p w14:paraId="1D41C785"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35°</w:t>
            </w:r>
            <w:r w:rsidRPr="00F0379B">
              <w:rPr>
                <w:rFonts w:ascii="Cambria" w:eastAsia="MS Gothic" w:hAnsi="Cambria" w:cs="Times New Roman"/>
                <w:color w:val="000000"/>
                <w:sz w:val="20"/>
                <w:szCs w:val="20"/>
                <w:rtl/>
                <w:lang w:eastAsia="fr-FR" w:bidi="ar-TN"/>
              </w:rPr>
              <w:t>19</w:t>
            </w:r>
            <w:r w:rsidRPr="00F0379B">
              <w:rPr>
                <w:rFonts w:ascii="Cambria" w:eastAsia="MS Gothic" w:hAnsi="Cambria" w:cs="Times New Roman"/>
                <w:color w:val="000000"/>
                <w:sz w:val="20"/>
                <w:szCs w:val="20"/>
                <w:lang w:eastAsia="fr-FR" w:bidi="fr-FR"/>
              </w:rPr>
              <w:t>’00’’N - 11°0</w:t>
            </w:r>
            <w:r w:rsidRPr="00F0379B">
              <w:rPr>
                <w:rFonts w:ascii="Cambria" w:eastAsia="MS Gothic" w:hAnsi="Cambria" w:cs="Times New Roman"/>
                <w:color w:val="000000"/>
                <w:sz w:val="20"/>
                <w:szCs w:val="20"/>
                <w:rtl/>
                <w:lang w:eastAsia="fr-FR" w:bidi="ar-TN"/>
              </w:rPr>
              <w:t>8</w:t>
            </w:r>
            <w:r w:rsidRPr="00F0379B">
              <w:rPr>
                <w:rFonts w:ascii="Cambria" w:eastAsia="MS Gothic" w:hAnsi="Cambria" w:cs="Times New Roman"/>
                <w:color w:val="000000"/>
                <w:sz w:val="20"/>
                <w:szCs w:val="20"/>
                <w:lang w:eastAsia="fr-FR" w:bidi="fr-FR"/>
              </w:rPr>
              <w:t>’ </w:t>
            </w:r>
            <w:r w:rsidRPr="00F0379B">
              <w:rPr>
                <w:rFonts w:ascii="Cambria" w:eastAsia="MS Gothic" w:hAnsi="Cambria" w:cs="Times New Roman"/>
                <w:color w:val="000000"/>
                <w:sz w:val="20"/>
                <w:szCs w:val="20"/>
                <w:rtl/>
                <w:lang w:eastAsia="fr-FR" w:bidi="ar-TN"/>
              </w:rPr>
              <w:t>10</w:t>
            </w:r>
            <w:r w:rsidRPr="00F0379B">
              <w:rPr>
                <w:rFonts w:ascii="Cambria" w:eastAsia="MS Gothic" w:hAnsi="Cambria" w:cs="Times New Roman"/>
                <w:color w:val="000000"/>
                <w:sz w:val="20"/>
                <w:szCs w:val="20"/>
                <w:lang w:eastAsia="fr-FR" w:bidi="fr-FR"/>
              </w:rPr>
              <w:t>’’E</w:t>
            </w:r>
          </w:p>
        </w:tc>
        <w:tc>
          <w:tcPr>
            <w:tcW w:w="2101" w:type="dxa"/>
            <w:vMerge/>
            <w:vAlign w:val="center"/>
          </w:tcPr>
          <w:p w14:paraId="7F8FEBE4"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c>
          <w:tcPr>
            <w:tcW w:w="1978" w:type="dxa"/>
            <w:vMerge/>
            <w:vAlign w:val="center"/>
          </w:tcPr>
          <w:p w14:paraId="4F597AF8"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p>
        </w:tc>
      </w:tr>
      <w:tr w:rsidR="009123AC" w:rsidRPr="00F0379B" w14:paraId="4BC83FF0" w14:textId="77777777" w:rsidTr="00CA749B">
        <w:trPr>
          <w:trHeight w:val="111"/>
        </w:trPr>
        <w:tc>
          <w:tcPr>
            <w:tcW w:w="1790" w:type="dxa"/>
            <w:vMerge/>
            <w:vAlign w:val="center"/>
          </w:tcPr>
          <w:p w14:paraId="4CBE70DF"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145" w:type="dxa"/>
            <w:vMerge/>
            <w:vAlign w:val="center"/>
          </w:tcPr>
          <w:p w14:paraId="40FD08C8"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4646BE77"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tc>
        <w:tc>
          <w:tcPr>
            <w:tcW w:w="3128" w:type="dxa"/>
            <w:vAlign w:val="center"/>
          </w:tcPr>
          <w:p w14:paraId="2305C4F5"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35°</w:t>
            </w:r>
            <w:r w:rsidRPr="00F0379B">
              <w:rPr>
                <w:rFonts w:ascii="Cambria" w:eastAsia="MS Gothic" w:hAnsi="Cambria" w:cs="Times New Roman"/>
                <w:color w:val="000000"/>
                <w:sz w:val="20"/>
                <w:szCs w:val="20"/>
                <w:rtl/>
                <w:lang w:eastAsia="fr-FR" w:bidi="ar-TN"/>
              </w:rPr>
              <w:t>18</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ar-TN"/>
              </w:rPr>
              <w:t>42</w:t>
            </w:r>
            <w:r w:rsidRPr="00F0379B">
              <w:rPr>
                <w:rFonts w:ascii="Cambria" w:eastAsia="MS Gothic" w:hAnsi="Cambria" w:cs="Times New Roman"/>
                <w:color w:val="000000"/>
                <w:sz w:val="20"/>
                <w:szCs w:val="20"/>
                <w:lang w:eastAsia="fr-FR" w:bidi="fr-FR"/>
              </w:rPr>
              <w:t>’’N - 11°0</w:t>
            </w:r>
            <w:r w:rsidRPr="00F0379B">
              <w:rPr>
                <w:rFonts w:ascii="Cambria" w:eastAsia="MS Gothic" w:hAnsi="Cambria" w:cs="Times New Roman"/>
                <w:color w:val="000000"/>
                <w:sz w:val="20"/>
                <w:szCs w:val="20"/>
                <w:rtl/>
                <w:lang w:eastAsia="fr-FR" w:bidi="ar-TN"/>
              </w:rPr>
              <w:t>9</w:t>
            </w:r>
            <w:r w:rsidRPr="00F0379B">
              <w:rPr>
                <w:rFonts w:ascii="Cambria" w:eastAsia="MS Gothic" w:hAnsi="Cambria" w:cs="Times New Roman"/>
                <w:color w:val="000000"/>
                <w:sz w:val="20"/>
                <w:szCs w:val="20"/>
                <w:lang w:eastAsia="fr-FR" w:bidi="fr-FR"/>
              </w:rPr>
              <w:t>’ </w:t>
            </w:r>
            <w:r w:rsidRPr="00F0379B">
              <w:rPr>
                <w:rFonts w:ascii="Cambria" w:eastAsia="MS Gothic" w:hAnsi="Cambria" w:cs="Times New Roman"/>
                <w:color w:val="000000"/>
                <w:sz w:val="20"/>
                <w:szCs w:val="20"/>
                <w:rtl/>
                <w:lang w:eastAsia="fr-FR" w:bidi="ar-TN"/>
              </w:rPr>
              <w:t>1</w:t>
            </w:r>
            <w:r w:rsidRPr="00F0379B">
              <w:rPr>
                <w:rFonts w:ascii="Cambria" w:eastAsia="MS Gothic" w:hAnsi="Cambria" w:cs="Times New Roman"/>
                <w:color w:val="000000"/>
                <w:sz w:val="20"/>
                <w:szCs w:val="20"/>
                <w:lang w:eastAsia="fr-FR" w:bidi="fr-FR"/>
              </w:rPr>
              <w:t>0’’E</w:t>
            </w:r>
          </w:p>
        </w:tc>
        <w:tc>
          <w:tcPr>
            <w:tcW w:w="2101" w:type="dxa"/>
            <w:vMerge/>
            <w:vAlign w:val="center"/>
          </w:tcPr>
          <w:p w14:paraId="2F61A9CC"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c>
          <w:tcPr>
            <w:tcW w:w="1978" w:type="dxa"/>
            <w:vMerge/>
            <w:vAlign w:val="center"/>
          </w:tcPr>
          <w:p w14:paraId="50BBB2D4"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p>
        </w:tc>
      </w:tr>
      <w:tr w:rsidR="009123AC" w:rsidRPr="00F0379B" w14:paraId="7C105A85" w14:textId="77777777" w:rsidTr="00CA749B">
        <w:trPr>
          <w:trHeight w:val="111"/>
        </w:trPr>
        <w:tc>
          <w:tcPr>
            <w:tcW w:w="1790" w:type="dxa"/>
            <w:vMerge/>
            <w:vAlign w:val="center"/>
          </w:tcPr>
          <w:p w14:paraId="5C49BA9E"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145" w:type="dxa"/>
            <w:vMerge/>
            <w:vAlign w:val="center"/>
          </w:tcPr>
          <w:p w14:paraId="138936D6"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120977C0"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tc>
        <w:tc>
          <w:tcPr>
            <w:tcW w:w="3128" w:type="dxa"/>
            <w:vAlign w:val="center"/>
          </w:tcPr>
          <w:p w14:paraId="1043C995"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35°</w:t>
            </w:r>
            <w:r w:rsidRPr="00F0379B">
              <w:rPr>
                <w:rFonts w:ascii="Cambria" w:eastAsia="MS Gothic" w:hAnsi="Cambria" w:cs="Times New Roman"/>
                <w:color w:val="000000"/>
                <w:sz w:val="20"/>
                <w:szCs w:val="20"/>
                <w:rtl/>
                <w:lang w:eastAsia="fr-FR" w:bidi="ar-TN"/>
              </w:rPr>
              <w:t>18</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ar-TN"/>
              </w:rPr>
              <w:t>42</w:t>
            </w:r>
            <w:r w:rsidRPr="00F0379B">
              <w:rPr>
                <w:rFonts w:ascii="Cambria" w:eastAsia="MS Gothic" w:hAnsi="Cambria" w:cs="Times New Roman"/>
                <w:color w:val="000000"/>
                <w:sz w:val="20"/>
                <w:szCs w:val="20"/>
                <w:lang w:eastAsia="fr-FR" w:bidi="fr-FR"/>
              </w:rPr>
              <w:t>’’N - 11°0</w:t>
            </w:r>
            <w:r w:rsidRPr="00F0379B">
              <w:rPr>
                <w:rFonts w:ascii="Cambria" w:eastAsia="MS Gothic" w:hAnsi="Cambria" w:cs="Times New Roman"/>
                <w:color w:val="000000"/>
                <w:sz w:val="20"/>
                <w:szCs w:val="20"/>
                <w:rtl/>
                <w:lang w:eastAsia="fr-FR" w:bidi="ar-TN"/>
              </w:rPr>
              <w:t>8</w:t>
            </w:r>
            <w:r w:rsidRPr="00F0379B">
              <w:rPr>
                <w:rFonts w:ascii="Cambria" w:eastAsia="MS Gothic" w:hAnsi="Cambria" w:cs="Times New Roman"/>
                <w:color w:val="000000"/>
                <w:sz w:val="20"/>
                <w:szCs w:val="20"/>
                <w:lang w:eastAsia="fr-FR" w:bidi="fr-FR"/>
              </w:rPr>
              <w:t>’ </w:t>
            </w:r>
            <w:r w:rsidRPr="00F0379B">
              <w:rPr>
                <w:rFonts w:ascii="Cambria" w:eastAsia="MS Gothic" w:hAnsi="Cambria" w:cs="Times New Roman"/>
                <w:color w:val="000000"/>
                <w:sz w:val="20"/>
                <w:szCs w:val="20"/>
                <w:rtl/>
                <w:lang w:eastAsia="fr-FR" w:bidi="ar-TN"/>
              </w:rPr>
              <w:t>45</w:t>
            </w:r>
            <w:r w:rsidRPr="00F0379B">
              <w:rPr>
                <w:rFonts w:ascii="Cambria" w:eastAsia="MS Gothic" w:hAnsi="Cambria" w:cs="Times New Roman"/>
                <w:color w:val="000000"/>
                <w:sz w:val="20"/>
                <w:szCs w:val="20"/>
                <w:lang w:eastAsia="fr-FR" w:bidi="fr-FR"/>
              </w:rPr>
              <w:t>’’E</w:t>
            </w:r>
          </w:p>
        </w:tc>
        <w:tc>
          <w:tcPr>
            <w:tcW w:w="2101" w:type="dxa"/>
            <w:vMerge/>
            <w:vAlign w:val="center"/>
          </w:tcPr>
          <w:p w14:paraId="139921E3"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c>
          <w:tcPr>
            <w:tcW w:w="1978" w:type="dxa"/>
            <w:vMerge/>
            <w:vAlign w:val="center"/>
          </w:tcPr>
          <w:p w14:paraId="74B5C340"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p>
        </w:tc>
      </w:tr>
      <w:tr w:rsidR="009123AC" w:rsidRPr="00F0379B" w14:paraId="16109604" w14:textId="77777777" w:rsidTr="00CA749B">
        <w:trPr>
          <w:trHeight w:val="166"/>
        </w:trPr>
        <w:tc>
          <w:tcPr>
            <w:tcW w:w="1790" w:type="dxa"/>
            <w:vMerge w:val="restart"/>
            <w:vAlign w:val="center"/>
          </w:tcPr>
          <w:p w14:paraId="1A6D8C4A"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b/>
                <w:bCs/>
                <w:color w:val="000000"/>
                <w:sz w:val="20"/>
                <w:szCs w:val="20"/>
                <w:lang w:eastAsia="fr-FR" w:bidi="fr-FR"/>
              </w:rPr>
              <w:t>TFT</w:t>
            </w:r>
          </w:p>
        </w:tc>
        <w:tc>
          <w:tcPr>
            <w:tcW w:w="2145" w:type="dxa"/>
            <w:vMerge w:val="restart"/>
            <w:vAlign w:val="center"/>
          </w:tcPr>
          <w:p w14:paraId="77ABC2FA"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AT001TUN00004</w:t>
            </w:r>
          </w:p>
        </w:tc>
        <w:tc>
          <w:tcPr>
            <w:tcW w:w="2738" w:type="dxa"/>
            <w:vMerge w:val="restart"/>
            <w:vAlign w:val="center"/>
          </w:tcPr>
          <w:p w14:paraId="1363F7B2" w14:textId="77777777" w:rsidR="009123AC" w:rsidRPr="00F0379B" w:rsidRDefault="009123AC" w:rsidP="009123AC">
            <w:pPr>
              <w:widowControl w:val="0"/>
              <w:shd w:val="clear" w:color="auto" w:fill="FFFFFF"/>
              <w:spacing w:after="0" w:line="240" w:lineRule="auto"/>
              <w:rPr>
                <w:rFonts w:ascii="Cambria" w:eastAsia="MS Gothic" w:hAnsi="Cambria" w:cs="Times New Roman"/>
                <w:color w:val="000000"/>
                <w:sz w:val="20"/>
                <w:szCs w:val="20"/>
                <w:lang w:eastAsia="fr-FR" w:bidi="fr-FR"/>
              </w:rPr>
            </w:pPr>
            <w:r w:rsidRPr="00F0379B">
              <w:rPr>
                <w:rFonts w:ascii="Cambria" w:eastAsia="MS Gothic" w:hAnsi="Cambria" w:cs="Times New Roman"/>
                <w:b/>
                <w:bCs/>
                <w:color w:val="000000"/>
                <w:sz w:val="20"/>
                <w:szCs w:val="20"/>
                <w:lang w:eastAsia="fr-FR" w:bidi="fr-FR"/>
              </w:rPr>
              <w:t>TFT</w:t>
            </w:r>
          </w:p>
          <w:p w14:paraId="7D221957"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 xml:space="preserve">Ridha </w:t>
            </w:r>
            <w:proofErr w:type="spellStart"/>
            <w:r w:rsidRPr="00F0379B">
              <w:rPr>
                <w:rFonts w:ascii="Cambria" w:eastAsia="MS Gothic" w:hAnsi="Cambria" w:cs="Times New Roman"/>
                <w:color w:val="000000"/>
                <w:sz w:val="20"/>
                <w:szCs w:val="20"/>
                <w:lang w:eastAsia="fr-FR" w:bidi="fr-FR"/>
              </w:rPr>
              <w:t>Sallem</w:t>
            </w:r>
            <w:proofErr w:type="spellEnd"/>
          </w:p>
        </w:tc>
        <w:tc>
          <w:tcPr>
            <w:tcW w:w="3128" w:type="dxa"/>
            <w:vAlign w:val="center"/>
          </w:tcPr>
          <w:p w14:paraId="203308DB"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36°01’49’’N - 10°34’ 00’’E</w:t>
            </w:r>
          </w:p>
        </w:tc>
        <w:tc>
          <w:tcPr>
            <w:tcW w:w="2101" w:type="dxa"/>
            <w:vMerge w:val="restart"/>
            <w:vAlign w:val="center"/>
          </w:tcPr>
          <w:p w14:paraId="60E782E9"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750</w:t>
            </w:r>
          </w:p>
        </w:tc>
        <w:tc>
          <w:tcPr>
            <w:tcW w:w="1978" w:type="dxa"/>
            <w:vMerge w:val="restart"/>
            <w:vAlign w:val="center"/>
          </w:tcPr>
          <w:p w14:paraId="2C961E2E"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1.500</w:t>
            </w:r>
          </w:p>
        </w:tc>
      </w:tr>
      <w:tr w:rsidR="009123AC" w:rsidRPr="00F0379B" w14:paraId="476BF11A" w14:textId="77777777" w:rsidTr="00CA749B">
        <w:trPr>
          <w:trHeight w:val="166"/>
        </w:trPr>
        <w:tc>
          <w:tcPr>
            <w:tcW w:w="1790" w:type="dxa"/>
            <w:vMerge/>
            <w:vAlign w:val="center"/>
          </w:tcPr>
          <w:p w14:paraId="1557DFFD"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145" w:type="dxa"/>
            <w:vMerge/>
            <w:vAlign w:val="center"/>
          </w:tcPr>
          <w:p w14:paraId="673899CA"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0170D306"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tc>
        <w:tc>
          <w:tcPr>
            <w:tcW w:w="3128" w:type="dxa"/>
            <w:vAlign w:val="center"/>
          </w:tcPr>
          <w:p w14:paraId="605C2B39"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36°01’38’’N - 10°34’ 00’’E</w:t>
            </w:r>
          </w:p>
        </w:tc>
        <w:tc>
          <w:tcPr>
            <w:tcW w:w="2101" w:type="dxa"/>
            <w:vMerge/>
            <w:vAlign w:val="center"/>
          </w:tcPr>
          <w:p w14:paraId="4AF323B1"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c>
          <w:tcPr>
            <w:tcW w:w="1978" w:type="dxa"/>
            <w:vMerge/>
            <w:vAlign w:val="center"/>
          </w:tcPr>
          <w:p w14:paraId="6CAD1783"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p>
        </w:tc>
      </w:tr>
      <w:tr w:rsidR="009123AC" w:rsidRPr="00F0379B" w14:paraId="6D46EBA4" w14:textId="77777777" w:rsidTr="00CA749B">
        <w:trPr>
          <w:trHeight w:val="166"/>
        </w:trPr>
        <w:tc>
          <w:tcPr>
            <w:tcW w:w="1790" w:type="dxa"/>
            <w:vMerge/>
            <w:vAlign w:val="center"/>
          </w:tcPr>
          <w:p w14:paraId="130D5DAC"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145" w:type="dxa"/>
            <w:vMerge/>
            <w:vAlign w:val="center"/>
          </w:tcPr>
          <w:p w14:paraId="02CF4031"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63DE4DD2"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tc>
        <w:tc>
          <w:tcPr>
            <w:tcW w:w="3128" w:type="dxa"/>
            <w:vAlign w:val="center"/>
          </w:tcPr>
          <w:p w14:paraId="625C7011"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36°01’49’’N - 10°34’ 37’’E</w:t>
            </w:r>
          </w:p>
        </w:tc>
        <w:tc>
          <w:tcPr>
            <w:tcW w:w="2101" w:type="dxa"/>
            <w:vMerge/>
            <w:vAlign w:val="center"/>
          </w:tcPr>
          <w:p w14:paraId="0F4439E9"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c>
          <w:tcPr>
            <w:tcW w:w="1978" w:type="dxa"/>
            <w:vMerge/>
            <w:vAlign w:val="center"/>
          </w:tcPr>
          <w:p w14:paraId="476E4B2E"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p>
        </w:tc>
      </w:tr>
      <w:tr w:rsidR="009123AC" w:rsidRPr="00F0379B" w14:paraId="378BB926" w14:textId="77777777" w:rsidTr="00CA749B">
        <w:trPr>
          <w:trHeight w:val="166"/>
        </w:trPr>
        <w:tc>
          <w:tcPr>
            <w:tcW w:w="1790" w:type="dxa"/>
            <w:vMerge/>
            <w:vAlign w:val="center"/>
          </w:tcPr>
          <w:p w14:paraId="54CADACD"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145" w:type="dxa"/>
            <w:vMerge/>
            <w:vAlign w:val="center"/>
          </w:tcPr>
          <w:p w14:paraId="0538DDCB"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71A156C3"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tc>
        <w:tc>
          <w:tcPr>
            <w:tcW w:w="3128" w:type="dxa"/>
            <w:vAlign w:val="center"/>
          </w:tcPr>
          <w:p w14:paraId="558A6283"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36°01’38’’N - 10°34’ 37’’E</w:t>
            </w:r>
          </w:p>
        </w:tc>
        <w:tc>
          <w:tcPr>
            <w:tcW w:w="2101" w:type="dxa"/>
            <w:vMerge/>
            <w:vAlign w:val="center"/>
          </w:tcPr>
          <w:p w14:paraId="38F2162E"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c>
          <w:tcPr>
            <w:tcW w:w="1978" w:type="dxa"/>
            <w:vMerge/>
            <w:vAlign w:val="center"/>
          </w:tcPr>
          <w:p w14:paraId="3A49AD57"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p>
        </w:tc>
      </w:tr>
      <w:tr w:rsidR="009123AC" w:rsidRPr="00F0379B" w14:paraId="5A224D50" w14:textId="77777777" w:rsidTr="00CA749B">
        <w:trPr>
          <w:trHeight w:val="166"/>
        </w:trPr>
        <w:tc>
          <w:tcPr>
            <w:tcW w:w="1790" w:type="dxa"/>
            <w:vMerge w:val="restart"/>
            <w:vAlign w:val="center"/>
          </w:tcPr>
          <w:p w14:paraId="064AB8C8"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b/>
                <w:bCs/>
                <w:color w:val="000000"/>
                <w:sz w:val="20"/>
                <w:szCs w:val="20"/>
                <w:lang w:eastAsia="fr-FR" w:bidi="fr-FR"/>
              </w:rPr>
              <w:t>SNB</w:t>
            </w:r>
          </w:p>
        </w:tc>
        <w:tc>
          <w:tcPr>
            <w:tcW w:w="2145" w:type="dxa"/>
            <w:vMerge w:val="restart"/>
            <w:vAlign w:val="center"/>
          </w:tcPr>
          <w:p w14:paraId="7B9F7930"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AT001TUN00005</w:t>
            </w:r>
          </w:p>
        </w:tc>
        <w:tc>
          <w:tcPr>
            <w:tcW w:w="2738" w:type="dxa"/>
            <w:vMerge w:val="restart"/>
            <w:vAlign w:val="center"/>
          </w:tcPr>
          <w:p w14:paraId="2FF930E8" w14:textId="77777777" w:rsidR="009123AC" w:rsidRPr="00F0379B" w:rsidRDefault="009123AC" w:rsidP="009123AC">
            <w:pPr>
              <w:widowControl w:val="0"/>
              <w:shd w:val="clear" w:color="auto" w:fill="FFFFFF"/>
              <w:spacing w:after="0" w:line="240" w:lineRule="auto"/>
              <w:rPr>
                <w:rFonts w:ascii="Cambria" w:eastAsia="MS Gothic" w:hAnsi="Cambria" w:cs="Times New Roman"/>
                <w:color w:val="000000"/>
                <w:sz w:val="20"/>
                <w:szCs w:val="20"/>
                <w:lang w:val="fr-FR" w:eastAsia="fr-FR" w:bidi="fr-FR"/>
              </w:rPr>
            </w:pPr>
            <w:r w:rsidRPr="00F0379B">
              <w:rPr>
                <w:rFonts w:ascii="Cambria" w:eastAsia="MS Gothic" w:hAnsi="Cambria" w:cs="Times New Roman"/>
                <w:b/>
                <w:bCs/>
                <w:color w:val="000000"/>
                <w:sz w:val="20"/>
                <w:szCs w:val="20"/>
                <w:lang w:val="fr-FR" w:eastAsia="fr-FR" w:bidi="fr-FR"/>
              </w:rPr>
              <w:t>SNB</w:t>
            </w:r>
          </w:p>
          <w:p w14:paraId="05D60189" w14:textId="77777777" w:rsidR="009123AC" w:rsidRPr="00F0379B" w:rsidRDefault="009123AC" w:rsidP="009123AC">
            <w:pPr>
              <w:widowControl w:val="0"/>
              <w:shd w:val="clear" w:color="auto" w:fill="FFFFFF"/>
              <w:spacing w:after="0" w:line="240" w:lineRule="auto"/>
              <w:rPr>
                <w:rFonts w:ascii="Cambria" w:eastAsia="MS Gothic" w:hAnsi="Cambria" w:cs="Times New Roman"/>
                <w:color w:val="000000"/>
                <w:sz w:val="20"/>
                <w:szCs w:val="20"/>
                <w:lang w:val="fr-FR" w:eastAsia="fr-FR" w:bidi="fr-FR"/>
              </w:rPr>
            </w:pPr>
            <w:proofErr w:type="spellStart"/>
            <w:r w:rsidRPr="00F0379B">
              <w:rPr>
                <w:rFonts w:ascii="Cambria" w:eastAsia="MS Gothic" w:hAnsi="Cambria" w:cs="Times New Roman"/>
                <w:color w:val="000000"/>
                <w:sz w:val="20"/>
                <w:szCs w:val="20"/>
                <w:lang w:val="fr-FR" w:eastAsia="fr-FR" w:bidi="fr-FR"/>
              </w:rPr>
              <w:t>Jaouher</w:t>
            </w:r>
            <w:proofErr w:type="spellEnd"/>
            <w:r w:rsidRPr="00F0379B">
              <w:rPr>
                <w:rFonts w:ascii="Cambria" w:eastAsia="MS Gothic" w:hAnsi="Cambria" w:cs="Times New Roman"/>
                <w:color w:val="000000"/>
                <w:sz w:val="20"/>
                <w:szCs w:val="20"/>
                <w:lang w:val="fr-FR" w:eastAsia="fr-FR" w:bidi="fr-FR"/>
              </w:rPr>
              <w:t xml:space="preserve"> </w:t>
            </w:r>
            <w:r w:rsidRPr="00F0379B">
              <w:rPr>
                <w:rFonts w:ascii="Cambria" w:eastAsia="MS Gothic" w:hAnsi="Cambria" w:cs="Times New Roman"/>
                <w:color w:val="000000"/>
                <w:sz w:val="20"/>
                <w:szCs w:val="20"/>
                <w:lang w:val="fr-FR" w:eastAsia="fr-FR"/>
              </w:rPr>
              <w:t>B</w:t>
            </w:r>
            <w:r w:rsidRPr="00F0379B">
              <w:rPr>
                <w:rFonts w:ascii="Cambria" w:eastAsia="MS Gothic" w:hAnsi="Cambria" w:cs="Times New Roman"/>
                <w:color w:val="000000"/>
                <w:sz w:val="20"/>
                <w:szCs w:val="20"/>
                <w:lang w:val="fr-FR" w:eastAsia="fr-FR" w:bidi="fr-FR"/>
              </w:rPr>
              <w:t xml:space="preserve">en Hmida </w:t>
            </w:r>
          </w:p>
          <w:p w14:paraId="7E05A2A8" w14:textId="77777777" w:rsidR="009123AC" w:rsidRPr="00F0379B" w:rsidRDefault="009123AC" w:rsidP="009123AC">
            <w:pPr>
              <w:widowControl w:val="0"/>
              <w:spacing w:after="0" w:line="240" w:lineRule="auto"/>
              <w:rPr>
                <w:rFonts w:ascii="Cambria" w:eastAsia="MS Gothic" w:hAnsi="Cambria" w:cs="Times New Roman"/>
                <w:sz w:val="20"/>
                <w:szCs w:val="20"/>
                <w:lang w:val="fr-FR" w:eastAsia="fr-FR" w:bidi="fr-FR"/>
              </w:rPr>
            </w:pPr>
            <w:proofErr w:type="gramStart"/>
            <w:r w:rsidRPr="00F0379B">
              <w:rPr>
                <w:rFonts w:ascii="Cambria" w:eastAsia="MS Gothic" w:hAnsi="Cambria" w:cs="Times New Roman"/>
                <w:color w:val="000000"/>
                <w:sz w:val="20"/>
                <w:szCs w:val="20"/>
                <w:lang w:val="fr-FR" w:eastAsia="fr-FR" w:bidi="fr-FR"/>
              </w:rPr>
              <w:t>et</w:t>
            </w:r>
            <w:proofErr w:type="gramEnd"/>
            <w:r w:rsidRPr="00F0379B">
              <w:rPr>
                <w:rFonts w:ascii="Cambria" w:eastAsia="MS Gothic" w:hAnsi="Cambria" w:cs="Times New Roman"/>
                <w:color w:val="000000"/>
                <w:sz w:val="20"/>
                <w:szCs w:val="20"/>
                <w:lang w:val="fr-FR" w:eastAsia="fr-FR" w:bidi="fr-FR"/>
              </w:rPr>
              <w:t xml:space="preserve"> Sami Neifer</w:t>
            </w:r>
          </w:p>
        </w:tc>
        <w:tc>
          <w:tcPr>
            <w:tcW w:w="3128" w:type="dxa"/>
            <w:vAlign w:val="center"/>
          </w:tcPr>
          <w:p w14:paraId="393E0895"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35°</w:t>
            </w:r>
            <w:r w:rsidRPr="00F0379B">
              <w:rPr>
                <w:rFonts w:ascii="Cambria" w:eastAsia="MS Gothic" w:hAnsi="Cambria" w:cs="Times New Roman"/>
                <w:color w:val="000000"/>
                <w:sz w:val="20"/>
                <w:szCs w:val="20"/>
                <w:rtl/>
                <w:lang w:eastAsia="fr-FR" w:bidi="ar-TN"/>
              </w:rPr>
              <w:t>18</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ar-TN"/>
              </w:rPr>
              <w:t>1</w:t>
            </w:r>
            <w:r w:rsidRPr="00F0379B">
              <w:rPr>
                <w:rFonts w:ascii="Cambria" w:eastAsia="MS Gothic" w:hAnsi="Cambria" w:cs="Times New Roman"/>
                <w:color w:val="000000"/>
                <w:sz w:val="20"/>
                <w:szCs w:val="20"/>
                <w:lang w:eastAsia="fr-FR" w:bidi="fr-FR"/>
              </w:rPr>
              <w:t>0’’N - 11°0</w:t>
            </w:r>
            <w:r w:rsidRPr="00F0379B">
              <w:rPr>
                <w:rFonts w:ascii="Cambria" w:eastAsia="MS Gothic" w:hAnsi="Cambria" w:cs="Times New Roman"/>
                <w:color w:val="000000"/>
                <w:sz w:val="20"/>
                <w:szCs w:val="20"/>
                <w:rtl/>
                <w:lang w:eastAsia="fr-FR" w:bidi="ar-TN"/>
              </w:rPr>
              <w:t>8</w:t>
            </w:r>
            <w:r w:rsidRPr="00F0379B">
              <w:rPr>
                <w:rFonts w:ascii="Cambria" w:eastAsia="MS Gothic" w:hAnsi="Cambria" w:cs="Times New Roman"/>
                <w:color w:val="000000"/>
                <w:sz w:val="20"/>
                <w:szCs w:val="20"/>
                <w:lang w:eastAsia="fr-FR" w:bidi="fr-FR"/>
              </w:rPr>
              <w:t>’ </w:t>
            </w:r>
            <w:r w:rsidRPr="00F0379B">
              <w:rPr>
                <w:rFonts w:ascii="Cambria" w:eastAsia="MS Gothic" w:hAnsi="Cambria" w:cs="Times New Roman"/>
                <w:color w:val="000000"/>
                <w:sz w:val="20"/>
                <w:szCs w:val="20"/>
                <w:rtl/>
                <w:lang w:eastAsia="fr-FR" w:bidi="ar-TN"/>
              </w:rPr>
              <w:t>26</w:t>
            </w:r>
            <w:r w:rsidRPr="00F0379B">
              <w:rPr>
                <w:rFonts w:ascii="Cambria" w:eastAsia="MS Gothic" w:hAnsi="Cambria" w:cs="Times New Roman"/>
                <w:color w:val="000000"/>
                <w:sz w:val="20"/>
                <w:szCs w:val="20"/>
                <w:lang w:eastAsia="fr-FR" w:bidi="fr-FR"/>
              </w:rPr>
              <w:t>’’E</w:t>
            </w:r>
          </w:p>
        </w:tc>
        <w:tc>
          <w:tcPr>
            <w:tcW w:w="2101" w:type="dxa"/>
            <w:vMerge w:val="restart"/>
            <w:vAlign w:val="center"/>
          </w:tcPr>
          <w:p w14:paraId="1BDC1838"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500</w:t>
            </w:r>
          </w:p>
        </w:tc>
        <w:tc>
          <w:tcPr>
            <w:tcW w:w="1978" w:type="dxa"/>
            <w:vMerge w:val="restart"/>
            <w:vAlign w:val="center"/>
          </w:tcPr>
          <w:p w14:paraId="6599D8E2" w14:textId="77777777" w:rsidR="009123AC" w:rsidRPr="00F0379B" w:rsidRDefault="009123AC" w:rsidP="009123AC">
            <w:pPr>
              <w:widowControl w:val="0"/>
              <w:spacing w:after="0" w:line="240" w:lineRule="auto"/>
              <w:ind w:right="26"/>
              <w:jc w:val="center"/>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1.000</w:t>
            </w:r>
          </w:p>
        </w:tc>
      </w:tr>
      <w:tr w:rsidR="009123AC" w:rsidRPr="00F0379B" w14:paraId="53AB1C8D" w14:textId="77777777" w:rsidTr="00CA749B">
        <w:trPr>
          <w:trHeight w:val="166"/>
        </w:trPr>
        <w:tc>
          <w:tcPr>
            <w:tcW w:w="1790" w:type="dxa"/>
            <w:vMerge/>
            <w:vAlign w:val="center"/>
          </w:tcPr>
          <w:p w14:paraId="70FCCF86"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145" w:type="dxa"/>
            <w:vMerge/>
            <w:vAlign w:val="center"/>
          </w:tcPr>
          <w:p w14:paraId="2DB2433D"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2ACA42DE"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tc>
        <w:tc>
          <w:tcPr>
            <w:tcW w:w="3128" w:type="dxa"/>
            <w:vAlign w:val="center"/>
          </w:tcPr>
          <w:p w14:paraId="2C7411F8"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35°</w:t>
            </w:r>
            <w:r w:rsidRPr="00F0379B">
              <w:rPr>
                <w:rFonts w:ascii="Cambria" w:eastAsia="MS Gothic" w:hAnsi="Cambria" w:cs="Times New Roman"/>
                <w:color w:val="000000"/>
                <w:sz w:val="20"/>
                <w:szCs w:val="20"/>
                <w:rtl/>
                <w:lang w:eastAsia="fr-FR" w:bidi="ar-TN"/>
              </w:rPr>
              <w:t>18</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ar-TN"/>
              </w:rPr>
              <w:t>1</w:t>
            </w:r>
            <w:r w:rsidRPr="00F0379B">
              <w:rPr>
                <w:rFonts w:ascii="Cambria" w:eastAsia="MS Gothic" w:hAnsi="Cambria" w:cs="Times New Roman"/>
                <w:color w:val="000000"/>
                <w:sz w:val="20"/>
                <w:szCs w:val="20"/>
                <w:lang w:eastAsia="fr-FR" w:bidi="fr-FR"/>
              </w:rPr>
              <w:t>0’’N - 11°0</w:t>
            </w:r>
            <w:r w:rsidRPr="00F0379B">
              <w:rPr>
                <w:rFonts w:ascii="Cambria" w:eastAsia="MS Gothic" w:hAnsi="Cambria" w:cs="Times New Roman"/>
                <w:color w:val="000000"/>
                <w:sz w:val="20"/>
                <w:szCs w:val="20"/>
                <w:rtl/>
                <w:lang w:eastAsia="fr-FR" w:bidi="ar-TN"/>
              </w:rPr>
              <w:t>8</w:t>
            </w:r>
            <w:r w:rsidRPr="00F0379B">
              <w:rPr>
                <w:rFonts w:ascii="Cambria" w:eastAsia="MS Gothic" w:hAnsi="Cambria" w:cs="Times New Roman"/>
                <w:color w:val="000000"/>
                <w:sz w:val="20"/>
                <w:szCs w:val="20"/>
                <w:lang w:eastAsia="fr-FR" w:bidi="fr-FR"/>
              </w:rPr>
              <w:t>’ </w:t>
            </w:r>
            <w:r w:rsidRPr="00F0379B">
              <w:rPr>
                <w:rFonts w:ascii="Cambria" w:eastAsia="MS Gothic" w:hAnsi="Cambria" w:cs="Times New Roman"/>
                <w:color w:val="000000"/>
                <w:sz w:val="20"/>
                <w:szCs w:val="20"/>
                <w:rtl/>
                <w:lang w:eastAsia="fr-FR" w:bidi="ar-TN"/>
              </w:rPr>
              <w:t>10</w:t>
            </w:r>
            <w:r w:rsidRPr="00F0379B">
              <w:rPr>
                <w:rFonts w:ascii="Cambria" w:eastAsia="MS Gothic" w:hAnsi="Cambria" w:cs="Times New Roman"/>
                <w:color w:val="000000"/>
                <w:sz w:val="20"/>
                <w:szCs w:val="20"/>
                <w:lang w:eastAsia="fr-FR" w:bidi="fr-FR"/>
              </w:rPr>
              <w:t>’’E</w:t>
            </w:r>
          </w:p>
        </w:tc>
        <w:tc>
          <w:tcPr>
            <w:tcW w:w="2101" w:type="dxa"/>
            <w:vMerge/>
            <w:vAlign w:val="center"/>
          </w:tcPr>
          <w:p w14:paraId="7BE23054"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c>
          <w:tcPr>
            <w:tcW w:w="1978" w:type="dxa"/>
            <w:vMerge/>
            <w:vAlign w:val="center"/>
          </w:tcPr>
          <w:p w14:paraId="2F651388"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r>
      <w:tr w:rsidR="009123AC" w:rsidRPr="00F0379B" w14:paraId="7464176A" w14:textId="77777777" w:rsidTr="00CA749B">
        <w:trPr>
          <w:trHeight w:val="166"/>
        </w:trPr>
        <w:tc>
          <w:tcPr>
            <w:tcW w:w="1790" w:type="dxa"/>
            <w:vMerge/>
            <w:vAlign w:val="center"/>
          </w:tcPr>
          <w:p w14:paraId="66732663"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145" w:type="dxa"/>
            <w:vMerge/>
            <w:vAlign w:val="center"/>
          </w:tcPr>
          <w:p w14:paraId="6A9483A5"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5E8B4F6B"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tc>
        <w:tc>
          <w:tcPr>
            <w:tcW w:w="3128" w:type="dxa"/>
            <w:vAlign w:val="center"/>
          </w:tcPr>
          <w:p w14:paraId="2172AD17"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35°</w:t>
            </w:r>
            <w:r w:rsidRPr="00F0379B">
              <w:rPr>
                <w:rFonts w:ascii="Cambria" w:eastAsia="MS Gothic" w:hAnsi="Cambria" w:cs="Times New Roman"/>
                <w:color w:val="000000"/>
                <w:sz w:val="20"/>
                <w:szCs w:val="20"/>
                <w:rtl/>
                <w:lang w:eastAsia="fr-FR" w:bidi="ar-TN"/>
              </w:rPr>
              <w:t>17</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ar-TN"/>
              </w:rPr>
              <w:t>53</w:t>
            </w:r>
            <w:r w:rsidRPr="00F0379B">
              <w:rPr>
                <w:rFonts w:ascii="Cambria" w:eastAsia="MS Gothic" w:hAnsi="Cambria" w:cs="Times New Roman"/>
                <w:color w:val="000000"/>
                <w:sz w:val="20"/>
                <w:szCs w:val="20"/>
                <w:lang w:eastAsia="fr-FR" w:bidi="fr-FR"/>
              </w:rPr>
              <w:t>’’N - 11°0</w:t>
            </w:r>
            <w:r w:rsidRPr="00F0379B">
              <w:rPr>
                <w:rFonts w:ascii="Cambria" w:eastAsia="MS Gothic" w:hAnsi="Cambria" w:cs="Times New Roman"/>
                <w:color w:val="000000"/>
                <w:sz w:val="20"/>
                <w:szCs w:val="20"/>
                <w:rtl/>
                <w:lang w:eastAsia="fr-FR" w:bidi="ar-TN"/>
              </w:rPr>
              <w:t>8</w:t>
            </w:r>
            <w:r w:rsidRPr="00F0379B">
              <w:rPr>
                <w:rFonts w:ascii="Cambria" w:eastAsia="MS Gothic" w:hAnsi="Cambria" w:cs="Times New Roman"/>
                <w:color w:val="000000"/>
                <w:sz w:val="20"/>
                <w:szCs w:val="20"/>
                <w:lang w:eastAsia="fr-FR" w:bidi="fr-FR"/>
              </w:rPr>
              <w:t>’ </w:t>
            </w:r>
            <w:r w:rsidRPr="00F0379B">
              <w:rPr>
                <w:rFonts w:ascii="Cambria" w:eastAsia="MS Gothic" w:hAnsi="Cambria" w:cs="Times New Roman"/>
                <w:color w:val="000000"/>
                <w:sz w:val="20"/>
                <w:szCs w:val="20"/>
                <w:rtl/>
                <w:lang w:eastAsia="fr-FR" w:bidi="ar-TN"/>
              </w:rPr>
              <w:t>26</w:t>
            </w:r>
            <w:r w:rsidRPr="00F0379B">
              <w:rPr>
                <w:rFonts w:ascii="Cambria" w:eastAsia="MS Gothic" w:hAnsi="Cambria" w:cs="Times New Roman"/>
                <w:color w:val="000000"/>
                <w:sz w:val="20"/>
                <w:szCs w:val="20"/>
                <w:lang w:eastAsia="fr-FR" w:bidi="fr-FR"/>
              </w:rPr>
              <w:t>’’E</w:t>
            </w:r>
          </w:p>
        </w:tc>
        <w:tc>
          <w:tcPr>
            <w:tcW w:w="2101" w:type="dxa"/>
            <w:vMerge/>
            <w:vAlign w:val="center"/>
          </w:tcPr>
          <w:p w14:paraId="47671070"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c>
          <w:tcPr>
            <w:tcW w:w="1978" w:type="dxa"/>
            <w:vMerge/>
            <w:vAlign w:val="center"/>
          </w:tcPr>
          <w:p w14:paraId="57EE84A8"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r>
      <w:tr w:rsidR="009123AC" w:rsidRPr="00F0379B" w14:paraId="65C93161" w14:textId="77777777" w:rsidTr="00CA749B">
        <w:trPr>
          <w:trHeight w:val="166"/>
        </w:trPr>
        <w:tc>
          <w:tcPr>
            <w:tcW w:w="1790" w:type="dxa"/>
            <w:vMerge/>
            <w:vAlign w:val="center"/>
          </w:tcPr>
          <w:p w14:paraId="3EE33D69"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145" w:type="dxa"/>
            <w:vMerge/>
            <w:vAlign w:val="center"/>
          </w:tcPr>
          <w:p w14:paraId="2EB7C162"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5A829714"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tc>
        <w:tc>
          <w:tcPr>
            <w:tcW w:w="3128" w:type="dxa"/>
            <w:vAlign w:val="center"/>
          </w:tcPr>
          <w:p w14:paraId="5EEAC93C"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35°</w:t>
            </w:r>
            <w:r w:rsidRPr="00F0379B">
              <w:rPr>
                <w:rFonts w:ascii="Cambria" w:eastAsia="MS Gothic" w:hAnsi="Cambria" w:cs="Times New Roman"/>
                <w:color w:val="000000"/>
                <w:sz w:val="20"/>
                <w:szCs w:val="20"/>
                <w:rtl/>
                <w:lang w:eastAsia="fr-FR" w:bidi="ar-TN"/>
              </w:rPr>
              <w:t>17</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ar-TN"/>
              </w:rPr>
              <w:t>53</w:t>
            </w:r>
            <w:r w:rsidRPr="00F0379B">
              <w:rPr>
                <w:rFonts w:ascii="Cambria" w:eastAsia="MS Gothic" w:hAnsi="Cambria" w:cs="Times New Roman"/>
                <w:color w:val="000000"/>
                <w:sz w:val="20"/>
                <w:szCs w:val="20"/>
                <w:lang w:eastAsia="fr-FR" w:bidi="fr-FR"/>
              </w:rPr>
              <w:t>’’N - 11°0</w:t>
            </w:r>
            <w:r w:rsidRPr="00F0379B">
              <w:rPr>
                <w:rFonts w:ascii="Cambria" w:eastAsia="MS Gothic" w:hAnsi="Cambria" w:cs="Times New Roman"/>
                <w:color w:val="000000"/>
                <w:sz w:val="20"/>
                <w:szCs w:val="20"/>
                <w:rtl/>
                <w:lang w:eastAsia="fr-FR" w:bidi="ar-TN"/>
              </w:rPr>
              <w:t>8</w:t>
            </w:r>
            <w:r w:rsidRPr="00F0379B">
              <w:rPr>
                <w:rFonts w:ascii="Cambria" w:eastAsia="MS Gothic" w:hAnsi="Cambria" w:cs="Times New Roman"/>
                <w:color w:val="000000"/>
                <w:sz w:val="20"/>
                <w:szCs w:val="20"/>
                <w:lang w:eastAsia="fr-FR" w:bidi="fr-FR"/>
              </w:rPr>
              <w:t>’ </w:t>
            </w:r>
            <w:r w:rsidRPr="00F0379B">
              <w:rPr>
                <w:rFonts w:ascii="Cambria" w:eastAsia="MS Gothic" w:hAnsi="Cambria" w:cs="Times New Roman"/>
                <w:color w:val="000000"/>
                <w:sz w:val="20"/>
                <w:szCs w:val="20"/>
                <w:rtl/>
                <w:lang w:eastAsia="fr-FR" w:bidi="ar-TN"/>
              </w:rPr>
              <w:t>10</w:t>
            </w:r>
            <w:r w:rsidRPr="00F0379B">
              <w:rPr>
                <w:rFonts w:ascii="Cambria" w:eastAsia="MS Gothic" w:hAnsi="Cambria" w:cs="Times New Roman"/>
                <w:color w:val="000000"/>
                <w:sz w:val="20"/>
                <w:szCs w:val="20"/>
                <w:lang w:eastAsia="fr-FR" w:bidi="fr-FR"/>
              </w:rPr>
              <w:t>’’E</w:t>
            </w:r>
          </w:p>
        </w:tc>
        <w:tc>
          <w:tcPr>
            <w:tcW w:w="2101" w:type="dxa"/>
            <w:vMerge/>
            <w:vAlign w:val="center"/>
          </w:tcPr>
          <w:p w14:paraId="7036DD02"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c>
          <w:tcPr>
            <w:tcW w:w="1978" w:type="dxa"/>
            <w:vMerge/>
            <w:vAlign w:val="center"/>
          </w:tcPr>
          <w:p w14:paraId="03C98A3E"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p>
        </w:tc>
      </w:tr>
      <w:tr w:rsidR="009123AC" w:rsidRPr="00F0379B" w14:paraId="26990321" w14:textId="77777777" w:rsidTr="00CA749B">
        <w:trPr>
          <w:trHeight w:val="166"/>
        </w:trPr>
        <w:tc>
          <w:tcPr>
            <w:tcW w:w="1790" w:type="dxa"/>
            <w:vMerge w:val="restart"/>
            <w:vAlign w:val="center"/>
          </w:tcPr>
          <w:p w14:paraId="727853AA"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b/>
                <w:bCs/>
                <w:color w:val="000000"/>
                <w:sz w:val="20"/>
                <w:szCs w:val="20"/>
                <w:lang w:eastAsia="fr-FR" w:bidi="fr-FR"/>
              </w:rPr>
              <w:t>THC</w:t>
            </w:r>
          </w:p>
        </w:tc>
        <w:tc>
          <w:tcPr>
            <w:tcW w:w="2145" w:type="dxa"/>
            <w:vMerge w:val="restart"/>
            <w:vAlign w:val="center"/>
          </w:tcPr>
          <w:p w14:paraId="0D2EA383"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AT001TUN00006</w:t>
            </w:r>
          </w:p>
        </w:tc>
        <w:tc>
          <w:tcPr>
            <w:tcW w:w="2738" w:type="dxa"/>
            <w:vMerge w:val="restart"/>
            <w:vAlign w:val="center"/>
          </w:tcPr>
          <w:p w14:paraId="51438AB7" w14:textId="77777777" w:rsidR="009123AC" w:rsidRPr="00F0379B" w:rsidRDefault="009123AC" w:rsidP="009123AC">
            <w:pPr>
              <w:widowControl w:val="0"/>
              <w:shd w:val="clear" w:color="auto" w:fill="FFFFFF"/>
              <w:spacing w:after="0" w:line="240" w:lineRule="auto"/>
              <w:rPr>
                <w:rFonts w:ascii="Cambria" w:eastAsia="MS Gothic" w:hAnsi="Cambria" w:cs="Times New Roman"/>
                <w:color w:val="000000"/>
                <w:sz w:val="20"/>
                <w:szCs w:val="20"/>
                <w:lang w:val="en-US" w:eastAsia="fr-FR" w:bidi="fr-FR"/>
              </w:rPr>
            </w:pPr>
            <w:r w:rsidRPr="00F0379B">
              <w:rPr>
                <w:rFonts w:ascii="Cambria" w:eastAsia="MS Gothic" w:hAnsi="Cambria" w:cs="Times New Roman"/>
                <w:b/>
                <w:bCs/>
                <w:color w:val="000000"/>
                <w:sz w:val="20"/>
                <w:szCs w:val="20"/>
                <w:lang w:val="en-US" w:eastAsia="fr-FR" w:bidi="fr-FR"/>
              </w:rPr>
              <w:t>THC</w:t>
            </w:r>
          </w:p>
          <w:p w14:paraId="272D7C2D" w14:textId="77777777" w:rsidR="009123AC" w:rsidRPr="00F0379B" w:rsidRDefault="009123AC" w:rsidP="009123AC">
            <w:pPr>
              <w:widowControl w:val="0"/>
              <w:shd w:val="clear" w:color="auto" w:fill="FFFFFF"/>
              <w:spacing w:after="0" w:line="240" w:lineRule="auto"/>
              <w:rPr>
                <w:rFonts w:ascii="Cambria" w:eastAsia="MS Gothic" w:hAnsi="Cambria" w:cs="Times New Roman"/>
                <w:color w:val="000000"/>
                <w:sz w:val="20"/>
                <w:szCs w:val="20"/>
                <w:lang w:val="en-US" w:eastAsia="fr-FR" w:bidi="fr-FR"/>
              </w:rPr>
            </w:pPr>
            <w:r w:rsidRPr="00F0379B">
              <w:rPr>
                <w:rFonts w:ascii="Cambria" w:eastAsia="MS Gothic" w:hAnsi="Cambria" w:cs="Times New Roman"/>
                <w:color w:val="000000"/>
                <w:sz w:val="20"/>
                <w:szCs w:val="20"/>
                <w:lang w:val="en-US" w:eastAsia="fr-FR" w:bidi="fr-FR"/>
              </w:rPr>
              <w:t xml:space="preserve">Taher Hajji </w:t>
            </w:r>
          </w:p>
          <w:p w14:paraId="1701A131" w14:textId="77777777" w:rsidR="009123AC" w:rsidRPr="00F0379B" w:rsidRDefault="009123AC" w:rsidP="009123AC">
            <w:pPr>
              <w:widowControl w:val="0"/>
              <w:spacing w:after="0" w:line="240" w:lineRule="auto"/>
              <w:rPr>
                <w:rFonts w:ascii="Cambria" w:eastAsia="MS Gothic" w:hAnsi="Cambria" w:cs="Times New Roman"/>
                <w:sz w:val="20"/>
                <w:szCs w:val="20"/>
                <w:lang w:val="en-US" w:eastAsia="fr-FR" w:bidi="fr-FR"/>
              </w:rPr>
            </w:pPr>
            <w:r w:rsidRPr="00F0379B">
              <w:rPr>
                <w:rFonts w:ascii="Cambria" w:eastAsia="MS Gothic" w:hAnsi="Cambria" w:cs="Times New Roman"/>
                <w:color w:val="000000"/>
                <w:sz w:val="20"/>
                <w:szCs w:val="20"/>
                <w:lang w:val="en-US" w:eastAsia="fr-FR" w:bidi="fr-FR"/>
              </w:rPr>
              <w:t>et Mohamed Chiha</w:t>
            </w:r>
          </w:p>
        </w:tc>
        <w:tc>
          <w:tcPr>
            <w:tcW w:w="3128" w:type="dxa"/>
            <w:vAlign w:val="center"/>
          </w:tcPr>
          <w:p w14:paraId="34919C49"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35°</w:t>
            </w:r>
            <w:r w:rsidRPr="00F0379B">
              <w:rPr>
                <w:rFonts w:ascii="Cambria" w:eastAsia="MS Gothic" w:hAnsi="Cambria" w:cs="Times New Roman"/>
                <w:color w:val="000000"/>
                <w:sz w:val="20"/>
                <w:szCs w:val="20"/>
                <w:rtl/>
                <w:lang w:eastAsia="fr-FR" w:bidi="ar-TN"/>
              </w:rPr>
              <w:t>18</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ar-TN"/>
              </w:rPr>
              <w:t>1</w:t>
            </w:r>
            <w:r w:rsidRPr="00F0379B">
              <w:rPr>
                <w:rFonts w:ascii="Cambria" w:eastAsia="MS Gothic" w:hAnsi="Cambria" w:cs="Times New Roman"/>
                <w:color w:val="000000"/>
                <w:sz w:val="20"/>
                <w:szCs w:val="20"/>
                <w:lang w:eastAsia="fr-FR" w:bidi="fr-FR"/>
              </w:rPr>
              <w:t>0’’N - 11°0</w:t>
            </w:r>
            <w:r w:rsidRPr="00F0379B">
              <w:rPr>
                <w:rFonts w:ascii="Cambria" w:eastAsia="MS Gothic" w:hAnsi="Cambria" w:cs="Times New Roman"/>
                <w:color w:val="000000"/>
                <w:sz w:val="20"/>
                <w:szCs w:val="20"/>
                <w:rtl/>
                <w:lang w:eastAsia="fr-FR" w:bidi="ar-TN"/>
              </w:rPr>
              <w:t>8</w:t>
            </w:r>
            <w:r w:rsidRPr="00F0379B">
              <w:rPr>
                <w:rFonts w:ascii="Cambria" w:eastAsia="MS Gothic" w:hAnsi="Cambria" w:cs="Times New Roman"/>
                <w:color w:val="000000"/>
                <w:sz w:val="20"/>
                <w:szCs w:val="20"/>
                <w:lang w:eastAsia="fr-FR" w:bidi="fr-FR"/>
              </w:rPr>
              <w:t>’ </w:t>
            </w:r>
            <w:r w:rsidRPr="00F0379B">
              <w:rPr>
                <w:rFonts w:ascii="Cambria" w:eastAsia="MS Gothic" w:hAnsi="Cambria" w:cs="Times New Roman"/>
                <w:color w:val="000000"/>
                <w:sz w:val="20"/>
                <w:szCs w:val="20"/>
                <w:rtl/>
                <w:lang w:eastAsia="fr-FR" w:bidi="ar-TN"/>
              </w:rPr>
              <w:t>56</w:t>
            </w:r>
            <w:r w:rsidRPr="00F0379B">
              <w:rPr>
                <w:rFonts w:ascii="Cambria" w:eastAsia="MS Gothic" w:hAnsi="Cambria" w:cs="Times New Roman"/>
                <w:color w:val="000000"/>
                <w:sz w:val="20"/>
                <w:szCs w:val="20"/>
                <w:lang w:eastAsia="fr-FR" w:bidi="fr-FR"/>
              </w:rPr>
              <w:t>’’E</w:t>
            </w:r>
          </w:p>
        </w:tc>
        <w:tc>
          <w:tcPr>
            <w:tcW w:w="2101" w:type="dxa"/>
            <w:vMerge w:val="restart"/>
            <w:vAlign w:val="center"/>
          </w:tcPr>
          <w:p w14:paraId="51255AEF" w14:textId="77777777" w:rsidR="009123AC" w:rsidRPr="00F0379B" w:rsidRDefault="009123AC" w:rsidP="009123AC">
            <w:pPr>
              <w:widowControl w:val="0"/>
              <w:spacing w:after="0" w:line="240" w:lineRule="auto"/>
              <w:jc w:val="center"/>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w:t>
            </w:r>
          </w:p>
        </w:tc>
        <w:tc>
          <w:tcPr>
            <w:tcW w:w="1978" w:type="dxa"/>
            <w:vMerge w:val="restart"/>
            <w:vAlign w:val="center"/>
          </w:tcPr>
          <w:p w14:paraId="211E686E" w14:textId="77777777" w:rsidR="009123AC" w:rsidRPr="00F0379B" w:rsidRDefault="009123AC" w:rsidP="009123AC">
            <w:pPr>
              <w:widowControl w:val="0"/>
              <w:tabs>
                <w:tab w:val="left" w:pos="1171"/>
              </w:tabs>
              <w:spacing w:after="0" w:line="240" w:lineRule="auto"/>
              <w:jc w:val="center"/>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w:t>
            </w:r>
          </w:p>
        </w:tc>
      </w:tr>
      <w:tr w:rsidR="009123AC" w:rsidRPr="00F0379B" w14:paraId="1E65699A" w14:textId="77777777" w:rsidTr="00CA749B">
        <w:trPr>
          <w:trHeight w:val="166"/>
        </w:trPr>
        <w:tc>
          <w:tcPr>
            <w:tcW w:w="1790" w:type="dxa"/>
            <w:vMerge/>
            <w:vAlign w:val="center"/>
          </w:tcPr>
          <w:p w14:paraId="5719C12F" w14:textId="77777777" w:rsidR="009123AC" w:rsidRPr="00F0379B" w:rsidRDefault="009123AC" w:rsidP="009123AC">
            <w:pPr>
              <w:widowControl w:val="0"/>
              <w:spacing w:after="0" w:line="240" w:lineRule="auto"/>
              <w:jc w:val="center"/>
              <w:rPr>
                <w:rFonts w:ascii="Cambria" w:eastAsia="MS Gothic" w:hAnsi="Cambria" w:cs="Times New Roman"/>
                <w:b/>
                <w:bCs/>
                <w:sz w:val="20"/>
                <w:szCs w:val="20"/>
                <w:lang w:eastAsia="fr-FR" w:bidi="fr-FR"/>
              </w:rPr>
            </w:pPr>
          </w:p>
        </w:tc>
        <w:tc>
          <w:tcPr>
            <w:tcW w:w="2145" w:type="dxa"/>
            <w:vMerge/>
            <w:vAlign w:val="center"/>
          </w:tcPr>
          <w:p w14:paraId="12150AC2"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4C4A706B" w14:textId="77777777" w:rsidR="009123AC" w:rsidRPr="00F0379B" w:rsidRDefault="009123AC" w:rsidP="009123AC">
            <w:pPr>
              <w:widowControl w:val="0"/>
              <w:spacing w:after="0" w:line="240" w:lineRule="auto"/>
              <w:jc w:val="center"/>
              <w:rPr>
                <w:rFonts w:ascii="Cambria" w:eastAsia="MS Gothic" w:hAnsi="Cambria" w:cs="Times New Roman"/>
                <w:sz w:val="20"/>
                <w:szCs w:val="20"/>
                <w:lang w:val="en-US" w:eastAsia="fr-FR" w:bidi="fr-FR"/>
              </w:rPr>
            </w:pPr>
          </w:p>
        </w:tc>
        <w:tc>
          <w:tcPr>
            <w:tcW w:w="3128" w:type="dxa"/>
            <w:vAlign w:val="center"/>
          </w:tcPr>
          <w:p w14:paraId="5EC79EB2"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35°</w:t>
            </w:r>
            <w:r w:rsidRPr="00F0379B">
              <w:rPr>
                <w:rFonts w:ascii="Cambria" w:eastAsia="MS Gothic" w:hAnsi="Cambria" w:cs="Times New Roman"/>
                <w:color w:val="000000"/>
                <w:sz w:val="20"/>
                <w:szCs w:val="20"/>
                <w:rtl/>
                <w:lang w:eastAsia="fr-FR" w:bidi="ar-TN"/>
              </w:rPr>
              <w:t>18</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ar-TN"/>
              </w:rPr>
              <w:t>1</w:t>
            </w:r>
            <w:r w:rsidRPr="00F0379B">
              <w:rPr>
                <w:rFonts w:ascii="Cambria" w:eastAsia="MS Gothic" w:hAnsi="Cambria" w:cs="Times New Roman"/>
                <w:color w:val="000000"/>
                <w:sz w:val="20"/>
                <w:szCs w:val="20"/>
                <w:lang w:eastAsia="fr-FR" w:bidi="fr-FR"/>
              </w:rPr>
              <w:t>0’’N - 11°0</w:t>
            </w:r>
            <w:r w:rsidRPr="00F0379B">
              <w:rPr>
                <w:rFonts w:ascii="Cambria" w:eastAsia="MS Gothic" w:hAnsi="Cambria" w:cs="Times New Roman"/>
                <w:color w:val="000000"/>
                <w:sz w:val="20"/>
                <w:szCs w:val="20"/>
                <w:rtl/>
                <w:lang w:eastAsia="fr-FR" w:bidi="ar-TN"/>
              </w:rPr>
              <w:t>8</w:t>
            </w:r>
            <w:r w:rsidRPr="00F0379B">
              <w:rPr>
                <w:rFonts w:ascii="Cambria" w:eastAsia="MS Gothic" w:hAnsi="Cambria" w:cs="Times New Roman"/>
                <w:color w:val="000000"/>
                <w:sz w:val="20"/>
                <w:szCs w:val="20"/>
                <w:lang w:eastAsia="fr-FR" w:bidi="fr-FR"/>
              </w:rPr>
              <w:t>’ </w:t>
            </w:r>
            <w:r w:rsidRPr="00F0379B">
              <w:rPr>
                <w:rFonts w:ascii="Cambria" w:eastAsia="MS Gothic" w:hAnsi="Cambria" w:cs="Times New Roman"/>
                <w:color w:val="000000"/>
                <w:sz w:val="20"/>
                <w:szCs w:val="20"/>
                <w:rtl/>
                <w:lang w:eastAsia="fr-FR" w:bidi="ar-TN"/>
              </w:rPr>
              <w:t>40</w:t>
            </w:r>
            <w:r w:rsidRPr="00F0379B">
              <w:rPr>
                <w:rFonts w:ascii="Cambria" w:eastAsia="MS Gothic" w:hAnsi="Cambria" w:cs="Times New Roman"/>
                <w:color w:val="000000"/>
                <w:sz w:val="20"/>
                <w:szCs w:val="20"/>
                <w:lang w:eastAsia="fr-FR" w:bidi="fr-FR"/>
              </w:rPr>
              <w:t>’’E</w:t>
            </w:r>
          </w:p>
        </w:tc>
        <w:tc>
          <w:tcPr>
            <w:tcW w:w="2101" w:type="dxa"/>
            <w:vMerge/>
            <w:vAlign w:val="center"/>
          </w:tcPr>
          <w:p w14:paraId="2B200D19" w14:textId="77777777" w:rsidR="009123AC" w:rsidRPr="00F0379B" w:rsidRDefault="009123AC" w:rsidP="009123AC">
            <w:pPr>
              <w:widowControl w:val="0"/>
              <w:spacing w:after="0" w:line="240" w:lineRule="auto"/>
              <w:jc w:val="right"/>
              <w:rPr>
                <w:rFonts w:ascii="Cambria" w:eastAsia="MS Gothic" w:hAnsi="Cambria" w:cs="Times New Roman"/>
                <w:sz w:val="20"/>
                <w:szCs w:val="20"/>
                <w:lang w:eastAsia="fr-FR" w:bidi="fr-FR"/>
              </w:rPr>
            </w:pPr>
          </w:p>
        </w:tc>
        <w:tc>
          <w:tcPr>
            <w:tcW w:w="1978" w:type="dxa"/>
            <w:vMerge/>
            <w:vAlign w:val="center"/>
          </w:tcPr>
          <w:p w14:paraId="07A34A48" w14:textId="77777777" w:rsidR="009123AC" w:rsidRPr="00F0379B" w:rsidRDefault="009123AC" w:rsidP="009123AC">
            <w:pPr>
              <w:widowControl w:val="0"/>
              <w:tabs>
                <w:tab w:val="left" w:pos="1171"/>
              </w:tabs>
              <w:spacing w:after="0" w:line="240" w:lineRule="auto"/>
              <w:jc w:val="right"/>
              <w:rPr>
                <w:rFonts w:ascii="Cambria" w:eastAsia="MS Gothic" w:hAnsi="Cambria" w:cs="Times New Roman"/>
                <w:sz w:val="20"/>
                <w:szCs w:val="20"/>
                <w:lang w:eastAsia="fr-FR" w:bidi="fr-FR"/>
              </w:rPr>
            </w:pPr>
          </w:p>
        </w:tc>
      </w:tr>
      <w:tr w:rsidR="009123AC" w:rsidRPr="00F0379B" w14:paraId="62E8DA77" w14:textId="77777777" w:rsidTr="00CA749B">
        <w:trPr>
          <w:trHeight w:val="166"/>
        </w:trPr>
        <w:tc>
          <w:tcPr>
            <w:tcW w:w="1790" w:type="dxa"/>
            <w:vMerge/>
            <w:vAlign w:val="center"/>
          </w:tcPr>
          <w:p w14:paraId="3390EA53" w14:textId="77777777" w:rsidR="009123AC" w:rsidRPr="00F0379B" w:rsidRDefault="009123AC" w:rsidP="009123AC">
            <w:pPr>
              <w:widowControl w:val="0"/>
              <w:spacing w:after="0" w:line="240" w:lineRule="auto"/>
              <w:jc w:val="center"/>
              <w:rPr>
                <w:rFonts w:ascii="Cambria" w:eastAsia="MS Gothic" w:hAnsi="Cambria" w:cs="Times New Roman"/>
                <w:b/>
                <w:bCs/>
                <w:sz w:val="20"/>
                <w:szCs w:val="20"/>
                <w:lang w:eastAsia="fr-FR" w:bidi="fr-FR"/>
              </w:rPr>
            </w:pPr>
          </w:p>
        </w:tc>
        <w:tc>
          <w:tcPr>
            <w:tcW w:w="2145" w:type="dxa"/>
            <w:vMerge/>
            <w:vAlign w:val="center"/>
          </w:tcPr>
          <w:p w14:paraId="597A4087"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420A54BB" w14:textId="77777777" w:rsidR="009123AC" w:rsidRPr="00F0379B" w:rsidRDefault="009123AC" w:rsidP="009123AC">
            <w:pPr>
              <w:widowControl w:val="0"/>
              <w:spacing w:after="0" w:line="240" w:lineRule="auto"/>
              <w:jc w:val="center"/>
              <w:rPr>
                <w:rFonts w:ascii="Cambria" w:eastAsia="MS Gothic" w:hAnsi="Cambria" w:cs="Times New Roman"/>
                <w:sz w:val="20"/>
                <w:szCs w:val="20"/>
                <w:lang w:val="en-US" w:eastAsia="fr-FR" w:bidi="fr-FR"/>
              </w:rPr>
            </w:pPr>
          </w:p>
        </w:tc>
        <w:tc>
          <w:tcPr>
            <w:tcW w:w="3128" w:type="dxa"/>
            <w:vAlign w:val="center"/>
          </w:tcPr>
          <w:p w14:paraId="21617409"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35°</w:t>
            </w:r>
            <w:r w:rsidRPr="00F0379B">
              <w:rPr>
                <w:rFonts w:ascii="Cambria" w:eastAsia="MS Gothic" w:hAnsi="Cambria" w:cs="Times New Roman"/>
                <w:color w:val="000000"/>
                <w:sz w:val="20"/>
                <w:szCs w:val="20"/>
                <w:rtl/>
                <w:lang w:eastAsia="fr-FR" w:bidi="ar-TN"/>
              </w:rPr>
              <w:t>17</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ar-TN"/>
              </w:rPr>
              <w:t>53</w:t>
            </w:r>
            <w:r w:rsidRPr="00F0379B">
              <w:rPr>
                <w:rFonts w:ascii="Cambria" w:eastAsia="MS Gothic" w:hAnsi="Cambria" w:cs="Times New Roman"/>
                <w:color w:val="000000"/>
                <w:sz w:val="20"/>
                <w:szCs w:val="20"/>
                <w:lang w:eastAsia="fr-FR" w:bidi="fr-FR"/>
              </w:rPr>
              <w:t>’’N - 11°0</w:t>
            </w:r>
            <w:r w:rsidRPr="00F0379B">
              <w:rPr>
                <w:rFonts w:ascii="Cambria" w:eastAsia="MS Gothic" w:hAnsi="Cambria" w:cs="Times New Roman"/>
                <w:color w:val="000000"/>
                <w:sz w:val="20"/>
                <w:szCs w:val="20"/>
                <w:rtl/>
                <w:lang w:eastAsia="fr-FR" w:bidi="ar-TN"/>
              </w:rPr>
              <w:t>8</w:t>
            </w:r>
            <w:r w:rsidRPr="00F0379B">
              <w:rPr>
                <w:rFonts w:ascii="Cambria" w:eastAsia="MS Gothic" w:hAnsi="Cambria" w:cs="Times New Roman"/>
                <w:color w:val="000000"/>
                <w:sz w:val="20"/>
                <w:szCs w:val="20"/>
                <w:lang w:eastAsia="fr-FR" w:bidi="fr-FR"/>
              </w:rPr>
              <w:t>’ </w:t>
            </w:r>
            <w:r w:rsidRPr="00F0379B">
              <w:rPr>
                <w:rFonts w:ascii="Cambria" w:eastAsia="MS Gothic" w:hAnsi="Cambria" w:cs="Times New Roman"/>
                <w:color w:val="000000"/>
                <w:sz w:val="20"/>
                <w:szCs w:val="20"/>
                <w:rtl/>
                <w:lang w:eastAsia="fr-FR" w:bidi="ar-TN"/>
              </w:rPr>
              <w:t>56</w:t>
            </w:r>
            <w:r w:rsidRPr="00F0379B">
              <w:rPr>
                <w:rFonts w:ascii="Cambria" w:eastAsia="MS Gothic" w:hAnsi="Cambria" w:cs="Times New Roman"/>
                <w:color w:val="000000"/>
                <w:sz w:val="20"/>
                <w:szCs w:val="20"/>
                <w:lang w:eastAsia="fr-FR" w:bidi="fr-FR"/>
              </w:rPr>
              <w:t>’’E</w:t>
            </w:r>
          </w:p>
        </w:tc>
        <w:tc>
          <w:tcPr>
            <w:tcW w:w="2101" w:type="dxa"/>
            <w:vMerge/>
            <w:vAlign w:val="center"/>
          </w:tcPr>
          <w:p w14:paraId="32AD388A" w14:textId="77777777" w:rsidR="009123AC" w:rsidRPr="00F0379B" w:rsidRDefault="009123AC" w:rsidP="009123AC">
            <w:pPr>
              <w:widowControl w:val="0"/>
              <w:spacing w:after="0" w:line="240" w:lineRule="auto"/>
              <w:jc w:val="right"/>
              <w:rPr>
                <w:rFonts w:ascii="Cambria" w:eastAsia="MS Gothic" w:hAnsi="Cambria" w:cs="Times New Roman"/>
                <w:sz w:val="20"/>
                <w:szCs w:val="20"/>
                <w:lang w:eastAsia="fr-FR" w:bidi="fr-FR"/>
              </w:rPr>
            </w:pPr>
          </w:p>
        </w:tc>
        <w:tc>
          <w:tcPr>
            <w:tcW w:w="1978" w:type="dxa"/>
            <w:vMerge/>
            <w:vAlign w:val="center"/>
          </w:tcPr>
          <w:p w14:paraId="3A5ED39C" w14:textId="77777777" w:rsidR="009123AC" w:rsidRPr="00F0379B" w:rsidRDefault="009123AC" w:rsidP="009123AC">
            <w:pPr>
              <w:widowControl w:val="0"/>
              <w:tabs>
                <w:tab w:val="left" w:pos="1171"/>
              </w:tabs>
              <w:spacing w:after="0" w:line="240" w:lineRule="auto"/>
              <w:jc w:val="right"/>
              <w:rPr>
                <w:rFonts w:ascii="Cambria" w:eastAsia="MS Gothic" w:hAnsi="Cambria" w:cs="Times New Roman"/>
                <w:sz w:val="20"/>
                <w:szCs w:val="20"/>
                <w:lang w:eastAsia="fr-FR" w:bidi="fr-FR"/>
              </w:rPr>
            </w:pPr>
          </w:p>
        </w:tc>
      </w:tr>
      <w:tr w:rsidR="009123AC" w:rsidRPr="00F0379B" w14:paraId="04D313AE" w14:textId="77777777" w:rsidTr="00CA749B">
        <w:trPr>
          <w:trHeight w:val="166"/>
        </w:trPr>
        <w:tc>
          <w:tcPr>
            <w:tcW w:w="1790" w:type="dxa"/>
            <w:vMerge/>
            <w:vAlign w:val="center"/>
          </w:tcPr>
          <w:p w14:paraId="1A11FC6C" w14:textId="77777777" w:rsidR="009123AC" w:rsidRPr="00F0379B" w:rsidRDefault="009123AC" w:rsidP="009123AC">
            <w:pPr>
              <w:widowControl w:val="0"/>
              <w:spacing w:after="0" w:line="240" w:lineRule="auto"/>
              <w:jc w:val="center"/>
              <w:rPr>
                <w:rFonts w:ascii="Cambria" w:eastAsia="MS Gothic" w:hAnsi="Cambria" w:cs="Times New Roman"/>
                <w:b/>
                <w:bCs/>
                <w:sz w:val="20"/>
                <w:szCs w:val="20"/>
                <w:lang w:eastAsia="fr-FR" w:bidi="fr-FR"/>
              </w:rPr>
            </w:pPr>
          </w:p>
        </w:tc>
        <w:tc>
          <w:tcPr>
            <w:tcW w:w="2145" w:type="dxa"/>
            <w:vMerge/>
            <w:vAlign w:val="center"/>
          </w:tcPr>
          <w:p w14:paraId="3F0D7202"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01DB881A" w14:textId="77777777" w:rsidR="009123AC" w:rsidRPr="00F0379B" w:rsidRDefault="009123AC" w:rsidP="009123AC">
            <w:pPr>
              <w:widowControl w:val="0"/>
              <w:spacing w:after="0" w:line="240" w:lineRule="auto"/>
              <w:jc w:val="center"/>
              <w:rPr>
                <w:rFonts w:ascii="Cambria" w:eastAsia="MS Gothic" w:hAnsi="Cambria" w:cs="Times New Roman"/>
                <w:sz w:val="20"/>
                <w:szCs w:val="20"/>
                <w:lang w:val="en-US" w:eastAsia="fr-FR" w:bidi="fr-FR"/>
              </w:rPr>
            </w:pPr>
          </w:p>
        </w:tc>
        <w:tc>
          <w:tcPr>
            <w:tcW w:w="3128" w:type="dxa"/>
            <w:vAlign w:val="center"/>
          </w:tcPr>
          <w:p w14:paraId="5E010AF6"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35°</w:t>
            </w:r>
            <w:r w:rsidRPr="00F0379B">
              <w:rPr>
                <w:rFonts w:ascii="Cambria" w:eastAsia="MS Gothic" w:hAnsi="Cambria" w:cs="Times New Roman"/>
                <w:color w:val="000000"/>
                <w:sz w:val="20"/>
                <w:szCs w:val="20"/>
                <w:rtl/>
                <w:lang w:eastAsia="fr-FR" w:bidi="ar-TN"/>
              </w:rPr>
              <w:t>17</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ar-TN"/>
              </w:rPr>
              <w:t>53</w:t>
            </w:r>
            <w:r w:rsidRPr="00F0379B">
              <w:rPr>
                <w:rFonts w:ascii="Cambria" w:eastAsia="MS Gothic" w:hAnsi="Cambria" w:cs="Times New Roman"/>
                <w:color w:val="000000"/>
                <w:sz w:val="20"/>
                <w:szCs w:val="20"/>
                <w:lang w:eastAsia="fr-FR" w:bidi="fr-FR"/>
              </w:rPr>
              <w:t>’’N - 11°0</w:t>
            </w:r>
            <w:r w:rsidRPr="00F0379B">
              <w:rPr>
                <w:rFonts w:ascii="Cambria" w:eastAsia="MS Gothic" w:hAnsi="Cambria" w:cs="Times New Roman"/>
                <w:color w:val="000000"/>
                <w:sz w:val="20"/>
                <w:szCs w:val="20"/>
                <w:rtl/>
                <w:lang w:eastAsia="fr-FR" w:bidi="ar-TN"/>
              </w:rPr>
              <w:t>8</w:t>
            </w:r>
            <w:r w:rsidRPr="00F0379B">
              <w:rPr>
                <w:rFonts w:ascii="Cambria" w:eastAsia="MS Gothic" w:hAnsi="Cambria" w:cs="Times New Roman"/>
                <w:color w:val="000000"/>
                <w:sz w:val="20"/>
                <w:szCs w:val="20"/>
                <w:lang w:eastAsia="fr-FR" w:bidi="fr-FR"/>
              </w:rPr>
              <w:t>’ </w:t>
            </w:r>
            <w:r w:rsidRPr="00F0379B">
              <w:rPr>
                <w:rFonts w:ascii="Cambria" w:eastAsia="MS Gothic" w:hAnsi="Cambria" w:cs="Times New Roman"/>
                <w:color w:val="000000"/>
                <w:sz w:val="20"/>
                <w:szCs w:val="20"/>
                <w:rtl/>
                <w:lang w:eastAsia="fr-FR" w:bidi="ar-TN"/>
              </w:rPr>
              <w:t>40</w:t>
            </w:r>
            <w:r w:rsidRPr="00F0379B">
              <w:rPr>
                <w:rFonts w:ascii="Cambria" w:eastAsia="MS Gothic" w:hAnsi="Cambria" w:cs="Times New Roman"/>
                <w:color w:val="000000"/>
                <w:sz w:val="20"/>
                <w:szCs w:val="20"/>
                <w:lang w:eastAsia="fr-FR" w:bidi="fr-FR"/>
              </w:rPr>
              <w:t>’’E</w:t>
            </w:r>
          </w:p>
        </w:tc>
        <w:tc>
          <w:tcPr>
            <w:tcW w:w="2101" w:type="dxa"/>
            <w:vMerge/>
            <w:vAlign w:val="center"/>
          </w:tcPr>
          <w:p w14:paraId="690E5E14" w14:textId="77777777" w:rsidR="009123AC" w:rsidRPr="00F0379B" w:rsidRDefault="009123AC" w:rsidP="009123AC">
            <w:pPr>
              <w:widowControl w:val="0"/>
              <w:spacing w:after="0" w:line="240" w:lineRule="auto"/>
              <w:jc w:val="right"/>
              <w:rPr>
                <w:rFonts w:ascii="Cambria" w:eastAsia="MS Gothic" w:hAnsi="Cambria" w:cs="Times New Roman"/>
                <w:sz w:val="20"/>
                <w:szCs w:val="20"/>
                <w:lang w:eastAsia="fr-FR" w:bidi="fr-FR"/>
              </w:rPr>
            </w:pPr>
          </w:p>
        </w:tc>
        <w:tc>
          <w:tcPr>
            <w:tcW w:w="1978" w:type="dxa"/>
            <w:vMerge/>
            <w:vAlign w:val="center"/>
          </w:tcPr>
          <w:p w14:paraId="673C0685" w14:textId="77777777" w:rsidR="009123AC" w:rsidRPr="00F0379B" w:rsidRDefault="009123AC" w:rsidP="009123AC">
            <w:pPr>
              <w:widowControl w:val="0"/>
              <w:tabs>
                <w:tab w:val="left" w:pos="1171"/>
              </w:tabs>
              <w:spacing w:after="0" w:line="240" w:lineRule="auto"/>
              <w:jc w:val="right"/>
              <w:rPr>
                <w:rFonts w:ascii="Cambria" w:eastAsia="MS Gothic" w:hAnsi="Cambria" w:cs="Times New Roman"/>
                <w:sz w:val="20"/>
                <w:szCs w:val="20"/>
                <w:lang w:eastAsia="fr-FR" w:bidi="fr-FR"/>
              </w:rPr>
            </w:pPr>
          </w:p>
        </w:tc>
      </w:tr>
      <w:tr w:rsidR="009123AC" w:rsidRPr="00F0379B" w14:paraId="614AFFEC" w14:textId="77777777" w:rsidTr="00CA749B">
        <w:trPr>
          <w:trHeight w:val="166"/>
        </w:trPr>
        <w:tc>
          <w:tcPr>
            <w:tcW w:w="1790" w:type="dxa"/>
            <w:vMerge w:val="restart"/>
            <w:vAlign w:val="center"/>
          </w:tcPr>
          <w:p w14:paraId="30A6BB40" w14:textId="77777777" w:rsidR="009123AC" w:rsidRPr="00F0379B" w:rsidRDefault="009123AC" w:rsidP="009123AC">
            <w:pPr>
              <w:widowControl w:val="0"/>
              <w:spacing w:after="0" w:line="240" w:lineRule="auto"/>
              <w:jc w:val="center"/>
              <w:rPr>
                <w:rFonts w:ascii="Cambria" w:eastAsia="MS Gothic" w:hAnsi="Cambria" w:cs="Times New Roman"/>
                <w:b/>
                <w:bCs/>
                <w:sz w:val="20"/>
                <w:szCs w:val="20"/>
                <w:lang w:eastAsia="fr-FR" w:bidi="fr-FR"/>
              </w:rPr>
            </w:pPr>
            <w:r w:rsidRPr="00F0379B">
              <w:rPr>
                <w:rFonts w:ascii="Cambria" w:eastAsia="MS Gothic" w:hAnsi="Cambria" w:cs="Times New Roman"/>
                <w:b/>
                <w:bCs/>
                <w:color w:val="000000"/>
                <w:sz w:val="20"/>
                <w:szCs w:val="20"/>
                <w:lang w:eastAsia="fr-FR" w:bidi="fr-FR"/>
              </w:rPr>
              <w:t xml:space="preserve">Samaka tuna </w:t>
            </w:r>
            <w:proofErr w:type="spellStart"/>
            <w:r w:rsidRPr="00F0379B">
              <w:rPr>
                <w:rFonts w:ascii="Cambria" w:eastAsia="MS Gothic" w:hAnsi="Cambria" w:cs="Times New Roman"/>
                <w:b/>
                <w:bCs/>
                <w:color w:val="000000"/>
                <w:sz w:val="20"/>
                <w:szCs w:val="20"/>
                <w:lang w:eastAsia="fr-FR" w:bidi="fr-FR"/>
              </w:rPr>
              <w:t>farm</w:t>
            </w:r>
            <w:proofErr w:type="spellEnd"/>
          </w:p>
        </w:tc>
        <w:tc>
          <w:tcPr>
            <w:tcW w:w="2145" w:type="dxa"/>
            <w:vMerge w:val="restart"/>
            <w:vAlign w:val="center"/>
          </w:tcPr>
          <w:p w14:paraId="076A5335"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AT001TUN00008</w:t>
            </w:r>
          </w:p>
        </w:tc>
        <w:tc>
          <w:tcPr>
            <w:tcW w:w="2738" w:type="dxa"/>
            <w:vMerge w:val="restart"/>
            <w:vAlign w:val="center"/>
          </w:tcPr>
          <w:p w14:paraId="1506BA46" w14:textId="77777777" w:rsidR="009123AC" w:rsidRPr="00F0379B" w:rsidRDefault="009123AC" w:rsidP="009123AC">
            <w:pPr>
              <w:widowControl w:val="0"/>
              <w:shd w:val="clear" w:color="auto" w:fill="FFFFFF"/>
              <w:spacing w:before="120" w:after="120" w:line="240" w:lineRule="auto"/>
              <w:ind w:right="35"/>
              <w:jc w:val="both"/>
              <w:rPr>
                <w:rFonts w:ascii="Cambria" w:eastAsia="MS Gothic" w:hAnsi="Cambria" w:cs="Times New Roman"/>
                <w:b/>
                <w:bCs/>
                <w:color w:val="000000"/>
                <w:sz w:val="20"/>
                <w:szCs w:val="20"/>
                <w:lang w:val="en-US" w:eastAsia="fr-FR" w:bidi="fr-FR"/>
              </w:rPr>
            </w:pPr>
            <w:r w:rsidRPr="00F0379B">
              <w:rPr>
                <w:rFonts w:ascii="Cambria" w:eastAsia="MS Gothic" w:hAnsi="Cambria" w:cs="Times New Roman"/>
                <w:b/>
                <w:bCs/>
                <w:color w:val="000000"/>
                <w:sz w:val="20"/>
                <w:szCs w:val="20"/>
                <w:lang w:val="en-US" w:eastAsia="fr-FR" w:bidi="fr-FR"/>
              </w:rPr>
              <w:t xml:space="preserve">SAMAKA tuna farm </w:t>
            </w:r>
          </w:p>
          <w:p w14:paraId="3E24D4BD" w14:textId="77777777" w:rsidR="009123AC" w:rsidRPr="00F0379B" w:rsidRDefault="009123AC" w:rsidP="009123AC">
            <w:pPr>
              <w:widowControl w:val="0"/>
              <w:spacing w:after="0" w:line="240" w:lineRule="auto"/>
              <w:jc w:val="both"/>
              <w:rPr>
                <w:rFonts w:ascii="Cambria" w:eastAsia="MS Gothic" w:hAnsi="Cambria" w:cs="Times New Roman"/>
                <w:sz w:val="20"/>
                <w:szCs w:val="20"/>
                <w:lang w:val="en-US" w:eastAsia="fr-FR" w:bidi="fr-FR"/>
              </w:rPr>
            </w:pPr>
            <w:r w:rsidRPr="00F0379B">
              <w:rPr>
                <w:rFonts w:ascii="Cambria" w:eastAsia="MS Gothic" w:hAnsi="Cambria" w:cs="Times New Roman"/>
                <w:color w:val="000000"/>
                <w:sz w:val="20"/>
                <w:szCs w:val="20"/>
                <w:lang w:val="en-US" w:eastAsia="fr-FR" w:bidi="fr-FR"/>
              </w:rPr>
              <w:t xml:space="preserve">Boutheina </w:t>
            </w:r>
            <w:proofErr w:type="spellStart"/>
            <w:r w:rsidRPr="00F0379B">
              <w:rPr>
                <w:rFonts w:ascii="Cambria" w:eastAsia="MS Gothic" w:hAnsi="Cambria" w:cs="Times New Roman"/>
                <w:color w:val="000000"/>
                <w:sz w:val="20"/>
                <w:szCs w:val="20"/>
                <w:lang w:val="en-US" w:eastAsia="fr-FR" w:bidi="fr-FR"/>
              </w:rPr>
              <w:t>Bouzouita</w:t>
            </w:r>
            <w:proofErr w:type="spellEnd"/>
          </w:p>
        </w:tc>
        <w:tc>
          <w:tcPr>
            <w:tcW w:w="3128" w:type="dxa"/>
            <w:vAlign w:val="center"/>
          </w:tcPr>
          <w:p w14:paraId="2602312D"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rtl/>
                <w:lang w:eastAsia="fr-FR" w:bidi="fr-FR"/>
              </w:rPr>
              <w:t>36</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fr-FR"/>
              </w:rPr>
              <w:t>30</w:t>
            </w:r>
            <w:r w:rsidRPr="00F0379B">
              <w:rPr>
                <w:rFonts w:ascii="Cambria" w:eastAsia="MS Gothic" w:hAnsi="Cambria" w:cs="Times New Roman"/>
                <w:color w:val="000000"/>
                <w:sz w:val="20"/>
                <w:szCs w:val="20"/>
                <w:lang w:eastAsia="fr-FR" w:bidi="fr-FR"/>
              </w:rPr>
              <w:t>’0</w:t>
            </w:r>
            <w:r w:rsidRPr="00F0379B">
              <w:rPr>
                <w:rFonts w:ascii="Cambria" w:eastAsia="MS Gothic" w:hAnsi="Cambria" w:cs="Times New Roman"/>
                <w:color w:val="000000"/>
                <w:sz w:val="20"/>
                <w:szCs w:val="20"/>
                <w:rtl/>
                <w:lang w:eastAsia="fr-FR" w:bidi="fr-FR"/>
              </w:rPr>
              <w:t>0</w:t>
            </w:r>
            <w:r w:rsidRPr="00F0379B">
              <w:rPr>
                <w:rFonts w:ascii="Cambria" w:eastAsia="MS Gothic" w:hAnsi="Cambria" w:cs="Times New Roman"/>
                <w:color w:val="000000"/>
                <w:sz w:val="20"/>
                <w:szCs w:val="20"/>
                <w:lang w:eastAsia="fr-FR" w:bidi="fr-FR"/>
              </w:rPr>
              <w:t>0” N-</w:t>
            </w:r>
            <w:r w:rsidRPr="00F0379B">
              <w:rPr>
                <w:rFonts w:ascii="Cambria" w:eastAsia="MS Gothic" w:hAnsi="Cambria" w:cs="Times New Roman"/>
                <w:color w:val="000000"/>
                <w:sz w:val="20"/>
                <w:szCs w:val="20"/>
                <w:rtl/>
                <w:lang w:eastAsia="fr-FR" w:bidi="fr-FR"/>
              </w:rPr>
              <w:t>10</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fr-FR"/>
              </w:rPr>
              <w:t>55</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fr-FR"/>
              </w:rPr>
              <w:t>000</w:t>
            </w:r>
            <w:r w:rsidRPr="00F0379B">
              <w:rPr>
                <w:rFonts w:ascii="Cambria" w:eastAsia="MS Gothic" w:hAnsi="Cambria" w:cs="Times New Roman"/>
                <w:color w:val="000000"/>
                <w:sz w:val="20"/>
                <w:szCs w:val="20"/>
                <w:lang w:eastAsia="fr-FR" w:bidi="fr-FR"/>
              </w:rPr>
              <w:t>” E</w:t>
            </w:r>
          </w:p>
        </w:tc>
        <w:tc>
          <w:tcPr>
            <w:tcW w:w="2101" w:type="dxa"/>
            <w:vMerge w:val="restart"/>
            <w:vAlign w:val="center"/>
          </w:tcPr>
          <w:p w14:paraId="3D254F02"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500</w:t>
            </w:r>
          </w:p>
        </w:tc>
        <w:tc>
          <w:tcPr>
            <w:tcW w:w="1978" w:type="dxa"/>
            <w:vMerge w:val="restart"/>
            <w:vAlign w:val="center"/>
          </w:tcPr>
          <w:p w14:paraId="5B54DA63" w14:textId="77777777" w:rsidR="009123AC" w:rsidRPr="00F0379B" w:rsidRDefault="009123AC" w:rsidP="009123AC">
            <w:pPr>
              <w:widowControl w:val="0"/>
              <w:tabs>
                <w:tab w:val="left" w:pos="1171"/>
              </w:tabs>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t>1.000</w:t>
            </w:r>
          </w:p>
        </w:tc>
      </w:tr>
      <w:tr w:rsidR="009123AC" w:rsidRPr="00F0379B" w14:paraId="3460D065" w14:textId="77777777" w:rsidTr="00CA749B">
        <w:trPr>
          <w:trHeight w:val="166"/>
        </w:trPr>
        <w:tc>
          <w:tcPr>
            <w:tcW w:w="1790" w:type="dxa"/>
            <w:vMerge/>
            <w:vAlign w:val="center"/>
          </w:tcPr>
          <w:p w14:paraId="1548F986" w14:textId="77777777" w:rsidR="009123AC" w:rsidRPr="00F0379B" w:rsidRDefault="009123AC" w:rsidP="009123AC">
            <w:pPr>
              <w:widowControl w:val="0"/>
              <w:spacing w:after="0" w:line="240" w:lineRule="auto"/>
              <w:jc w:val="center"/>
              <w:rPr>
                <w:rFonts w:ascii="Cambria" w:eastAsia="MS Gothic" w:hAnsi="Cambria" w:cs="Times New Roman"/>
                <w:b/>
                <w:bCs/>
                <w:sz w:val="20"/>
                <w:szCs w:val="20"/>
                <w:lang w:eastAsia="fr-FR" w:bidi="fr-FR"/>
              </w:rPr>
            </w:pPr>
          </w:p>
        </w:tc>
        <w:tc>
          <w:tcPr>
            <w:tcW w:w="2145" w:type="dxa"/>
            <w:vMerge/>
            <w:vAlign w:val="center"/>
          </w:tcPr>
          <w:p w14:paraId="2B9935AA"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2FAC8623" w14:textId="77777777" w:rsidR="009123AC" w:rsidRPr="00F0379B" w:rsidRDefault="009123AC" w:rsidP="009123AC">
            <w:pPr>
              <w:widowControl w:val="0"/>
              <w:spacing w:after="0" w:line="240" w:lineRule="auto"/>
              <w:jc w:val="center"/>
              <w:rPr>
                <w:rFonts w:ascii="Cambria" w:eastAsia="MS Gothic" w:hAnsi="Cambria" w:cs="Times New Roman"/>
                <w:sz w:val="20"/>
                <w:szCs w:val="20"/>
                <w:lang w:val="en-US" w:eastAsia="fr-FR" w:bidi="fr-FR"/>
              </w:rPr>
            </w:pPr>
          </w:p>
        </w:tc>
        <w:tc>
          <w:tcPr>
            <w:tcW w:w="3128" w:type="dxa"/>
            <w:vAlign w:val="center"/>
          </w:tcPr>
          <w:p w14:paraId="08A2BC38"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rtl/>
                <w:lang w:eastAsia="fr-FR" w:bidi="fr-FR"/>
              </w:rPr>
              <w:t>36</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fr-FR"/>
              </w:rPr>
              <w:t>30</w:t>
            </w:r>
            <w:r w:rsidRPr="00F0379B">
              <w:rPr>
                <w:rFonts w:ascii="Cambria" w:eastAsia="MS Gothic" w:hAnsi="Cambria" w:cs="Times New Roman"/>
                <w:color w:val="000000"/>
                <w:sz w:val="20"/>
                <w:szCs w:val="20"/>
                <w:lang w:eastAsia="fr-FR" w:bidi="fr-FR"/>
              </w:rPr>
              <w:t>’0</w:t>
            </w:r>
            <w:r w:rsidRPr="00F0379B">
              <w:rPr>
                <w:rFonts w:ascii="Cambria" w:eastAsia="MS Gothic" w:hAnsi="Cambria" w:cs="Times New Roman"/>
                <w:color w:val="000000"/>
                <w:sz w:val="20"/>
                <w:szCs w:val="20"/>
                <w:rtl/>
                <w:lang w:eastAsia="fr-FR" w:bidi="fr-FR"/>
              </w:rPr>
              <w:t>0</w:t>
            </w:r>
            <w:r w:rsidRPr="00F0379B">
              <w:rPr>
                <w:rFonts w:ascii="Cambria" w:eastAsia="MS Gothic" w:hAnsi="Cambria" w:cs="Times New Roman"/>
                <w:color w:val="000000"/>
                <w:sz w:val="20"/>
                <w:szCs w:val="20"/>
                <w:lang w:eastAsia="fr-FR" w:bidi="fr-FR"/>
              </w:rPr>
              <w:t>0” N-</w:t>
            </w:r>
            <w:r w:rsidRPr="00F0379B">
              <w:rPr>
                <w:rFonts w:ascii="Cambria" w:eastAsia="MS Gothic" w:hAnsi="Cambria" w:cs="Times New Roman"/>
                <w:color w:val="000000"/>
                <w:sz w:val="20"/>
                <w:szCs w:val="20"/>
                <w:rtl/>
                <w:lang w:eastAsia="fr-FR" w:bidi="fr-FR"/>
              </w:rPr>
              <w:t>10</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fr-FR"/>
              </w:rPr>
              <w:t>55</w:t>
            </w:r>
            <w:r w:rsidRPr="00F0379B">
              <w:rPr>
                <w:rFonts w:ascii="Cambria" w:eastAsia="MS Gothic" w:hAnsi="Cambria" w:cs="Times New Roman"/>
                <w:color w:val="000000"/>
                <w:sz w:val="20"/>
                <w:szCs w:val="20"/>
                <w:lang w:eastAsia="fr-FR" w:bidi="fr-FR"/>
              </w:rPr>
              <w:t>’5</w:t>
            </w:r>
            <w:r w:rsidRPr="00F0379B">
              <w:rPr>
                <w:rFonts w:ascii="Cambria" w:eastAsia="MS Gothic" w:hAnsi="Cambria" w:cs="Times New Roman"/>
                <w:color w:val="000000"/>
                <w:sz w:val="20"/>
                <w:szCs w:val="20"/>
                <w:rtl/>
                <w:lang w:eastAsia="fr-FR" w:bidi="fr-FR"/>
              </w:rPr>
              <w:t>00</w:t>
            </w:r>
            <w:r w:rsidRPr="00F0379B">
              <w:rPr>
                <w:rFonts w:ascii="Cambria" w:eastAsia="MS Gothic" w:hAnsi="Cambria" w:cs="Times New Roman"/>
                <w:color w:val="000000"/>
                <w:sz w:val="20"/>
                <w:szCs w:val="20"/>
                <w:lang w:eastAsia="fr-FR" w:bidi="fr-FR"/>
              </w:rPr>
              <w:t>” E</w:t>
            </w:r>
          </w:p>
        </w:tc>
        <w:tc>
          <w:tcPr>
            <w:tcW w:w="2101" w:type="dxa"/>
            <w:vMerge/>
            <w:vAlign w:val="center"/>
          </w:tcPr>
          <w:p w14:paraId="661B591A" w14:textId="77777777" w:rsidR="009123AC" w:rsidRPr="00F0379B" w:rsidRDefault="009123AC" w:rsidP="009123AC">
            <w:pPr>
              <w:widowControl w:val="0"/>
              <w:spacing w:after="0" w:line="240" w:lineRule="auto"/>
              <w:jc w:val="right"/>
              <w:rPr>
                <w:rFonts w:ascii="Cambria" w:eastAsia="MS Gothic" w:hAnsi="Cambria" w:cs="Times New Roman"/>
                <w:sz w:val="20"/>
                <w:szCs w:val="20"/>
                <w:lang w:eastAsia="fr-FR" w:bidi="fr-FR"/>
              </w:rPr>
            </w:pPr>
          </w:p>
        </w:tc>
        <w:tc>
          <w:tcPr>
            <w:tcW w:w="1978" w:type="dxa"/>
            <w:vMerge/>
            <w:vAlign w:val="center"/>
          </w:tcPr>
          <w:p w14:paraId="42363374" w14:textId="77777777" w:rsidR="009123AC" w:rsidRPr="00F0379B" w:rsidRDefault="009123AC" w:rsidP="009123AC">
            <w:pPr>
              <w:widowControl w:val="0"/>
              <w:tabs>
                <w:tab w:val="left" w:pos="1171"/>
              </w:tabs>
              <w:spacing w:after="0" w:line="240" w:lineRule="auto"/>
              <w:jc w:val="center"/>
              <w:rPr>
                <w:rFonts w:ascii="Cambria" w:eastAsia="MS Gothic" w:hAnsi="Cambria" w:cs="Times New Roman"/>
                <w:sz w:val="20"/>
                <w:szCs w:val="20"/>
                <w:lang w:eastAsia="fr-FR" w:bidi="fr-FR"/>
              </w:rPr>
            </w:pPr>
          </w:p>
        </w:tc>
      </w:tr>
      <w:tr w:rsidR="009123AC" w:rsidRPr="00F0379B" w14:paraId="271D7942" w14:textId="77777777" w:rsidTr="00CA749B">
        <w:trPr>
          <w:trHeight w:val="166"/>
        </w:trPr>
        <w:tc>
          <w:tcPr>
            <w:tcW w:w="1790" w:type="dxa"/>
            <w:vMerge/>
            <w:vAlign w:val="center"/>
          </w:tcPr>
          <w:p w14:paraId="012771B6" w14:textId="77777777" w:rsidR="009123AC" w:rsidRPr="00F0379B" w:rsidRDefault="009123AC" w:rsidP="009123AC">
            <w:pPr>
              <w:widowControl w:val="0"/>
              <w:spacing w:after="0" w:line="240" w:lineRule="auto"/>
              <w:jc w:val="center"/>
              <w:rPr>
                <w:rFonts w:ascii="Cambria" w:eastAsia="MS Gothic" w:hAnsi="Cambria" w:cs="Times New Roman"/>
                <w:b/>
                <w:bCs/>
                <w:sz w:val="20"/>
                <w:szCs w:val="20"/>
                <w:lang w:eastAsia="fr-FR" w:bidi="fr-FR"/>
              </w:rPr>
            </w:pPr>
          </w:p>
        </w:tc>
        <w:tc>
          <w:tcPr>
            <w:tcW w:w="2145" w:type="dxa"/>
            <w:vMerge/>
            <w:vAlign w:val="center"/>
          </w:tcPr>
          <w:p w14:paraId="6141FD60"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3BA236CD" w14:textId="77777777" w:rsidR="009123AC" w:rsidRPr="00F0379B" w:rsidRDefault="009123AC" w:rsidP="009123AC">
            <w:pPr>
              <w:widowControl w:val="0"/>
              <w:spacing w:after="0" w:line="240" w:lineRule="auto"/>
              <w:jc w:val="center"/>
              <w:rPr>
                <w:rFonts w:ascii="Cambria" w:eastAsia="MS Gothic" w:hAnsi="Cambria" w:cs="Times New Roman"/>
                <w:sz w:val="20"/>
                <w:szCs w:val="20"/>
                <w:lang w:val="en-US" w:eastAsia="fr-FR" w:bidi="fr-FR"/>
              </w:rPr>
            </w:pPr>
          </w:p>
        </w:tc>
        <w:tc>
          <w:tcPr>
            <w:tcW w:w="3128" w:type="dxa"/>
            <w:vAlign w:val="center"/>
          </w:tcPr>
          <w:p w14:paraId="591D1D21"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rtl/>
                <w:lang w:eastAsia="fr-FR" w:bidi="fr-FR"/>
              </w:rPr>
              <w:t>36</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fr-FR"/>
              </w:rPr>
              <w:t>29</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fr-FR"/>
              </w:rPr>
              <w:t>630</w:t>
            </w:r>
            <w:r w:rsidRPr="00F0379B">
              <w:rPr>
                <w:rFonts w:ascii="Cambria" w:eastAsia="MS Gothic" w:hAnsi="Cambria" w:cs="Times New Roman"/>
                <w:color w:val="000000"/>
                <w:sz w:val="20"/>
                <w:szCs w:val="20"/>
                <w:lang w:eastAsia="fr-FR" w:bidi="fr-FR"/>
              </w:rPr>
              <w:t>” N-</w:t>
            </w:r>
            <w:r w:rsidRPr="00F0379B">
              <w:rPr>
                <w:rFonts w:ascii="Cambria" w:eastAsia="MS Gothic" w:hAnsi="Cambria" w:cs="Times New Roman"/>
                <w:color w:val="000000"/>
                <w:sz w:val="20"/>
                <w:szCs w:val="20"/>
                <w:rtl/>
                <w:lang w:eastAsia="fr-FR" w:bidi="fr-FR"/>
              </w:rPr>
              <w:t>10</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fr-FR"/>
              </w:rPr>
              <w:t>55</w:t>
            </w:r>
            <w:r w:rsidRPr="00F0379B">
              <w:rPr>
                <w:rFonts w:ascii="Cambria" w:eastAsia="MS Gothic" w:hAnsi="Cambria" w:cs="Times New Roman"/>
                <w:color w:val="000000"/>
                <w:sz w:val="20"/>
                <w:szCs w:val="20"/>
                <w:lang w:eastAsia="fr-FR" w:bidi="fr-FR"/>
              </w:rPr>
              <w:t>’5</w:t>
            </w:r>
            <w:r w:rsidRPr="00F0379B">
              <w:rPr>
                <w:rFonts w:ascii="Cambria" w:eastAsia="MS Gothic" w:hAnsi="Cambria" w:cs="Times New Roman"/>
                <w:color w:val="000000"/>
                <w:sz w:val="20"/>
                <w:szCs w:val="20"/>
                <w:rtl/>
                <w:lang w:eastAsia="fr-FR" w:bidi="fr-FR"/>
              </w:rPr>
              <w:t>00</w:t>
            </w:r>
            <w:r w:rsidRPr="00F0379B">
              <w:rPr>
                <w:rFonts w:ascii="Cambria" w:eastAsia="MS Gothic" w:hAnsi="Cambria" w:cs="Times New Roman"/>
                <w:color w:val="000000"/>
                <w:sz w:val="20"/>
                <w:szCs w:val="20"/>
                <w:lang w:eastAsia="fr-FR" w:bidi="fr-FR"/>
              </w:rPr>
              <w:t>” E</w:t>
            </w:r>
          </w:p>
        </w:tc>
        <w:tc>
          <w:tcPr>
            <w:tcW w:w="2101" w:type="dxa"/>
            <w:vMerge/>
            <w:vAlign w:val="center"/>
          </w:tcPr>
          <w:p w14:paraId="4CF35FD7" w14:textId="77777777" w:rsidR="009123AC" w:rsidRPr="00F0379B" w:rsidRDefault="009123AC" w:rsidP="009123AC">
            <w:pPr>
              <w:widowControl w:val="0"/>
              <w:spacing w:after="0" w:line="240" w:lineRule="auto"/>
              <w:jc w:val="right"/>
              <w:rPr>
                <w:rFonts w:ascii="Cambria" w:eastAsia="MS Gothic" w:hAnsi="Cambria" w:cs="Times New Roman"/>
                <w:sz w:val="20"/>
                <w:szCs w:val="20"/>
                <w:lang w:eastAsia="fr-FR" w:bidi="fr-FR"/>
              </w:rPr>
            </w:pPr>
          </w:p>
        </w:tc>
        <w:tc>
          <w:tcPr>
            <w:tcW w:w="1978" w:type="dxa"/>
            <w:vMerge/>
            <w:vAlign w:val="center"/>
          </w:tcPr>
          <w:p w14:paraId="2FB0A7AE" w14:textId="77777777" w:rsidR="009123AC" w:rsidRPr="00F0379B" w:rsidRDefault="009123AC" w:rsidP="009123AC">
            <w:pPr>
              <w:widowControl w:val="0"/>
              <w:tabs>
                <w:tab w:val="left" w:pos="1171"/>
              </w:tabs>
              <w:spacing w:after="0" w:line="240" w:lineRule="auto"/>
              <w:jc w:val="center"/>
              <w:rPr>
                <w:rFonts w:ascii="Cambria" w:eastAsia="MS Gothic" w:hAnsi="Cambria" w:cs="Times New Roman"/>
                <w:sz w:val="20"/>
                <w:szCs w:val="20"/>
                <w:lang w:eastAsia="fr-FR" w:bidi="fr-FR"/>
              </w:rPr>
            </w:pPr>
          </w:p>
        </w:tc>
      </w:tr>
      <w:tr w:rsidR="009123AC" w:rsidRPr="00F0379B" w14:paraId="4A9F0A14" w14:textId="77777777" w:rsidTr="00CA749B">
        <w:trPr>
          <w:trHeight w:val="166"/>
        </w:trPr>
        <w:tc>
          <w:tcPr>
            <w:tcW w:w="1790" w:type="dxa"/>
            <w:vMerge/>
            <w:vAlign w:val="center"/>
          </w:tcPr>
          <w:p w14:paraId="30C1918C" w14:textId="77777777" w:rsidR="009123AC" w:rsidRPr="00F0379B" w:rsidRDefault="009123AC" w:rsidP="009123AC">
            <w:pPr>
              <w:widowControl w:val="0"/>
              <w:spacing w:after="0" w:line="240" w:lineRule="auto"/>
              <w:jc w:val="center"/>
              <w:rPr>
                <w:rFonts w:ascii="Cambria" w:eastAsia="MS Gothic" w:hAnsi="Cambria" w:cs="Times New Roman"/>
                <w:b/>
                <w:bCs/>
                <w:sz w:val="20"/>
                <w:szCs w:val="20"/>
                <w:lang w:eastAsia="fr-FR" w:bidi="fr-FR"/>
              </w:rPr>
            </w:pPr>
          </w:p>
        </w:tc>
        <w:tc>
          <w:tcPr>
            <w:tcW w:w="2145" w:type="dxa"/>
            <w:vMerge/>
            <w:vAlign w:val="center"/>
          </w:tcPr>
          <w:p w14:paraId="0CF98706"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p>
        </w:tc>
        <w:tc>
          <w:tcPr>
            <w:tcW w:w="2738" w:type="dxa"/>
            <w:vMerge/>
            <w:vAlign w:val="center"/>
          </w:tcPr>
          <w:p w14:paraId="5BBD9884" w14:textId="77777777" w:rsidR="009123AC" w:rsidRPr="00F0379B" w:rsidRDefault="009123AC" w:rsidP="009123AC">
            <w:pPr>
              <w:widowControl w:val="0"/>
              <w:spacing w:after="0" w:line="240" w:lineRule="auto"/>
              <w:jc w:val="center"/>
              <w:rPr>
                <w:rFonts w:ascii="Cambria" w:eastAsia="MS Gothic" w:hAnsi="Cambria" w:cs="Times New Roman"/>
                <w:sz w:val="20"/>
                <w:szCs w:val="20"/>
                <w:lang w:val="en-US" w:eastAsia="fr-FR" w:bidi="fr-FR"/>
              </w:rPr>
            </w:pPr>
          </w:p>
        </w:tc>
        <w:tc>
          <w:tcPr>
            <w:tcW w:w="3128" w:type="dxa"/>
            <w:vAlign w:val="center"/>
          </w:tcPr>
          <w:p w14:paraId="1390E7A8" w14:textId="77777777" w:rsidR="009123AC" w:rsidRPr="00F0379B" w:rsidRDefault="009123AC" w:rsidP="009123AC">
            <w:pPr>
              <w:widowControl w:val="0"/>
              <w:spacing w:after="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rtl/>
                <w:lang w:eastAsia="fr-FR" w:bidi="fr-FR"/>
              </w:rPr>
              <w:t>36</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fr-FR"/>
              </w:rPr>
              <w:t>29</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fr-FR"/>
              </w:rPr>
              <w:t>630</w:t>
            </w:r>
            <w:r w:rsidRPr="00F0379B">
              <w:rPr>
                <w:rFonts w:ascii="Cambria" w:eastAsia="MS Gothic" w:hAnsi="Cambria" w:cs="Times New Roman"/>
                <w:color w:val="000000"/>
                <w:sz w:val="20"/>
                <w:szCs w:val="20"/>
                <w:lang w:eastAsia="fr-FR" w:bidi="fr-FR"/>
              </w:rPr>
              <w:t>” N-</w:t>
            </w:r>
            <w:r w:rsidRPr="00F0379B">
              <w:rPr>
                <w:rFonts w:ascii="Cambria" w:eastAsia="MS Gothic" w:hAnsi="Cambria" w:cs="Times New Roman"/>
                <w:color w:val="000000"/>
                <w:sz w:val="20"/>
                <w:szCs w:val="20"/>
                <w:rtl/>
                <w:lang w:eastAsia="fr-FR" w:bidi="fr-FR"/>
              </w:rPr>
              <w:t>10</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fr-FR"/>
              </w:rPr>
              <w:t>55</w:t>
            </w:r>
            <w:r w:rsidRPr="00F0379B">
              <w:rPr>
                <w:rFonts w:ascii="Cambria" w:eastAsia="MS Gothic" w:hAnsi="Cambria" w:cs="Times New Roman"/>
                <w:color w:val="000000"/>
                <w:sz w:val="20"/>
                <w:szCs w:val="20"/>
                <w:lang w:eastAsia="fr-FR" w:bidi="fr-FR"/>
              </w:rPr>
              <w:t>’</w:t>
            </w:r>
            <w:r w:rsidRPr="00F0379B">
              <w:rPr>
                <w:rFonts w:ascii="Cambria" w:eastAsia="MS Gothic" w:hAnsi="Cambria" w:cs="Times New Roman"/>
                <w:color w:val="000000"/>
                <w:sz w:val="20"/>
                <w:szCs w:val="20"/>
                <w:rtl/>
                <w:lang w:eastAsia="fr-FR" w:bidi="fr-FR"/>
              </w:rPr>
              <w:t>000</w:t>
            </w:r>
            <w:r w:rsidRPr="00F0379B">
              <w:rPr>
                <w:rFonts w:ascii="Cambria" w:eastAsia="MS Gothic" w:hAnsi="Cambria" w:cs="Times New Roman"/>
                <w:color w:val="000000"/>
                <w:sz w:val="20"/>
                <w:szCs w:val="20"/>
                <w:lang w:eastAsia="fr-FR" w:bidi="fr-FR"/>
              </w:rPr>
              <w:t>” E</w:t>
            </w:r>
          </w:p>
        </w:tc>
        <w:tc>
          <w:tcPr>
            <w:tcW w:w="2101" w:type="dxa"/>
            <w:vMerge/>
            <w:vAlign w:val="center"/>
          </w:tcPr>
          <w:p w14:paraId="3913DA7E" w14:textId="77777777" w:rsidR="009123AC" w:rsidRPr="00F0379B" w:rsidRDefault="009123AC" w:rsidP="009123AC">
            <w:pPr>
              <w:widowControl w:val="0"/>
              <w:spacing w:after="0" w:line="240" w:lineRule="auto"/>
              <w:jc w:val="right"/>
              <w:rPr>
                <w:rFonts w:ascii="Cambria" w:eastAsia="MS Gothic" w:hAnsi="Cambria" w:cs="Times New Roman"/>
                <w:sz w:val="20"/>
                <w:szCs w:val="20"/>
                <w:lang w:eastAsia="fr-FR" w:bidi="fr-FR"/>
              </w:rPr>
            </w:pPr>
          </w:p>
        </w:tc>
        <w:tc>
          <w:tcPr>
            <w:tcW w:w="1978" w:type="dxa"/>
            <w:vMerge/>
            <w:vAlign w:val="center"/>
          </w:tcPr>
          <w:p w14:paraId="49B1F208" w14:textId="77777777" w:rsidR="009123AC" w:rsidRPr="00F0379B" w:rsidRDefault="009123AC" w:rsidP="009123AC">
            <w:pPr>
              <w:widowControl w:val="0"/>
              <w:tabs>
                <w:tab w:val="left" w:pos="1171"/>
              </w:tabs>
              <w:spacing w:after="0" w:line="240" w:lineRule="auto"/>
              <w:jc w:val="center"/>
              <w:rPr>
                <w:rFonts w:ascii="Cambria" w:eastAsia="MS Gothic" w:hAnsi="Cambria" w:cs="Times New Roman"/>
                <w:sz w:val="20"/>
                <w:szCs w:val="20"/>
                <w:lang w:eastAsia="fr-FR" w:bidi="fr-FR"/>
              </w:rPr>
            </w:pPr>
          </w:p>
        </w:tc>
      </w:tr>
      <w:tr w:rsidR="009123AC" w:rsidRPr="00F0379B" w14:paraId="4EDBA6D5" w14:textId="77777777" w:rsidTr="00CA749B">
        <w:trPr>
          <w:trHeight w:val="476"/>
        </w:trPr>
        <w:tc>
          <w:tcPr>
            <w:tcW w:w="9801" w:type="dxa"/>
            <w:gridSpan w:val="4"/>
            <w:vAlign w:val="center"/>
          </w:tcPr>
          <w:p w14:paraId="52526DB1" w14:textId="77777777" w:rsidR="009123AC" w:rsidRPr="00F0379B" w:rsidRDefault="009123AC" w:rsidP="009123AC">
            <w:pPr>
              <w:widowControl w:val="0"/>
              <w:spacing w:before="120" w:after="120" w:line="240" w:lineRule="auto"/>
              <w:ind w:right="35"/>
              <w:jc w:val="center"/>
              <w:rPr>
                <w:rFonts w:ascii="Cambria" w:eastAsia="MS Gothic" w:hAnsi="Cambria" w:cs="Times New Roman"/>
                <w:b/>
                <w:bCs/>
                <w:vanish/>
                <w:sz w:val="20"/>
                <w:szCs w:val="20"/>
                <w:lang w:eastAsia="fr-FR" w:bidi="fr-FR"/>
              </w:rPr>
            </w:pPr>
            <w:r w:rsidRPr="00F0379B">
              <w:rPr>
                <w:rFonts w:ascii="Cambria" w:eastAsia="MS Gothic" w:hAnsi="Cambria" w:cs="Times New Roman"/>
                <w:b/>
                <w:bCs/>
                <w:sz w:val="20"/>
                <w:szCs w:val="20"/>
                <w:lang w:eastAsia="fr-FR" w:bidi="fr-FR"/>
              </w:rPr>
              <w:t>TOTAL (t)</w:t>
            </w:r>
          </w:p>
        </w:tc>
        <w:tc>
          <w:tcPr>
            <w:tcW w:w="2101" w:type="dxa"/>
            <w:vAlign w:val="center"/>
          </w:tcPr>
          <w:p w14:paraId="3F4703A1" w14:textId="77777777" w:rsidR="009123AC" w:rsidRPr="00F0379B" w:rsidRDefault="009123AC" w:rsidP="009123AC">
            <w:pPr>
              <w:widowControl w:val="0"/>
              <w:spacing w:before="120" w:after="12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b/>
                <w:bCs/>
                <w:color w:val="000000"/>
                <w:sz w:val="20"/>
                <w:szCs w:val="20"/>
                <w:lang w:eastAsia="fr-FR" w:bidi="fr-FR"/>
              </w:rPr>
              <w:t>3.600</w:t>
            </w:r>
          </w:p>
        </w:tc>
        <w:tc>
          <w:tcPr>
            <w:tcW w:w="1978" w:type="dxa"/>
            <w:vAlign w:val="center"/>
          </w:tcPr>
          <w:p w14:paraId="226319A5" w14:textId="77777777" w:rsidR="009123AC" w:rsidRPr="00F0379B" w:rsidRDefault="009123AC" w:rsidP="009123AC">
            <w:pPr>
              <w:widowControl w:val="0"/>
              <w:tabs>
                <w:tab w:val="left" w:pos="1171"/>
              </w:tabs>
              <w:spacing w:before="120" w:after="120" w:line="240" w:lineRule="auto"/>
              <w:jc w:val="center"/>
              <w:rPr>
                <w:rFonts w:ascii="Cambria" w:eastAsia="MS Gothic" w:hAnsi="Cambria" w:cs="Times New Roman"/>
                <w:sz w:val="20"/>
                <w:szCs w:val="20"/>
                <w:lang w:eastAsia="fr-FR" w:bidi="fr-FR"/>
              </w:rPr>
            </w:pPr>
            <w:r w:rsidRPr="00F0379B">
              <w:rPr>
                <w:rFonts w:ascii="Cambria" w:eastAsia="MS Gothic" w:hAnsi="Cambria" w:cs="Times New Roman"/>
                <w:b/>
                <w:bCs/>
                <w:color w:val="000000"/>
                <w:sz w:val="20"/>
                <w:szCs w:val="20"/>
                <w:lang w:eastAsia="fr-FR" w:bidi="fr-FR"/>
              </w:rPr>
              <w:t>7.200</w:t>
            </w:r>
          </w:p>
        </w:tc>
      </w:tr>
    </w:tbl>
    <w:p w14:paraId="5B9C15B0" w14:textId="77777777" w:rsidR="009123AC" w:rsidRPr="00F0379B" w:rsidRDefault="009123AC" w:rsidP="009123AC">
      <w:pPr>
        <w:spacing w:after="0" w:line="240" w:lineRule="auto"/>
        <w:rPr>
          <w:rFonts w:ascii="Cambria" w:eastAsia="MS Gothic" w:hAnsi="Cambria" w:cs="Times New Roman"/>
          <w:sz w:val="20"/>
          <w:szCs w:val="20"/>
          <w:lang w:eastAsia="fr-FR" w:bidi="fr-FR"/>
        </w:rPr>
      </w:pPr>
    </w:p>
    <w:p w14:paraId="0DF8F8C0" w14:textId="77777777" w:rsidR="009123AC" w:rsidRPr="00F0379B" w:rsidRDefault="009123AC" w:rsidP="009123AC">
      <w:pPr>
        <w:spacing w:after="0" w:line="240" w:lineRule="auto"/>
        <w:ind w:left="840"/>
        <w:jc w:val="both"/>
        <w:rPr>
          <w:rFonts w:ascii="Cambria" w:eastAsia="MS Gothic" w:hAnsi="Cambria" w:cs="Times New Roman"/>
          <w:sz w:val="20"/>
          <w:szCs w:val="20"/>
          <w:lang w:eastAsia="fr-FR" w:bidi="fr-FR"/>
        </w:rPr>
        <w:sectPr w:rsidR="009123AC" w:rsidRPr="00F0379B" w:rsidSect="009123AC">
          <w:footnotePr>
            <w:numFmt w:val="chicago"/>
          </w:footnotePr>
          <w:pgSz w:w="16838" w:h="11906" w:orient="landscape" w:code="9"/>
          <w:pgMar w:top="1418" w:right="1418" w:bottom="1418" w:left="1418" w:header="851" w:footer="1134" w:gutter="0"/>
          <w:cols w:space="425"/>
          <w:docGrid w:linePitch="360"/>
        </w:sectPr>
      </w:pPr>
    </w:p>
    <w:p w14:paraId="236BA23D" w14:textId="1A7ABB75" w:rsidR="009123AC" w:rsidRPr="00F0379B" w:rsidRDefault="009123AC" w:rsidP="009123AC">
      <w:pPr>
        <w:widowControl w:val="0"/>
        <w:spacing w:after="0" w:line="240" w:lineRule="auto"/>
        <w:jc w:val="both"/>
        <w:rPr>
          <w:rFonts w:ascii="Cambria" w:eastAsia="MS Gothic" w:hAnsi="Cambria" w:cs="Times New Roman"/>
          <w:b/>
          <w:sz w:val="20"/>
          <w:szCs w:val="20"/>
          <w:lang w:val="it-IT" w:eastAsia="fr-FR" w:bidi="fr-FR"/>
        </w:rPr>
      </w:pPr>
      <w:r w:rsidRPr="00F0379B">
        <w:rPr>
          <w:rFonts w:ascii="Cambria" w:eastAsia="MS Gothic" w:hAnsi="Cambria" w:cs="Times New Roman"/>
          <w:b/>
          <w:sz w:val="20"/>
          <w:szCs w:val="24"/>
          <w:lang w:val="it-IT" w:eastAsia="fr-FR" w:bidi="fr-FR"/>
        </w:rPr>
        <w:t>Türkiye</w:t>
      </w:r>
    </w:p>
    <w:p w14:paraId="733BB262" w14:textId="77777777" w:rsidR="009123AC" w:rsidRPr="00F0379B" w:rsidRDefault="009123AC" w:rsidP="009123AC">
      <w:pPr>
        <w:widowControl w:val="0"/>
        <w:spacing w:after="0" w:line="240" w:lineRule="auto"/>
        <w:jc w:val="both"/>
        <w:rPr>
          <w:rFonts w:ascii="Cambria" w:eastAsia="MS Gothic" w:hAnsi="Cambria" w:cs="Times New Roman"/>
          <w:sz w:val="12"/>
          <w:szCs w:val="12"/>
          <w:lang w:val="it-IT" w:eastAsia="fr-FR" w:bidi="fr-FR"/>
        </w:rPr>
      </w:pPr>
    </w:p>
    <w:p w14:paraId="54374A98" w14:textId="77777777" w:rsidR="009123AC" w:rsidRPr="00F0379B" w:rsidRDefault="009123AC" w:rsidP="009123AC">
      <w:pPr>
        <w:widowControl w:val="0"/>
        <w:spacing w:after="0" w:line="240" w:lineRule="auto"/>
        <w:jc w:val="both"/>
        <w:rPr>
          <w:rFonts w:ascii="Cambria" w:eastAsia="MS Gothic" w:hAnsi="Cambria" w:cs="Times New Roman"/>
          <w:b/>
          <w:sz w:val="20"/>
          <w:szCs w:val="24"/>
          <w:lang w:eastAsia="fr-FR" w:bidi="fr-FR"/>
        </w:rPr>
      </w:pPr>
      <w:r w:rsidRPr="00F0379B">
        <w:rPr>
          <w:rFonts w:ascii="Cambria" w:eastAsia="MS Gothic" w:hAnsi="Cambria" w:cs="Times New Roman"/>
          <w:b/>
          <w:bCs/>
          <w:sz w:val="20"/>
          <w:szCs w:val="24"/>
          <w:lang w:eastAsia="fr-FR" w:bidi="fr-FR"/>
        </w:rPr>
        <w:t>Año del plan de pesca:</w:t>
      </w:r>
      <w:r w:rsidRPr="00F0379B">
        <w:rPr>
          <w:rFonts w:ascii="Cambria" w:eastAsia="MS Gothic" w:hAnsi="Cambria" w:cs="Times New Roman"/>
          <w:b/>
          <w:sz w:val="20"/>
          <w:szCs w:val="24"/>
          <w:lang w:eastAsia="fr-FR" w:bidi="fr-FR"/>
        </w:rPr>
        <w:t xml:space="preserve"> 2026</w:t>
      </w:r>
    </w:p>
    <w:p w14:paraId="68357FC2" w14:textId="77777777" w:rsidR="009123AC" w:rsidRPr="00F0379B" w:rsidRDefault="009123AC" w:rsidP="009123AC">
      <w:pPr>
        <w:widowControl w:val="0"/>
        <w:spacing w:after="0" w:line="240" w:lineRule="auto"/>
        <w:jc w:val="both"/>
        <w:rPr>
          <w:rFonts w:ascii="Cambria" w:eastAsia="MS Gothic" w:hAnsi="Cambria" w:cs="Times New Roman"/>
          <w:b/>
          <w:sz w:val="14"/>
          <w:szCs w:val="18"/>
          <w:lang w:eastAsia="fr-FR" w:bidi="fr-FR"/>
        </w:rPr>
      </w:pPr>
    </w:p>
    <w:p w14:paraId="67732DCF" w14:textId="77777777" w:rsidR="009123AC" w:rsidRPr="00F0379B" w:rsidRDefault="009123AC" w:rsidP="00CE0EC8">
      <w:pPr>
        <w:widowControl w:val="0"/>
        <w:numPr>
          <w:ilvl w:val="0"/>
          <w:numId w:val="67"/>
        </w:numPr>
        <w:spacing w:after="0" w:line="240" w:lineRule="auto"/>
        <w:ind w:left="426" w:hanging="426"/>
        <w:contextualSpacing/>
        <w:jc w:val="both"/>
        <w:rPr>
          <w:rFonts w:ascii="Cambria" w:eastAsia="MS Gothic" w:hAnsi="Cambria" w:cs="Times New Roman"/>
          <w:b/>
          <w:sz w:val="20"/>
          <w:szCs w:val="24"/>
          <w:lang w:eastAsia="fr-FR" w:bidi="fr-FR"/>
        </w:rPr>
      </w:pPr>
      <w:r w:rsidRPr="00F0379B">
        <w:rPr>
          <w:rFonts w:ascii="Cambria" w:eastAsia="MS Gothic" w:hAnsi="Cambria" w:cs="Times New Roman"/>
          <w:b/>
          <w:sz w:val="20"/>
          <w:szCs w:val="24"/>
          <w:lang w:eastAsia="fr-FR" w:bidi="fr-FR"/>
        </w:rPr>
        <w:t xml:space="preserve">Detalles del plan anual de pesca para los buques de captura y las almadrabas </w:t>
      </w:r>
    </w:p>
    <w:p w14:paraId="48B15376"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55DBB9F8" w14:textId="77777777" w:rsidR="009123AC" w:rsidRPr="00F0379B" w:rsidRDefault="009123AC" w:rsidP="009123AC">
      <w:pPr>
        <w:widowControl w:val="0"/>
        <w:spacing w:after="0" w:line="240" w:lineRule="auto"/>
        <w:jc w:val="both"/>
        <w:rPr>
          <w:rFonts w:ascii="Cambria" w:eastAsia="MS Gothic" w:hAnsi="Cambria" w:cs="Times New Roman"/>
          <w:b/>
          <w:i/>
          <w:iCs/>
          <w:sz w:val="20"/>
          <w:szCs w:val="20"/>
          <w:lang w:eastAsia="fr-FR" w:bidi="fr-FR"/>
        </w:rPr>
      </w:pPr>
      <w:r w:rsidRPr="00F0379B">
        <w:rPr>
          <w:rFonts w:ascii="Cambria" w:eastAsia="MS Gothic" w:hAnsi="Cambria" w:cs="Times New Roman"/>
          <w:b/>
          <w:i/>
          <w:iCs/>
          <w:sz w:val="20"/>
          <w:szCs w:val="20"/>
          <w:lang w:eastAsia="fr-FR" w:bidi="fr-FR"/>
        </w:rPr>
        <w:t>1 a) Presentación (párr. 12</w:t>
      </w:r>
      <w:r w:rsidRPr="00F0379B">
        <w:rPr>
          <w:rFonts w:ascii="Cambria" w:eastAsia="MS Gothic" w:hAnsi="Cambria" w:cs="Times New Roman"/>
          <w:b/>
          <w:bCs/>
          <w:i/>
          <w:iCs/>
          <w:sz w:val="20"/>
          <w:szCs w:val="20"/>
          <w:lang w:eastAsia="fr-FR" w:bidi="fr-FR"/>
        </w:rPr>
        <w:t>)</w:t>
      </w:r>
    </w:p>
    <w:p w14:paraId="697A52B5"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14C3CE03"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La </w:t>
      </w:r>
      <w:r w:rsidRPr="00F0379B">
        <w:rPr>
          <w:rFonts w:ascii="Cambria" w:eastAsia="MS Gothic" w:hAnsi="Cambria" w:cs="Times New Roman"/>
          <w:i/>
          <w:iCs/>
          <w:sz w:val="20"/>
          <w:szCs w:val="24"/>
          <w:lang w:eastAsia="fr-FR" w:bidi="fr-FR"/>
        </w:rPr>
        <w:t>Recomendación de ICCAT que reemplaza la Recomendación 24-05 que establece un plan de ordenación plurianual para el atún rojo en el Atlántico este y el Mediterráneo</w:t>
      </w:r>
      <w:r w:rsidRPr="00F0379B">
        <w:rPr>
          <w:rFonts w:ascii="Cambria" w:eastAsia="MS Gothic" w:hAnsi="Cambria" w:cs="Times New Roman"/>
          <w:sz w:val="20"/>
          <w:szCs w:val="24"/>
          <w:lang w:eastAsia="fr-FR" w:bidi="fr-FR"/>
        </w:rPr>
        <w:t xml:space="preserve"> (Rec. 25-04) se implementará a partir del 1 de enero de 2026.</w:t>
      </w:r>
    </w:p>
    <w:p w14:paraId="36C2FDEA"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7193D604"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La cuota anual de 2026 de Türkiye para el atún rojo en el Atlántico este y Mediterráneo es de 3.094,45 t conforme a la Rec. 25-04 de ICCAT. </w:t>
      </w:r>
    </w:p>
    <w:p w14:paraId="4F8659C1"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702E1627"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No obstante, Türkiye aplicará una cuota ajustada de 3.149,45 t para 2026. Esta cuota incluirá 55 t transferidas de Mauritania a Türkiye (con arreglo al párrafo 8 de la Rec. 25-04) además de la cuota anual.</w:t>
      </w:r>
    </w:p>
    <w:p w14:paraId="3314DC97"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425F6199"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Además de la cuota ajustada mencionada anteriormente, Türkiye podrá transferir cuotas de otras CPC (de conformidad con el párrafo 8 de la Rec. 25-04)</w:t>
      </w:r>
      <w:r w:rsidRPr="00F0379B">
        <w:rPr>
          <w:rFonts w:ascii="Cambria" w:eastAsia="MS Gothic" w:hAnsi="Cambria" w:cs="Times New Roman"/>
          <w:sz w:val="20"/>
          <w:szCs w:val="24"/>
          <w:vertAlign w:val="superscript"/>
          <w:lang w:eastAsia="fr-FR" w:bidi="fr-FR"/>
        </w:rPr>
        <w:footnoteReference w:id="28"/>
      </w:r>
      <w:r w:rsidRPr="00F0379B">
        <w:rPr>
          <w:rFonts w:ascii="Cambria" w:eastAsia="MS Gothic" w:hAnsi="Cambria" w:cs="Times New Roman"/>
          <w:sz w:val="20"/>
          <w:szCs w:val="24"/>
          <w:lang w:eastAsia="fr-FR" w:bidi="fr-FR"/>
        </w:rPr>
        <w:t>.</w:t>
      </w:r>
    </w:p>
    <w:p w14:paraId="60301521"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2FA77811"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El Artículo 22 de la Notificación n.º 6/1 que regula la pesca comercial (n.º 2024/20) establece disposiciones genéricas sobre la regulación de la pesca del atún rojo</w:t>
      </w:r>
      <w:r w:rsidRPr="00F0379B">
        <w:rPr>
          <w:rFonts w:ascii="Cambria" w:eastAsia="MS Gothic" w:hAnsi="Cambria" w:cs="Times New Roman"/>
          <w:sz w:val="20"/>
          <w:szCs w:val="24"/>
          <w:vertAlign w:val="superscript"/>
          <w:lang w:val="en-GB" w:eastAsia="fr-FR" w:bidi="fr-FR"/>
        </w:rPr>
        <w:footnoteReference w:id="29"/>
      </w:r>
      <w:r w:rsidRPr="00F0379B">
        <w:rPr>
          <w:rFonts w:ascii="Cambria" w:eastAsia="MS Gothic" w:hAnsi="Cambria" w:cs="Times New Roman"/>
          <w:sz w:val="20"/>
          <w:szCs w:val="24"/>
          <w:lang w:eastAsia="fr-FR" w:bidi="fr-FR"/>
        </w:rPr>
        <w:t>.</w:t>
      </w:r>
    </w:p>
    <w:p w14:paraId="46B5FF4A"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4F0F8EED"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Las normas establecidas por la Rec. 25-04 se han traspuesto en la reglamentación interna turca mediante un «Circular ministerial sobre pesca, cría y comercio de atún rojo». La Circular ministerial sobre pesca, cría y comercio de atún rojo incluye todas las disposiciones de la Rec. 25-04 de ICCAT y se basa en el Artículo 22 de la Notificación (n.º 2024/20), así como en la Ley de Pesca n.º 1380</w:t>
      </w:r>
      <w:r w:rsidRPr="00F0379B">
        <w:rPr>
          <w:rFonts w:ascii="Cambria" w:eastAsia="MS Gothic" w:hAnsi="Cambria" w:cs="Times New Roman"/>
          <w:sz w:val="20"/>
          <w:szCs w:val="24"/>
          <w:vertAlign w:val="superscript"/>
          <w:lang w:val="en-GB" w:eastAsia="fr-FR" w:bidi="fr-FR"/>
        </w:rPr>
        <w:footnoteReference w:id="30"/>
      </w:r>
      <w:r w:rsidRPr="00F0379B">
        <w:rPr>
          <w:rFonts w:ascii="Cambria" w:eastAsia="MS Gothic" w:hAnsi="Cambria" w:cs="Times New Roman"/>
          <w:sz w:val="20"/>
          <w:szCs w:val="24"/>
          <w:lang w:eastAsia="fr-FR" w:bidi="fr-FR"/>
        </w:rPr>
        <w:t xml:space="preserve"> y el Reglamento n.º 4988, por lo que contiene disposiciones legales vinculantes relativas a la pesca de atún rojo para el cumplimiento de las normas de ICCAT</w:t>
      </w:r>
      <w:r w:rsidRPr="00F0379B">
        <w:rPr>
          <w:rFonts w:ascii="Cambria" w:eastAsia="MS Gothic" w:hAnsi="Cambria" w:cs="Times New Roman"/>
          <w:sz w:val="20"/>
          <w:szCs w:val="24"/>
          <w:vertAlign w:val="superscript"/>
          <w:lang w:val="en-GB" w:eastAsia="fr-FR" w:bidi="fr-FR"/>
        </w:rPr>
        <w:footnoteReference w:id="31"/>
      </w:r>
      <w:r w:rsidRPr="00F0379B">
        <w:rPr>
          <w:rFonts w:ascii="Cambria" w:eastAsia="MS Gothic" w:hAnsi="Cambria" w:cs="Times New Roman"/>
          <w:sz w:val="20"/>
          <w:szCs w:val="24"/>
          <w:lang w:eastAsia="fr-FR" w:bidi="fr-FR"/>
        </w:rPr>
        <w:t xml:space="preserve">. </w:t>
      </w:r>
    </w:p>
    <w:p w14:paraId="22EAFA28"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2B8BA520"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Las actividades pesqueras y de cría dirigidas al atún rojo del Atlántico este y Mediterráneo (BFT-E) se realizarán en el contexto de la cuota nacional de Türkiye y se asignarán cuotas individuales a cada buque de captura de atún rojo del este, de conformidad con la Circular Ministerial.</w:t>
      </w:r>
    </w:p>
    <w:p w14:paraId="274A993D"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73E5801D" w14:textId="77777777" w:rsidR="009123AC" w:rsidRPr="00F0379B" w:rsidRDefault="009123AC" w:rsidP="009123AC">
      <w:pPr>
        <w:widowControl w:val="0"/>
        <w:spacing w:after="0" w:line="240" w:lineRule="auto"/>
        <w:jc w:val="both"/>
        <w:rPr>
          <w:rFonts w:ascii="Cambria" w:eastAsia="MS Gothic" w:hAnsi="Cambria" w:cs="Times New Roman"/>
          <w:spacing w:val="-2"/>
          <w:sz w:val="20"/>
          <w:szCs w:val="24"/>
          <w:lang w:eastAsia="fr-FR" w:bidi="fr-FR"/>
        </w:rPr>
      </w:pPr>
      <w:r w:rsidRPr="00F0379B">
        <w:rPr>
          <w:rFonts w:ascii="Cambria" w:eastAsia="MS Gothic" w:hAnsi="Cambria" w:cs="Times New Roman"/>
          <w:spacing w:val="-2"/>
          <w:sz w:val="20"/>
          <w:szCs w:val="24"/>
          <w:lang w:eastAsia="fr-FR" w:bidi="fr-FR"/>
        </w:rPr>
        <w:t xml:space="preserve">El Ministerio de Agricultura y Silvicultura (MoAF) anunciará la decisión mencionada a todo el sector de partes interesadas de conformidad con las Notificaciones y las Circulares sobre atún rojo del este. </w:t>
      </w:r>
    </w:p>
    <w:p w14:paraId="4670D943"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724BBB93"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El MoAF expedirá permisos de pesca para todos los buques de pesca de BFT-E que se autoricen en 2026. Se comunicarán puntualmente a ICCAT todos los buques pesqueros autorizados por el MoAF. Todos los buques estarán equipados con un sistema de seguimiento de buques (VMS) y serán objeto de seguimiento mediante dicho sistema de conformidad con las obligaciones estipuladas en la sección G de la Rec. 25-04 (de conformidad con los Artículos 5 y 6 de la Circular ministerial sobre la pesca, la cría y el comercio de atún rojo).</w:t>
      </w:r>
    </w:p>
    <w:p w14:paraId="5E67E73E"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531F24A4"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Está previsto llevar a cabo la pesca de BFT-E en el Mediterráneo oriental y en otras partes del Mediterráneo, al igual que en años anteriores. </w:t>
      </w:r>
    </w:p>
    <w:p w14:paraId="6CCD8FBA"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250FBED8"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Türkiye solicita la aplicación de la derogación prevista en el párrafo 28 de la Rec. 25-04 para la temporada abierta en el mar Mediterráneo oriental. En consecuencia, la temporada abierta en el Mediterráneo oriental (zonas de pesca FAO 37.3.1 y 37.3.2) se aplicará del 15 de mayo al 1 de julio.</w:t>
      </w:r>
    </w:p>
    <w:p w14:paraId="68192A13"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2870114A"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Además, se prevé que algunos operadores pesqueros de cerco de atún rojo del este puedan preferir llevar a cabo actividades pesqueras en alta mar en el mar Mediterráneo (posiblemente dentro de la zona 37.2). Para esos cerqueros, se permitirá la pesca de atún rojo durante el período comprendido entre el 19 de mayo y el 1 de julio, de conformidad con el párrafo 28 de la Rec. 25-04.</w:t>
      </w:r>
    </w:p>
    <w:p w14:paraId="6E541D6B"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2BF99466" w14:textId="77777777" w:rsidR="009123AC" w:rsidRPr="00F0379B" w:rsidRDefault="009123AC" w:rsidP="009123AC">
      <w:pPr>
        <w:widowControl w:val="0"/>
        <w:spacing w:after="0" w:line="240" w:lineRule="auto"/>
        <w:jc w:val="both"/>
        <w:rPr>
          <w:rFonts w:ascii="Cambria" w:eastAsia="MS Gothic" w:hAnsi="Cambria" w:cs="Times New Roman"/>
          <w:strike/>
          <w:sz w:val="20"/>
          <w:szCs w:val="24"/>
          <w:lang w:eastAsia="fr-FR" w:bidi="fr-FR"/>
        </w:rPr>
      </w:pPr>
      <w:r w:rsidRPr="00F0379B">
        <w:rPr>
          <w:rFonts w:ascii="Cambria" w:eastAsia="MS Gothic" w:hAnsi="Cambria" w:cs="Times New Roman"/>
          <w:sz w:val="20"/>
          <w:szCs w:val="24"/>
          <w:lang w:eastAsia="fr-FR" w:bidi="fr-FR"/>
        </w:rPr>
        <w:t>Para operar en la temporada de pesca de 2026, todos los buques de captura de atún rojo del Este tendrán la obligación de contar con permisos de pesca especiales expedidos por el MoAF. Dejando un margen para un posible cambio en la distribución del número total y la eslora de los buques que se autorizarán hasta la fecha de comunicación, con el objetivo de cumplir las disposiciones pertinentes en cuanto a ajuste de la capacidad de la Rec. 25-04 y teniendo en cuenta los procesos internos aplicados por el ministerio, se espera que los permisos de pesca se concederán a 48 cerqueros como buques de captura de atún rojo para la temporada de pesca de atún rojo de 2026. De forma similar, está previsto que el MoAF autorice a aproximadamente 90 buques como otros buques (remolcadores, de apoyo y auxiliares) y un (1) buque de transformación dirigidos al atún rojo del este (de conformidad con la Directiva Ministerial de implementación)</w:t>
      </w:r>
      <w:r w:rsidRPr="00F0379B">
        <w:rPr>
          <w:rFonts w:ascii="Cambria" w:eastAsia="MS Gothic" w:hAnsi="Cambria" w:cs="Times New Roman"/>
          <w:sz w:val="20"/>
          <w:szCs w:val="20"/>
          <w:vertAlign w:val="superscript"/>
          <w:lang w:val="en-GB" w:eastAsia="fr-FR" w:bidi="fr-FR"/>
        </w:rPr>
        <w:footnoteReference w:id="32"/>
      </w:r>
      <w:r w:rsidRPr="00F0379B">
        <w:rPr>
          <w:rFonts w:ascii="Cambria" w:eastAsia="MS Gothic" w:hAnsi="Cambria" w:cs="Times New Roman"/>
          <w:sz w:val="20"/>
          <w:szCs w:val="24"/>
          <w:lang w:eastAsia="fr-FR" w:bidi="fr-FR"/>
        </w:rPr>
        <w:t xml:space="preserve">. </w:t>
      </w:r>
    </w:p>
    <w:p w14:paraId="20BED0B8"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5359D725" w14:textId="77777777" w:rsidR="009123AC" w:rsidRPr="00F0379B" w:rsidRDefault="009123AC" w:rsidP="009123AC">
      <w:pPr>
        <w:widowControl w:val="0"/>
        <w:spacing w:after="0" w:line="240" w:lineRule="auto"/>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De conformidad con la Directiva Ministerial de implementación, el MoAF prevé asignar la cuota total a cada buque autorizado basándose en criterios nacionales sobre actividades y registros de seguimiento de los buques pesqueros implicados. El MoAF no autorizará el traspaso automático de cualquier cuota no utilizada.</w:t>
      </w:r>
    </w:p>
    <w:p w14:paraId="389F780A"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58CCEA0E"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Teniendo en cuenta las tendencias de captura de temporadas previas, en 2026 se decidió asignar un nivel de cuota específico de 3,5 t para las pesquerías artesanales, costeras, recreativas y deportivas y 12 t para la captura fortuita. Todas las capturas fortuitas se deducirán de la cuota total (Orden ministerial sobre cuotas individuales que se asignarán para el periodo 2026-2028).</w:t>
      </w:r>
    </w:p>
    <w:p w14:paraId="483BED6F" w14:textId="77777777" w:rsidR="009123AC" w:rsidRPr="00F0379B" w:rsidRDefault="009123AC" w:rsidP="009123AC">
      <w:pPr>
        <w:widowControl w:val="0"/>
        <w:spacing w:after="0" w:line="240" w:lineRule="auto"/>
        <w:jc w:val="both"/>
        <w:rPr>
          <w:rFonts w:ascii="Cambria" w:eastAsia="MS Gothic" w:hAnsi="Cambria" w:cs="Times New Roman"/>
          <w:b/>
          <w:bCs/>
          <w:i/>
          <w:sz w:val="20"/>
          <w:szCs w:val="20"/>
          <w:lang w:eastAsia="fr-FR" w:bidi="fr-FR"/>
        </w:rPr>
      </w:pPr>
    </w:p>
    <w:p w14:paraId="3E1086B4" w14:textId="77777777" w:rsidR="009123AC" w:rsidRPr="00F0379B" w:rsidRDefault="009123AC" w:rsidP="009123AC">
      <w:pPr>
        <w:widowControl w:val="0"/>
        <w:spacing w:after="0" w:line="240" w:lineRule="auto"/>
        <w:jc w:val="both"/>
        <w:rPr>
          <w:rFonts w:ascii="Cambria" w:eastAsia="MS Gothic" w:hAnsi="Cambria" w:cs="Times New Roman"/>
          <w:b/>
          <w:bCs/>
          <w:i/>
          <w:sz w:val="20"/>
          <w:szCs w:val="20"/>
          <w:lang w:eastAsia="fr-FR" w:bidi="fr-FR"/>
        </w:rPr>
      </w:pPr>
      <w:r w:rsidRPr="00F0379B">
        <w:rPr>
          <w:rFonts w:ascii="Cambria" w:eastAsia="MS Gothic" w:hAnsi="Cambria" w:cs="Times New Roman"/>
          <w:b/>
          <w:bCs/>
          <w:i/>
          <w:sz w:val="20"/>
          <w:szCs w:val="20"/>
          <w:lang w:eastAsia="fr-FR" w:bidi="fr-FR"/>
        </w:rPr>
        <w:t>1 b) Traspaso (párr. 6)</w:t>
      </w:r>
    </w:p>
    <w:p w14:paraId="1B0C76E4" w14:textId="77777777" w:rsidR="009123AC" w:rsidRPr="00F0379B" w:rsidRDefault="009123AC" w:rsidP="009123AC">
      <w:pPr>
        <w:widowControl w:val="0"/>
        <w:spacing w:after="0" w:line="240" w:lineRule="auto"/>
        <w:jc w:val="both"/>
        <w:rPr>
          <w:rFonts w:ascii="Cambria" w:eastAsia="MS Gothic" w:hAnsi="Cambria" w:cs="Times New Roman"/>
          <w:b/>
          <w:bCs/>
          <w:i/>
          <w:sz w:val="20"/>
          <w:szCs w:val="20"/>
          <w:lang w:eastAsia="fr-FR" w:bidi="fr-FR"/>
        </w:rPr>
      </w:pPr>
    </w:p>
    <w:p w14:paraId="4839D7F4"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iCs/>
          <w:sz w:val="20"/>
          <w:szCs w:val="20"/>
          <w:lang w:eastAsia="fr-FR" w:bidi="fr-FR"/>
        </w:rPr>
        <w:t>Türkiye no solicita el traspaso del remanente del año 2025.</w:t>
      </w:r>
    </w:p>
    <w:p w14:paraId="6E1E7E49"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iCs/>
          <w:sz w:val="20"/>
          <w:szCs w:val="20"/>
          <w:lang w:eastAsia="fr-FR" w:bidi="fr-FR"/>
        </w:rPr>
        <w:t xml:space="preserve"> </w:t>
      </w:r>
    </w:p>
    <w:p w14:paraId="22DF9DC6" w14:textId="77777777" w:rsidR="009123AC" w:rsidRPr="00F0379B" w:rsidRDefault="009123AC" w:rsidP="009123AC">
      <w:pPr>
        <w:widowControl w:val="0"/>
        <w:spacing w:after="0" w:line="240" w:lineRule="auto"/>
        <w:jc w:val="both"/>
        <w:rPr>
          <w:rFonts w:ascii="Cambria" w:eastAsia="MS Gothic" w:hAnsi="Cambria" w:cs="Times New Roman"/>
          <w:b/>
          <w:bCs/>
          <w:i/>
          <w:sz w:val="20"/>
          <w:szCs w:val="20"/>
          <w:lang w:eastAsia="fr-FR" w:bidi="fr-FR"/>
        </w:rPr>
      </w:pPr>
      <w:r w:rsidRPr="00F0379B">
        <w:rPr>
          <w:rFonts w:ascii="Cambria" w:eastAsia="MS Gothic" w:hAnsi="Cambria" w:cs="Times New Roman"/>
          <w:b/>
          <w:bCs/>
          <w:i/>
          <w:sz w:val="20"/>
          <w:szCs w:val="20"/>
          <w:lang w:eastAsia="fr-FR" w:bidi="fr-FR"/>
        </w:rPr>
        <w:t>1 c) Destino de las capturas</w:t>
      </w:r>
    </w:p>
    <w:p w14:paraId="77B47417"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60D69B47"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iCs/>
          <w:sz w:val="20"/>
          <w:szCs w:val="20"/>
          <w:lang w:eastAsia="fr-FR" w:bidi="fr-FR"/>
        </w:rPr>
        <w:t>Cría: 3.133,95 t (más BFT vivo que se importará)</w:t>
      </w:r>
      <w:r w:rsidRPr="00F0379B">
        <w:rPr>
          <w:rFonts w:ascii="Cambria" w:eastAsia="MS Gothic" w:hAnsi="Cambria" w:cs="Times New Roman"/>
          <w:iCs/>
          <w:sz w:val="20"/>
          <w:szCs w:val="20"/>
          <w:vertAlign w:val="superscript"/>
          <w:lang w:val="en-GB" w:eastAsia="fr-FR" w:bidi="fr-FR"/>
        </w:rPr>
        <w:footnoteReference w:id="33"/>
      </w:r>
    </w:p>
    <w:p w14:paraId="240FD5A0"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p>
    <w:p w14:paraId="0E832502"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r w:rsidRPr="00F0379B">
        <w:rPr>
          <w:rFonts w:ascii="Cambria" w:eastAsia="MS Gothic" w:hAnsi="Cambria" w:cs="Times New Roman"/>
          <w:iCs/>
          <w:sz w:val="20"/>
          <w:szCs w:val="20"/>
          <w:lang w:eastAsia="fr-FR" w:bidi="fr-FR"/>
        </w:rPr>
        <w:t>Desembarque: aproximadamente 12 t como capturas fortuitas de BFT + 3,5 t para la pesca artesanal, costera, de recreo y deportiva.</w:t>
      </w:r>
    </w:p>
    <w:p w14:paraId="582F74F3" w14:textId="77777777" w:rsidR="009123AC" w:rsidRPr="00F0379B" w:rsidRDefault="009123AC" w:rsidP="009123AC">
      <w:pPr>
        <w:spacing w:line="259" w:lineRule="auto"/>
        <w:rPr>
          <w:rFonts w:ascii="Cambria" w:eastAsia="MS Gothic" w:hAnsi="Cambria" w:cs="Times New Roman"/>
          <w:i/>
          <w:sz w:val="20"/>
          <w:szCs w:val="20"/>
          <w:lang w:eastAsia="fr-FR" w:bidi="fr-FR"/>
        </w:rPr>
      </w:pPr>
      <w:r w:rsidRPr="00F0379B">
        <w:rPr>
          <w:rFonts w:ascii="Cambria" w:eastAsia="MS Gothic" w:hAnsi="Cambria" w:cs="Times New Roman"/>
          <w:i/>
          <w:sz w:val="20"/>
          <w:szCs w:val="20"/>
          <w:lang w:eastAsia="fr-FR" w:bidi="fr-FR"/>
        </w:rPr>
        <w:br w:type="page"/>
      </w:r>
    </w:p>
    <w:p w14:paraId="2FA66319"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r w:rsidRPr="00F0379B">
        <w:rPr>
          <w:rFonts w:ascii="Cambria" w:eastAsia="MS Gothic" w:hAnsi="Cambria" w:cs="Times New Roman"/>
          <w:b/>
          <w:bCs/>
          <w:i/>
          <w:sz w:val="20"/>
          <w:szCs w:val="20"/>
          <w:lang w:eastAsia="fr-FR" w:bidi="fr-FR"/>
        </w:rPr>
        <w:t>1 d)</w:t>
      </w:r>
    </w:p>
    <w:tbl>
      <w:tblPr>
        <w:tblStyle w:val="TableGrid"/>
        <w:tblpPr w:leftFromText="141" w:rightFromText="141" w:vertAnchor="text" w:tblpY="1"/>
        <w:tblOverlap w:val="never"/>
        <w:tblW w:w="0" w:type="auto"/>
        <w:tblLook w:val="04A0" w:firstRow="1" w:lastRow="0" w:firstColumn="1" w:lastColumn="0" w:noHBand="0" w:noVBand="1"/>
      </w:tblPr>
      <w:tblGrid>
        <w:gridCol w:w="453"/>
        <w:gridCol w:w="2280"/>
        <w:gridCol w:w="2885"/>
        <w:gridCol w:w="2032"/>
        <w:gridCol w:w="1410"/>
      </w:tblGrid>
      <w:tr w:rsidR="009123AC" w:rsidRPr="00F0379B" w14:paraId="362D9916" w14:textId="77777777" w:rsidTr="00CA749B">
        <w:trPr>
          <w:tblHeader/>
        </w:trPr>
        <w:tc>
          <w:tcPr>
            <w:tcW w:w="453" w:type="dxa"/>
          </w:tcPr>
          <w:p w14:paraId="1D34813D"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280" w:type="dxa"/>
            <w:vAlign w:val="center"/>
          </w:tcPr>
          <w:p w14:paraId="024EBBC2" w14:textId="77777777" w:rsidR="009123AC" w:rsidRPr="00F0379B" w:rsidRDefault="009123AC" w:rsidP="009123AC">
            <w:pPr>
              <w:widowControl w:val="0"/>
              <w:spacing w:line="240" w:lineRule="auto"/>
              <w:jc w:val="center"/>
              <w:rPr>
                <w:rFonts w:ascii="Cambria" w:eastAsiaTheme="minorEastAsia" w:hAnsi="Cambria"/>
                <w:i/>
                <w:kern w:val="2"/>
                <w:sz w:val="20"/>
                <w:lang w:eastAsia="ja-JP"/>
                <w14:ligatures w14:val="standardContextual"/>
              </w:rPr>
            </w:pPr>
            <w:r w:rsidRPr="00F0379B">
              <w:rPr>
                <w:rFonts w:ascii="Cambria" w:eastAsiaTheme="minorEastAsia" w:hAnsi="Cambria"/>
                <w:i/>
                <w:kern w:val="2"/>
                <w:sz w:val="20"/>
                <w:lang w:eastAsia="ja-JP"/>
                <w14:ligatures w14:val="standardContextual"/>
              </w:rPr>
              <w:t>Requisito ICCAT</w:t>
            </w:r>
          </w:p>
          <w:p w14:paraId="2185B69A"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 xml:space="preserve">(según </w:t>
            </w:r>
            <w:hyperlink r:id="rId223" w:history="1">
              <w:r w:rsidRPr="00F0379B">
                <w:rPr>
                  <w:rFonts w:ascii="Cambria" w:eastAsiaTheme="minorEastAsia" w:hAnsi="Cambria"/>
                  <w:i/>
                  <w:color w:val="0563C1"/>
                  <w:kern w:val="2"/>
                  <w:sz w:val="20"/>
                  <w:lang w:eastAsia="ja-JP"/>
                  <w14:ligatures w14:val="standardContextual"/>
                </w:rPr>
                <w:t>Rec. 25-04</w:t>
              </w:r>
            </w:hyperlink>
            <w:r w:rsidRPr="00F0379B">
              <w:rPr>
                <w:rFonts w:ascii="Cambria" w:eastAsiaTheme="minorEastAsia" w:hAnsi="Cambria"/>
                <w:i/>
                <w:kern w:val="2"/>
                <w:sz w:val="20"/>
                <w:lang w:eastAsia="ja-JP"/>
                <w14:ligatures w14:val="standardContextual"/>
              </w:rPr>
              <w:t>)</w:t>
            </w:r>
          </w:p>
        </w:tc>
        <w:tc>
          <w:tcPr>
            <w:tcW w:w="2885" w:type="dxa"/>
            <w:vAlign w:val="center"/>
          </w:tcPr>
          <w:p w14:paraId="21BB0379"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Explicación de las acciones emprendidas por la CPC con fines de implementación</w:t>
            </w:r>
          </w:p>
        </w:tc>
        <w:tc>
          <w:tcPr>
            <w:tcW w:w="2032" w:type="dxa"/>
            <w:vAlign w:val="center"/>
          </w:tcPr>
          <w:p w14:paraId="1E80F50D" w14:textId="77777777" w:rsidR="009123AC" w:rsidRPr="00F0379B" w:rsidRDefault="009123AC" w:rsidP="009123AC">
            <w:pPr>
              <w:widowControl w:val="0"/>
              <w:spacing w:line="240" w:lineRule="auto"/>
              <w:jc w:val="center"/>
              <w:rPr>
                <w:rFonts w:ascii="Cambria" w:eastAsiaTheme="minorEastAsia" w:hAnsi="Cambria"/>
                <w:i/>
                <w:kern w:val="2"/>
                <w:sz w:val="20"/>
                <w:lang w:eastAsia="ja-JP"/>
                <w14:ligatures w14:val="standardContextual"/>
              </w:rPr>
            </w:pPr>
            <w:r w:rsidRPr="00F0379B">
              <w:rPr>
                <w:rFonts w:ascii="Cambria" w:eastAsiaTheme="minorEastAsia" w:hAnsi="Cambria"/>
                <w:i/>
                <w:kern w:val="2"/>
                <w:sz w:val="20"/>
                <w:lang w:eastAsia="ja-JP"/>
                <w14:ligatures w14:val="standardContextual"/>
              </w:rPr>
              <w:t>Leyes o reglamentos internos pertinentes</w:t>
            </w:r>
          </w:p>
          <w:p w14:paraId="5445C11F"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(si procede)</w:t>
            </w:r>
          </w:p>
        </w:tc>
        <w:tc>
          <w:tcPr>
            <w:tcW w:w="1410" w:type="dxa"/>
            <w:vAlign w:val="center"/>
          </w:tcPr>
          <w:p w14:paraId="130EB475"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Nota</w:t>
            </w:r>
          </w:p>
        </w:tc>
      </w:tr>
      <w:tr w:rsidR="009123AC" w:rsidRPr="00F0379B" w14:paraId="648F608F" w14:textId="77777777" w:rsidTr="00CA749B">
        <w:tc>
          <w:tcPr>
            <w:tcW w:w="453" w:type="dxa"/>
          </w:tcPr>
          <w:p w14:paraId="0E56BDC2"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1</w:t>
            </w:r>
          </w:p>
        </w:tc>
        <w:tc>
          <w:tcPr>
            <w:tcW w:w="2280" w:type="dxa"/>
          </w:tcPr>
          <w:p w14:paraId="30BA6A02"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Consignación y comunicación de la captura (párrs. 74-88)</w:t>
            </w:r>
          </w:p>
        </w:tc>
        <w:tc>
          <w:tcPr>
            <w:tcW w:w="2885" w:type="dxa"/>
          </w:tcPr>
          <w:p w14:paraId="7A81A0D8"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Los requisitos de comunicación/consignación se implementarán de conformidad con los párrafos 74-88 de la Rec. 25-04.</w:t>
            </w:r>
          </w:p>
          <w:p w14:paraId="5A0481AB"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p>
          <w:p w14:paraId="79EF590E"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p>
          <w:p w14:paraId="6E38696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Se utilizarán cuadernos de pesca tanto encuadernados como electrónicos para consignar los datos de la captura. Los peces muertos (retenidos o descartados) se descontarán de la cuota.</w:t>
            </w:r>
          </w:p>
        </w:tc>
        <w:tc>
          <w:tcPr>
            <w:tcW w:w="2032" w:type="dxa"/>
          </w:tcPr>
          <w:p w14:paraId="0531071D"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Circular ministerial sobre pesca, cría y comercio de atún rojo del este. (Artículos 9, 11, 13 y 21 y Anexo 13/1).</w:t>
            </w:r>
          </w:p>
          <w:p w14:paraId="44EAA3E6"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789E898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Artículo 9 y Anexo 17/2 de la Circular ministerial sobre la pesca y la cría de atún rojo del Atlántico este para el registro de peces muertos.</w:t>
            </w:r>
          </w:p>
          <w:p w14:paraId="750E7A6C"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c>
          <w:tcPr>
            <w:tcW w:w="1410" w:type="dxa"/>
          </w:tcPr>
          <w:p w14:paraId="477B699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21419271" w14:textId="77777777" w:rsidTr="00CA749B">
        <w:tc>
          <w:tcPr>
            <w:tcW w:w="453" w:type="dxa"/>
          </w:tcPr>
          <w:p w14:paraId="6B783473"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2</w:t>
            </w:r>
          </w:p>
        </w:tc>
        <w:tc>
          <w:tcPr>
            <w:tcW w:w="2280" w:type="dxa"/>
          </w:tcPr>
          <w:p w14:paraId="7D810C32"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Temporadas de pesca abiertas (párrs. 28-32</w:t>
            </w:r>
            <w:r w:rsidRPr="00F0379B">
              <w:rPr>
                <w:rFonts w:ascii="Cambria" w:eastAsiaTheme="minorEastAsia" w:hAnsi="Cambria"/>
                <w:b/>
                <w:bCs/>
                <w:kern w:val="2"/>
                <w:sz w:val="20"/>
                <w:lang w:eastAsia="ja-JP"/>
                <w14:ligatures w14:val="standardContextual"/>
              </w:rPr>
              <w:t>)</w:t>
            </w:r>
          </w:p>
        </w:tc>
        <w:tc>
          <w:tcPr>
            <w:tcW w:w="2885" w:type="dxa"/>
          </w:tcPr>
          <w:p w14:paraId="5ABDD412"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 xml:space="preserve">Los párrafos 28-32 de la Rec. 25-04 se implementarán como se requiere. </w:t>
            </w:r>
          </w:p>
          <w:p w14:paraId="3F7DA4C2"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p>
          <w:p w14:paraId="522687BC"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Türkiye solicita la aplicación de la derogación del párrafo 28 de la Rec. 25-04 para la temporada abierta en el mar Mediterráneo oriental, como sigue;</w:t>
            </w:r>
          </w:p>
          <w:p w14:paraId="2B32084C"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p>
          <w:p w14:paraId="39750CA6"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Se permitirá la pesca de atún rojo oriental por parte de los cerqueros entre el 15 de mayo y el 01 de julio en el Mediterráneo oriental (áreas de pesca 37.3.1 y 37.3.2).</w:t>
            </w:r>
          </w:p>
          <w:p w14:paraId="5A730941"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p>
          <w:p w14:paraId="0A36F15C"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Se prevé que algunos operadores pesqueros de atún rojo del este podrían preferir llevar a cabo sus actividades pesqueras de conformidad con la Rec. 25-04 en alta mar en el Mediterráneo (posiblemente en el área 37.2) en el periodo del 19 de mayo al 01 de julio.</w:t>
            </w:r>
          </w:p>
        </w:tc>
        <w:tc>
          <w:tcPr>
            <w:tcW w:w="2032" w:type="dxa"/>
          </w:tcPr>
          <w:p w14:paraId="78D61BB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Circular ministerial sobre pesca, cría y comercio de atún rojo del este (Artículo 4).</w:t>
            </w:r>
          </w:p>
        </w:tc>
        <w:tc>
          <w:tcPr>
            <w:tcW w:w="1410" w:type="dxa"/>
          </w:tcPr>
          <w:p w14:paraId="48F2AF7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r>
      <w:tr w:rsidR="009123AC" w:rsidRPr="00F0379B" w14:paraId="49669AA3" w14:textId="77777777" w:rsidTr="00CA749B">
        <w:tc>
          <w:tcPr>
            <w:tcW w:w="453" w:type="dxa"/>
          </w:tcPr>
          <w:p w14:paraId="6B9BAD59"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3</w:t>
            </w:r>
          </w:p>
        </w:tc>
        <w:tc>
          <w:tcPr>
            <w:tcW w:w="2280" w:type="dxa"/>
          </w:tcPr>
          <w:p w14:paraId="4E56274B"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lang w:eastAsia="ja-JP"/>
                <w14:ligatures w14:val="standardContextual"/>
              </w:rPr>
              <w:t>Talla mínima (párrs. 33-35)</w:t>
            </w:r>
          </w:p>
        </w:tc>
        <w:tc>
          <w:tcPr>
            <w:tcW w:w="2885" w:type="dxa"/>
          </w:tcPr>
          <w:p w14:paraId="5A2E3ABE"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 xml:space="preserve">Los párrafos 33-35 de la Rec. 25-04 se implementarán como se requiere. </w:t>
            </w:r>
          </w:p>
          <w:p w14:paraId="3A906457"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506624DD"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 xml:space="preserve">Está prohibido capturar, retener a bordo, transbordar, transferir, desembarcar, transportar, almacenar, vender, exponer u ofrecer para su venta atún rojo con un peso inferior a 30 kg o con una longitud a la horquilla inferior a 115 cm.  </w:t>
            </w:r>
          </w:p>
          <w:p w14:paraId="79A10228"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p>
          <w:p w14:paraId="30DCAA80"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La captura fortuita de atún rojo por debajo de la talla y peso tolerados o por encima del límite mencionado más arriba debe ser liberada. Los ejemplares muertos y por debajo de la talla regulada serán descartados en el mar y deducidos de la cuota de Türkiye.</w:t>
            </w:r>
          </w:p>
        </w:tc>
        <w:tc>
          <w:tcPr>
            <w:tcW w:w="2032" w:type="dxa"/>
          </w:tcPr>
          <w:p w14:paraId="1C85AE9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Notificación n.º 6/1 que regula las pesquerías comerciales (Artículos 17 y </w:t>
            </w:r>
            <w:proofErr w:type="gramStart"/>
            <w:r w:rsidRPr="00F0379B">
              <w:rPr>
                <w:rFonts w:ascii="Cambria" w:eastAsiaTheme="minorEastAsia" w:hAnsi="Cambria"/>
                <w:kern w:val="2"/>
                <w:sz w:val="20"/>
                <w:lang w:eastAsia="ja-JP"/>
                <w14:ligatures w14:val="standardContextual"/>
              </w:rPr>
              <w:t>18)/</w:t>
            </w:r>
            <w:proofErr w:type="gramEnd"/>
            <w:r w:rsidRPr="00F0379B">
              <w:rPr>
                <w:rFonts w:ascii="Cambria" w:eastAsiaTheme="minorEastAsia" w:hAnsi="Cambria"/>
                <w:kern w:val="2"/>
                <w:sz w:val="20"/>
                <w:lang w:eastAsia="ja-JP"/>
                <w14:ligatures w14:val="standardContextual"/>
              </w:rPr>
              <w:t xml:space="preserve"> Circular sobre pesca, cría y comercio de atún rojo del este (Artículo 11(6) y Anexo 13).</w:t>
            </w:r>
          </w:p>
        </w:tc>
        <w:tc>
          <w:tcPr>
            <w:tcW w:w="1410" w:type="dxa"/>
          </w:tcPr>
          <w:p w14:paraId="4F88AD21"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22141729" w14:textId="77777777" w:rsidTr="00CA749B">
        <w:tc>
          <w:tcPr>
            <w:tcW w:w="453" w:type="dxa"/>
          </w:tcPr>
          <w:p w14:paraId="00473C48"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4</w:t>
            </w:r>
          </w:p>
        </w:tc>
        <w:tc>
          <w:tcPr>
            <w:tcW w:w="2280" w:type="dxa"/>
          </w:tcPr>
          <w:p w14:paraId="47E03A32"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Captura fortuita (párr. 37) </w:t>
            </w:r>
          </w:p>
        </w:tc>
        <w:tc>
          <w:tcPr>
            <w:tcW w:w="2885" w:type="dxa"/>
          </w:tcPr>
          <w:p w14:paraId="0025782C"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 xml:space="preserve">El párrafo 37 de la Rec. 25-04 se implementará como se requiere. </w:t>
            </w:r>
          </w:p>
          <w:p w14:paraId="387FCFFB"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p>
          <w:p w14:paraId="1A5A992B"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En 2026 se asignará una cuota específica de 12 t (0,4 %) a la captura fortuita.</w:t>
            </w:r>
          </w:p>
          <w:p w14:paraId="20B2C557"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p>
          <w:p w14:paraId="05494F5C"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 xml:space="preserve">Nivel de captura fortuita en </w:t>
            </w:r>
          </w:p>
          <w:p w14:paraId="68762B1A"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2025 = 10 t (0,4 %)</w:t>
            </w:r>
          </w:p>
          <w:p w14:paraId="18606482"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2024 = 10 t (0,4 %)</w:t>
            </w:r>
          </w:p>
          <w:p w14:paraId="44FC7D75"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2023 = 9 t (0,4 %)</w:t>
            </w:r>
          </w:p>
          <w:p w14:paraId="2565CE1E"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2022 = 2,8 t (0,1 %)</w:t>
            </w:r>
          </w:p>
          <w:p w14:paraId="4DA11BDB"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2021 = 35 t (1,5 %)</w:t>
            </w:r>
          </w:p>
          <w:p w14:paraId="38B67AEC"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2020 = 05 t (0,2 %)</w:t>
            </w:r>
          </w:p>
          <w:p w14:paraId="4B968BD2"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 xml:space="preserve">2019 = 05 t (2,7 %)      </w:t>
            </w:r>
          </w:p>
          <w:p w14:paraId="697EDA31"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p>
          <w:p w14:paraId="42858103"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 xml:space="preserve">El nivel de captura fortuita no excederá del 5 % total de capturas a bordo al final de cada marea y se calculará en relación con las capturas totales a bordo «en peso» (o «en número de especies» en el caso de la pesquería de túnidos y especies afines).    </w:t>
            </w:r>
          </w:p>
          <w:p w14:paraId="16B3298F"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p>
          <w:p w14:paraId="724E01C7"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Todas las capturas fortuitas, incluidos los descartes, se deducirán de la cuota total.</w:t>
            </w:r>
          </w:p>
        </w:tc>
        <w:tc>
          <w:tcPr>
            <w:tcW w:w="2032" w:type="dxa"/>
          </w:tcPr>
          <w:p w14:paraId="35A71D4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Notificación n.º 6/1 que regula las pesquerías comerciales (Artículo </w:t>
            </w:r>
            <w:proofErr w:type="gramStart"/>
            <w:r w:rsidRPr="00F0379B">
              <w:rPr>
                <w:rFonts w:ascii="Cambria" w:eastAsiaTheme="minorEastAsia" w:hAnsi="Cambria"/>
                <w:kern w:val="2"/>
                <w:sz w:val="20"/>
                <w:lang w:eastAsia="ja-JP"/>
                <w14:ligatures w14:val="standardContextual"/>
              </w:rPr>
              <w:t>18)/</w:t>
            </w:r>
            <w:proofErr w:type="gramEnd"/>
            <w:r w:rsidRPr="00F0379B">
              <w:rPr>
                <w:rFonts w:ascii="Cambria" w:eastAsiaTheme="minorEastAsia" w:hAnsi="Cambria"/>
                <w:kern w:val="2"/>
                <w:sz w:val="20"/>
                <w:lang w:eastAsia="ja-JP"/>
                <w14:ligatures w14:val="standardContextual"/>
              </w:rPr>
              <w:t xml:space="preserve"> Circular sobre pesca, cría y comercio de atún rojo del este (Artículo 4(11)) y Orden ministerial sobre las cuotas individuales que se asignarán para el período 2026-2028</w:t>
            </w:r>
          </w:p>
        </w:tc>
        <w:tc>
          <w:tcPr>
            <w:tcW w:w="1410" w:type="dxa"/>
          </w:tcPr>
          <w:p w14:paraId="671B6C3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19AFEDD2" w14:textId="77777777" w:rsidTr="00CA749B">
        <w:tc>
          <w:tcPr>
            <w:tcW w:w="453" w:type="dxa"/>
          </w:tcPr>
          <w:p w14:paraId="77C93FCE"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5</w:t>
            </w:r>
          </w:p>
        </w:tc>
        <w:tc>
          <w:tcPr>
            <w:tcW w:w="2280" w:type="dxa"/>
          </w:tcPr>
          <w:p w14:paraId="7EA1BFB6"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bCs/>
                <w:kern w:val="2"/>
                <w:sz w:val="20"/>
                <w:lang w:eastAsia="ja-JP"/>
                <w14:ligatures w14:val="standardContextual"/>
              </w:rPr>
              <w:t>Pesquerías deportivas y de recreo (párrs. 38-46)</w:t>
            </w:r>
          </w:p>
        </w:tc>
        <w:tc>
          <w:tcPr>
            <w:tcW w:w="2885" w:type="dxa"/>
          </w:tcPr>
          <w:p w14:paraId="1E44AF51"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 xml:space="preserve">Los párrafos 38-46 de la Rec. 25-04 se implementarán como se requiere. </w:t>
            </w:r>
          </w:p>
          <w:p w14:paraId="4C067630"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p>
          <w:p w14:paraId="2EF0FF62"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 xml:space="preserve">Las pesquerías deportivas y de recreo dirigidas al atún rojo están sujetas a la autorización de cada buque. Está prohibida la captura, retención a bordo, transbordo o desembarque de más un ejemplar de atún rojo del este por buque y por día. </w:t>
            </w:r>
          </w:p>
          <w:p w14:paraId="6E821450"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 xml:space="preserve">Queda prohibida la comercialización de atún rojo capturado en la pesca de recreo y deportiva. </w:t>
            </w:r>
          </w:p>
          <w:p w14:paraId="0F52265E"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p>
          <w:p w14:paraId="5D96ADC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Los datos de captura obtenidos de la pesquería de recreo se enviarán al Ministerio, todas las capturas recreativas se descontarán de la cuota total de Türkiye dedicada a las pesquerías deportivas y de recreo.</w:t>
            </w:r>
          </w:p>
        </w:tc>
        <w:tc>
          <w:tcPr>
            <w:tcW w:w="2032" w:type="dxa"/>
          </w:tcPr>
          <w:p w14:paraId="78968083"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Notificación n.º 6/2 que regula las pesquerías comerciales (Artículo </w:t>
            </w:r>
            <w:proofErr w:type="gramStart"/>
            <w:r w:rsidRPr="00F0379B">
              <w:rPr>
                <w:rFonts w:ascii="Cambria" w:eastAsiaTheme="minorEastAsia" w:hAnsi="Cambria"/>
                <w:kern w:val="2"/>
                <w:sz w:val="20"/>
                <w:lang w:eastAsia="ja-JP"/>
                <w14:ligatures w14:val="standardContextual"/>
              </w:rPr>
              <w:t>15)/</w:t>
            </w:r>
            <w:proofErr w:type="gramEnd"/>
            <w:r w:rsidRPr="00F0379B">
              <w:rPr>
                <w:rFonts w:ascii="Cambria" w:eastAsiaTheme="minorEastAsia" w:hAnsi="Cambria"/>
                <w:kern w:val="2"/>
                <w:sz w:val="20"/>
                <w:lang w:eastAsia="ja-JP"/>
                <w14:ligatures w14:val="standardContextual"/>
              </w:rPr>
              <w:t xml:space="preserve"> Circular sobre pesca, cría y comercio de atún rojo del este (Artículo 11(5)).</w:t>
            </w:r>
          </w:p>
        </w:tc>
        <w:tc>
          <w:tcPr>
            <w:tcW w:w="1410" w:type="dxa"/>
          </w:tcPr>
          <w:p w14:paraId="40CD2923"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6014C4A3" w14:textId="77777777" w:rsidTr="00CA749B">
        <w:tc>
          <w:tcPr>
            <w:tcW w:w="453" w:type="dxa"/>
          </w:tcPr>
          <w:p w14:paraId="0D435D6B"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6</w:t>
            </w:r>
          </w:p>
        </w:tc>
        <w:tc>
          <w:tcPr>
            <w:tcW w:w="2280" w:type="dxa"/>
          </w:tcPr>
          <w:p w14:paraId="6C639A53"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Transbordo (párrs. 89-94) </w:t>
            </w:r>
          </w:p>
        </w:tc>
        <w:tc>
          <w:tcPr>
            <w:tcW w:w="2885" w:type="dxa"/>
          </w:tcPr>
          <w:p w14:paraId="442454CB"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Los párrafos 89 a 94 de la Rec. 25-04 se implementarán como se requiere.</w:t>
            </w:r>
          </w:p>
          <w:p w14:paraId="40D5C64A"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 xml:space="preserve"> </w:t>
            </w:r>
          </w:p>
          <w:p w14:paraId="6424D6DA"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Están prohibidas las operaciones de transbordo de atún rojo del este en el mar. </w:t>
            </w:r>
          </w:p>
          <w:p w14:paraId="74535E7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3D5B929C"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Los buques pesqueros que se dirigen al atún rojo del este solo transbordarán/desembarcarán las capturas de atún rojo del este en los puertos designados para estos fines.</w:t>
            </w:r>
          </w:p>
          <w:p w14:paraId="7D1437E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0BB23CF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Lista de puertos de desembarque y transbordo de atún rojo del este designados:</w:t>
            </w:r>
          </w:p>
          <w:p w14:paraId="4FDA913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1. Provincia de Adana:</w:t>
            </w:r>
          </w:p>
          <w:p w14:paraId="0F0307D7"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Puerto pesquero de Karataş</w:t>
            </w:r>
          </w:p>
          <w:p w14:paraId="0250707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2. Provincia de Antalya:   </w:t>
            </w:r>
          </w:p>
          <w:p w14:paraId="62F64E67"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Puerto pesquero de Antalya </w:t>
            </w:r>
          </w:p>
          <w:p w14:paraId="1E2ABDD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Puerto pesquero de Alanya</w:t>
            </w:r>
          </w:p>
          <w:p w14:paraId="68C15AE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3. Provincia de Mersin:   </w:t>
            </w:r>
          </w:p>
          <w:p w14:paraId="5CC88D6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Puerto pesquero de Erdemli</w:t>
            </w:r>
          </w:p>
          <w:p w14:paraId="14E4B70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4. Provincia de Hatay:   </w:t>
            </w:r>
          </w:p>
          <w:p w14:paraId="254F4E62"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Puerto pesquero de </w:t>
            </w:r>
            <w:proofErr w:type="spellStart"/>
            <w:r w:rsidRPr="00F0379B">
              <w:rPr>
                <w:rFonts w:ascii="Cambria" w:eastAsiaTheme="minorEastAsia" w:hAnsi="Cambria"/>
                <w:kern w:val="2"/>
                <w:sz w:val="20"/>
                <w:lang w:eastAsia="ja-JP"/>
                <w14:ligatures w14:val="standardContextual"/>
              </w:rPr>
              <w:t>Çevlik</w:t>
            </w:r>
            <w:proofErr w:type="spellEnd"/>
            <w:r w:rsidRPr="00F0379B">
              <w:rPr>
                <w:rFonts w:ascii="Cambria" w:eastAsiaTheme="minorEastAsia" w:hAnsi="Cambria"/>
                <w:kern w:val="2"/>
                <w:sz w:val="20"/>
                <w:lang w:eastAsia="ja-JP"/>
                <w14:ligatures w14:val="standardContextual"/>
              </w:rPr>
              <w:t xml:space="preserve"> </w:t>
            </w:r>
          </w:p>
          <w:p w14:paraId="6E7EC537"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 xml:space="preserve">Puerto pesquero de </w:t>
            </w:r>
            <w:proofErr w:type="spellStart"/>
            <w:r w:rsidRPr="00F0379B">
              <w:rPr>
                <w:rFonts w:ascii="Cambria" w:eastAsiaTheme="minorEastAsia" w:hAnsi="Cambria"/>
                <w:kern w:val="2"/>
                <w:sz w:val="20"/>
                <w:lang w:eastAsia="ja-JP"/>
                <w14:ligatures w14:val="standardContextual"/>
              </w:rPr>
              <w:t>Işıklı-Konacık</w:t>
            </w:r>
            <w:proofErr w:type="spellEnd"/>
          </w:p>
          <w:p w14:paraId="1060B0F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5. </w:t>
            </w:r>
            <w:proofErr w:type="spellStart"/>
            <w:r w:rsidRPr="00F0379B">
              <w:rPr>
                <w:rFonts w:ascii="Cambria" w:eastAsiaTheme="minorEastAsia" w:hAnsi="Cambria"/>
                <w:kern w:val="2"/>
                <w:sz w:val="20"/>
                <w:lang w:eastAsia="ja-JP"/>
                <w14:ligatures w14:val="standardContextual"/>
              </w:rPr>
              <w:t>Canakkale</w:t>
            </w:r>
            <w:proofErr w:type="spellEnd"/>
            <w:r w:rsidRPr="00F0379B">
              <w:rPr>
                <w:rFonts w:ascii="Cambria" w:eastAsiaTheme="minorEastAsia" w:hAnsi="Cambria"/>
                <w:kern w:val="2"/>
                <w:sz w:val="20"/>
                <w:lang w:eastAsia="ja-JP"/>
                <w14:ligatures w14:val="standardContextual"/>
              </w:rPr>
              <w:t xml:space="preserve"> Provincia:   </w:t>
            </w:r>
          </w:p>
          <w:p w14:paraId="6872A3D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Puerto pesquero de </w:t>
            </w:r>
            <w:proofErr w:type="spellStart"/>
            <w:r w:rsidRPr="00F0379B">
              <w:rPr>
                <w:rFonts w:ascii="Cambria" w:eastAsiaTheme="minorEastAsia" w:hAnsi="Cambria"/>
                <w:kern w:val="2"/>
                <w:sz w:val="20"/>
                <w:lang w:eastAsia="ja-JP"/>
                <w14:ligatures w14:val="standardContextual"/>
              </w:rPr>
              <w:t>Yeniköy</w:t>
            </w:r>
            <w:proofErr w:type="spellEnd"/>
            <w:r w:rsidRPr="00F0379B">
              <w:rPr>
                <w:rFonts w:ascii="Cambria" w:eastAsiaTheme="minorEastAsia" w:hAnsi="Cambria"/>
                <w:kern w:val="2"/>
                <w:sz w:val="20"/>
                <w:lang w:eastAsia="ja-JP"/>
                <w14:ligatures w14:val="standardContextual"/>
              </w:rPr>
              <w:t xml:space="preserve"> </w:t>
            </w:r>
          </w:p>
          <w:p w14:paraId="110539D8"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Puerto pesquero de </w:t>
            </w:r>
            <w:proofErr w:type="spellStart"/>
            <w:r w:rsidRPr="00F0379B">
              <w:rPr>
                <w:rFonts w:ascii="Cambria" w:eastAsiaTheme="minorEastAsia" w:hAnsi="Cambria"/>
                <w:kern w:val="2"/>
                <w:sz w:val="20"/>
                <w:lang w:eastAsia="ja-JP"/>
                <w14:ligatures w14:val="standardContextual"/>
              </w:rPr>
              <w:t>Gülpınar</w:t>
            </w:r>
            <w:proofErr w:type="spellEnd"/>
          </w:p>
          <w:p w14:paraId="1088BDCE" w14:textId="77777777" w:rsidR="009123AC" w:rsidRPr="00F0379B" w:rsidRDefault="009123AC" w:rsidP="009123AC">
            <w:pPr>
              <w:widowControl w:val="0"/>
              <w:tabs>
                <w:tab w:val="left" w:pos="4939"/>
              </w:tabs>
              <w:spacing w:line="240" w:lineRule="auto"/>
              <w:jc w:val="both"/>
              <w:rPr>
                <w:rFonts w:ascii="Cambria" w:eastAsiaTheme="minorEastAsia" w:hAnsi="Cambria"/>
                <w:spacing w:val="-12"/>
                <w:w w:val="105"/>
                <w:kern w:val="2"/>
                <w:lang w:eastAsia="ja-JP"/>
                <w14:ligatures w14:val="standardContextual"/>
              </w:rPr>
            </w:pPr>
            <w:r w:rsidRPr="00F0379B">
              <w:rPr>
                <w:rFonts w:ascii="Cambria" w:eastAsiaTheme="minorEastAsia" w:hAnsi="Cambria"/>
                <w:kern w:val="2"/>
                <w:sz w:val="20"/>
                <w:lang w:eastAsia="ja-JP"/>
                <w14:ligatures w14:val="standardContextual"/>
              </w:rPr>
              <w:t>6. Provincia de Estambul:</w:t>
            </w:r>
          </w:p>
          <w:p w14:paraId="68E6535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Puerto pesquero de </w:t>
            </w:r>
            <w:proofErr w:type="spellStart"/>
            <w:r w:rsidRPr="00F0379B">
              <w:rPr>
                <w:rFonts w:ascii="Cambria" w:eastAsiaTheme="minorEastAsia" w:hAnsi="Cambria"/>
                <w:kern w:val="2"/>
                <w:sz w:val="20"/>
                <w:lang w:eastAsia="ja-JP"/>
                <w14:ligatures w14:val="standardContextual"/>
              </w:rPr>
              <w:t>Gürpinar</w:t>
            </w:r>
            <w:proofErr w:type="spellEnd"/>
            <w:r w:rsidRPr="00F0379B">
              <w:rPr>
                <w:rFonts w:ascii="Cambria" w:eastAsiaTheme="minorEastAsia" w:hAnsi="Cambria"/>
                <w:kern w:val="2"/>
                <w:sz w:val="20"/>
                <w:lang w:eastAsia="ja-JP"/>
                <w14:ligatures w14:val="standardContextual"/>
              </w:rPr>
              <w:t xml:space="preserve"> </w:t>
            </w:r>
          </w:p>
          <w:p w14:paraId="6718F438"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Puerto pesquero de Tuzla</w:t>
            </w:r>
          </w:p>
          <w:p w14:paraId="435DF597" w14:textId="77777777" w:rsidR="009123AC" w:rsidRPr="00F0379B" w:rsidRDefault="009123AC" w:rsidP="009123AC">
            <w:pPr>
              <w:widowControl w:val="0"/>
              <w:tabs>
                <w:tab w:val="left" w:pos="4939"/>
              </w:tabs>
              <w:spacing w:line="240" w:lineRule="auto"/>
              <w:jc w:val="both"/>
              <w:rPr>
                <w:rFonts w:ascii="Cambria" w:eastAsiaTheme="minorEastAsia" w:hAnsi="Cambria"/>
                <w:spacing w:val="-12"/>
                <w:w w:val="105"/>
                <w:kern w:val="2"/>
                <w:lang w:eastAsia="ja-JP"/>
                <w14:ligatures w14:val="standardContextual"/>
              </w:rPr>
            </w:pPr>
            <w:r w:rsidRPr="00F0379B">
              <w:rPr>
                <w:rFonts w:ascii="Cambria" w:eastAsiaTheme="minorEastAsia" w:hAnsi="Cambria"/>
                <w:kern w:val="2"/>
                <w:sz w:val="20"/>
                <w:lang w:eastAsia="ja-JP"/>
                <w14:ligatures w14:val="standardContextual"/>
              </w:rPr>
              <w:t>7. Provincia de Izmir:</w:t>
            </w:r>
          </w:p>
          <w:p w14:paraId="06A37541"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Puerto pesquero de </w:t>
            </w:r>
            <w:proofErr w:type="spellStart"/>
            <w:r w:rsidRPr="00F0379B">
              <w:rPr>
                <w:rFonts w:ascii="Cambria" w:eastAsiaTheme="minorEastAsia" w:hAnsi="Cambria"/>
                <w:kern w:val="2"/>
                <w:sz w:val="20"/>
                <w:lang w:eastAsia="ja-JP"/>
                <w14:ligatures w14:val="standardContextual"/>
              </w:rPr>
              <w:t>Karaburun</w:t>
            </w:r>
            <w:proofErr w:type="spellEnd"/>
          </w:p>
        </w:tc>
        <w:tc>
          <w:tcPr>
            <w:tcW w:w="2032" w:type="dxa"/>
          </w:tcPr>
          <w:p w14:paraId="47D5F87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Circular ministerial sobre pesca, cría y comercio de atún rojo del este (Artículo 9, Anexo 9)</w:t>
            </w:r>
          </w:p>
        </w:tc>
        <w:tc>
          <w:tcPr>
            <w:tcW w:w="1410" w:type="dxa"/>
          </w:tcPr>
          <w:p w14:paraId="76A98308"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17867A47" w14:textId="77777777" w:rsidTr="00CA749B">
        <w:tc>
          <w:tcPr>
            <w:tcW w:w="453" w:type="dxa"/>
          </w:tcPr>
          <w:p w14:paraId="17C88F70"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7</w:t>
            </w:r>
          </w:p>
        </w:tc>
        <w:tc>
          <w:tcPr>
            <w:tcW w:w="2280" w:type="dxa"/>
          </w:tcPr>
          <w:p w14:paraId="04337696"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VMS (</w:t>
            </w:r>
            <w:r w:rsidRPr="00F0379B">
              <w:rPr>
                <w:rFonts w:ascii="Cambria" w:eastAsiaTheme="minorEastAsia" w:hAnsi="Cambria"/>
                <w:b/>
                <w:kern w:val="2"/>
                <w:sz w:val="20"/>
                <w:lang w:val="fr-BE" w:eastAsia="ja-JP"/>
                <w14:ligatures w14:val="standardContextual"/>
              </w:rPr>
              <w:t>párrs. </w:t>
            </w:r>
            <w:r w:rsidRPr="00F0379B">
              <w:rPr>
                <w:rFonts w:ascii="Cambria" w:eastAsiaTheme="minorEastAsia" w:hAnsi="Cambria"/>
                <w:b/>
                <w:kern w:val="2"/>
                <w:sz w:val="20"/>
                <w:szCs w:val="20"/>
                <w:lang w:eastAsia="ja-JP"/>
                <w14:ligatures w14:val="standardContextual"/>
              </w:rPr>
              <w:t>222-228</w:t>
            </w:r>
            <w:r w:rsidRPr="00F0379B">
              <w:rPr>
                <w:rFonts w:ascii="Cambria" w:eastAsiaTheme="minorEastAsia" w:hAnsi="Cambria"/>
                <w:b/>
                <w:kern w:val="2"/>
                <w:sz w:val="20"/>
                <w:lang w:eastAsia="ja-JP"/>
                <w14:ligatures w14:val="standardContextual"/>
              </w:rPr>
              <w:t>)</w:t>
            </w:r>
          </w:p>
        </w:tc>
        <w:tc>
          <w:tcPr>
            <w:tcW w:w="2885" w:type="dxa"/>
          </w:tcPr>
          <w:p w14:paraId="45590320"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Los párrafos 222-228 de la Rec. 25-04 se implementarán como se requiere.</w:t>
            </w:r>
          </w:p>
          <w:p w14:paraId="02D9CA08"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p>
          <w:p w14:paraId="78283B7E"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 xml:space="preserve">Los buques de pesca que soliciten cualquier permiso de buque de pesca de atún rojo del Este durante la temporada de pesca de 2026 deberán llevar a bordo un sistema de seguimiento de buques por satélite (VMS) operativo constantemente, tal y como lo requiere el MoAF. </w:t>
            </w:r>
          </w:p>
          <w:p w14:paraId="3A7F3F85"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La transmisión de datos de VMS a ICCAT se iniciará al menos 5 días antes del periodo de autorización y continuará al menos 5 días después del periodo de autorización.</w:t>
            </w:r>
          </w:p>
          <w:p w14:paraId="3EB4ADB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Los buques pesqueros autorizados a pescar atún rojo del este tendrán que transmitir mensajes de posición cada hora, lo que incluye los remolcadores de atún rojo del este.</w:t>
            </w:r>
          </w:p>
        </w:tc>
        <w:tc>
          <w:tcPr>
            <w:tcW w:w="2032" w:type="dxa"/>
          </w:tcPr>
          <w:p w14:paraId="3478AAC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Notificación n.º 6/1 que regula las pesquerías comerciales (Artículo </w:t>
            </w:r>
            <w:proofErr w:type="gramStart"/>
            <w:r w:rsidRPr="00F0379B">
              <w:rPr>
                <w:rFonts w:ascii="Cambria" w:eastAsiaTheme="minorEastAsia" w:hAnsi="Cambria"/>
                <w:kern w:val="2"/>
                <w:sz w:val="20"/>
                <w:lang w:eastAsia="ja-JP"/>
                <w14:ligatures w14:val="standardContextual"/>
              </w:rPr>
              <w:t>22)/</w:t>
            </w:r>
            <w:proofErr w:type="gramEnd"/>
            <w:r w:rsidRPr="00F0379B">
              <w:rPr>
                <w:rFonts w:ascii="Cambria" w:eastAsiaTheme="minorEastAsia" w:hAnsi="Cambria"/>
                <w:kern w:val="2"/>
                <w:sz w:val="20"/>
                <w:lang w:eastAsia="ja-JP"/>
                <w14:ligatures w14:val="standardContextual"/>
              </w:rPr>
              <w:t xml:space="preserve"> Circular sobre pesca, cría y comercio de atún rojo del este (Artículo 6).</w:t>
            </w:r>
          </w:p>
        </w:tc>
        <w:tc>
          <w:tcPr>
            <w:tcW w:w="1410" w:type="dxa"/>
          </w:tcPr>
          <w:p w14:paraId="143D8791"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5D877FCB" w14:textId="77777777" w:rsidTr="00CA749B">
        <w:trPr>
          <w:trHeight w:val="2450"/>
        </w:trPr>
        <w:tc>
          <w:tcPr>
            <w:tcW w:w="453" w:type="dxa"/>
          </w:tcPr>
          <w:p w14:paraId="1D0DBCE7"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8</w:t>
            </w:r>
          </w:p>
        </w:tc>
        <w:tc>
          <w:tcPr>
            <w:tcW w:w="2280" w:type="dxa"/>
          </w:tcPr>
          <w:p w14:paraId="3314ABDB"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Programa de observadores de las CPC </w:t>
            </w:r>
          </w:p>
          <w:p w14:paraId="3B11C467"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95-100)</w:t>
            </w:r>
          </w:p>
        </w:tc>
        <w:tc>
          <w:tcPr>
            <w:tcW w:w="2885" w:type="dxa"/>
          </w:tcPr>
          <w:p w14:paraId="33A88713"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Los párrafos 95-100 de la Rec. 25-04 se implementarán como se requiere.</w:t>
            </w:r>
          </w:p>
          <w:p w14:paraId="6352ADB4"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p>
          <w:p w14:paraId="75DECF5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En 2023 se asegurará la presencia de "observadores de la CPC" a bordo de todos los buques remolcadores de atún rojo del este durante todo el periodo de autorización.</w:t>
            </w:r>
          </w:p>
        </w:tc>
        <w:tc>
          <w:tcPr>
            <w:tcW w:w="2032" w:type="dxa"/>
          </w:tcPr>
          <w:p w14:paraId="7FC64873"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Notificación n.º 6/1 que regula las pesquerías comerciales (Artículo </w:t>
            </w:r>
            <w:proofErr w:type="gramStart"/>
            <w:r w:rsidRPr="00F0379B">
              <w:rPr>
                <w:rFonts w:ascii="Cambria" w:eastAsiaTheme="minorEastAsia" w:hAnsi="Cambria"/>
                <w:kern w:val="2"/>
                <w:sz w:val="20"/>
                <w:lang w:eastAsia="ja-JP"/>
                <w14:ligatures w14:val="standardContextual"/>
              </w:rPr>
              <w:t>22)/</w:t>
            </w:r>
            <w:proofErr w:type="gramEnd"/>
            <w:r w:rsidRPr="00F0379B">
              <w:rPr>
                <w:rFonts w:ascii="Cambria" w:eastAsiaTheme="minorEastAsia" w:hAnsi="Cambria"/>
                <w:kern w:val="2"/>
                <w:sz w:val="20"/>
                <w:lang w:eastAsia="ja-JP"/>
                <w14:ligatures w14:val="standardContextual"/>
              </w:rPr>
              <w:t xml:space="preserve"> Circular sobre pesca, cría y comercio de atún rojo del este (Artículo 7 y Anexo 5).</w:t>
            </w:r>
          </w:p>
        </w:tc>
        <w:tc>
          <w:tcPr>
            <w:tcW w:w="1410" w:type="dxa"/>
          </w:tcPr>
          <w:p w14:paraId="74D654FE"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2F9CB6D5" w14:textId="77777777" w:rsidTr="00CA749B">
        <w:tc>
          <w:tcPr>
            <w:tcW w:w="453" w:type="dxa"/>
          </w:tcPr>
          <w:p w14:paraId="323E81C3"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9</w:t>
            </w:r>
          </w:p>
        </w:tc>
        <w:tc>
          <w:tcPr>
            <w:tcW w:w="2280" w:type="dxa"/>
          </w:tcPr>
          <w:p w14:paraId="2304E8B6"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val="pt-BR" w:eastAsia="ja-JP"/>
                <w14:ligatures w14:val="standardContextual"/>
              </w:rPr>
              <w:t xml:space="preserve">Programa regional de observadores (párrs. </w:t>
            </w:r>
            <w:r w:rsidRPr="00F0379B">
              <w:rPr>
                <w:rFonts w:ascii="Cambria" w:eastAsiaTheme="minorEastAsia" w:hAnsi="Cambria"/>
                <w:b/>
                <w:kern w:val="2"/>
                <w:sz w:val="20"/>
                <w:lang w:eastAsia="ja-JP"/>
                <w14:ligatures w14:val="standardContextual"/>
              </w:rPr>
              <w:t>101-107)</w:t>
            </w:r>
          </w:p>
        </w:tc>
        <w:tc>
          <w:tcPr>
            <w:tcW w:w="2885" w:type="dxa"/>
          </w:tcPr>
          <w:p w14:paraId="0E6063EA"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Los párrafos 101-107 de la Rec. 25-04 se implementarán como se requiere.</w:t>
            </w:r>
          </w:p>
          <w:p w14:paraId="22E5BAA9"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p>
          <w:p w14:paraId="6236B724"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Es obligatoria una cobertura del 100 % de "Observadores regionales de ICCAT" a bordo de los buques de captura de atún rojo del este y en las granjas de atún rojo del este (en el momento de la introducción en jaula y durante las operaciones de sacrificio).</w:t>
            </w:r>
          </w:p>
        </w:tc>
        <w:tc>
          <w:tcPr>
            <w:tcW w:w="2032" w:type="dxa"/>
          </w:tcPr>
          <w:p w14:paraId="681CC06F"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 xml:space="preserve">Notificación que regula las pesquerías comerciales (Artículo </w:t>
            </w:r>
            <w:proofErr w:type="gramStart"/>
            <w:r w:rsidRPr="00F0379B">
              <w:rPr>
                <w:rFonts w:ascii="Cambria" w:eastAsiaTheme="minorEastAsia" w:hAnsi="Cambria"/>
                <w:kern w:val="2"/>
                <w:sz w:val="20"/>
                <w:lang w:eastAsia="ja-JP"/>
                <w14:ligatures w14:val="standardContextual"/>
              </w:rPr>
              <w:t>22)/</w:t>
            </w:r>
            <w:proofErr w:type="gramEnd"/>
            <w:r w:rsidRPr="00F0379B">
              <w:rPr>
                <w:rFonts w:ascii="Cambria" w:eastAsiaTheme="minorEastAsia" w:hAnsi="Cambria"/>
                <w:kern w:val="2"/>
                <w:sz w:val="20"/>
                <w:lang w:eastAsia="ja-JP"/>
                <w14:ligatures w14:val="standardContextual"/>
              </w:rPr>
              <w:t xml:space="preserve"> Circular sobre pesca, cría y comercio de atún rojo del este (Artículo 7 y Anexo 3).</w:t>
            </w:r>
          </w:p>
          <w:p w14:paraId="320F52CB" w14:textId="77777777" w:rsidR="009123AC" w:rsidRPr="00F0379B" w:rsidRDefault="009123AC" w:rsidP="009123AC">
            <w:pPr>
              <w:widowControl w:val="0"/>
              <w:spacing w:line="240" w:lineRule="auto"/>
              <w:jc w:val="both"/>
              <w:rPr>
                <w:rFonts w:eastAsiaTheme="minorEastAsia"/>
                <w:kern w:val="2"/>
                <w:lang w:eastAsia="ja-JP"/>
                <w14:ligatures w14:val="standardContextual"/>
              </w:rPr>
            </w:pPr>
          </w:p>
        </w:tc>
        <w:tc>
          <w:tcPr>
            <w:tcW w:w="1410" w:type="dxa"/>
          </w:tcPr>
          <w:p w14:paraId="10E801E0"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029421C9" w14:textId="77777777" w:rsidTr="00CA749B">
        <w:tc>
          <w:tcPr>
            <w:tcW w:w="453" w:type="dxa"/>
          </w:tcPr>
          <w:p w14:paraId="2A1ED5A8" w14:textId="77777777" w:rsidR="009123AC" w:rsidRPr="00F0379B" w:rsidRDefault="009123AC" w:rsidP="009123AC">
            <w:pPr>
              <w:widowControl w:val="0"/>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bCs/>
                <w:iCs/>
                <w:kern w:val="2"/>
                <w:sz w:val="20"/>
                <w:szCs w:val="20"/>
                <w:lang w:eastAsia="ja-JP"/>
                <w14:ligatures w14:val="standardContextual"/>
              </w:rPr>
              <w:t>10</w:t>
            </w:r>
          </w:p>
        </w:tc>
        <w:tc>
          <w:tcPr>
            <w:tcW w:w="2280" w:type="dxa"/>
          </w:tcPr>
          <w:p w14:paraId="7BF7646C" w14:textId="77777777" w:rsidR="009123AC" w:rsidRPr="00F0379B" w:rsidRDefault="009123AC" w:rsidP="009123AC">
            <w:pPr>
              <w:widowControl w:val="0"/>
              <w:spacing w:line="240" w:lineRule="auto"/>
              <w:rPr>
                <w:rFonts w:ascii="Cambria" w:eastAsiaTheme="minorEastAsia" w:hAnsi="Cambria"/>
                <w:b/>
                <w:bCs/>
                <w:iCs/>
                <w:kern w:val="2"/>
                <w:sz w:val="20"/>
                <w:lang w:eastAsia="ja-JP"/>
                <w14:ligatures w14:val="standardContextual"/>
              </w:rPr>
            </w:pPr>
            <w:r w:rsidRPr="00F0379B">
              <w:rPr>
                <w:rFonts w:ascii="Cambria" w:eastAsiaTheme="minorEastAsia" w:hAnsi="Cambria"/>
                <w:b/>
                <w:bCs/>
                <w:iCs/>
                <w:kern w:val="2"/>
                <w:sz w:val="20"/>
                <w:lang w:eastAsia="ja-JP"/>
                <w14:ligatures w14:val="standardContextual"/>
              </w:rPr>
              <w:t>Legislación nacional</w:t>
            </w:r>
          </w:p>
        </w:tc>
        <w:tc>
          <w:tcPr>
            <w:tcW w:w="2885" w:type="dxa"/>
          </w:tcPr>
          <w:p w14:paraId="5CD46DA2"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Las normas establecidas por la Rec. 25-04 de ICCAT se han traspuesto a la reglamentación nacional turca mediante el "Comunicado ministerial sobre pesca, cría y comercio del atún rojo".</w:t>
            </w:r>
          </w:p>
        </w:tc>
        <w:tc>
          <w:tcPr>
            <w:tcW w:w="2032" w:type="dxa"/>
          </w:tcPr>
          <w:p w14:paraId="5C7EB6FE"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Circular ministerial sobre pesca, cría y comercio de atún rojo del este; Notificación ministerial n.º 6/1 que regula las pesquerías comerciales; Directivas; Orden ministerial sobre las cuotas individuales que se asignarán para el período 2026-2028</w:t>
            </w:r>
          </w:p>
        </w:tc>
        <w:tc>
          <w:tcPr>
            <w:tcW w:w="1410" w:type="dxa"/>
          </w:tcPr>
          <w:p w14:paraId="043F11A2"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3A070F8E" w14:textId="77777777" w:rsidTr="00CA749B">
        <w:tc>
          <w:tcPr>
            <w:tcW w:w="453" w:type="dxa"/>
          </w:tcPr>
          <w:p w14:paraId="07E0DCC3"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p>
        </w:tc>
        <w:tc>
          <w:tcPr>
            <w:tcW w:w="2280" w:type="dxa"/>
          </w:tcPr>
          <w:p w14:paraId="5881D5EB"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Otros requisitos, como:</w:t>
            </w:r>
          </w:p>
          <w:p w14:paraId="07F8883C"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programa de marcado (párr. 44), etc.</w:t>
            </w:r>
          </w:p>
        </w:tc>
        <w:tc>
          <w:tcPr>
            <w:tcW w:w="2885" w:type="dxa"/>
          </w:tcPr>
          <w:p w14:paraId="648F1141"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Türkiye seguirá apoyando el programa GBYP de ICCAT en 2026.</w:t>
            </w:r>
          </w:p>
          <w:p w14:paraId="5F95D1F0"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p>
          <w:p w14:paraId="11A3D089" w14:textId="77777777" w:rsidR="009123AC" w:rsidRPr="00F0379B" w:rsidRDefault="009123AC" w:rsidP="009123AC">
            <w:pPr>
              <w:widowControl w:val="0"/>
              <w:spacing w:line="240" w:lineRule="auto"/>
              <w:jc w:val="both"/>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 xml:space="preserve">En 2025 se han realizado prospecciones de larvas y también está previsto que continúen en 2026. Está previsto que continúe el programa de marcado en 2026 </w:t>
            </w:r>
          </w:p>
          <w:p w14:paraId="5483E445"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en el marco del GBYP.</w:t>
            </w:r>
          </w:p>
        </w:tc>
        <w:tc>
          <w:tcPr>
            <w:tcW w:w="2032" w:type="dxa"/>
          </w:tcPr>
          <w:p w14:paraId="62D9165D"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tc>
        <w:tc>
          <w:tcPr>
            <w:tcW w:w="1410" w:type="dxa"/>
          </w:tcPr>
          <w:p w14:paraId="3D3BCBD2"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bl>
    <w:p w14:paraId="3BEC9360" w14:textId="77777777" w:rsidR="009123AC" w:rsidRPr="00F0379B" w:rsidRDefault="009123AC" w:rsidP="009123AC">
      <w:pPr>
        <w:widowControl w:val="0"/>
        <w:spacing w:after="0" w:line="240" w:lineRule="auto"/>
        <w:rPr>
          <w:rFonts w:ascii="Cambria" w:eastAsia="MS Gothic" w:hAnsi="Cambria" w:cs="Times New Roman"/>
          <w:b/>
          <w:bCs/>
          <w:i/>
          <w:iCs/>
          <w:sz w:val="20"/>
          <w:szCs w:val="20"/>
          <w:lang w:eastAsia="fr-FR" w:bidi="fr-FR"/>
        </w:rPr>
      </w:pPr>
    </w:p>
    <w:p w14:paraId="7DDEAD14" w14:textId="77777777" w:rsidR="009123AC" w:rsidRPr="00F0379B" w:rsidRDefault="009123AC" w:rsidP="009123AC">
      <w:pPr>
        <w:widowControl w:val="0"/>
        <w:spacing w:after="0" w:line="240" w:lineRule="auto"/>
        <w:rPr>
          <w:rFonts w:ascii="Cambria" w:eastAsia="MS Gothic" w:hAnsi="Cambria" w:cs="Times New Roman"/>
          <w:b/>
          <w:bCs/>
          <w:i/>
          <w:iCs/>
          <w:sz w:val="20"/>
          <w:szCs w:val="20"/>
          <w:lang w:eastAsia="fr-FR" w:bidi="fr-FR"/>
        </w:rPr>
      </w:pPr>
      <w:r w:rsidRPr="00F0379B">
        <w:rPr>
          <w:rFonts w:ascii="Cambria" w:eastAsia="MS Gothic" w:hAnsi="Cambria" w:cs="Times New Roman"/>
          <w:b/>
          <w:bCs/>
          <w:i/>
          <w:iCs/>
          <w:sz w:val="20"/>
          <w:szCs w:val="20"/>
          <w:lang w:eastAsia="fr-FR" w:bidi="fr-FR"/>
        </w:rPr>
        <w:t>1 e) Puertos designados (párr. 80)</w:t>
      </w:r>
    </w:p>
    <w:p w14:paraId="62A2C4FC" w14:textId="77777777" w:rsidR="009123AC" w:rsidRPr="00F0379B" w:rsidRDefault="009123AC" w:rsidP="009123AC">
      <w:pPr>
        <w:widowControl w:val="0"/>
        <w:spacing w:after="0" w:line="240" w:lineRule="auto"/>
        <w:rPr>
          <w:rFonts w:ascii="Cambria" w:eastAsia="MS Gothic" w:hAnsi="Cambria" w:cs="Times New Roman"/>
          <w:b/>
          <w:bCs/>
          <w:i/>
          <w:iCs/>
          <w:sz w:val="20"/>
          <w:szCs w:val="20"/>
          <w:lang w:eastAsia="fr-FR" w:bidi="fr-FR"/>
        </w:rPr>
      </w:pPr>
    </w:p>
    <w:p w14:paraId="196BE6F8"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r w:rsidRPr="00F0379B">
        <w:rPr>
          <w:rFonts w:ascii="Cambria" w:eastAsia="MS Gothic" w:hAnsi="Cambria" w:cs="Times New Roman"/>
          <w:sz w:val="20"/>
          <w:szCs w:val="20"/>
          <w:lang w:eastAsia="fr-FR" w:bidi="fr-FR"/>
        </w:rPr>
        <w:t xml:space="preserve">La lista de puertos designados para el desembarque y el transbordo se incluye más abajo. Türkiye también ha presentado el formulario CP24 junto con este plan. </w:t>
      </w:r>
    </w:p>
    <w:p w14:paraId="5B886F64"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1C262B1E" w14:textId="77777777" w:rsidR="009123AC" w:rsidRPr="00F0379B" w:rsidRDefault="009123AC" w:rsidP="009123AC">
      <w:pPr>
        <w:spacing w:after="0" w:line="240" w:lineRule="auto"/>
        <w:rPr>
          <w:rFonts w:ascii="Cambria" w:eastAsia="MS Gothic" w:hAnsi="Cambria" w:cs="Times New Roman"/>
          <w:i/>
          <w:sz w:val="20"/>
          <w:szCs w:val="20"/>
        </w:rPr>
      </w:pPr>
      <w:r w:rsidRPr="00F0379B">
        <w:rPr>
          <w:rFonts w:ascii="Cambria" w:eastAsia="Aptos" w:hAnsi="Cambria" w:cs="Times New Roman"/>
          <w:i/>
          <w:kern w:val="2"/>
          <w:sz w:val="20"/>
          <w:szCs w:val="20"/>
          <w14:ligatures w14:val="standardContextual"/>
        </w:rPr>
        <w:t>Lista de puertos autorizados</w:t>
      </w:r>
    </w:p>
    <w:p w14:paraId="7F50E4ED" w14:textId="77777777" w:rsidR="009123AC" w:rsidRPr="00F0379B" w:rsidRDefault="009123AC" w:rsidP="009123AC">
      <w:pPr>
        <w:spacing w:after="0" w:line="240" w:lineRule="auto"/>
        <w:rPr>
          <w:rFonts w:ascii="Cambria" w:eastAsia="MS Gothic" w:hAnsi="Cambria" w:cs="Times New Roman"/>
          <w:i/>
          <w:sz w:val="14"/>
          <w:szCs w:val="14"/>
          <w:lang w:eastAsia="fr-FR" w:bidi="fr-FR"/>
        </w:rPr>
      </w:pPr>
    </w:p>
    <w:p w14:paraId="5D6B5FCB" w14:textId="77777777" w:rsidR="009123AC" w:rsidRPr="00F0379B" w:rsidRDefault="009123AC" w:rsidP="00CE0EC8">
      <w:pPr>
        <w:widowControl w:val="0"/>
        <w:numPr>
          <w:ilvl w:val="0"/>
          <w:numId w:val="66"/>
        </w:numPr>
        <w:spacing w:after="0" w:line="240" w:lineRule="auto"/>
        <w:contextualSpacing/>
        <w:jc w:val="both"/>
        <w:rPr>
          <w:rFonts w:ascii="Cambria" w:eastAsia="MS Gothic" w:hAnsi="Cambria" w:cs="Times New Roman"/>
          <w:color w:val="000000"/>
          <w:sz w:val="20"/>
          <w:szCs w:val="20"/>
        </w:rPr>
      </w:pPr>
      <w:r w:rsidRPr="00F0379B">
        <w:rPr>
          <w:rFonts w:ascii="Cambria" w:eastAsia="Aptos" w:hAnsi="Cambria" w:cs="Times New Roman"/>
          <w:color w:val="000000"/>
          <w:kern w:val="2"/>
          <w:sz w:val="20"/>
          <w:szCs w:val="20"/>
          <w14:ligatures w14:val="standardContextual"/>
        </w:rPr>
        <w:t>Adana - Karataş</w:t>
      </w:r>
    </w:p>
    <w:p w14:paraId="7B46C6C9" w14:textId="77777777" w:rsidR="009123AC" w:rsidRPr="00F0379B" w:rsidRDefault="009123AC" w:rsidP="00CE0EC8">
      <w:pPr>
        <w:widowControl w:val="0"/>
        <w:numPr>
          <w:ilvl w:val="0"/>
          <w:numId w:val="66"/>
        </w:numPr>
        <w:spacing w:after="0" w:line="240" w:lineRule="auto"/>
        <w:contextualSpacing/>
        <w:jc w:val="both"/>
        <w:rPr>
          <w:rFonts w:ascii="Cambria" w:eastAsia="MS Gothic" w:hAnsi="Cambria" w:cs="Times New Roman"/>
          <w:color w:val="000000"/>
          <w:sz w:val="20"/>
          <w:szCs w:val="20"/>
        </w:rPr>
      </w:pPr>
      <w:r w:rsidRPr="00F0379B">
        <w:rPr>
          <w:rFonts w:ascii="Cambria" w:eastAsia="Aptos" w:hAnsi="Cambria" w:cs="Times New Roman"/>
          <w:color w:val="000000"/>
          <w:kern w:val="2"/>
          <w:sz w:val="20"/>
          <w:szCs w:val="20"/>
          <w14:ligatures w14:val="standardContextual"/>
        </w:rPr>
        <w:t>Antalya</w:t>
      </w:r>
    </w:p>
    <w:p w14:paraId="6544F744" w14:textId="77777777" w:rsidR="009123AC" w:rsidRPr="00F0379B" w:rsidRDefault="009123AC" w:rsidP="00CE0EC8">
      <w:pPr>
        <w:widowControl w:val="0"/>
        <w:numPr>
          <w:ilvl w:val="0"/>
          <w:numId w:val="66"/>
        </w:numPr>
        <w:spacing w:after="0" w:line="240" w:lineRule="auto"/>
        <w:contextualSpacing/>
        <w:jc w:val="both"/>
        <w:rPr>
          <w:rFonts w:ascii="Cambria" w:eastAsia="MS Gothic" w:hAnsi="Cambria" w:cs="Times New Roman"/>
          <w:color w:val="000000"/>
          <w:sz w:val="20"/>
          <w:szCs w:val="20"/>
        </w:rPr>
      </w:pPr>
      <w:r w:rsidRPr="00F0379B">
        <w:rPr>
          <w:rFonts w:ascii="Cambria" w:eastAsia="Aptos" w:hAnsi="Cambria" w:cs="Times New Roman"/>
          <w:color w:val="000000"/>
          <w:kern w:val="2"/>
          <w:sz w:val="20"/>
          <w:szCs w:val="20"/>
          <w14:ligatures w14:val="standardContextual"/>
        </w:rPr>
        <w:t>Antalya - Alanya</w:t>
      </w:r>
    </w:p>
    <w:p w14:paraId="21CEDB6C" w14:textId="77777777" w:rsidR="009123AC" w:rsidRPr="00F0379B" w:rsidRDefault="009123AC" w:rsidP="00CE0EC8">
      <w:pPr>
        <w:widowControl w:val="0"/>
        <w:numPr>
          <w:ilvl w:val="0"/>
          <w:numId w:val="66"/>
        </w:numPr>
        <w:spacing w:after="0" w:line="240" w:lineRule="auto"/>
        <w:contextualSpacing/>
        <w:jc w:val="both"/>
        <w:rPr>
          <w:rFonts w:ascii="Cambria" w:eastAsia="MS Gothic" w:hAnsi="Cambria" w:cs="Times New Roman"/>
          <w:color w:val="000000"/>
          <w:sz w:val="20"/>
          <w:szCs w:val="20"/>
        </w:rPr>
      </w:pPr>
      <w:r w:rsidRPr="00F0379B">
        <w:rPr>
          <w:rFonts w:ascii="Cambria" w:eastAsia="Aptos" w:hAnsi="Cambria" w:cs="Times New Roman"/>
          <w:color w:val="000000"/>
          <w:kern w:val="2"/>
          <w:sz w:val="20"/>
          <w:szCs w:val="20"/>
          <w14:ligatures w14:val="standardContextual"/>
        </w:rPr>
        <w:t>Mersin - Erdemli</w:t>
      </w:r>
    </w:p>
    <w:p w14:paraId="17C49168" w14:textId="77777777" w:rsidR="009123AC" w:rsidRPr="00F0379B" w:rsidRDefault="009123AC" w:rsidP="00CE0EC8">
      <w:pPr>
        <w:widowControl w:val="0"/>
        <w:numPr>
          <w:ilvl w:val="0"/>
          <w:numId w:val="66"/>
        </w:numPr>
        <w:spacing w:after="0" w:line="240" w:lineRule="auto"/>
        <w:contextualSpacing/>
        <w:jc w:val="both"/>
        <w:rPr>
          <w:rFonts w:ascii="Cambria" w:eastAsia="MS Gothic" w:hAnsi="Cambria" w:cs="Times New Roman"/>
          <w:color w:val="000000"/>
          <w:sz w:val="20"/>
          <w:szCs w:val="20"/>
        </w:rPr>
      </w:pPr>
      <w:r w:rsidRPr="00F0379B">
        <w:rPr>
          <w:rFonts w:ascii="Cambria" w:eastAsia="Aptos" w:hAnsi="Cambria" w:cs="Times New Roman"/>
          <w:color w:val="000000"/>
          <w:kern w:val="2"/>
          <w:sz w:val="20"/>
          <w:szCs w:val="20"/>
          <w14:ligatures w14:val="standardContextual"/>
        </w:rPr>
        <w:t xml:space="preserve">Hatay – </w:t>
      </w:r>
      <w:proofErr w:type="spellStart"/>
      <w:r w:rsidRPr="00F0379B">
        <w:rPr>
          <w:rFonts w:ascii="Cambria" w:eastAsia="Aptos" w:hAnsi="Cambria" w:cs="Times New Roman"/>
          <w:color w:val="000000"/>
          <w:kern w:val="2"/>
          <w:sz w:val="20"/>
          <w:szCs w:val="20"/>
          <w14:ligatures w14:val="standardContextual"/>
        </w:rPr>
        <w:t>Çevlik</w:t>
      </w:r>
      <w:proofErr w:type="spellEnd"/>
    </w:p>
    <w:p w14:paraId="6B0B0E15" w14:textId="77777777" w:rsidR="009123AC" w:rsidRPr="00F0379B" w:rsidRDefault="009123AC" w:rsidP="00CE0EC8">
      <w:pPr>
        <w:widowControl w:val="0"/>
        <w:numPr>
          <w:ilvl w:val="0"/>
          <w:numId w:val="66"/>
        </w:numPr>
        <w:spacing w:after="0" w:line="240" w:lineRule="auto"/>
        <w:contextualSpacing/>
        <w:jc w:val="both"/>
        <w:rPr>
          <w:rFonts w:ascii="Cambria" w:eastAsia="MS Gothic" w:hAnsi="Cambria" w:cs="Times New Roman"/>
          <w:color w:val="000000"/>
          <w:sz w:val="20"/>
          <w:szCs w:val="20"/>
        </w:rPr>
      </w:pPr>
      <w:r w:rsidRPr="00F0379B">
        <w:rPr>
          <w:rFonts w:ascii="Cambria" w:eastAsia="MS Gothic" w:hAnsi="Cambria" w:cs="Times New Roman"/>
          <w:iCs/>
          <w:sz w:val="20"/>
          <w:szCs w:val="20"/>
          <w:lang w:eastAsia="fr-FR" w:bidi="fr-FR"/>
        </w:rPr>
        <w:t>Hatay-</w:t>
      </w:r>
      <w:proofErr w:type="spellStart"/>
      <w:r w:rsidRPr="00F0379B">
        <w:rPr>
          <w:rFonts w:ascii="Cambria" w:eastAsia="MS Gothic" w:hAnsi="Cambria" w:cs="Times New Roman"/>
          <w:iCs/>
          <w:sz w:val="20"/>
          <w:szCs w:val="20"/>
          <w:lang w:eastAsia="fr-FR" w:bidi="fr-FR"/>
        </w:rPr>
        <w:t>Işıklı</w:t>
      </w:r>
      <w:proofErr w:type="spellEnd"/>
      <w:r w:rsidRPr="00F0379B">
        <w:rPr>
          <w:rFonts w:ascii="Cambria" w:eastAsia="MS Gothic" w:hAnsi="Cambria" w:cs="Times New Roman"/>
          <w:iCs/>
          <w:sz w:val="20"/>
          <w:szCs w:val="20"/>
          <w:lang w:eastAsia="fr-FR" w:bidi="fr-FR"/>
        </w:rPr>
        <w:t xml:space="preserve"> </w:t>
      </w:r>
      <w:proofErr w:type="spellStart"/>
      <w:r w:rsidRPr="00F0379B">
        <w:rPr>
          <w:rFonts w:ascii="Cambria" w:eastAsia="MS Gothic" w:hAnsi="Cambria" w:cs="Times New Roman"/>
          <w:iCs/>
          <w:sz w:val="20"/>
          <w:szCs w:val="20"/>
          <w:lang w:eastAsia="fr-FR" w:bidi="fr-FR"/>
        </w:rPr>
        <w:t>Konacık</w:t>
      </w:r>
      <w:proofErr w:type="spellEnd"/>
    </w:p>
    <w:p w14:paraId="22282A86" w14:textId="77777777" w:rsidR="009123AC" w:rsidRPr="00F0379B" w:rsidRDefault="009123AC" w:rsidP="00CE0EC8">
      <w:pPr>
        <w:widowControl w:val="0"/>
        <w:numPr>
          <w:ilvl w:val="0"/>
          <w:numId w:val="66"/>
        </w:numPr>
        <w:spacing w:after="0" w:line="240" w:lineRule="auto"/>
        <w:contextualSpacing/>
        <w:jc w:val="both"/>
        <w:rPr>
          <w:rFonts w:ascii="Cambria" w:eastAsia="MS Gothic" w:hAnsi="Cambria" w:cs="Times New Roman"/>
          <w:color w:val="000000"/>
          <w:sz w:val="20"/>
          <w:szCs w:val="20"/>
        </w:rPr>
      </w:pPr>
      <w:r w:rsidRPr="00F0379B">
        <w:rPr>
          <w:rFonts w:ascii="Cambria" w:eastAsia="Aptos" w:hAnsi="Cambria" w:cs="Times New Roman"/>
          <w:color w:val="000000"/>
          <w:kern w:val="2"/>
          <w:sz w:val="20"/>
          <w:szCs w:val="20"/>
          <w14:ligatures w14:val="standardContextual"/>
        </w:rPr>
        <w:t xml:space="preserve">Çanakkale - </w:t>
      </w:r>
      <w:proofErr w:type="spellStart"/>
      <w:r w:rsidRPr="00F0379B">
        <w:rPr>
          <w:rFonts w:ascii="Cambria" w:eastAsia="Aptos" w:hAnsi="Cambria" w:cs="Times New Roman"/>
          <w:color w:val="000000"/>
          <w:kern w:val="2"/>
          <w:sz w:val="20"/>
          <w:szCs w:val="20"/>
          <w14:ligatures w14:val="standardContextual"/>
        </w:rPr>
        <w:t>Yeniköy</w:t>
      </w:r>
      <w:proofErr w:type="spellEnd"/>
    </w:p>
    <w:p w14:paraId="79F429EC" w14:textId="77777777" w:rsidR="009123AC" w:rsidRPr="00F0379B" w:rsidRDefault="009123AC" w:rsidP="00CE0EC8">
      <w:pPr>
        <w:widowControl w:val="0"/>
        <w:numPr>
          <w:ilvl w:val="0"/>
          <w:numId w:val="66"/>
        </w:numPr>
        <w:spacing w:after="0" w:line="240" w:lineRule="auto"/>
        <w:contextualSpacing/>
        <w:jc w:val="both"/>
        <w:rPr>
          <w:rFonts w:ascii="Cambria" w:eastAsia="MS Gothic" w:hAnsi="Cambria" w:cs="Times New Roman"/>
          <w:color w:val="000000"/>
          <w:sz w:val="20"/>
          <w:szCs w:val="20"/>
        </w:rPr>
      </w:pPr>
      <w:r w:rsidRPr="00F0379B">
        <w:rPr>
          <w:rFonts w:ascii="Cambria" w:eastAsia="Aptos" w:hAnsi="Cambria" w:cs="Times New Roman"/>
          <w:color w:val="000000"/>
          <w:kern w:val="2"/>
          <w:sz w:val="20"/>
          <w:szCs w:val="20"/>
          <w14:ligatures w14:val="standardContextual"/>
        </w:rPr>
        <w:t>Çanakkale-</w:t>
      </w:r>
      <w:proofErr w:type="spellStart"/>
      <w:r w:rsidRPr="00F0379B">
        <w:rPr>
          <w:rFonts w:ascii="Cambria" w:eastAsia="Aptos" w:hAnsi="Cambria" w:cs="Times New Roman"/>
          <w:color w:val="000000"/>
          <w:kern w:val="2"/>
          <w:sz w:val="20"/>
          <w:szCs w:val="20"/>
          <w14:ligatures w14:val="standardContextual"/>
        </w:rPr>
        <w:t>Gülpınar</w:t>
      </w:r>
      <w:proofErr w:type="spellEnd"/>
    </w:p>
    <w:p w14:paraId="26F93B5F" w14:textId="77777777" w:rsidR="009123AC" w:rsidRPr="00F0379B" w:rsidRDefault="009123AC" w:rsidP="00CE0EC8">
      <w:pPr>
        <w:widowControl w:val="0"/>
        <w:numPr>
          <w:ilvl w:val="0"/>
          <w:numId w:val="66"/>
        </w:numPr>
        <w:spacing w:after="0" w:line="240" w:lineRule="auto"/>
        <w:contextualSpacing/>
        <w:jc w:val="both"/>
        <w:rPr>
          <w:rFonts w:ascii="Cambria" w:eastAsia="MS Gothic" w:hAnsi="Cambria" w:cs="Times New Roman"/>
          <w:color w:val="000000"/>
          <w:sz w:val="20"/>
          <w:szCs w:val="20"/>
        </w:rPr>
      </w:pPr>
      <w:proofErr w:type="spellStart"/>
      <w:r w:rsidRPr="00F0379B">
        <w:rPr>
          <w:rFonts w:ascii="Cambria" w:eastAsia="Aptos" w:hAnsi="Cambria" w:cs="Times New Roman"/>
          <w:color w:val="000000"/>
          <w:kern w:val="2"/>
          <w:sz w:val="20"/>
          <w:szCs w:val="20"/>
          <w14:ligatures w14:val="standardContextual"/>
        </w:rPr>
        <w:t>İstanbul</w:t>
      </w:r>
      <w:proofErr w:type="spellEnd"/>
      <w:r w:rsidRPr="00F0379B">
        <w:rPr>
          <w:rFonts w:ascii="Cambria" w:eastAsia="Aptos" w:hAnsi="Cambria" w:cs="Times New Roman"/>
          <w:color w:val="000000"/>
          <w:kern w:val="2"/>
          <w:sz w:val="20"/>
          <w:szCs w:val="20"/>
          <w14:ligatures w14:val="standardContextual"/>
        </w:rPr>
        <w:t xml:space="preserve"> - </w:t>
      </w:r>
      <w:proofErr w:type="spellStart"/>
      <w:r w:rsidRPr="00F0379B">
        <w:rPr>
          <w:rFonts w:ascii="Cambria" w:eastAsia="Aptos" w:hAnsi="Cambria" w:cs="Times New Roman"/>
          <w:color w:val="000000"/>
          <w:kern w:val="2"/>
          <w:sz w:val="20"/>
          <w:szCs w:val="20"/>
          <w14:ligatures w14:val="standardContextual"/>
        </w:rPr>
        <w:t>Gürpınar</w:t>
      </w:r>
      <w:proofErr w:type="spellEnd"/>
      <w:r w:rsidRPr="00F0379B">
        <w:rPr>
          <w:rFonts w:ascii="Cambria" w:eastAsia="Aptos" w:hAnsi="Cambria" w:cs="Times New Roman"/>
          <w:color w:val="000000"/>
          <w:kern w:val="2"/>
          <w:sz w:val="20"/>
          <w:szCs w:val="20"/>
          <w14:ligatures w14:val="standardContextual"/>
        </w:rPr>
        <w:t xml:space="preserve"> </w:t>
      </w:r>
    </w:p>
    <w:p w14:paraId="42677012" w14:textId="77777777" w:rsidR="009123AC" w:rsidRPr="00F0379B" w:rsidRDefault="009123AC" w:rsidP="00CE0EC8">
      <w:pPr>
        <w:widowControl w:val="0"/>
        <w:numPr>
          <w:ilvl w:val="0"/>
          <w:numId w:val="66"/>
        </w:numPr>
        <w:spacing w:after="0" w:line="240" w:lineRule="auto"/>
        <w:contextualSpacing/>
        <w:jc w:val="both"/>
        <w:rPr>
          <w:rFonts w:ascii="Cambria" w:eastAsia="MS Gothic" w:hAnsi="Cambria" w:cs="Times New Roman"/>
          <w:color w:val="000000"/>
          <w:sz w:val="20"/>
          <w:szCs w:val="20"/>
        </w:rPr>
      </w:pPr>
      <w:proofErr w:type="spellStart"/>
      <w:r w:rsidRPr="00F0379B">
        <w:rPr>
          <w:rFonts w:ascii="Cambria" w:eastAsia="Aptos" w:hAnsi="Cambria" w:cs="Times New Roman"/>
          <w:color w:val="000000"/>
          <w:kern w:val="2"/>
          <w:sz w:val="20"/>
          <w:szCs w:val="20"/>
          <w14:ligatures w14:val="standardContextual"/>
        </w:rPr>
        <w:t>İstanbul</w:t>
      </w:r>
      <w:proofErr w:type="spellEnd"/>
      <w:r w:rsidRPr="00F0379B">
        <w:rPr>
          <w:rFonts w:ascii="Cambria" w:eastAsia="Aptos" w:hAnsi="Cambria" w:cs="Times New Roman"/>
          <w:color w:val="000000"/>
          <w:kern w:val="2"/>
          <w:sz w:val="20"/>
          <w:szCs w:val="20"/>
          <w14:ligatures w14:val="standardContextual"/>
        </w:rPr>
        <w:t xml:space="preserve"> - Tuzla </w:t>
      </w:r>
    </w:p>
    <w:p w14:paraId="15434419" w14:textId="77777777" w:rsidR="009123AC" w:rsidRPr="00F0379B" w:rsidRDefault="009123AC" w:rsidP="00CE0EC8">
      <w:pPr>
        <w:widowControl w:val="0"/>
        <w:numPr>
          <w:ilvl w:val="0"/>
          <w:numId w:val="66"/>
        </w:numPr>
        <w:spacing w:after="0" w:line="240" w:lineRule="auto"/>
        <w:contextualSpacing/>
        <w:jc w:val="both"/>
        <w:rPr>
          <w:rFonts w:ascii="Cambria" w:eastAsia="MS Gothic" w:hAnsi="Cambria" w:cs="Times New Roman"/>
          <w:color w:val="000000"/>
          <w:sz w:val="20"/>
          <w:szCs w:val="20"/>
        </w:rPr>
      </w:pPr>
      <w:r w:rsidRPr="00F0379B">
        <w:rPr>
          <w:rFonts w:ascii="Cambria" w:eastAsia="Aptos" w:hAnsi="Cambria" w:cs="Times New Roman"/>
          <w:color w:val="000000"/>
          <w:kern w:val="2"/>
          <w:sz w:val="20"/>
          <w:szCs w:val="20"/>
          <w14:ligatures w14:val="standardContextual"/>
        </w:rPr>
        <w:t xml:space="preserve">İzmir - </w:t>
      </w:r>
      <w:proofErr w:type="spellStart"/>
      <w:r w:rsidRPr="00F0379B">
        <w:rPr>
          <w:rFonts w:ascii="Cambria" w:eastAsia="Aptos" w:hAnsi="Cambria" w:cs="Times New Roman"/>
          <w:color w:val="000000"/>
          <w:kern w:val="2"/>
          <w:sz w:val="20"/>
          <w:szCs w:val="20"/>
          <w14:ligatures w14:val="standardContextual"/>
        </w:rPr>
        <w:t>Karaburun</w:t>
      </w:r>
      <w:proofErr w:type="spellEnd"/>
    </w:p>
    <w:p w14:paraId="50983997" w14:textId="77777777" w:rsidR="009123AC" w:rsidRPr="00F0379B" w:rsidRDefault="009123AC" w:rsidP="009123AC">
      <w:pPr>
        <w:widowControl w:val="0"/>
        <w:spacing w:after="0" w:line="240" w:lineRule="auto"/>
        <w:ind w:left="426"/>
        <w:contextualSpacing/>
        <w:rPr>
          <w:rFonts w:ascii="Cambria" w:eastAsia="MS Gothic" w:hAnsi="Cambria" w:cs="Times New Roman"/>
          <w:b/>
          <w:sz w:val="20"/>
          <w:szCs w:val="24"/>
          <w:lang w:eastAsia="fr-FR" w:bidi="fr-FR"/>
        </w:rPr>
      </w:pPr>
    </w:p>
    <w:p w14:paraId="7AE62CC5" w14:textId="77777777" w:rsidR="009123AC" w:rsidRPr="00F0379B" w:rsidRDefault="009123AC" w:rsidP="009123AC">
      <w:pPr>
        <w:widowControl w:val="0"/>
        <w:spacing w:after="0" w:line="240" w:lineRule="auto"/>
        <w:ind w:left="426"/>
        <w:contextualSpacing/>
        <w:rPr>
          <w:rFonts w:ascii="Cambria" w:eastAsia="MS Gothic" w:hAnsi="Cambria" w:cs="Times New Roman"/>
          <w:b/>
          <w:sz w:val="20"/>
          <w:szCs w:val="24"/>
          <w:lang w:eastAsia="fr-FR" w:bidi="fr-FR"/>
        </w:rPr>
      </w:pPr>
    </w:p>
    <w:p w14:paraId="6B507661" w14:textId="77777777" w:rsidR="009123AC" w:rsidRPr="00F0379B" w:rsidRDefault="009123AC" w:rsidP="00CE0EC8">
      <w:pPr>
        <w:widowControl w:val="0"/>
        <w:numPr>
          <w:ilvl w:val="0"/>
          <w:numId w:val="67"/>
        </w:numPr>
        <w:spacing w:after="0" w:line="240" w:lineRule="auto"/>
        <w:ind w:left="426" w:hanging="426"/>
        <w:contextualSpacing/>
        <w:jc w:val="both"/>
        <w:rPr>
          <w:rFonts w:ascii="Cambria" w:eastAsia="MS Gothic" w:hAnsi="Cambria" w:cs="Times New Roman"/>
          <w:b/>
          <w:sz w:val="20"/>
          <w:szCs w:val="24"/>
          <w:lang w:eastAsia="fr-FR" w:bidi="fr-FR"/>
        </w:rPr>
      </w:pPr>
      <w:r w:rsidRPr="00F0379B">
        <w:rPr>
          <w:rFonts w:ascii="Cambria" w:eastAsia="MS Gothic" w:hAnsi="Cambria" w:cs="Times New Roman"/>
          <w:b/>
          <w:sz w:val="20"/>
          <w:szCs w:val="24"/>
          <w:lang w:eastAsia="fr-FR" w:bidi="fr-FR"/>
        </w:rPr>
        <w:t>Plan anual de ordenación de la capacidad pesquera (párrs. 14-21)</w:t>
      </w:r>
    </w:p>
    <w:p w14:paraId="08DA47F9" w14:textId="77777777" w:rsidR="009123AC" w:rsidRPr="00F0379B" w:rsidRDefault="009123AC" w:rsidP="009123AC">
      <w:pPr>
        <w:widowControl w:val="0"/>
        <w:spacing w:after="0" w:line="240" w:lineRule="auto"/>
        <w:rPr>
          <w:rFonts w:ascii="Cambria" w:eastAsia="MS Gothic" w:hAnsi="Cambria" w:cs="Times New Roman"/>
          <w:b/>
          <w:sz w:val="20"/>
          <w:szCs w:val="24"/>
          <w:lang w:eastAsia="fr-FR" w:bidi="fr-FR"/>
        </w:rPr>
      </w:pPr>
    </w:p>
    <w:p w14:paraId="3907E21D" w14:textId="77777777" w:rsidR="009123AC" w:rsidRPr="00F0379B" w:rsidRDefault="009123AC" w:rsidP="009123AC">
      <w:pPr>
        <w:widowControl w:val="0"/>
        <w:spacing w:after="0" w:line="240" w:lineRule="auto"/>
        <w:jc w:val="both"/>
        <w:rPr>
          <w:rFonts w:ascii="Cambria" w:eastAsia="MS Gothic" w:hAnsi="Cambria" w:cs="Times New Roman"/>
          <w:bCs/>
          <w:sz w:val="20"/>
          <w:szCs w:val="20"/>
          <w:lang w:eastAsia="ja-JP" w:bidi="fr-FR"/>
        </w:rPr>
      </w:pPr>
      <w:r w:rsidRPr="00F0379B">
        <w:rPr>
          <w:rFonts w:ascii="Cambria" w:eastAsia="MS Gothic" w:hAnsi="Cambria" w:cs="Times New Roman"/>
          <w:bCs/>
          <w:sz w:val="20"/>
          <w:szCs w:val="20"/>
          <w:lang w:eastAsia="ja-JP" w:bidi="fr-FR"/>
        </w:rPr>
        <w:t xml:space="preserve">En la última página del plan se indica el número de buques pesqueros y la capacidad pesquera correspondiente utilizando el modelo facilitado por la Secretaría. </w:t>
      </w:r>
    </w:p>
    <w:p w14:paraId="7E7A5763" w14:textId="77777777" w:rsidR="009123AC" w:rsidRPr="00F0379B" w:rsidRDefault="009123AC" w:rsidP="009123AC">
      <w:pPr>
        <w:widowControl w:val="0"/>
        <w:spacing w:after="0" w:line="240" w:lineRule="auto"/>
        <w:rPr>
          <w:rFonts w:ascii="Cambria" w:eastAsia="MS Gothic" w:hAnsi="Cambria" w:cs="Times New Roman"/>
          <w:b/>
          <w:sz w:val="14"/>
          <w:szCs w:val="14"/>
          <w:lang w:eastAsia="fr-FR" w:bidi="fr-FR"/>
        </w:rPr>
      </w:pPr>
    </w:p>
    <w:p w14:paraId="36775D89"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Está previsto que el MoAF conceda permisos de pesca a 48 cerqueros como buques de captura de atún rojo. Esta cifra es el límite de buques de captura de atún rojo que pueden ser autorizados en 2026. Está previsto que el MoAF autorice a 90 buques como otros buques (remolcadores, de apoyo y auxiliares) dirigidos al atún rojo del este. Se asignará una cantidad de cuota viable a los buques de captura de atún rojo del este que adquieran permisos de pesca válidos para la temporada de pesca de atún rojo del este de 2026. </w:t>
      </w:r>
    </w:p>
    <w:p w14:paraId="1C4C3241" w14:textId="77777777" w:rsidR="009123AC" w:rsidRPr="00F0379B" w:rsidRDefault="009123AC" w:rsidP="009123AC">
      <w:pPr>
        <w:spacing w:after="0" w:line="240" w:lineRule="auto"/>
        <w:rPr>
          <w:rFonts w:ascii="Cambria" w:eastAsia="MS Gothic" w:hAnsi="Cambria" w:cs="Times New Roman"/>
          <w:b/>
          <w:bCs/>
          <w:sz w:val="20"/>
          <w:szCs w:val="24"/>
          <w:lang w:eastAsia="fr-FR" w:bidi="fr-FR"/>
        </w:rPr>
      </w:pPr>
    </w:p>
    <w:p w14:paraId="3230A727" w14:textId="77777777" w:rsidR="009123AC" w:rsidRPr="00F0379B" w:rsidRDefault="009123AC" w:rsidP="009123AC">
      <w:pPr>
        <w:widowControl w:val="0"/>
        <w:spacing w:after="0" w:line="240" w:lineRule="auto"/>
        <w:jc w:val="both"/>
        <w:rPr>
          <w:rFonts w:ascii="Cambria" w:eastAsia="MS Gothic" w:hAnsi="Cambria" w:cs="Times New Roman"/>
          <w:b/>
          <w:bCs/>
          <w:sz w:val="20"/>
          <w:szCs w:val="24"/>
          <w:lang w:eastAsia="fr-FR" w:bidi="fr-FR"/>
        </w:rPr>
      </w:pPr>
    </w:p>
    <w:p w14:paraId="0F895E36" w14:textId="77777777" w:rsidR="009123AC" w:rsidRPr="00F0379B" w:rsidRDefault="009123AC" w:rsidP="00CE0EC8">
      <w:pPr>
        <w:widowControl w:val="0"/>
        <w:numPr>
          <w:ilvl w:val="0"/>
          <w:numId w:val="67"/>
        </w:numPr>
        <w:spacing w:after="0" w:line="240" w:lineRule="auto"/>
        <w:ind w:left="426" w:hanging="426"/>
        <w:contextualSpacing/>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Plan anual de ordenación de la cría (párrs. 22-23), si es aplicable</w:t>
      </w:r>
    </w:p>
    <w:p w14:paraId="23EFE555"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453DABB2"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4"/>
          <w:lang w:eastAsia="fr-FR" w:bidi="fr-FR"/>
        </w:rPr>
      </w:pPr>
      <w:r w:rsidRPr="00F0379B">
        <w:rPr>
          <w:rFonts w:ascii="Cambria" w:eastAsia="MS Gothic" w:hAnsi="Cambria" w:cs="Times New Roman"/>
          <w:color w:val="000000"/>
          <w:sz w:val="20"/>
          <w:szCs w:val="24"/>
          <w:lang w:eastAsia="fr-FR" w:bidi="fr-FR"/>
        </w:rPr>
        <w:t xml:space="preserve">En </w:t>
      </w:r>
      <w:r w:rsidRPr="00F0379B">
        <w:rPr>
          <w:rFonts w:ascii="Cambria" w:eastAsia="MS Gothic" w:hAnsi="Cambria" w:cs="Times New Roman"/>
          <w:sz w:val="20"/>
          <w:szCs w:val="24"/>
          <w:lang w:eastAsia="fr-FR" w:bidi="fr-FR"/>
        </w:rPr>
        <w:t>2026</w:t>
      </w:r>
      <w:r w:rsidRPr="00F0379B">
        <w:rPr>
          <w:rFonts w:ascii="Cambria" w:eastAsia="MS Gothic" w:hAnsi="Cambria" w:cs="Times New Roman"/>
          <w:color w:val="000000"/>
          <w:sz w:val="20"/>
          <w:szCs w:val="24"/>
          <w:lang w:eastAsia="fr-FR" w:bidi="fr-FR"/>
        </w:rPr>
        <w:t>, todas las actividades de cría estarán sujetas a inspecciones, controles y seguimiento regulares por parte del MoAF. Esto se realizará trimestralmente en general o en la operación de introducción en jaulas, la operación de transferencia, la operación de sacrificio, según lo que se aplique en el contexto de la Rec. </w:t>
      </w:r>
      <w:r w:rsidRPr="00F0379B">
        <w:rPr>
          <w:rFonts w:ascii="Cambria" w:eastAsia="MS Gothic" w:hAnsi="Cambria" w:cs="Times New Roman"/>
          <w:sz w:val="20"/>
          <w:szCs w:val="24"/>
          <w:lang w:eastAsia="fr-FR" w:bidi="fr-FR"/>
        </w:rPr>
        <w:t>25-04</w:t>
      </w:r>
      <w:r w:rsidRPr="00F0379B">
        <w:rPr>
          <w:rFonts w:ascii="Cambria" w:eastAsia="MS Gothic" w:hAnsi="Cambria" w:cs="Times New Roman"/>
          <w:color w:val="000000"/>
          <w:sz w:val="20"/>
          <w:szCs w:val="24"/>
          <w:lang w:eastAsia="fr-FR" w:bidi="fr-FR"/>
        </w:rPr>
        <w:t>. Las inspecciones que realizará el ministerio durante el año están planificadas por granja y teniendo en cuenta la priorización basada en el riesgo. Los resultados de los sistemas de cámaras estereoscópicas y convencionales los utilizará el MoAF para estimar el consumo de la cuota.</w:t>
      </w:r>
    </w:p>
    <w:p w14:paraId="69F09FE2"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4F32813C"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 xml:space="preserve">Se realizarán controles aleatorios en base a un análisis de riesgo de conformidad con los párrafos 211-218 de la Rec. </w:t>
      </w:r>
      <w:r w:rsidRPr="00F0379B">
        <w:rPr>
          <w:rFonts w:ascii="Cambria" w:eastAsia="MS Gothic" w:hAnsi="Cambria" w:cs="Times New Roman"/>
          <w:sz w:val="20"/>
          <w:szCs w:val="24"/>
          <w:lang w:eastAsia="fr-FR" w:bidi="fr-FR"/>
        </w:rPr>
        <w:t>25-04</w:t>
      </w:r>
      <w:r w:rsidRPr="00F0379B">
        <w:rPr>
          <w:rFonts w:ascii="Cambria" w:eastAsia="MS Gothic" w:hAnsi="Cambria" w:cs="Times New Roman"/>
          <w:color w:val="000000"/>
          <w:sz w:val="20"/>
          <w:szCs w:val="24"/>
          <w:lang w:eastAsia="fr-FR" w:bidi="fr-FR"/>
        </w:rPr>
        <w:t xml:space="preserve">. En </w:t>
      </w:r>
      <w:r w:rsidRPr="00F0379B">
        <w:rPr>
          <w:rFonts w:ascii="Cambria" w:eastAsia="MS Gothic" w:hAnsi="Cambria" w:cs="Times New Roman"/>
          <w:sz w:val="20"/>
          <w:szCs w:val="24"/>
          <w:lang w:eastAsia="fr-FR" w:bidi="fr-FR"/>
        </w:rPr>
        <w:t xml:space="preserve">2026 </w:t>
      </w:r>
      <w:r w:rsidRPr="00F0379B">
        <w:rPr>
          <w:rFonts w:ascii="Cambria" w:eastAsia="MS Gothic" w:hAnsi="Cambria" w:cs="Times New Roman"/>
          <w:color w:val="000000"/>
          <w:sz w:val="20"/>
          <w:szCs w:val="24"/>
          <w:lang w:eastAsia="fr-FR" w:bidi="fr-FR"/>
        </w:rPr>
        <w:t>se cubrirá un 10 % del número de jaulas en cada granja y se hará una verificación cruzada de la información/datos documentados (contenido declarado de la jaula, planes esquemáticos de la granja en el inventario del MoAF, ITD, ICD, BCD relacionados, etc.).</w:t>
      </w:r>
    </w:p>
    <w:p w14:paraId="5F94B65C"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6724BFE9"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 xml:space="preserve">El MoAF establecerá protocolos para el precintado de las jaulas de transporte y las jaulas de la granja y requerirá que las jaulas de la granja estén precintadas en todo momento en </w:t>
      </w:r>
      <w:r w:rsidRPr="00F0379B">
        <w:rPr>
          <w:rFonts w:ascii="Cambria" w:eastAsia="MS Gothic" w:hAnsi="Cambria" w:cs="Times New Roman"/>
          <w:sz w:val="20"/>
          <w:szCs w:val="24"/>
          <w:lang w:eastAsia="fr-FR" w:bidi="fr-FR"/>
        </w:rPr>
        <w:t>2026</w:t>
      </w:r>
      <w:r w:rsidRPr="00F0379B">
        <w:rPr>
          <w:rFonts w:ascii="Cambria" w:eastAsia="MS Gothic" w:hAnsi="Cambria" w:cs="Times New Roman"/>
          <w:color w:val="000000"/>
          <w:sz w:val="20"/>
          <w:szCs w:val="24"/>
          <w:lang w:eastAsia="fr-FR" w:bidi="fr-FR"/>
        </w:rPr>
        <w:t xml:space="preserve">. </w:t>
      </w:r>
    </w:p>
    <w:p w14:paraId="07E33B58"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33684F73"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En referencia a los párrafos 10, 22-24 de la Rec. 25-04, se facilita a continuación el plan anual de ordenación de la cría para 2026.</w:t>
      </w:r>
    </w:p>
    <w:p w14:paraId="43BCB642"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39A8E6C1"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tbl>
      <w:tblPr>
        <w:tblStyle w:val="TabloKlavuzu1"/>
        <w:tblW w:w="0" w:type="auto"/>
        <w:tblLook w:val="04A0" w:firstRow="1" w:lastRow="0" w:firstColumn="1" w:lastColumn="0" w:noHBand="0" w:noVBand="1"/>
      </w:tblPr>
      <w:tblGrid>
        <w:gridCol w:w="1186"/>
        <w:gridCol w:w="1761"/>
        <w:gridCol w:w="1068"/>
        <w:gridCol w:w="1195"/>
        <w:gridCol w:w="1299"/>
        <w:gridCol w:w="2551"/>
      </w:tblGrid>
      <w:tr w:rsidR="009123AC" w:rsidRPr="00F0379B" w14:paraId="3CFD8C49" w14:textId="77777777" w:rsidTr="00CA749B">
        <w:tc>
          <w:tcPr>
            <w:tcW w:w="1186" w:type="dxa"/>
          </w:tcPr>
          <w:p w14:paraId="1FA95FB8" w14:textId="77777777" w:rsidR="009123AC" w:rsidRPr="00F0379B" w:rsidRDefault="009123AC" w:rsidP="009123AC">
            <w:pPr>
              <w:spacing w:line="240" w:lineRule="auto"/>
              <w:jc w:val="center"/>
              <w:rPr>
                <w:rFonts w:ascii="Cambria" w:hAnsi="Cambria"/>
                <w:b/>
                <w:i/>
                <w:sz w:val="18"/>
              </w:rPr>
            </w:pPr>
          </w:p>
        </w:tc>
        <w:tc>
          <w:tcPr>
            <w:tcW w:w="7874" w:type="dxa"/>
            <w:gridSpan w:val="5"/>
          </w:tcPr>
          <w:p w14:paraId="3FC9D502" w14:textId="77777777" w:rsidR="009123AC" w:rsidRPr="00F0379B" w:rsidRDefault="009123AC" w:rsidP="009123AC">
            <w:pPr>
              <w:spacing w:line="240" w:lineRule="auto"/>
              <w:jc w:val="center"/>
              <w:rPr>
                <w:rFonts w:ascii="Cambria" w:hAnsi="Cambria"/>
                <w:b/>
                <w:i/>
                <w:sz w:val="18"/>
              </w:rPr>
            </w:pPr>
            <w:r w:rsidRPr="00F0379B">
              <w:rPr>
                <w:rFonts w:ascii="Cambria" w:hAnsi="Cambria"/>
                <w:b/>
                <w:i/>
                <w:sz w:val="18"/>
              </w:rPr>
              <w:t xml:space="preserve">Capacidad de cría para </w:t>
            </w:r>
            <w:r w:rsidRPr="00F0379B">
              <w:rPr>
                <w:rFonts w:ascii="Cambria" w:hAnsi="Cambria"/>
                <w:b/>
                <w:bCs/>
                <w:i/>
                <w:iCs/>
                <w:sz w:val="20"/>
              </w:rPr>
              <w:t>2026*</w:t>
            </w:r>
          </w:p>
        </w:tc>
      </w:tr>
      <w:tr w:rsidR="009123AC" w:rsidRPr="00F0379B" w14:paraId="69BD8C48" w14:textId="77777777" w:rsidTr="00CA749B">
        <w:tc>
          <w:tcPr>
            <w:tcW w:w="1186" w:type="dxa"/>
            <w:vAlign w:val="center"/>
          </w:tcPr>
          <w:p w14:paraId="65FBAF33" w14:textId="77777777" w:rsidR="009123AC" w:rsidRPr="00F0379B" w:rsidRDefault="009123AC" w:rsidP="009123AC">
            <w:pPr>
              <w:spacing w:line="240" w:lineRule="auto"/>
              <w:jc w:val="center"/>
              <w:rPr>
                <w:rFonts w:ascii="Cambria" w:hAnsi="Cambria"/>
                <w:bCs/>
                <w:i/>
                <w:sz w:val="18"/>
              </w:rPr>
            </w:pPr>
            <w:r w:rsidRPr="00F0379B">
              <w:rPr>
                <w:rFonts w:ascii="Cambria" w:hAnsi="Cambria"/>
                <w:bCs/>
                <w:i/>
                <w:sz w:val="18"/>
              </w:rPr>
              <w:t>País</w:t>
            </w:r>
          </w:p>
        </w:tc>
        <w:tc>
          <w:tcPr>
            <w:tcW w:w="1761" w:type="dxa"/>
            <w:vAlign w:val="center"/>
          </w:tcPr>
          <w:p w14:paraId="037D19D6" w14:textId="77777777" w:rsidR="009123AC" w:rsidRPr="00F0379B" w:rsidRDefault="009123AC" w:rsidP="009123AC">
            <w:pPr>
              <w:spacing w:line="240" w:lineRule="auto"/>
              <w:jc w:val="center"/>
              <w:rPr>
                <w:rFonts w:ascii="Cambria" w:hAnsi="Cambria"/>
                <w:bCs/>
                <w:i/>
                <w:sz w:val="18"/>
              </w:rPr>
            </w:pPr>
            <w:r w:rsidRPr="00F0379B">
              <w:rPr>
                <w:rFonts w:ascii="Cambria" w:hAnsi="Cambria"/>
                <w:bCs/>
                <w:i/>
                <w:sz w:val="18"/>
              </w:rPr>
              <w:t>FFB*</w:t>
            </w:r>
          </w:p>
        </w:tc>
        <w:tc>
          <w:tcPr>
            <w:tcW w:w="1068" w:type="dxa"/>
            <w:vAlign w:val="center"/>
          </w:tcPr>
          <w:p w14:paraId="7154E634" w14:textId="77777777" w:rsidR="009123AC" w:rsidRPr="00F0379B" w:rsidRDefault="009123AC" w:rsidP="009123AC">
            <w:pPr>
              <w:spacing w:line="240" w:lineRule="auto"/>
              <w:jc w:val="center"/>
              <w:rPr>
                <w:rFonts w:ascii="Cambria" w:hAnsi="Cambria"/>
                <w:bCs/>
                <w:i/>
                <w:sz w:val="18"/>
              </w:rPr>
            </w:pPr>
            <w:r w:rsidRPr="00F0379B">
              <w:rPr>
                <w:rFonts w:ascii="Cambria" w:hAnsi="Cambria"/>
                <w:bCs/>
                <w:i/>
                <w:sz w:val="18"/>
              </w:rPr>
              <w:t>Activa/</w:t>
            </w:r>
          </w:p>
          <w:p w14:paraId="61105352" w14:textId="77777777" w:rsidR="009123AC" w:rsidRPr="00F0379B" w:rsidRDefault="009123AC" w:rsidP="009123AC">
            <w:pPr>
              <w:spacing w:line="240" w:lineRule="auto"/>
              <w:jc w:val="center"/>
              <w:rPr>
                <w:rFonts w:ascii="Cambria" w:hAnsi="Cambria"/>
                <w:bCs/>
                <w:i/>
                <w:sz w:val="18"/>
              </w:rPr>
            </w:pPr>
            <w:r w:rsidRPr="00F0379B">
              <w:rPr>
                <w:rFonts w:ascii="Cambria" w:hAnsi="Cambria"/>
                <w:bCs/>
                <w:i/>
                <w:sz w:val="18"/>
              </w:rPr>
              <w:t>Inactiva</w:t>
            </w:r>
          </w:p>
        </w:tc>
        <w:tc>
          <w:tcPr>
            <w:tcW w:w="1195" w:type="dxa"/>
            <w:vAlign w:val="center"/>
          </w:tcPr>
          <w:p w14:paraId="4A596980" w14:textId="77777777" w:rsidR="009123AC" w:rsidRPr="00F0379B" w:rsidRDefault="009123AC" w:rsidP="009123AC">
            <w:pPr>
              <w:spacing w:line="240" w:lineRule="auto"/>
              <w:jc w:val="center"/>
              <w:rPr>
                <w:rFonts w:ascii="Cambria" w:hAnsi="Cambria"/>
                <w:bCs/>
                <w:i/>
                <w:sz w:val="18"/>
              </w:rPr>
            </w:pPr>
            <w:r w:rsidRPr="00F0379B">
              <w:rPr>
                <w:rFonts w:ascii="Cambria" w:hAnsi="Cambria"/>
                <w:bCs/>
                <w:i/>
                <w:sz w:val="18"/>
              </w:rPr>
              <w:t>Capacidad de entrada (t)**</w:t>
            </w:r>
          </w:p>
        </w:tc>
        <w:tc>
          <w:tcPr>
            <w:tcW w:w="1299" w:type="dxa"/>
            <w:vAlign w:val="center"/>
          </w:tcPr>
          <w:p w14:paraId="63311EE0" w14:textId="20F5B1B5" w:rsidR="009123AC" w:rsidRPr="00F0379B" w:rsidRDefault="009123AC" w:rsidP="009123AC">
            <w:pPr>
              <w:spacing w:line="240" w:lineRule="auto"/>
              <w:jc w:val="center"/>
              <w:rPr>
                <w:rFonts w:ascii="Cambria" w:hAnsi="Cambria"/>
                <w:bCs/>
                <w:i/>
                <w:sz w:val="18"/>
              </w:rPr>
            </w:pPr>
          </w:p>
        </w:tc>
        <w:tc>
          <w:tcPr>
            <w:tcW w:w="2551" w:type="dxa"/>
            <w:vAlign w:val="center"/>
          </w:tcPr>
          <w:p w14:paraId="6E7A6D3C" w14:textId="77777777" w:rsidR="009123AC" w:rsidRPr="00F0379B" w:rsidRDefault="009123AC" w:rsidP="009123AC">
            <w:pPr>
              <w:spacing w:line="240" w:lineRule="auto"/>
              <w:jc w:val="center"/>
              <w:rPr>
                <w:rFonts w:ascii="Cambria" w:hAnsi="Cambria"/>
                <w:bCs/>
                <w:i/>
                <w:sz w:val="18"/>
              </w:rPr>
            </w:pPr>
            <w:r w:rsidRPr="00F0379B">
              <w:rPr>
                <w:rFonts w:ascii="Cambria" w:hAnsi="Cambria"/>
                <w:bCs/>
                <w:i/>
                <w:sz w:val="18"/>
              </w:rPr>
              <w:t>Coordenadas de la FFB</w:t>
            </w:r>
          </w:p>
        </w:tc>
      </w:tr>
      <w:tr w:rsidR="009123AC" w:rsidRPr="00F0379B" w14:paraId="740C81F5" w14:textId="77777777" w:rsidTr="00CA749B">
        <w:tc>
          <w:tcPr>
            <w:tcW w:w="1186" w:type="dxa"/>
            <w:vAlign w:val="center"/>
          </w:tcPr>
          <w:p w14:paraId="27BB9F2B"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Türkiye</w:t>
            </w:r>
          </w:p>
        </w:tc>
        <w:tc>
          <w:tcPr>
            <w:tcW w:w="1761" w:type="dxa"/>
            <w:vAlign w:val="center"/>
          </w:tcPr>
          <w:p w14:paraId="63D5F582" w14:textId="77777777" w:rsidR="009123AC" w:rsidRPr="00F0379B" w:rsidRDefault="009123AC" w:rsidP="009123AC">
            <w:pPr>
              <w:spacing w:line="240" w:lineRule="auto"/>
              <w:jc w:val="center"/>
              <w:rPr>
                <w:rFonts w:ascii="Cambria" w:hAnsi="Cambria"/>
                <w:sz w:val="18"/>
                <w:lang w:val="en-US"/>
              </w:rPr>
            </w:pPr>
            <w:r w:rsidRPr="00F0379B">
              <w:rPr>
                <w:rFonts w:ascii="Cambria" w:hAnsi="Cambria"/>
                <w:sz w:val="18"/>
              </w:rPr>
              <w:t xml:space="preserve">Sagun Tuna </w:t>
            </w:r>
            <w:proofErr w:type="spellStart"/>
            <w:r w:rsidRPr="00F0379B">
              <w:rPr>
                <w:rFonts w:ascii="Cambria" w:hAnsi="Cambria"/>
                <w:sz w:val="18"/>
              </w:rPr>
              <w:t>Farming</w:t>
            </w:r>
            <w:proofErr w:type="spellEnd"/>
          </w:p>
        </w:tc>
        <w:tc>
          <w:tcPr>
            <w:tcW w:w="1068" w:type="dxa"/>
            <w:vAlign w:val="center"/>
          </w:tcPr>
          <w:p w14:paraId="2238619B"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Activa</w:t>
            </w:r>
          </w:p>
        </w:tc>
        <w:tc>
          <w:tcPr>
            <w:tcW w:w="1195" w:type="dxa"/>
            <w:vAlign w:val="center"/>
          </w:tcPr>
          <w:p w14:paraId="680547EE"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800</w:t>
            </w:r>
          </w:p>
        </w:tc>
        <w:tc>
          <w:tcPr>
            <w:tcW w:w="1299" w:type="dxa"/>
            <w:vAlign w:val="center"/>
          </w:tcPr>
          <w:p w14:paraId="2DA56063" w14:textId="0CAF24BB" w:rsidR="009123AC" w:rsidRPr="00F0379B" w:rsidRDefault="009123AC" w:rsidP="009123AC">
            <w:pPr>
              <w:spacing w:line="240" w:lineRule="auto"/>
              <w:jc w:val="center"/>
              <w:rPr>
                <w:rFonts w:ascii="Cambria" w:hAnsi="Cambria"/>
                <w:iCs/>
                <w:sz w:val="18"/>
              </w:rPr>
            </w:pPr>
          </w:p>
        </w:tc>
        <w:tc>
          <w:tcPr>
            <w:tcW w:w="2551" w:type="dxa"/>
          </w:tcPr>
          <w:p w14:paraId="3C6F7129" w14:textId="77777777" w:rsidR="009123AC" w:rsidRPr="00F0379B" w:rsidRDefault="009123AC" w:rsidP="009123AC">
            <w:pPr>
              <w:spacing w:line="240" w:lineRule="auto"/>
              <w:rPr>
                <w:rFonts w:ascii="Cambria" w:hAnsi="Cambria"/>
                <w:sz w:val="18"/>
              </w:rPr>
            </w:pPr>
            <w:r w:rsidRPr="00F0379B">
              <w:rPr>
                <w:rFonts w:ascii="Cambria" w:hAnsi="Cambria"/>
                <w:sz w:val="18"/>
              </w:rPr>
              <w:t>38 29 16,73 N, 26 23 23,12 E</w:t>
            </w:r>
          </w:p>
          <w:p w14:paraId="1A54F868" w14:textId="77777777" w:rsidR="009123AC" w:rsidRPr="00F0379B" w:rsidRDefault="009123AC" w:rsidP="009123AC">
            <w:pPr>
              <w:spacing w:line="240" w:lineRule="auto"/>
              <w:rPr>
                <w:rFonts w:ascii="Cambria" w:hAnsi="Cambria"/>
                <w:sz w:val="18"/>
              </w:rPr>
            </w:pPr>
            <w:r w:rsidRPr="00F0379B">
              <w:rPr>
                <w:rFonts w:ascii="Cambria" w:hAnsi="Cambria"/>
                <w:sz w:val="18"/>
              </w:rPr>
              <w:t>38 29 22,41 N, 26 23 23,08 E</w:t>
            </w:r>
          </w:p>
          <w:p w14:paraId="48CA5E56" w14:textId="77777777" w:rsidR="009123AC" w:rsidRPr="00F0379B" w:rsidRDefault="009123AC" w:rsidP="009123AC">
            <w:pPr>
              <w:spacing w:line="240" w:lineRule="auto"/>
              <w:rPr>
                <w:rFonts w:ascii="Cambria" w:hAnsi="Cambria"/>
                <w:sz w:val="18"/>
              </w:rPr>
            </w:pPr>
            <w:r w:rsidRPr="00F0379B">
              <w:rPr>
                <w:rFonts w:ascii="Cambria" w:hAnsi="Cambria"/>
                <w:sz w:val="18"/>
              </w:rPr>
              <w:t>38 29 22,37 N, 26 23 15,85 E</w:t>
            </w:r>
          </w:p>
          <w:p w14:paraId="1691D7B2" w14:textId="77777777" w:rsidR="009123AC" w:rsidRPr="00F0379B" w:rsidRDefault="009123AC" w:rsidP="009123AC">
            <w:pPr>
              <w:spacing w:line="240" w:lineRule="auto"/>
              <w:rPr>
                <w:rFonts w:ascii="Cambria" w:hAnsi="Cambria"/>
                <w:sz w:val="18"/>
              </w:rPr>
            </w:pPr>
            <w:r w:rsidRPr="00F0379B">
              <w:rPr>
                <w:rFonts w:ascii="Cambria" w:hAnsi="Cambria"/>
                <w:sz w:val="18"/>
              </w:rPr>
              <w:t>38 29 16,69 N, 26 23 15,90 E</w:t>
            </w:r>
          </w:p>
        </w:tc>
      </w:tr>
      <w:tr w:rsidR="009123AC" w:rsidRPr="00F0379B" w14:paraId="055B5D03" w14:textId="77777777" w:rsidTr="00CA749B">
        <w:tc>
          <w:tcPr>
            <w:tcW w:w="1186" w:type="dxa"/>
            <w:vAlign w:val="center"/>
          </w:tcPr>
          <w:p w14:paraId="1EE279FC"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Türkiye</w:t>
            </w:r>
          </w:p>
        </w:tc>
        <w:tc>
          <w:tcPr>
            <w:tcW w:w="1761" w:type="dxa"/>
            <w:vAlign w:val="center"/>
          </w:tcPr>
          <w:p w14:paraId="716E7443" w14:textId="77777777" w:rsidR="009123AC" w:rsidRPr="00F0379B" w:rsidRDefault="009123AC" w:rsidP="009123AC">
            <w:pPr>
              <w:spacing w:line="240" w:lineRule="auto"/>
              <w:jc w:val="center"/>
              <w:rPr>
                <w:rFonts w:ascii="Cambria" w:hAnsi="Cambria"/>
                <w:sz w:val="18"/>
                <w:lang w:val="en-US"/>
              </w:rPr>
            </w:pPr>
            <w:r w:rsidRPr="00F0379B">
              <w:rPr>
                <w:rFonts w:ascii="Cambria" w:hAnsi="Cambria"/>
                <w:sz w:val="18"/>
                <w:lang w:val="en-US"/>
              </w:rPr>
              <w:t>Akua Group</w:t>
            </w:r>
          </w:p>
          <w:p w14:paraId="356F25A0" w14:textId="77777777" w:rsidR="009123AC" w:rsidRPr="00F0379B" w:rsidRDefault="009123AC" w:rsidP="009123AC">
            <w:pPr>
              <w:spacing w:line="240" w:lineRule="auto"/>
              <w:jc w:val="center"/>
              <w:rPr>
                <w:rFonts w:ascii="Cambria" w:hAnsi="Cambria"/>
                <w:sz w:val="18"/>
                <w:lang w:val="en-US"/>
              </w:rPr>
            </w:pPr>
            <w:proofErr w:type="spellStart"/>
            <w:r w:rsidRPr="00F0379B">
              <w:rPr>
                <w:rFonts w:ascii="Cambria" w:hAnsi="Cambria"/>
                <w:sz w:val="18"/>
                <w:lang w:val="en-US"/>
              </w:rPr>
              <w:t>Orkinos</w:t>
            </w:r>
            <w:proofErr w:type="spellEnd"/>
          </w:p>
          <w:p w14:paraId="04034B90" w14:textId="77777777" w:rsidR="009123AC" w:rsidRPr="00F0379B" w:rsidRDefault="009123AC" w:rsidP="009123AC">
            <w:pPr>
              <w:spacing w:line="240" w:lineRule="auto"/>
              <w:jc w:val="center"/>
              <w:rPr>
                <w:rFonts w:ascii="Cambria" w:hAnsi="Cambria"/>
                <w:sz w:val="18"/>
                <w:lang w:val="en-US"/>
              </w:rPr>
            </w:pPr>
            <w:proofErr w:type="spellStart"/>
            <w:r w:rsidRPr="00F0379B">
              <w:rPr>
                <w:rFonts w:ascii="Cambria" w:hAnsi="Cambria"/>
                <w:sz w:val="18"/>
                <w:lang w:val="en-US"/>
              </w:rPr>
              <w:t>Besiciligi</w:t>
            </w:r>
            <w:proofErr w:type="spellEnd"/>
          </w:p>
          <w:p w14:paraId="0D767E06" w14:textId="77777777" w:rsidR="009123AC" w:rsidRPr="00F0379B" w:rsidRDefault="009123AC" w:rsidP="009123AC">
            <w:pPr>
              <w:spacing w:line="240" w:lineRule="auto"/>
              <w:jc w:val="center"/>
              <w:rPr>
                <w:rFonts w:ascii="Cambria" w:hAnsi="Cambria"/>
                <w:sz w:val="18"/>
                <w:lang w:val="en-US"/>
              </w:rPr>
            </w:pPr>
            <w:proofErr w:type="spellStart"/>
            <w:r w:rsidRPr="00F0379B">
              <w:rPr>
                <w:rFonts w:ascii="Cambria" w:hAnsi="Cambria"/>
                <w:sz w:val="18"/>
                <w:lang w:val="en-US"/>
              </w:rPr>
              <w:t>Projesi</w:t>
            </w:r>
            <w:proofErr w:type="spellEnd"/>
          </w:p>
        </w:tc>
        <w:tc>
          <w:tcPr>
            <w:tcW w:w="1068" w:type="dxa"/>
            <w:vAlign w:val="center"/>
          </w:tcPr>
          <w:p w14:paraId="15CD7430"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Activa</w:t>
            </w:r>
          </w:p>
        </w:tc>
        <w:tc>
          <w:tcPr>
            <w:tcW w:w="1195" w:type="dxa"/>
            <w:vAlign w:val="center"/>
          </w:tcPr>
          <w:p w14:paraId="05EF1E46"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800</w:t>
            </w:r>
          </w:p>
        </w:tc>
        <w:tc>
          <w:tcPr>
            <w:tcW w:w="1299" w:type="dxa"/>
            <w:vAlign w:val="center"/>
          </w:tcPr>
          <w:p w14:paraId="416905D2" w14:textId="3620C159" w:rsidR="009123AC" w:rsidRPr="00F0379B" w:rsidRDefault="009123AC" w:rsidP="009123AC">
            <w:pPr>
              <w:spacing w:line="240" w:lineRule="auto"/>
              <w:jc w:val="center"/>
              <w:rPr>
                <w:rFonts w:ascii="Cambria" w:hAnsi="Cambria"/>
                <w:sz w:val="18"/>
              </w:rPr>
            </w:pPr>
          </w:p>
        </w:tc>
        <w:tc>
          <w:tcPr>
            <w:tcW w:w="2551" w:type="dxa"/>
          </w:tcPr>
          <w:p w14:paraId="75113170" w14:textId="77777777" w:rsidR="009123AC" w:rsidRPr="00F0379B" w:rsidRDefault="009123AC" w:rsidP="009123AC">
            <w:pPr>
              <w:autoSpaceDE w:val="0"/>
              <w:autoSpaceDN w:val="0"/>
              <w:adjustRightInd w:val="0"/>
              <w:spacing w:line="240" w:lineRule="auto"/>
              <w:rPr>
                <w:rFonts w:ascii="Cambria" w:hAnsi="Cambria"/>
                <w:sz w:val="18"/>
              </w:rPr>
            </w:pPr>
            <w:r w:rsidRPr="00F0379B">
              <w:rPr>
                <w:rFonts w:ascii="Cambria" w:hAnsi="Cambria"/>
                <w:sz w:val="18"/>
              </w:rPr>
              <w:t>38 27 24,00 N, 26 27 18,00 E</w:t>
            </w:r>
          </w:p>
          <w:p w14:paraId="2FA281F6" w14:textId="77777777" w:rsidR="009123AC" w:rsidRPr="00F0379B" w:rsidRDefault="009123AC" w:rsidP="009123AC">
            <w:pPr>
              <w:autoSpaceDE w:val="0"/>
              <w:autoSpaceDN w:val="0"/>
              <w:adjustRightInd w:val="0"/>
              <w:spacing w:line="240" w:lineRule="auto"/>
              <w:rPr>
                <w:rFonts w:ascii="Cambria" w:hAnsi="Cambria"/>
                <w:sz w:val="18"/>
              </w:rPr>
            </w:pPr>
            <w:r w:rsidRPr="00F0379B">
              <w:rPr>
                <w:rFonts w:ascii="Cambria" w:hAnsi="Cambria"/>
                <w:sz w:val="18"/>
              </w:rPr>
              <w:t>38 27 12,00 N, 26 27 18,00 E</w:t>
            </w:r>
          </w:p>
          <w:p w14:paraId="08607FFB" w14:textId="77777777" w:rsidR="009123AC" w:rsidRPr="00F0379B" w:rsidRDefault="009123AC" w:rsidP="009123AC">
            <w:pPr>
              <w:autoSpaceDE w:val="0"/>
              <w:autoSpaceDN w:val="0"/>
              <w:adjustRightInd w:val="0"/>
              <w:spacing w:line="240" w:lineRule="auto"/>
              <w:rPr>
                <w:rFonts w:ascii="Cambria" w:hAnsi="Cambria"/>
                <w:sz w:val="18"/>
              </w:rPr>
            </w:pPr>
            <w:r w:rsidRPr="00F0379B">
              <w:rPr>
                <w:rFonts w:ascii="Cambria" w:hAnsi="Cambria"/>
                <w:sz w:val="18"/>
              </w:rPr>
              <w:t>38 27 12,00 N, 26 27 09,00 E</w:t>
            </w:r>
          </w:p>
          <w:p w14:paraId="791A69D7" w14:textId="77777777" w:rsidR="009123AC" w:rsidRPr="00F0379B" w:rsidRDefault="009123AC" w:rsidP="009123AC">
            <w:pPr>
              <w:spacing w:line="240" w:lineRule="auto"/>
              <w:rPr>
                <w:rFonts w:ascii="Cambria" w:hAnsi="Cambria"/>
                <w:sz w:val="18"/>
              </w:rPr>
            </w:pPr>
            <w:r w:rsidRPr="00F0379B">
              <w:rPr>
                <w:rFonts w:ascii="Cambria" w:hAnsi="Cambria"/>
                <w:sz w:val="18"/>
              </w:rPr>
              <w:t>38 27 24,00 N, 26 27 09,00 E</w:t>
            </w:r>
          </w:p>
        </w:tc>
      </w:tr>
      <w:tr w:rsidR="009123AC" w:rsidRPr="00F0379B" w14:paraId="1CDC928E" w14:textId="77777777" w:rsidTr="00CA749B">
        <w:tc>
          <w:tcPr>
            <w:tcW w:w="1186" w:type="dxa"/>
            <w:vAlign w:val="center"/>
          </w:tcPr>
          <w:p w14:paraId="1D0BF1F7"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Türkiye</w:t>
            </w:r>
          </w:p>
        </w:tc>
        <w:tc>
          <w:tcPr>
            <w:tcW w:w="1761" w:type="dxa"/>
            <w:vAlign w:val="center"/>
          </w:tcPr>
          <w:p w14:paraId="6E4E5B35"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BASARANLAR ORKINOS BESICILIGI PROJESI</w:t>
            </w:r>
          </w:p>
        </w:tc>
        <w:tc>
          <w:tcPr>
            <w:tcW w:w="1068" w:type="dxa"/>
            <w:vAlign w:val="center"/>
          </w:tcPr>
          <w:p w14:paraId="4F0DEF39"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Activa</w:t>
            </w:r>
          </w:p>
        </w:tc>
        <w:tc>
          <w:tcPr>
            <w:tcW w:w="1195" w:type="dxa"/>
            <w:vAlign w:val="center"/>
          </w:tcPr>
          <w:p w14:paraId="649F37FE"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900</w:t>
            </w:r>
          </w:p>
        </w:tc>
        <w:tc>
          <w:tcPr>
            <w:tcW w:w="1299" w:type="dxa"/>
            <w:vAlign w:val="center"/>
          </w:tcPr>
          <w:p w14:paraId="4B3406C1" w14:textId="21A63BA4" w:rsidR="009123AC" w:rsidRPr="00F0379B" w:rsidRDefault="009123AC" w:rsidP="009123AC">
            <w:pPr>
              <w:spacing w:line="240" w:lineRule="auto"/>
              <w:jc w:val="center"/>
              <w:rPr>
                <w:rFonts w:ascii="Cambria" w:hAnsi="Cambria"/>
                <w:sz w:val="18"/>
              </w:rPr>
            </w:pPr>
          </w:p>
        </w:tc>
        <w:tc>
          <w:tcPr>
            <w:tcW w:w="2551" w:type="dxa"/>
          </w:tcPr>
          <w:p w14:paraId="25F40124" w14:textId="77777777" w:rsidR="009123AC" w:rsidRPr="00F0379B" w:rsidRDefault="009123AC" w:rsidP="009123AC">
            <w:pPr>
              <w:spacing w:line="240" w:lineRule="auto"/>
              <w:rPr>
                <w:rFonts w:ascii="Cambria" w:hAnsi="Cambria"/>
                <w:sz w:val="18"/>
              </w:rPr>
            </w:pPr>
            <w:r w:rsidRPr="00F0379B">
              <w:rPr>
                <w:rFonts w:ascii="Cambria" w:hAnsi="Cambria"/>
                <w:sz w:val="18"/>
              </w:rPr>
              <w:t>38 07 49, 03N, 26 39 28,19 E 38 07 48, 05N, 26 39 33,81 E 38 07 40, 26 N 26 39 25,20 E 38 07 39, 28 N 26 39 30,83 E</w:t>
            </w:r>
          </w:p>
        </w:tc>
      </w:tr>
      <w:tr w:rsidR="009123AC" w:rsidRPr="00F0379B" w14:paraId="02A9999E" w14:textId="77777777" w:rsidTr="00CA749B">
        <w:tc>
          <w:tcPr>
            <w:tcW w:w="1186" w:type="dxa"/>
            <w:vAlign w:val="center"/>
          </w:tcPr>
          <w:p w14:paraId="54EF0835"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Türkiye</w:t>
            </w:r>
          </w:p>
        </w:tc>
        <w:tc>
          <w:tcPr>
            <w:tcW w:w="1761" w:type="dxa"/>
            <w:vAlign w:val="center"/>
          </w:tcPr>
          <w:p w14:paraId="711AC30D"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 xml:space="preserve">KILIÇ </w:t>
            </w:r>
            <w:proofErr w:type="spellStart"/>
            <w:r w:rsidRPr="00F0379B">
              <w:rPr>
                <w:rFonts w:ascii="Cambria" w:hAnsi="Cambria"/>
                <w:sz w:val="18"/>
              </w:rPr>
              <w:t>Orkinos</w:t>
            </w:r>
            <w:proofErr w:type="spellEnd"/>
            <w:r w:rsidRPr="00F0379B">
              <w:rPr>
                <w:rFonts w:ascii="Cambria" w:hAnsi="Cambria"/>
                <w:sz w:val="18"/>
              </w:rPr>
              <w:t xml:space="preserve"> </w:t>
            </w:r>
            <w:proofErr w:type="spellStart"/>
            <w:r w:rsidRPr="00F0379B">
              <w:rPr>
                <w:rFonts w:ascii="Cambria" w:hAnsi="Cambria"/>
                <w:sz w:val="18"/>
              </w:rPr>
              <w:t>Besiciliği</w:t>
            </w:r>
            <w:proofErr w:type="spellEnd"/>
            <w:r w:rsidRPr="00F0379B">
              <w:rPr>
                <w:rFonts w:ascii="Cambria" w:hAnsi="Cambria"/>
                <w:sz w:val="18"/>
              </w:rPr>
              <w:t xml:space="preserve"> </w:t>
            </w:r>
            <w:proofErr w:type="spellStart"/>
            <w:r w:rsidRPr="00F0379B">
              <w:rPr>
                <w:rFonts w:ascii="Cambria" w:hAnsi="Cambria"/>
                <w:sz w:val="18"/>
              </w:rPr>
              <w:t>Projesi</w:t>
            </w:r>
            <w:proofErr w:type="spellEnd"/>
          </w:p>
        </w:tc>
        <w:tc>
          <w:tcPr>
            <w:tcW w:w="1068" w:type="dxa"/>
            <w:vAlign w:val="center"/>
          </w:tcPr>
          <w:p w14:paraId="2AB9B5D9"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Activa</w:t>
            </w:r>
          </w:p>
        </w:tc>
        <w:tc>
          <w:tcPr>
            <w:tcW w:w="1195" w:type="dxa"/>
            <w:vAlign w:val="center"/>
          </w:tcPr>
          <w:p w14:paraId="3181FD81"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1.840</w:t>
            </w:r>
          </w:p>
        </w:tc>
        <w:tc>
          <w:tcPr>
            <w:tcW w:w="1299" w:type="dxa"/>
            <w:vAlign w:val="center"/>
          </w:tcPr>
          <w:p w14:paraId="62E71621" w14:textId="014AC0EC" w:rsidR="009123AC" w:rsidRPr="00F0379B" w:rsidRDefault="009123AC" w:rsidP="009123AC">
            <w:pPr>
              <w:spacing w:line="240" w:lineRule="auto"/>
              <w:jc w:val="center"/>
              <w:rPr>
                <w:rFonts w:ascii="Cambria" w:hAnsi="Cambria"/>
                <w:sz w:val="18"/>
              </w:rPr>
            </w:pPr>
          </w:p>
        </w:tc>
        <w:tc>
          <w:tcPr>
            <w:tcW w:w="2551" w:type="dxa"/>
          </w:tcPr>
          <w:p w14:paraId="5648C8C7" w14:textId="77777777" w:rsidR="009123AC" w:rsidRPr="00F0379B" w:rsidRDefault="009123AC" w:rsidP="009123AC">
            <w:pPr>
              <w:autoSpaceDE w:val="0"/>
              <w:autoSpaceDN w:val="0"/>
              <w:adjustRightInd w:val="0"/>
              <w:spacing w:line="240" w:lineRule="auto"/>
              <w:rPr>
                <w:rFonts w:ascii="Cambria" w:hAnsi="Cambria"/>
                <w:sz w:val="18"/>
              </w:rPr>
            </w:pPr>
            <w:r w:rsidRPr="00F0379B">
              <w:rPr>
                <w:rFonts w:ascii="Cambria" w:hAnsi="Cambria"/>
                <w:sz w:val="18"/>
              </w:rPr>
              <w:t>38 24 40,00 N, 26 23 14,00 E</w:t>
            </w:r>
          </w:p>
          <w:p w14:paraId="414B5D80" w14:textId="77777777" w:rsidR="009123AC" w:rsidRPr="00F0379B" w:rsidRDefault="009123AC" w:rsidP="009123AC">
            <w:pPr>
              <w:autoSpaceDE w:val="0"/>
              <w:autoSpaceDN w:val="0"/>
              <w:adjustRightInd w:val="0"/>
              <w:spacing w:line="240" w:lineRule="auto"/>
              <w:rPr>
                <w:rFonts w:ascii="Cambria" w:hAnsi="Cambria"/>
                <w:sz w:val="18"/>
              </w:rPr>
            </w:pPr>
            <w:r w:rsidRPr="00F0379B">
              <w:rPr>
                <w:rFonts w:ascii="Cambria" w:hAnsi="Cambria"/>
                <w:sz w:val="18"/>
              </w:rPr>
              <w:t>38 24 40,00 N, 26 23 20,00 E</w:t>
            </w:r>
          </w:p>
          <w:p w14:paraId="034EBDDD" w14:textId="77777777" w:rsidR="009123AC" w:rsidRPr="00F0379B" w:rsidRDefault="009123AC" w:rsidP="009123AC">
            <w:pPr>
              <w:autoSpaceDE w:val="0"/>
              <w:autoSpaceDN w:val="0"/>
              <w:adjustRightInd w:val="0"/>
              <w:spacing w:line="240" w:lineRule="auto"/>
              <w:rPr>
                <w:rFonts w:ascii="Cambria" w:hAnsi="Cambria"/>
                <w:sz w:val="18"/>
              </w:rPr>
            </w:pPr>
            <w:r w:rsidRPr="00F0379B">
              <w:rPr>
                <w:rFonts w:ascii="Cambria" w:hAnsi="Cambria"/>
                <w:sz w:val="18"/>
              </w:rPr>
              <w:t>38 24 34,00 N, 26 23 20,00 E</w:t>
            </w:r>
          </w:p>
          <w:p w14:paraId="7ED669E6" w14:textId="77777777" w:rsidR="009123AC" w:rsidRPr="00F0379B" w:rsidRDefault="009123AC" w:rsidP="009123AC">
            <w:pPr>
              <w:spacing w:line="240" w:lineRule="auto"/>
              <w:rPr>
                <w:rFonts w:ascii="Cambria" w:hAnsi="Cambria"/>
                <w:sz w:val="18"/>
              </w:rPr>
            </w:pPr>
            <w:r w:rsidRPr="00F0379B">
              <w:rPr>
                <w:rFonts w:ascii="Cambria" w:hAnsi="Cambria"/>
                <w:sz w:val="18"/>
              </w:rPr>
              <w:t>38 24 34,00 N, 26 23 14,00 E</w:t>
            </w:r>
          </w:p>
        </w:tc>
      </w:tr>
      <w:tr w:rsidR="009123AC" w:rsidRPr="00F0379B" w14:paraId="0997B3EE" w14:textId="77777777" w:rsidTr="00CA749B">
        <w:tc>
          <w:tcPr>
            <w:tcW w:w="1186" w:type="dxa"/>
            <w:vAlign w:val="center"/>
          </w:tcPr>
          <w:p w14:paraId="3F76EC95"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Türkiye</w:t>
            </w:r>
          </w:p>
        </w:tc>
        <w:tc>
          <w:tcPr>
            <w:tcW w:w="1761" w:type="dxa"/>
            <w:vAlign w:val="center"/>
          </w:tcPr>
          <w:p w14:paraId="505EF416"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 xml:space="preserve">Sagun Orkinoz Besiciliği </w:t>
            </w:r>
            <w:proofErr w:type="spellStart"/>
            <w:r w:rsidRPr="00F0379B">
              <w:rPr>
                <w:rFonts w:ascii="Cambria" w:hAnsi="Cambria"/>
                <w:sz w:val="18"/>
              </w:rPr>
              <w:t>Projesi</w:t>
            </w:r>
            <w:proofErr w:type="spellEnd"/>
          </w:p>
        </w:tc>
        <w:tc>
          <w:tcPr>
            <w:tcW w:w="1068" w:type="dxa"/>
            <w:vAlign w:val="center"/>
          </w:tcPr>
          <w:p w14:paraId="65C6C64F"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Activa</w:t>
            </w:r>
          </w:p>
        </w:tc>
        <w:tc>
          <w:tcPr>
            <w:tcW w:w="1195" w:type="dxa"/>
            <w:vAlign w:val="center"/>
          </w:tcPr>
          <w:p w14:paraId="15B2A822"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1.000</w:t>
            </w:r>
          </w:p>
        </w:tc>
        <w:tc>
          <w:tcPr>
            <w:tcW w:w="1299" w:type="dxa"/>
            <w:vAlign w:val="center"/>
          </w:tcPr>
          <w:p w14:paraId="01E8D541" w14:textId="2BD7D602" w:rsidR="009123AC" w:rsidRPr="00F0379B" w:rsidRDefault="009123AC" w:rsidP="009123AC">
            <w:pPr>
              <w:spacing w:line="240" w:lineRule="auto"/>
              <w:jc w:val="center"/>
              <w:rPr>
                <w:rFonts w:ascii="Cambria" w:hAnsi="Cambria"/>
                <w:sz w:val="18"/>
              </w:rPr>
            </w:pPr>
          </w:p>
        </w:tc>
        <w:tc>
          <w:tcPr>
            <w:tcW w:w="2551" w:type="dxa"/>
          </w:tcPr>
          <w:p w14:paraId="5C49DB3B" w14:textId="77777777" w:rsidR="009123AC" w:rsidRPr="00F0379B" w:rsidRDefault="009123AC" w:rsidP="009123AC">
            <w:pPr>
              <w:autoSpaceDE w:val="0"/>
              <w:autoSpaceDN w:val="0"/>
              <w:adjustRightInd w:val="0"/>
              <w:spacing w:line="240" w:lineRule="auto"/>
              <w:rPr>
                <w:rFonts w:ascii="Cambria" w:hAnsi="Cambria"/>
                <w:sz w:val="18"/>
              </w:rPr>
            </w:pPr>
            <w:r w:rsidRPr="00F0379B">
              <w:rPr>
                <w:rFonts w:ascii="Cambria" w:hAnsi="Cambria"/>
                <w:sz w:val="18"/>
              </w:rPr>
              <w:t>38 24 59,00 N, 26 24 44,00 E</w:t>
            </w:r>
          </w:p>
          <w:p w14:paraId="186C3E41" w14:textId="77777777" w:rsidR="009123AC" w:rsidRPr="00F0379B" w:rsidRDefault="009123AC" w:rsidP="009123AC">
            <w:pPr>
              <w:autoSpaceDE w:val="0"/>
              <w:autoSpaceDN w:val="0"/>
              <w:adjustRightInd w:val="0"/>
              <w:spacing w:line="240" w:lineRule="auto"/>
              <w:rPr>
                <w:rFonts w:ascii="Cambria" w:hAnsi="Cambria"/>
                <w:sz w:val="18"/>
              </w:rPr>
            </w:pPr>
            <w:r w:rsidRPr="00F0379B">
              <w:rPr>
                <w:rFonts w:ascii="Cambria" w:hAnsi="Cambria"/>
                <w:sz w:val="18"/>
              </w:rPr>
              <w:t>38 24 59,00 N, 26 24 52,00 E</w:t>
            </w:r>
          </w:p>
          <w:p w14:paraId="0B9D099A" w14:textId="77777777" w:rsidR="009123AC" w:rsidRPr="00F0379B" w:rsidRDefault="009123AC" w:rsidP="009123AC">
            <w:pPr>
              <w:autoSpaceDE w:val="0"/>
              <w:autoSpaceDN w:val="0"/>
              <w:adjustRightInd w:val="0"/>
              <w:spacing w:line="240" w:lineRule="auto"/>
              <w:rPr>
                <w:rFonts w:ascii="Cambria" w:hAnsi="Cambria"/>
                <w:sz w:val="18"/>
              </w:rPr>
            </w:pPr>
            <w:r w:rsidRPr="00F0379B">
              <w:rPr>
                <w:rFonts w:ascii="Cambria" w:hAnsi="Cambria"/>
                <w:sz w:val="18"/>
              </w:rPr>
              <w:t>38 24 46,00 N, 26 24 52,00 E</w:t>
            </w:r>
          </w:p>
          <w:p w14:paraId="2285FF16" w14:textId="77777777" w:rsidR="009123AC" w:rsidRPr="00F0379B" w:rsidRDefault="009123AC" w:rsidP="009123AC">
            <w:pPr>
              <w:spacing w:line="240" w:lineRule="auto"/>
              <w:rPr>
                <w:rFonts w:ascii="Cambria" w:hAnsi="Cambria"/>
                <w:sz w:val="18"/>
              </w:rPr>
            </w:pPr>
            <w:r w:rsidRPr="00F0379B">
              <w:rPr>
                <w:rFonts w:ascii="Cambria" w:hAnsi="Cambria"/>
                <w:sz w:val="18"/>
              </w:rPr>
              <w:t>38 24 46,00 N, 26 24 44,00 E</w:t>
            </w:r>
          </w:p>
        </w:tc>
      </w:tr>
      <w:tr w:rsidR="009123AC" w:rsidRPr="00F0379B" w14:paraId="2808D87D" w14:textId="77777777" w:rsidTr="00CA749B">
        <w:tc>
          <w:tcPr>
            <w:tcW w:w="1186" w:type="dxa"/>
            <w:vAlign w:val="center"/>
          </w:tcPr>
          <w:p w14:paraId="1BDE6923"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Türkiye</w:t>
            </w:r>
          </w:p>
        </w:tc>
        <w:tc>
          <w:tcPr>
            <w:tcW w:w="1761" w:type="dxa"/>
            <w:vAlign w:val="center"/>
          </w:tcPr>
          <w:p w14:paraId="3E74159E"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AK-TUNA ORKINOS BESICILIGI PROJESI</w:t>
            </w:r>
          </w:p>
        </w:tc>
        <w:tc>
          <w:tcPr>
            <w:tcW w:w="1068" w:type="dxa"/>
            <w:vAlign w:val="center"/>
          </w:tcPr>
          <w:p w14:paraId="066E2731"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Activa</w:t>
            </w:r>
          </w:p>
        </w:tc>
        <w:tc>
          <w:tcPr>
            <w:tcW w:w="1195" w:type="dxa"/>
            <w:vAlign w:val="center"/>
          </w:tcPr>
          <w:p w14:paraId="4AE23FA4" w14:textId="77777777" w:rsidR="009123AC" w:rsidRPr="00F0379B" w:rsidRDefault="009123AC" w:rsidP="009123AC">
            <w:pPr>
              <w:spacing w:line="240" w:lineRule="auto"/>
              <w:jc w:val="center"/>
              <w:rPr>
                <w:rFonts w:ascii="Cambria" w:hAnsi="Cambria"/>
                <w:sz w:val="18"/>
              </w:rPr>
            </w:pPr>
            <w:r w:rsidRPr="00F0379B">
              <w:rPr>
                <w:rFonts w:ascii="Cambria" w:hAnsi="Cambria"/>
                <w:sz w:val="18"/>
              </w:rPr>
              <w:t>1.000</w:t>
            </w:r>
          </w:p>
        </w:tc>
        <w:tc>
          <w:tcPr>
            <w:tcW w:w="1299" w:type="dxa"/>
            <w:vAlign w:val="center"/>
          </w:tcPr>
          <w:p w14:paraId="64B0634C" w14:textId="1239CE04" w:rsidR="009123AC" w:rsidRPr="00F0379B" w:rsidRDefault="009123AC" w:rsidP="009123AC">
            <w:pPr>
              <w:spacing w:line="240" w:lineRule="auto"/>
              <w:jc w:val="center"/>
              <w:rPr>
                <w:rFonts w:ascii="Cambria" w:hAnsi="Cambria"/>
                <w:sz w:val="18"/>
              </w:rPr>
            </w:pPr>
          </w:p>
        </w:tc>
        <w:tc>
          <w:tcPr>
            <w:tcW w:w="2551" w:type="dxa"/>
          </w:tcPr>
          <w:p w14:paraId="5DDE49F4" w14:textId="77777777" w:rsidR="009123AC" w:rsidRPr="00F0379B" w:rsidRDefault="009123AC" w:rsidP="009123AC">
            <w:pPr>
              <w:autoSpaceDE w:val="0"/>
              <w:autoSpaceDN w:val="0"/>
              <w:adjustRightInd w:val="0"/>
              <w:spacing w:line="240" w:lineRule="auto"/>
              <w:rPr>
                <w:rFonts w:ascii="Cambria" w:hAnsi="Cambria"/>
                <w:sz w:val="18"/>
              </w:rPr>
            </w:pPr>
            <w:r w:rsidRPr="00F0379B">
              <w:rPr>
                <w:rFonts w:ascii="Cambria" w:hAnsi="Cambria"/>
                <w:sz w:val="18"/>
              </w:rPr>
              <w:t>38 23 29,00 N, 26 26 10,00 E</w:t>
            </w:r>
          </w:p>
          <w:p w14:paraId="33C7EC55" w14:textId="77777777" w:rsidR="009123AC" w:rsidRPr="00F0379B" w:rsidRDefault="009123AC" w:rsidP="009123AC">
            <w:pPr>
              <w:autoSpaceDE w:val="0"/>
              <w:autoSpaceDN w:val="0"/>
              <w:adjustRightInd w:val="0"/>
              <w:spacing w:line="240" w:lineRule="auto"/>
              <w:rPr>
                <w:rFonts w:ascii="Cambria" w:hAnsi="Cambria"/>
                <w:sz w:val="18"/>
              </w:rPr>
            </w:pPr>
            <w:r w:rsidRPr="00F0379B">
              <w:rPr>
                <w:rFonts w:ascii="Cambria" w:hAnsi="Cambria"/>
                <w:sz w:val="18"/>
              </w:rPr>
              <w:t>38 23 23,00 N, 26 26 10,00 E</w:t>
            </w:r>
          </w:p>
          <w:p w14:paraId="17C258CA" w14:textId="77777777" w:rsidR="009123AC" w:rsidRPr="00F0379B" w:rsidRDefault="009123AC" w:rsidP="009123AC">
            <w:pPr>
              <w:autoSpaceDE w:val="0"/>
              <w:autoSpaceDN w:val="0"/>
              <w:adjustRightInd w:val="0"/>
              <w:spacing w:line="240" w:lineRule="auto"/>
              <w:rPr>
                <w:rFonts w:ascii="Cambria" w:hAnsi="Cambria"/>
                <w:sz w:val="18"/>
              </w:rPr>
            </w:pPr>
            <w:r w:rsidRPr="00F0379B">
              <w:rPr>
                <w:rFonts w:ascii="Cambria" w:hAnsi="Cambria"/>
                <w:sz w:val="18"/>
              </w:rPr>
              <w:t>38 23 23,00 N, 26 26 31,00 E</w:t>
            </w:r>
          </w:p>
          <w:p w14:paraId="15D5040B" w14:textId="77777777" w:rsidR="009123AC" w:rsidRPr="00F0379B" w:rsidRDefault="009123AC" w:rsidP="009123AC">
            <w:pPr>
              <w:spacing w:line="240" w:lineRule="auto"/>
              <w:rPr>
                <w:rFonts w:ascii="Cambria" w:hAnsi="Cambria"/>
                <w:sz w:val="18"/>
              </w:rPr>
            </w:pPr>
            <w:r w:rsidRPr="00F0379B">
              <w:rPr>
                <w:rFonts w:ascii="Cambria" w:hAnsi="Cambria"/>
                <w:sz w:val="18"/>
              </w:rPr>
              <w:t>38 23 29,00 N, 26 26 31,00 E</w:t>
            </w:r>
          </w:p>
        </w:tc>
      </w:tr>
      <w:tr w:rsidR="009123AC" w:rsidRPr="00F0379B" w14:paraId="1468BFD8" w14:textId="77777777" w:rsidTr="00CA749B">
        <w:trPr>
          <w:trHeight w:val="268"/>
        </w:trPr>
        <w:tc>
          <w:tcPr>
            <w:tcW w:w="2947" w:type="dxa"/>
            <w:gridSpan w:val="2"/>
          </w:tcPr>
          <w:p w14:paraId="7665F99D" w14:textId="77777777" w:rsidR="009123AC" w:rsidRPr="00F0379B" w:rsidRDefault="009123AC" w:rsidP="009123AC">
            <w:pPr>
              <w:spacing w:line="240" w:lineRule="auto"/>
              <w:rPr>
                <w:rFonts w:ascii="Cambria" w:hAnsi="Cambria"/>
                <w:b/>
                <w:sz w:val="18"/>
              </w:rPr>
            </w:pPr>
            <w:r w:rsidRPr="00F0379B">
              <w:rPr>
                <w:rFonts w:ascii="Cambria" w:hAnsi="Cambria"/>
                <w:b/>
                <w:sz w:val="18"/>
              </w:rPr>
              <w:t>TOTAL</w:t>
            </w:r>
          </w:p>
        </w:tc>
        <w:tc>
          <w:tcPr>
            <w:tcW w:w="1068" w:type="dxa"/>
            <w:vAlign w:val="center"/>
          </w:tcPr>
          <w:p w14:paraId="412603CE" w14:textId="77777777" w:rsidR="009123AC" w:rsidRPr="00F0379B" w:rsidRDefault="009123AC" w:rsidP="009123AC">
            <w:pPr>
              <w:spacing w:line="240" w:lineRule="auto"/>
              <w:jc w:val="center"/>
              <w:rPr>
                <w:rFonts w:ascii="Cambria" w:hAnsi="Cambria"/>
                <w:b/>
                <w:sz w:val="18"/>
              </w:rPr>
            </w:pPr>
          </w:p>
        </w:tc>
        <w:tc>
          <w:tcPr>
            <w:tcW w:w="1195" w:type="dxa"/>
            <w:vAlign w:val="center"/>
          </w:tcPr>
          <w:p w14:paraId="6A6CD4C5" w14:textId="77777777" w:rsidR="009123AC" w:rsidRPr="00F0379B" w:rsidRDefault="009123AC" w:rsidP="009123AC">
            <w:pPr>
              <w:spacing w:line="240" w:lineRule="auto"/>
              <w:jc w:val="center"/>
              <w:rPr>
                <w:rFonts w:ascii="Cambria" w:hAnsi="Cambria"/>
                <w:b/>
                <w:sz w:val="18"/>
              </w:rPr>
            </w:pPr>
            <w:r w:rsidRPr="00F0379B">
              <w:rPr>
                <w:rFonts w:ascii="Cambria" w:hAnsi="Cambria"/>
                <w:b/>
                <w:sz w:val="18"/>
              </w:rPr>
              <w:t>6.340</w:t>
            </w:r>
          </w:p>
        </w:tc>
        <w:tc>
          <w:tcPr>
            <w:tcW w:w="1299" w:type="dxa"/>
            <w:vAlign w:val="center"/>
          </w:tcPr>
          <w:p w14:paraId="6C2B68B9" w14:textId="4EA132C7" w:rsidR="009123AC" w:rsidRPr="00F0379B" w:rsidRDefault="009123AC" w:rsidP="009123AC">
            <w:pPr>
              <w:spacing w:line="240" w:lineRule="auto"/>
              <w:jc w:val="center"/>
              <w:rPr>
                <w:rFonts w:ascii="Cambria" w:hAnsi="Cambria"/>
                <w:b/>
                <w:sz w:val="18"/>
              </w:rPr>
            </w:pPr>
          </w:p>
        </w:tc>
        <w:tc>
          <w:tcPr>
            <w:tcW w:w="2551" w:type="dxa"/>
            <w:vAlign w:val="center"/>
          </w:tcPr>
          <w:p w14:paraId="585D7545" w14:textId="77777777" w:rsidR="009123AC" w:rsidRPr="00F0379B" w:rsidRDefault="009123AC" w:rsidP="009123AC">
            <w:pPr>
              <w:spacing w:line="240" w:lineRule="auto"/>
              <w:jc w:val="center"/>
              <w:rPr>
                <w:rFonts w:ascii="Cambria" w:hAnsi="Cambria"/>
                <w:sz w:val="18"/>
              </w:rPr>
            </w:pPr>
          </w:p>
        </w:tc>
      </w:tr>
      <w:tr w:rsidR="009123AC" w:rsidRPr="00F0379B" w14:paraId="75376480" w14:textId="77777777" w:rsidTr="00CA749B">
        <w:trPr>
          <w:trHeight w:val="271"/>
        </w:trPr>
        <w:tc>
          <w:tcPr>
            <w:tcW w:w="2947" w:type="dxa"/>
            <w:gridSpan w:val="2"/>
          </w:tcPr>
          <w:p w14:paraId="11948AE7" w14:textId="77777777" w:rsidR="009123AC" w:rsidRPr="00F0379B" w:rsidRDefault="009123AC" w:rsidP="009123AC">
            <w:pPr>
              <w:spacing w:line="240" w:lineRule="auto"/>
              <w:jc w:val="center"/>
              <w:rPr>
                <w:rFonts w:ascii="Cambria" w:hAnsi="Cambria"/>
                <w:b/>
                <w:sz w:val="18"/>
              </w:rPr>
            </w:pPr>
          </w:p>
        </w:tc>
        <w:tc>
          <w:tcPr>
            <w:tcW w:w="1068" w:type="dxa"/>
            <w:vAlign w:val="center"/>
          </w:tcPr>
          <w:p w14:paraId="0AA173B2" w14:textId="77777777" w:rsidR="009123AC" w:rsidRPr="00F0379B" w:rsidRDefault="009123AC" w:rsidP="009123AC">
            <w:pPr>
              <w:spacing w:line="240" w:lineRule="auto"/>
              <w:jc w:val="center"/>
              <w:rPr>
                <w:rFonts w:ascii="Cambria" w:hAnsi="Cambria"/>
                <w:b/>
                <w:sz w:val="18"/>
              </w:rPr>
            </w:pPr>
            <w:r w:rsidRPr="00F0379B">
              <w:rPr>
                <w:rFonts w:ascii="Cambria" w:hAnsi="Cambria"/>
                <w:sz w:val="18"/>
              </w:rPr>
              <w:t>Inactiva</w:t>
            </w:r>
          </w:p>
        </w:tc>
        <w:tc>
          <w:tcPr>
            <w:tcW w:w="1195" w:type="dxa"/>
            <w:vAlign w:val="center"/>
          </w:tcPr>
          <w:p w14:paraId="6EE03AD8" w14:textId="77777777" w:rsidR="009123AC" w:rsidRPr="00F0379B" w:rsidRDefault="009123AC" w:rsidP="009123AC">
            <w:pPr>
              <w:spacing w:line="240" w:lineRule="auto"/>
              <w:jc w:val="center"/>
              <w:rPr>
                <w:rFonts w:ascii="Cambria" w:hAnsi="Cambria"/>
                <w:b/>
                <w:sz w:val="18"/>
              </w:rPr>
            </w:pPr>
            <w:r w:rsidRPr="00F0379B">
              <w:rPr>
                <w:rFonts w:ascii="Cambria" w:hAnsi="Cambria"/>
                <w:sz w:val="18"/>
              </w:rPr>
              <w:t xml:space="preserve">500 </w:t>
            </w:r>
            <w:r w:rsidRPr="00F0379B">
              <w:rPr>
                <w:rFonts w:ascii="Cambria" w:hAnsi="Cambria"/>
                <w:sz w:val="18"/>
                <w:vertAlign w:val="superscript"/>
              </w:rPr>
              <w:t>(1)</w:t>
            </w:r>
          </w:p>
        </w:tc>
        <w:tc>
          <w:tcPr>
            <w:tcW w:w="1299" w:type="dxa"/>
            <w:vAlign w:val="center"/>
          </w:tcPr>
          <w:p w14:paraId="2B3E5FBD" w14:textId="77777777" w:rsidR="009123AC" w:rsidRPr="00F0379B" w:rsidRDefault="009123AC" w:rsidP="009123AC">
            <w:pPr>
              <w:spacing w:line="240" w:lineRule="auto"/>
              <w:jc w:val="center"/>
              <w:rPr>
                <w:rFonts w:ascii="Cambria" w:hAnsi="Cambria"/>
                <w:b/>
                <w:sz w:val="18"/>
              </w:rPr>
            </w:pPr>
          </w:p>
        </w:tc>
        <w:tc>
          <w:tcPr>
            <w:tcW w:w="2551" w:type="dxa"/>
            <w:vAlign w:val="center"/>
          </w:tcPr>
          <w:p w14:paraId="12EBA576" w14:textId="77777777" w:rsidR="009123AC" w:rsidRPr="00F0379B" w:rsidRDefault="009123AC" w:rsidP="009123AC">
            <w:pPr>
              <w:spacing w:line="240" w:lineRule="auto"/>
              <w:jc w:val="center"/>
              <w:rPr>
                <w:rFonts w:ascii="Cambria" w:hAnsi="Cambria"/>
                <w:sz w:val="18"/>
              </w:rPr>
            </w:pPr>
          </w:p>
        </w:tc>
      </w:tr>
    </w:tbl>
    <w:p w14:paraId="69176B06" w14:textId="77777777" w:rsidR="009123AC" w:rsidRPr="00F0379B" w:rsidRDefault="009123AC" w:rsidP="009123AC">
      <w:pPr>
        <w:spacing w:after="0" w:line="240" w:lineRule="auto"/>
        <w:jc w:val="both"/>
        <w:rPr>
          <w:rFonts w:ascii="Cambria" w:eastAsia="MS Gothic" w:hAnsi="Cambria" w:cs="Times New Roman"/>
          <w:sz w:val="16"/>
          <w:szCs w:val="16"/>
          <w:lang w:eastAsia="fr-FR" w:bidi="fr-FR"/>
        </w:rPr>
      </w:pPr>
      <w:r w:rsidRPr="00F0379B">
        <w:rPr>
          <w:rFonts w:ascii="Cambria" w:eastAsia="MS Gothic" w:hAnsi="Cambria" w:cs="Times New Roman"/>
          <w:sz w:val="16"/>
          <w:szCs w:val="16"/>
          <w:lang w:eastAsia="fr-FR" w:bidi="fr-FR"/>
        </w:rPr>
        <w:t>* En caso de que se realice cualquier cambio, la versión del plan de capacidad de cría se presentará antes del 1 de junio.</w:t>
      </w:r>
    </w:p>
    <w:p w14:paraId="4271AE01" w14:textId="77777777" w:rsidR="009123AC" w:rsidRPr="00F0379B" w:rsidRDefault="009123AC" w:rsidP="009123AC">
      <w:pPr>
        <w:autoSpaceDE w:val="0"/>
        <w:autoSpaceDN w:val="0"/>
        <w:adjustRightInd w:val="0"/>
        <w:spacing w:after="0" w:line="240" w:lineRule="auto"/>
        <w:jc w:val="both"/>
        <w:rPr>
          <w:rFonts w:ascii="Cambria" w:eastAsia="MS Gothic" w:hAnsi="Cambria" w:cs="Times New Roman"/>
          <w:sz w:val="16"/>
          <w:szCs w:val="16"/>
          <w:lang w:eastAsia="fr-FR" w:bidi="fr-FR"/>
        </w:rPr>
      </w:pPr>
      <w:r w:rsidRPr="00F0379B">
        <w:rPr>
          <w:rFonts w:ascii="Cambria" w:eastAsia="MS Gothic" w:hAnsi="Cambria" w:cs="Times New Roman"/>
          <w:sz w:val="16"/>
          <w:szCs w:val="16"/>
          <w:lang w:eastAsia="fr-FR" w:bidi="fr-FR"/>
        </w:rPr>
        <w:t>**</w:t>
      </w:r>
      <w:r w:rsidRPr="00F0379B">
        <w:rPr>
          <w:rFonts w:ascii="Times New Roman" w:eastAsia="MS Gothic" w:hAnsi="Times New Roman" w:cs="Times New Roman"/>
          <w:color w:val="000000"/>
          <w:sz w:val="24"/>
          <w:szCs w:val="24"/>
          <w:lang w:eastAsia="fr-FR" w:bidi="fr-FR"/>
        </w:rPr>
        <w:t xml:space="preserve"> </w:t>
      </w:r>
      <w:r w:rsidRPr="00F0379B">
        <w:rPr>
          <w:rFonts w:ascii="Cambria" w:eastAsia="MS Gothic" w:hAnsi="Cambria" w:cs="Times New Roman"/>
          <w:sz w:val="16"/>
          <w:szCs w:val="16"/>
          <w:lang w:eastAsia="fr-FR" w:bidi="fr-FR"/>
        </w:rPr>
        <w:t>La cifra de 6340 t representa la capacidad máxima de entrada para la cría en 2026. Esta cifra incluye la entrada máxima de atún rojo capturado en estado silvestre estimada por cada instalación de cría, basada en: las cuotas asignadas a nivel nacional; el límite de captura anual de Türkiye establecido en el párrafo 8 de la Rec. 25-04; las posibles transferencias de cuotas de otras CPC; y las importaciones de atún rojo vivo destinado a la cría en 2026.</w:t>
      </w:r>
    </w:p>
    <w:p w14:paraId="1E2D3AA0" w14:textId="77777777" w:rsidR="009123AC" w:rsidRPr="00F0379B" w:rsidRDefault="009123AC" w:rsidP="009123AC">
      <w:pPr>
        <w:autoSpaceDE w:val="0"/>
        <w:autoSpaceDN w:val="0"/>
        <w:adjustRightInd w:val="0"/>
        <w:spacing w:after="0" w:line="240" w:lineRule="auto"/>
        <w:jc w:val="both"/>
        <w:rPr>
          <w:rFonts w:ascii="Cambria" w:eastAsia="MS Gothic" w:hAnsi="Cambria" w:cs="Times New Roman"/>
          <w:sz w:val="16"/>
          <w:szCs w:val="16"/>
          <w:lang w:eastAsia="fr-FR" w:bidi="fr-FR"/>
        </w:rPr>
      </w:pPr>
      <w:r w:rsidRPr="00F0379B">
        <w:rPr>
          <w:rFonts w:ascii="Cambria" w:eastAsia="MS Gothic" w:hAnsi="Cambria" w:cs="Times New Roman"/>
          <w:sz w:val="16"/>
          <w:szCs w:val="16"/>
          <w:vertAlign w:val="superscript"/>
          <w:lang w:eastAsia="fr-FR" w:bidi="fr-FR"/>
        </w:rPr>
        <w:t xml:space="preserve">(1) </w:t>
      </w:r>
      <w:r w:rsidRPr="00F0379B">
        <w:rPr>
          <w:rFonts w:ascii="Cambria" w:eastAsia="MS Gothic" w:hAnsi="Cambria" w:cs="Times New Roman"/>
          <w:sz w:val="16"/>
          <w:szCs w:val="16"/>
          <w:lang w:eastAsia="fr-FR" w:bidi="fr-FR"/>
        </w:rPr>
        <w:t>Sin perjuicio del derecho de utilización en cualquier momento, la capacidad de cría de 500 t que aparece en la tabla anterior y pertenece a Türkiye no será utilizada para el año 2026.</w:t>
      </w:r>
    </w:p>
    <w:p w14:paraId="482ED2EF" w14:textId="77777777" w:rsidR="009123AC" w:rsidRPr="00F0379B" w:rsidRDefault="009123AC" w:rsidP="009123AC">
      <w:pPr>
        <w:widowControl w:val="0"/>
        <w:spacing w:after="0" w:line="240" w:lineRule="auto"/>
        <w:rPr>
          <w:rFonts w:ascii="Cambria" w:eastAsia="MS Gothic" w:hAnsi="Cambria" w:cs="Times New Roman"/>
          <w:b/>
          <w:sz w:val="20"/>
          <w:szCs w:val="20"/>
          <w:lang w:eastAsia="ja-JP" w:bidi="fr-FR"/>
        </w:rPr>
      </w:pPr>
    </w:p>
    <w:p w14:paraId="475EE740"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4"/>
          <w:lang w:eastAsia="fr-FR" w:bidi="fr-FR"/>
        </w:rPr>
      </w:pPr>
      <w:r w:rsidRPr="00F0379B">
        <w:rPr>
          <w:rFonts w:ascii="Cambria" w:eastAsia="MS Gothic" w:hAnsi="Cambria" w:cs="Times New Roman"/>
          <w:color w:val="000000"/>
          <w:sz w:val="20"/>
          <w:szCs w:val="24"/>
          <w:lang w:eastAsia="fr-FR" w:bidi="fr-FR"/>
        </w:rPr>
        <w:t>Se enviará un informe anual de declaración de traspasos para todas las granjas como anexo al plan de ordenación de la cría revisado cuando hayan finalizado todas las transferencias de evaluación de traspasos.</w:t>
      </w:r>
    </w:p>
    <w:p w14:paraId="1EDA6695" w14:textId="77777777" w:rsidR="009123AC" w:rsidRPr="00F0379B" w:rsidRDefault="009123AC" w:rsidP="009123AC">
      <w:pPr>
        <w:widowControl w:val="0"/>
        <w:spacing w:after="0" w:line="240" w:lineRule="auto"/>
        <w:rPr>
          <w:rFonts w:ascii="Cambria" w:eastAsia="MS Gothic" w:hAnsi="Cambria" w:cs="Times New Roman"/>
          <w:sz w:val="20"/>
          <w:szCs w:val="24"/>
          <w:lang w:eastAsia="fr-FR" w:bidi="fr-FR"/>
        </w:rPr>
      </w:pPr>
    </w:p>
    <w:p w14:paraId="3B9E1DEC"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 xml:space="preserve">La información sobre las autoridades competentes de la CPC de la granja y la lista de puntos de contacto designados como responsables de la implementación de las actividades nacionales de introducción en jaulas y de su control se presenta a continuación: </w:t>
      </w:r>
    </w:p>
    <w:p w14:paraId="3BEEBEA0"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5113DC70"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4"/>
          <w:lang w:eastAsia="fr-FR" w:bidi="fr-FR"/>
        </w:rPr>
      </w:pPr>
      <w:r w:rsidRPr="00F0379B">
        <w:rPr>
          <w:rFonts w:ascii="Cambria" w:eastAsia="MS Gothic" w:hAnsi="Cambria" w:cs="Times New Roman"/>
          <w:color w:val="000000"/>
          <w:sz w:val="20"/>
          <w:szCs w:val="24"/>
          <w:lang w:eastAsia="fr-FR" w:bidi="fr-FR"/>
        </w:rPr>
        <w:t xml:space="preserve">Autoridad competente de la CPC de la granja: Ministerio de Agricultura y Silvicultura / director general de Pesca y Acuicultura. </w:t>
      </w:r>
    </w:p>
    <w:p w14:paraId="01FC8623" w14:textId="77777777" w:rsidR="009123AC" w:rsidRPr="00F0379B" w:rsidRDefault="009123AC" w:rsidP="009123AC">
      <w:pPr>
        <w:spacing w:after="0" w:line="240" w:lineRule="auto"/>
        <w:rPr>
          <w:rFonts w:ascii="Cambria" w:eastAsia="MS Gothic" w:hAnsi="Cambria" w:cs="Times New Roman"/>
          <w:color w:val="000000"/>
          <w:sz w:val="20"/>
          <w:szCs w:val="24"/>
          <w:lang w:eastAsia="fr-FR" w:bidi="fr-FR"/>
        </w:rPr>
      </w:pPr>
    </w:p>
    <w:p w14:paraId="4FB2B133"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4"/>
          <w:lang w:eastAsia="fr-FR" w:bidi="fr-FR"/>
        </w:rPr>
      </w:pPr>
      <w:r w:rsidRPr="00F0379B">
        <w:rPr>
          <w:rFonts w:ascii="Cambria" w:eastAsia="MS Gothic" w:hAnsi="Cambria" w:cs="Times New Roman"/>
          <w:color w:val="000000"/>
          <w:sz w:val="20"/>
          <w:szCs w:val="24"/>
          <w:lang w:eastAsia="fr-FR" w:bidi="fr-FR"/>
        </w:rPr>
        <w:t xml:space="preserve">Lista de puntos de contacto:  </w:t>
      </w:r>
    </w:p>
    <w:p w14:paraId="1544CC1F"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0B577C89"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Sr. </w:t>
      </w:r>
      <w:r w:rsidRPr="00F0379B">
        <w:rPr>
          <w:rFonts w:ascii="Cambria" w:eastAsia="MS Gothic" w:hAnsi="Cambria" w:cs="Times New Roman"/>
          <w:sz w:val="20"/>
          <w:szCs w:val="20"/>
          <w:lang w:eastAsia="fr-FR" w:bidi="fr-FR"/>
        </w:rPr>
        <w:t>İlhan ÜZE</w:t>
      </w:r>
      <w:r w:rsidRPr="00F0379B">
        <w:rPr>
          <w:rFonts w:ascii="Cambria" w:eastAsia="MS Gothic" w:hAnsi="Cambria" w:cs="Times New Roman"/>
          <w:color w:val="000000"/>
          <w:sz w:val="20"/>
          <w:szCs w:val="20"/>
          <w:lang w:eastAsia="fr-FR" w:bidi="fr-FR"/>
        </w:rPr>
        <w:t xml:space="preserve">, jefe del departamento, </w:t>
      </w:r>
      <w:hyperlink r:id="rId224" w:history="1">
        <w:r w:rsidRPr="00F0379B">
          <w:rPr>
            <w:rFonts w:ascii="Cambria" w:eastAsia="MS Gothic" w:hAnsi="Cambria" w:cs="Times New Roman"/>
            <w:color w:val="0563C1"/>
            <w:sz w:val="20"/>
            <w:szCs w:val="20"/>
            <w:lang w:eastAsia="fr-FR" w:bidi="fr-FR"/>
          </w:rPr>
          <w:t>ilhan.uze@tarimorman.gov.tr</w:t>
        </w:r>
      </w:hyperlink>
      <w:r w:rsidRPr="00F0379B">
        <w:rPr>
          <w:rFonts w:ascii="Cambria" w:eastAsia="MS Gothic" w:hAnsi="Cambria" w:cs="Times New Roman"/>
          <w:color w:val="0070C0"/>
          <w:sz w:val="20"/>
          <w:szCs w:val="20"/>
          <w:lang w:eastAsia="fr-FR" w:bidi="fr-FR"/>
        </w:rPr>
        <w:t xml:space="preserve"> </w:t>
      </w:r>
      <w:r w:rsidRPr="00F0379B">
        <w:rPr>
          <w:rFonts w:ascii="Cambria" w:eastAsia="MS Gothic" w:hAnsi="Cambria" w:cs="Times New Roman"/>
          <w:color w:val="0070C0"/>
          <w:sz w:val="20"/>
          <w:szCs w:val="24"/>
          <w:lang w:eastAsia="fr-FR" w:bidi="fr-FR"/>
        </w:rPr>
        <w:t xml:space="preserve"> </w:t>
      </w:r>
    </w:p>
    <w:p w14:paraId="36513AE2" w14:textId="77777777" w:rsidR="009123AC" w:rsidRPr="00F0379B" w:rsidRDefault="009123AC" w:rsidP="009123AC">
      <w:pPr>
        <w:widowControl w:val="0"/>
        <w:spacing w:after="0" w:line="240" w:lineRule="auto"/>
        <w:jc w:val="both"/>
        <w:rPr>
          <w:rFonts w:ascii="Cambria" w:eastAsia="MS Gothic" w:hAnsi="Cambria" w:cs="Times New Roman"/>
          <w:color w:val="0563C1"/>
          <w:sz w:val="20"/>
          <w:szCs w:val="20"/>
          <w:lang w:eastAsia="fr-FR" w:bidi="fr-FR"/>
        </w:rPr>
      </w:pPr>
      <w:r w:rsidRPr="00F0379B">
        <w:rPr>
          <w:rFonts w:ascii="Cambria" w:eastAsia="MS Gothic" w:hAnsi="Cambria" w:cs="Times New Roman"/>
          <w:color w:val="000000"/>
          <w:sz w:val="20"/>
          <w:szCs w:val="20"/>
          <w:lang w:eastAsia="fr-FR" w:bidi="fr-FR"/>
        </w:rPr>
        <w:t xml:space="preserve">Sr. </w:t>
      </w:r>
      <w:r w:rsidRPr="00F0379B">
        <w:rPr>
          <w:rFonts w:ascii="Cambria" w:eastAsia="MS Gothic" w:hAnsi="Cambria" w:cs="Times New Roman"/>
          <w:sz w:val="20"/>
          <w:szCs w:val="20"/>
          <w:lang w:eastAsia="fr-FR" w:bidi="fr-FR"/>
        </w:rPr>
        <w:t>Hüseyin KARCI</w:t>
      </w:r>
      <w:r w:rsidRPr="00F0379B">
        <w:rPr>
          <w:rFonts w:ascii="Cambria" w:eastAsia="MS Gothic" w:hAnsi="Cambria" w:cs="Times New Roman"/>
          <w:color w:val="000000"/>
          <w:sz w:val="20"/>
          <w:szCs w:val="20"/>
          <w:lang w:eastAsia="fr-FR" w:bidi="fr-FR"/>
        </w:rPr>
        <w:t xml:space="preserve">, coordinador, </w:t>
      </w:r>
      <w:hyperlink r:id="rId225" w:history="1">
        <w:r w:rsidRPr="00F0379B">
          <w:rPr>
            <w:rFonts w:ascii="Cambria" w:eastAsia="MS Gothic" w:hAnsi="Cambria" w:cs="Times New Roman"/>
            <w:color w:val="0563C1"/>
            <w:sz w:val="20"/>
            <w:szCs w:val="20"/>
            <w:lang w:eastAsia="fr-FR" w:bidi="fr-FR"/>
          </w:rPr>
          <w:t>huseyin.karci@tarimorman.gov.tr</w:t>
        </w:r>
      </w:hyperlink>
      <w:r w:rsidRPr="00F0379B">
        <w:rPr>
          <w:rFonts w:ascii="Times New Roman" w:eastAsia="MS Gothic" w:hAnsi="Times New Roman" w:cs="Times New Roman"/>
          <w:color w:val="000000"/>
          <w:sz w:val="24"/>
          <w:szCs w:val="24"/>
          <w:lang w:eastAsia="fr-FR" w:bidi="fr-FR"/>
        </w:rPr>
        <w:t xml:space="preserve"> </w:t>
      </w:r>
    </w:p>
    <w:p w14:paraId="654CC2E5" w14:textId="77777777" w:rsidR="009123AC" w:rsidRPr="00F0379B" w:rsidRDefault="009123AC" w:rsidP="009123AC">
      <w:pPr>
        <w:widowControl w:val="0"/>
        <w:spacing w:after="0" w:line="240" w:lineRule="auto"/>
        <w:jc w:val="both"/>
        <w:rPr>
          <w:rFonts w:ascii="Cambria" w:eastAsia="MS Gothic" w:hAnsi="Cambria" w:cs="Times New Roman"/>
          <w:color w:val="0070C0"/>
          <w:sz w:val="20"/>
          <w:szCs w:val="20"/>
          <w:lang w:eastAsia="fr-FR" w:bidi="fr-FR"/>
        </w:rPr>
      </w:pPr>
      <w:r w:rsidRPr="00F0379B">
        <w:rPr>
          <w:rFonts w:ascii="Cambria" w:eastAsia="MS Gothic" w:hAnsi="Cambria" w:cs="Times New Roman"/>
          <w:color w:val="000000"/>
          <w:sz w:val="20"/>
          <w:szCs w:val="20"/>
          <w:lang w:eastAsia="fr-FR" w:bidi="fr-FR"/>
        </w:rPr>
        <w:t xml:space="preserve">Sr. </w:t>
      </w:r>
      <w:r w:rsidRPr="00F0379B">
        <w:rPr>
          <w:rFonts w:ascii="Cambria" w:eastAsia="MS Gothic" w:hAnsi="Cambria" w:cs="Times New Roman"/>
          <w:sz w:val="20"/>
          <w:szCs w:val="20"/>
          <w:lang w:eastAsia="fr-FR" w:bidi="fr-FR"/>
        </w:rPr>
        <w:t>Semih SAYIN</w:t>
      </w:r>
      <w:r w:rsidRPr="00F0379B">
        <w:rPr>
          <w:rFonts w:ascii="Cambria" w:eastAsia="MS Gothic" w:hAnsi="Cambria" w:cs="Times New Roman"/>
          <w:color w:val="000000"/>
          <w:sz w:val="20"/>
          <w:szCs w:val="20"/>
          <w:lang w:eastAsia="fr-FR" w:bidi="fr-FR"/>
        </w:rPr>
        <w:t xml:space="preserve">, ingeniero, </w:t>
      </w:r>
      <w:hyperlink r:id="rId226" w:history="1">
        <w:r w:rsidRPr="00F0379B">
          <w:rPr>
            <w:rFonts w:ascii="Cambria" w:eastAsia="MS Gothic" w:hAnsi="Cambria" w:cs="Times New Roman"/>
            <w:color w:val="0563C1"/>
            <w:sz w:val="20"/>
            <w:szCs w:val="20"/>
            <w:lang w:eastAsia="fr-FR" w:bidi="fr-FR"/>
          </w:rPr>
          <w:t>semih.sayin@tarimorman.gov.tr</w:t>
        </w:r>
      </w:hyperlink>
    </w:p>
    <w:p w14:paraId="4CDDC061"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ja-JP" w:bidi="fr-FR"/>
        </w:rPr>
      </w:pPr>
    </w:p>
    <w:p w14:paraId="722A265F"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ja-JP" w:bidi="fr-FR"/>
        </w:rPr>
      </w:pPr>
    </w:p>
    <w:p w14:paraId="560F023F" w14:textId="77777777" w:rsidR="009123AC" w:rsidRPr="00F0379B" w:rsidRDefault="009123AC" w:rsidP="00CE0EC8">
      <w:pPr>
        <w:widowControl w:val="0"/>
        <w:numPr>
          <w:ilvl w:val="0"/>
          <w:numId w:val="67"/>
        </w:numPr>
        <w:tabs>
          <w:tab w:val="left" w:pos="426"/>
        </w:tabs>
        <w:spacing w:after="0" w:line="240" w:lineRule="auto"/>
        <w:ind w:left="426" w:hanging="426"/>
        <w:contextualSpacing/>
        <w:jc w:val="both"/>
        <w:rPr>
          <w:rFonts w:ascii="Cambria" w:eastAsia="MS Gothic" w:hAnsi="Cambria" w:cs="Times New Roman"/>
          <w:b/>
          <w:bCs/>
          <w:sz w:val="20"/>
          <w:szCs w:val="24"/>
          <w:lang w:eastAsia="fr-FR" w:bidi="fr-FR"/>
        </w:rPr>
      </w:pPr>
      <w:r w:rsidRPr="00F0379B">
        <w:rPr>
          <w:rFonts w:ascii="Cambria" w:eastAsia="MS Gothic" w:hAnsi="Cambria" w:cs="Times New Roman"/>
          <w:b/>
          <w:bCs/>
          <w:sz w:val="20"/>
          <w:szCs w:val="24"/>
          <w:lang w:eastAsia="fr-FR" w:bidi="fr-FR"/>
        </w:rPr>
        <w:t xml:space="preserve">Plan de acuicultura anual (párr. 10 e de la </w:t>
      </w:r>
      <w:hyperlink r:id="rId227" w:history="1">
        <w:r w:rsidRPr="00F0379B">
          <w:rPr>
            <w:rFonts w:ascii="Cambria" w:eastAsia="MS Gothic" w:hAnsi="Cambria" w:cs="Times New Roman"/>
            <w:b/>
            <w:bCs/>
            <w:color w:val="0563C1"/>
            <w:sz w:val="20"/>
            <w:szCs w:val="24"/>
            <w:lang w:eastAsia="fr-FR" w:bidi="fr-FR"/>
          </w:rPr>
          <w:t>Rec. 25-04</w:t>
        </w:r>
      </w:hyperlink>
      <w:r w:rsidRPr="00F0379B">
        <w:rPr>
          <w:rFonts w:ascii="Times New Roman" w:eastAsia="MS Gothic" w:hAnsi="Times New Roman" w:cs="Times New Roman"/>
          <w:color w:val="000000"/>
          <w:sz w:val="24"/>
          <w:szCs w:val="24"/>
          <w:lang w:eastAsia="fr-FR" w:bidi="fr-FR"/>
        </w:rPr>
        <w:t xml:space="preserve"> </w:t>
      </w:r>
      <w:r w:rsidRPr="00F0379B">
        <w:rPr>
          <w:rFonts w:ascii="Cambria" w:eastAsia="MS Gothic" w:hAnsi="Cambria" w:cs="Times New Roman"/>
          <w:b/>
          <w:bCs/>
          <w:sz w:val="20"/>
          <w:szCs w:val="24"/>
          <w:lang w:eastAsia="fr-FR" w:bidi="fr-FR"/>
        </w:rPr>
        <w:t xml:space="preserve">de conformidad con la </w:t>
      </w:r>
      <w:hyperlink r:id="rId228" w:history="1">
        <w:r w:rsidRPr="00F0379B">
          <w:rPr>
            <w:rFonts w:ascii="Cambria" w:eastAsia="MS Gothic" w:hAnsi="Cambria" w:cs="Times New Roman"/>
            <w:b/>
            <w:bCs/>
            <w:color w:val="0563C1"/>
            <w:sz w:val="20"/>
            <w:szCs w:val="24"/>
            <w:lang w:eastAsia="fr-FR" w:bidi="fr-FR"/>
          </w:rPr>
          <w:t>Rec. 24-07</w:t>
        </w:r>
      </w:hyperlink>
      <w:r w:rsidRPr="00F0379B">
        <w:rPr>
          <w:rFonts w:ascii="Cambria" w:eastAsia="MS Gothic" w:hAnsi="Cambria" w:cs="Times New Roman"/>
          <w:b/>
          <w:bCs/>
          <w:sz w:val="20"/>
          <w:szCs w:val="24"/>
          <w:lang w:eastAsia="fr-FR" w:bidi="fr-FR"/>
        </w:rPr>
        <w:t>), si es aplicable</w:t>
      </w:r>
    </w:p>
    <w:p w14:paraId="18D60EEB" w14:textId="77777777" w:rsidR="009123AC" w:rsidRPr="00F0379B" w:rsidRDefault="009123AC" w:rsidP="009123AC">
      <w:pPr>
        <w:widowControl w:val="0"/>
        <w:spacing w:after="0" w:line="240" w:lineRule="auto"/>
        <w:rPr>
          <w:rFonts w:ascii="Cambria" w:eastAsia="MS Gothic" w:hAnsi="Cambria" w:cs="Times New Roman"/>
          <w:sz w:val="20"/>
          <w:szCs w:val="24"/>
          <w:lang w:eastAsia="fr-FR" w:bidi="fr-FR"/>
        </w:rPr>
      </w:pPr>
    </w:p>
    <w:p w14:paraId="670713A7" w14:textId="77777777" w:rsidR="009123AC" w:rsidRPr="00F0379B" w:rsidRDefault="009123AC" w:rsidP="009123AC">
      <w:pPr>
        <w:widowControl w:val="0"/>
        <w:spacing w:after="0" w:line="240" w:lineRule="auto"/>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No aplicable, Türkiye no cuenta con esta actividad.</w:t>
      </w:r>
    </w:p>
    <w:p w14:paraId="1589D60C" w14:textId="77777777" w:rsidR="009123AC" w:rsidRPr="00F0379B" w:rsidRDefault="009123AC" w:rsidP="009123AC">
      <w:pPr>
        <w:spacing w:after="0" w:line="240" w:lineRule="auto"/>
        <w:rPr>
          <w:rFonts w:ascii="Cambria" w:eastAsia="MS Gothic" w:hAnsi="Cambria" w:cs="Times New Roman"/>
          <w:b/>
          <w:sz w:val="20"/>
          <w:szCs w:val="24"/>
          <w:lang w:eastAsia="fr-FR" w:bidi="fr-FR"/>
        </w:rPr>
      </w:pPr>
    </w:p>
    <w:p w14:paraId="6CA76ABB" w14:textId="77777777" w:rsidR="009123AC" w:rsidRPr="00F0379B" w:rsidRDefault="009123AC" w:rsidP="00CE0EC8">
      <w:pPr>
        <w:widowControl w:val="0"/>
        <w:numPr>
          <w:ilvl w:val="0"/>
          <w:numId w:val="67"/>
        </w:numPr>
        <w:spacing w:after="0" w:line="240" w:lineRule="auto"/>
        <w:ind w:left="426" w:hanging="426"/>
        <w:contextualSpacing/>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Plan de inspección, control y seguimiento</w:t>
      </w:r>
    </w:p>
    <w:p w14:paraId="6DB67879"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 xml:space="preserve"> </w:t>
      </w:r>
    </w:p>
    <w:p w14:paraId="0C38B392" w14:textId="77777777"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r w:rsidRPr="00F0379B">
        <w:rPr>
          <w:rFonts w:ascii="Cambria" w:eastAsia="MS Gothic" w:hAnsi="Cambria" w:cs="Times New Roman"/>
          <w:b/>
          <w:i/>
          <w:sz w:val="20"/>
          <w:szCs w:val="24"/>
          <w:lang w:eastAsia="fr-FR" w:bidi="fr-FR"/>
        </w:rPr>
        <w:t>5 a) Inspección, control y seguimiento de la CPC (párr. 10 c)</w:t>
      </w:r>
    </w:p>
    <w:p w14:paraId="764D9405" w14:textId="77777777" w:rsidR="009123AC" w:rsidRPr="00F0379B" w:rsidRDefault="009123AC" w:rsidP="009123AC">
      <w:pPr>
        <w:widowControl w:val="0"/>
        <w:spacing w:after="0" w:line="240" w:lineRule="auto"/>
        <w:rPr>
          <w:rFonts w:ascii="Cambria" w:eastAsia="MS Gothic" w:hAnsi="Cambria" w:cs="Times New Roman"/>
          <w:color w:val="000000"/>
          <w:sz w:val="20"/>
          <w:szCs w:val="20"/>
          <w:lang w:eastAsia="fr-FR" w:bidi="fr-FR"/>
        </w:rPr>
      </w:pPr>
    </w:p>
    <w:p w14:paraId="1934758F"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 xml:space="preserve">La autoridad competente de control de la CPC y la lista de puntos de contacto designados como responsables de la implementación de este plan de seguimiento, control e inspección se facilita a continuación: </w:t>
      </w:r>
    </w:p>
    <w:p w14:paraId="0C8EBE9A"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5B32D0A4"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Autoridad competente de la CPC: Ministerio de Agricultura y Silvicultura / Dirección general de Pesca y Acuicultura </w:t>
      </w:r>
    </w:p>
    <w:p w14:paraId="477B1458"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57C85BF8"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Lista de puntos de contacto:  </w:t>
      </w:r>
    </w:p>
    <w:p w14:paraId="3C7D176E"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Sr. </w:t>
      </w:r>
      <w:r w:rsidRPr="00F0379B">
        <w:rPr>
          <w:rFonts w:ascii="Cambria" w:eastAsia="MS Gothic" w:hAnsi="Cambria" w:cs="Times New Roman"/>
          <w:sz w:val="20"/>
          <w:szCs w:val="20"/>
          <w:lang w:eastAsia="fr-FR" w:bidi="fr-FR"/>
        </w:rPr>
        <w:t>İlhan ÜZE</w:t>
      </w:r>
      <w:r w:rsidRPr="00F0379B">
        <w:rPr>
          <w:rFonts w:ascii="Cambria" w:eastAsia="MS Gothic" w:hAnsi="Cambria" w:cs="Times New Roman"/>
          <w:color w:val="000000"/>
          <w:sz w:val="20"/>
          <w:szCs w:val="20"/>
          <w:lang w:eastAsia="fr-FR" w:bidi="fr-FR"/>
        </w:rPr>
        <w:t xml:space="preserve">, jefe del departamento, </w:t>
      </w:r>
      <w:hyperlink r:id="rId229" w:history="1">
        <w:proofErr w:type="spellStart"/>
        <w:r w:rsidRPr="00F0379B">
          <w:rPr>
            <w:rFonts w:ascii="Cambria" w:eastAsia="MS Gothic" w:hAnsi="Cambria" w:cs="Times New Roman"/>
            <w:color w:val="0563C1"/>
            <w:sz w:val="20"/>
            <w:szCs w:val="24"/>
            <w:lang w:eastAsia="fr-FR" w:bidi="fr-FR"/>
          </w:rPr>
          <w:t>ilhan.uze</w:t>
        </w:r>
        <w:proofErr w:type="spellEnd"/>
        <w:r w:rsidRPr="00F0379B">
          <w:rPr>
            <w:rFonts w:ascii="Cambria" w:eastAsia="MS Gothic" w:hAnsi="Cambria" w:cs="Times New Roman"/>
            <w:color w:val="0563C1"/>
            <w:sz w:val="20"/>
            <w:szCs w:val="24"/>
            <w:lang w:eastAsia="fr-FR" w:bidi="fr-FR"/>
          </w:rPr>
          <w:t xml:space="preserve"> @tarimorman.gov.tr</w:t>
        </w:r>
      </w:hyperlink>
      <w:r w:rsidRPr="00F0379B">
        <w:rPr>
          <w:rFonts w:ascii="Cambria" w:eastAsia="MS Gothic" w:hAnsi="Cambria" w:cs="Times New Roman"/>
          <w:color w:val="000000"/>
          <w:sz w:val="20"/>
          <w:szCs w:val="20"/>
          <w:lang w:eastAsia="fr-FR" w:bidi="fr-FR"/>
        </w:rPr>
        <w:t xml:space="preserve"> </w:t>
      </w:r>
    </w:p>
    <w:p w14:paraId="25F8A4BD" w14:textId="77777777" w:rsidR="009123AC" w:rsidRPr="00F0379B" w:rsidRDefault="009123AC" w:rsidP="009123AC">
      <w:pPr>
        <w:widowControl w:val="0"/>
        <w:spacing w:after="0" w:line="240" w:lineRule="auto"/>
        <w:jc w:val="both"/>
        <w:rPr>
          <w:rFonts w:ascii="Cambria" w:eastAsia="MS Gothic" w:hAnsi="Cambria" w:cs="Times New Roman"/>
          <w:color w:val="0563C1"/>
          <w:sz w:val="20"/>
          <w:szCs w:val="20"/>
          <w:lang w:eastAsia="fr-FR" w:bidi="fr-FR"/>
        </w:rPr>
      </w:pPr>
      <w:r w:rsidRPr="00F0379B">
        <w:rPr>
          <w:rFonts w:ascii="Cambria" w:eastAsia="MS Gothic" w:hAnsi="Cambria" w:cs="Times New Roman"/>
          <w:color w:val="000000"/>
          <w:sz w:val="20"/>
          <w:szCs w:val="20"/>
          <w:lang w:eastAsia="fr-FR" w:bidi="fr-FR"/>
        </w:rPr>
        <w:t xml:space="preserve">Sr. </w:t>
      </w:r>
      <w:r w:rsidRPr="00F0379B">
        <w:rPr>
          <w:rFonts w:ascii="Cambria" w:eastAsia="MS Gothic" w:hAnsi="Cambria" w:cs="Times New Roman"/>
          <w:sz w:val="20"/>
          <w:szCs w:val="20"/>
          <w:lang w:eastAsia="fr-FR" w:bidi="fr-FR"/>
        </w:rPr>
        <w:t>Hüseyin KARCI</w:t>
      </w:r>
      <w:r w:rsidRPr="00F0379B">
        <w:rPr>
          <w:rFonts w:ascii="Cambria" w:eastAsia="MS Gothic" w:hAnsi="Cambria" w:cs="Times New Roman"/>
          <w:color w:val="000000"/>
          <w:sz w:val="20"/>
          <w:szCs w:val="20"/>
          <w:lang w:eastAsia="fr-FR" w:bidi="fr-FR"/>
        </w:rPr>
        <w:t xml:space="preserve">, coordinador, </w:t>
      </w:r>
      <w:hyperlink r:id="rId230" w:history="1">
        <w:r w:rsidRPr="00F0379B">
          <w:rPr>
            <w:rFonts w:ascii="Cambria" w:eastAsia="MS Gothic" w:hAnsi="Cambria" w:cs="Times New Roman"/>
            <w:color w:val="0563C1"/>
            <w:sz w:val="20"/>
            <w:szCs w:val="24"/>
            <w:lang w:eastAsia="fr-FR" w:bidi="fr-FR"/>
          </w:rPr>
          <w:t>huseyin.karci@tarimorman.gov.tr</w:t>
        </w:r>
      </w:hyperlink>
    </w:p>
    <w:p w14:paraId="4ED4AEF7"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 xml:space="preserve">Sr. </w:t>
      </w:r>
      <w:r w:rsidRPr="00F0379B">
        <w:rPr>
          <w:rFonts w:ascii="Cambria" w:eastAsia="MS Gothic" w:hAnsi="Cambria" w:cs="Times New Roman"/>
          <w:sz w:val="20"/>
          <w:szCs w:val="20"/>
          <w:lang w:eastAsia="fr-FR" w:bidi="fr-FR"/>
        </w:rPr>
        <w:t>Semih SAYIN</w:t>
      </w:r>
      <w:r w:rsidRPr="00F0379B">
        <w:rPr>
          <w:rFonts w:ascii="Cambria" w:eastAsia="MS Gothic" w:hAnsi="Cambria" w:cs="Times New Roman"/>
          <w:color w:val="000000"/>
          <w:sz w:val="20"/>
          <w:szCs w:val="20"/>
          <w:lang w:eastAsia="fr-FR" w:bidi="fr-FR"/>
        </w:rPr>
        <w:t xml:space="preserve">, ingeniero, </w:t>
      </w:r>
      <w:hyperlink r:id="rId231" w:history="1">
        <w:r w:rsidRPr="00F0379B">
          <w:rPr>
            <w:rFonts w:ascii="Cambria" w:eastAsia="MS Gothic" w:hAnsi="Cambria" w:cs="Times New Roman"/>
            <w:color w:val="0563C1"/>
            <w:sz w:val="20"/>
            <w:szCs w:val="24"/>
            <w:lang w:eastAsia="fr-FR" w:bidi="fr-FR"/>
          </w:rPr>
          <w:t>semih.sayin@tarimorman.gov.tr</w:t>
        </w:r>
      </w:hyperlink>
      <w:r w:rsidRPr="00F0379B">
        <w:rPr>
          <w:rFonts w:ascii="Cambria" w:eastAsia="MS Gothic" w:hAnsi="Cambria" w:cs="Times New Roman"/>
          <w:color w:val="000000"/>
          <w:sz w:val="20"/>
          <w:szCs w:val="20"/>
          <w:lang w:eastAsia="fr-FR" w:bidi="fr-FR"/>
        </w:rPr>
        <w:t xml:space="preserve"> </w:t>
      </w:r>
    </w:p>
    <w:p w14:paraId="50491E6F"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ja-JP" w:bidi="fr-FR"/>
        </w:rPr>
      </w:pPr>
    </w:p>
    <w:p w14:paraId="202166F6" w14:textId="77777777" w:rsidR="009123AC" w:rsidRPr="00F0379B" w:rsidRDefault="009123AC" w:rsidP="009123AC">
      <w:pPr>
        <w:widowControl w:val="0"/>
        <w:spacing w:after="0" w:line="240" w:lineRule="auto"/>
        <w:rPr>
          <w:rFonts w:ascii="Cambria" w:eastAsia="MS Gothic" w:hAnsi="Cambria" w:cs="Times New Roman"/>
          <w:i/>
          <w:sz w:val="20"/>
          <w:szCs w:val="24"/>
          <w:lang w:eastAsia="fr-FR" w:bidi="fr-FR"/>
        </w:rPr>
      </w:pPr>
      <w:r w:rsidRPr="00F0379B">
        <w:rPr>
          <w:rFonts w:ascii="Cambria" w:eastAsia="MS Gothic" w:hAnsi="Cambria" w:cs="Times New Roman"/>
          <w:i/>
          <w:sz w:val="20"/>
          <w:szCs w:val="24"/>
          <w:lang w:eastAsia="fr-FR" w:bidi="fr-FR"/>
        </w:rPr>
        <w:t xml:space="preserve">Seguimiento, control e inspección de operaciones de pesca y transferencia de atún rojo del este </w:t>
      </w:r>
    </w:p>
    <w:p w14:paraId="3C77AEA7" w14:textId="77777777" w:rsidR="009123AC" w:rsidRPr="00F0379B" w:rsidRDefault="009123AC" w:rsidP="009123AC">
      <w:pPr>
        <w:widowControl w:val="0"/>
        <w:spacing w:after="0" w:line="240" w:lineRule="auto"/>
        <w:rPr>
          <w:rFonts w:ascii="Cambria" w:eastAsia="MS Gothic" w:hAnsi="Cambria" w:cs="Times New Roman"/>
          <w:sz w:val="20"/>
          <w:szCs w:val="24"/>
          <w:lang w:eastAsia="fr-FR" w:bidi="fr-FR"/>
        </w:rPr>
      </w:pPr>
    </w:p>
    <w:p w14:paraId="56741ADA"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Todos los buques estarán equipados con un sistema de seguimiento de buques (VMS) operativo y serán objeto de seguimiento a través de este. Continuará utilizándose durante toda la campaña de pesca el Centro de seguimiento de la pesca (FMC) operado por el ministerio.</w:t>
      </w:r>
      <w:r w:rsidRPr="00F0379B">
        <w:rPr>
          <w:rFonts w:ascii="Times New Roman" w:eastAsia="MS Gothic" w:hAnsi="Times New Roman" w:cs="Times New Roman"/>
          <w:color w:val="000000"/>
          <w:sz w:val="24"/>
          <w:szCs w:val="24"/>
          <w:lang w:eastAsia="fr-FR" w:bidi="fr-FR"/>
        </w:rPr>
        <w:t xml:space="preserve">         </w:t>
      </w:r>
    </w:p>
    <w:p w14:paraId="3F370366"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3C8A309A"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En colaboración con el Comando de la Guardia costera de Türkiye (TCGC), el MoAF garantizará una cobertura de inspección exhaustiva en el mar durante la temporada de pesca de atún rojo del este de 2026. A este efecto, el MoAF encargará al buque de investigación </w:t>
      </w:r>
      <w:proofErr w:type="spellStart"/>
      <w:r w:rsidRPr="00F0379B">
        <w:rPr>
          <w:rFonts w:ascii="Cambria" w:eastAsia="MS Gothic" w:hAnsi="Cambria" w:cs="Times New Roman"/>
          <w:sz w:val="20"/>
          <w:szCs w:val="24"/>
          <w:lang w:eastAsia="fr-FR" w:bidi="fr-FR"/>
        </w:rPr>
        <w:t>autodyne</w:t>
      </w:r>
      <w:proofErr w:type="spellEnd"/>
      <w:r w:rsidRPr="00F0379B">
        <w:rPr>
          <w:rFonts w:ascii="Cambria" w:eastAsia="MS Gothic" w:hAnsi="Cambria" w:cs="Times New Roman"/>
          <w:sz w:val="20"/>
          <w:szCs w:val="24"/>
          <w:lang w:eastAsia="fr-FR" w:bidi="fr-FR"/>
        </w:rPr>
        <w:t xml:space="preserve">, AKDENİZ ARAŞTIRMA 1, que realice inspecciones en el mar.    </w:t>
      </w:r>
    </w:p>
    <w:p w14:paraId="1C7767E7" w14:textId="77777777" w:rsidR="009123AC" w:rsidRPr="00F0379B" w:rsidRDefault="009123AC" w:rsidP="009123AC">
      <w:pPr>
        <w:widowControl w:val="0"/>
        <w:spacing w:after="0" w:line="240" w:lineRule="auto"/>
        <w:rPr>
          <w:rFonts w:ascii="Cambria" w:eastAsia="MS Gothic" w:hAnsi="Cambria" w:cs="Times New Roman"/>
          <w:sz w:val="20"/>
          <w:szCs w:val="24"/>
          <w:lang w:eastAsia="fr-FR" w:bidi="fr-FR"/>
        </w:rPr>
      </w:pPr>
    </w:p>
    <w:p w14:paraId="2BD9C83C"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Se garantizará un seguimiento, control e inspección continuos en puertos de desembarque potencialmente activos mediante la asignación de inspectores del MoAF. Además, el MoAF seguirá realizando inspecciones aleatorias incluso antes o después de la temporada de pesca en los puertos de desembarque, los vehículos de transporte y los mercados de pescado para comprobar y consignar cualquier desembarque, transporte o almacenaje de atún rojo del este. </w:t>
      </w:r>
    </w:p>
    <w:p w14:paraId="5CE36BEE"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1BB063E7"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En el marco de las inspecciones anuales planificadas que realizarán el MoAF y el TCGC en aguas territoriales se inspeccionarán las pesquerías artesanales, costeras, deportivas y de recreo. </w:t>
      </w:r>
    </w:p>
    <w:p w14:paraId="58F5519C"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5648AC75"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Si la grabación de vídeo no cumple las normas mínimas el operador donante realizará una o varias transferencias voluntarias y el MoAF ordenará una transferencia de control en caso de que se determine que el número de peces que se están transfiriendo no puede ser estimado mediante transferencias voluntarias.      </w:t>
      </w:r>
    </w:p>
    <w:p w14:paraId="3D0CD5BA"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  </w:t>
      </w:r>
    </w:p>
    <w:p w14:paraId="30701684" w14:textId="77777777" w:rsidR="009123AC" w:rsidRPr="00F0379B" w:rsidRDefault="009123AC" w:rsidP="009123AC">
      <w:pPr>
        <w:widowControl w:val="0"/>
        <w:spacing w:after="0" w:line="240" w:lineRule="auto"/>
        <w:rPr>
          <w:rFonts w:ascii="Cambria" w:eastAsia="MS Gothic" w:hAnsi="Cambria" w:cs="Times New Roman"/>
          <w:i/>
          <w:sz w:val="20"/>
          <w:szCs w:val="24"/>
          <w:lang w:eastAsia="fr-FR" w:bidi="fr-FR"/>
        </w:rPr>
      </w:pPr>
      <w:r w:rsidRPr="00F0379B">
        <w:rPr>
          <w:rFonts w:ascii="Cambria" w:eastAsia="MS Gothic" w:hAnsi="Cambria" w:cs="Times New Roman"/>
          <w:i/>
          <w:sz w:val="20"/>
          <w:szCs w:val="24"/>
          <w:lang w:eastAsia="fr-FR" w:bidi="fr-FR"/>
        </w:rPr>
        <w:t>Seguimiento, control e inspección de operaciones de introducción en jaulas de atún rojo del este</w:t>
      </w:r>
    </w:p>
    <w:p w14:paraId="571C868A"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7C624BFF" w14:textId="0FFB830A"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Los inspectores del MoAF controlarán regularmente la implementación adecuada de los programas de introducción en jaulas en las granjas. Todas las transferencias desde los remolcadores a las jaulas a la granja serán objeto de seguimiento mediante cámaras estereoscópicas y cámaras convencionales y las grabaciones de cada transferencia se facilitarán al MoAF para su evaluación. El operador de la granja comunicará los resultados del programa de introducción en jaulas al inspector ministerial y al observador regional de ICCAT. Dichos resultados se comunicarán también a la CPC de captura, cuando proceda.</w:t>
      </w:r>
    </w:p>
    <w:p w14:paraId="0494BEFE" w14:textId="77777777" w:rsidR="00B51D10" w:rsidRPr="00F0379B" w:rsidRDefault="00B51D10" w:rsidP="009123AC">
      <w:pPr>
        <w:widowControl w:val="0"/>
        <w:spacing w:after="0" w:line="240" w:lineRule="auto"/>
        <w:jc w:val="both"/>
        <w:rPr>
          <w:rFonts w:ascii="Cambria" w:eastAsia="MS Gothic" w:hAnsi="Cambria" w:cs="Times New Roman"/>
          <w:sz w:val="20"/>
          <w:szCs w:val="24"/>
          <w:lang w:eastAsia="fr-FR" w:bidi="fr-FR"/>
        </w:rPr>
      </w:pPr>
    </w:p>
    <w:p w14:paraId="620A7D1B"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De conformidad con las disposiciones relacionada de la Rec. 25-04, los operadores de las granjas podrán traspasar el atún rojo no sacrificado antes del inicio de la temporada de pesca de 2026 mediante transferencias de evaluación del traspaso de atunes rojos no sacrificados a otra jaula vacía utilizando cámaras estereoscópicas de control. La evaluación del traspaso se realizará en presencia de inspectores ministeriales y se comunicará a ICCAT. La declaración de traspaso se transmitirá como anexo al plan de ordenación de la cría revisado en los 15 días posteriores al fin de la ordenación de evaluación.   </w:t>
      </w:r>
    </w:p>
    <w:p w14:paraId="476E5E3C" w14:textId="77777777" w:rsidR="009123AC" w:rsidRPr="00F0379B" w:rsidRDefault="009123AC" w:rsidP="009123AC">
      <w:pPr>
        <w:spacing w:after="0" w:line="240" w:lineRule="auto"/>
        <w:rPr>
          <w:rFonts w:ascii="Cambria" w:eastAsia="MS Gothic" w:hAnsi="Cambria" w:cs="Times New Roman"/>
          <w:sz w:val="20"/>
          <w:szCs w:val="24"/>
          <w:lang w:eastAsia="fr-FR" w:bidi="fr-FR"/>
        </w:rPr>
      </w:pPr>
    </w:p>
    <w:p w14:paraId="7021ED13"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Como se ha indicado en la sección 3 anterior, el MoAF realizará controles aleatorios en cada una de las granjas antes de la primera introducción en jaulas de 2026, de conformidad con los procedimientos establecidos en los párrafos 211-218 de la Rec. 25-04.   </w:t>
      </w:r>
    </w:p>
    <w:p w14:paraId="6090E477"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31999F18" w14:textId="77777777" w:rsidR="009123AC" w:rsidRPr="00F0379B" w:rsidRDefault="009123AC" w:rsidP="009123AC">
      <w:pPr>
        <w:widowControl w:val="0"/>
        <w:tabs>
          <w:tab w:val="left" w:pos="426"/>
        </w:tabs>
        <w:spacing w:after="0" w:line="240" w:lineRule="auto"/>
        <w:rPr>
          <w:rFonts w:ascii="Cambria" w:eastAsia="MS Gothic" w:hAnsi="Cambria" w:cs="Times New Roman"/>
          <w:b/>
          <w:i/>
          <w:iCs/>
          <w:sz w:val="20"/>
          <w:szCs w:val="20"/>
          <w:lang w:eastAsia="fr-FR" w:bidi="fr-FR"/>
        </w:rPr>
      </w:pPr>
      <w:r w:rsidRPr="00F0379B">
        <w:rPr>
          <w:rFonts w:ascii="Cambria" w:eastAsia="MS Gothic" w:hAnsi="Cambria" w:cs="Times New Roman"/>
          <w:b/>
          <w:i/>
          <w:iCs/>
          <w:sz w:val="20"/>
          <w:szCs w:val="24"/>
          <w:lang w:eastAsia="fr-FR" w:bidi="fr-FR"/>
        </w:rPr>
        <w:t>5 b)</w:t>
      </w:r>
      <w:r w:rsidRPr="00F0379B">
        <w:rPr>
          <w:rFonts w:ascii="Cambria" w:eastAsia="MS Gothic" w:hAnsi="Cambria" w:cs="Times New Roman"/>
          <w:b/>
          <w:i/>
          <w:iCs/>
          <w:sz w:val="20"/>
          <w:szCs w:val="24"/>
          <w:lang w:eastAsia="fr-FR" w:bidi="fr-FR"/>
        </w:rPr>
        <w:tab/>
        <w:t>Programa conjunto de Inspección internacional (párrs. 232-235)</w:t>
      </w:r>
    </w:p>
    <w:p w14:paraId="6D792AD7" w14:textId="77777777"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p>
    <w:p w14:paraId="5C6D731D"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Türkiye tiene previsto continuar en 2026 con su participación voluntaria de larga data en el Programa conjunto de inspección internacional. En este sentido, el Comando de la Guardia costera de Türkiye (TCGC) tiene previsto designar 77 buques de inspección, 17 aeronaves de control (aviones/helicópteros) y 394 inspectores sobre el terreno durante la campaña de pesca de atún rojo del este de 2026. Además, el Comando de la Marina de Türkiye debe unirse al programa de inspección en 2026, asignando 47 buques de inspección y 132 inspectores durante la campaña de pesca de atún rojo del este de 2026. Además, el MoAF tiene previsto incluir a unos 150 inspectores ministeriales en el Programa conjunto de inspección durante la campaña. </w:t>
      </w:r>
    </w:p>
    <w:p w14:paraId="6DE606DC"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2CA21245"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Además, un buque de inspección adicional, el AKDENİZ ARAŞTIRMA 1, asignado por el MoAF participará también en las actividades de inspección en la región en el marco del Programa conjunto ICCAT de inspección internacional.</w:t>
      </w:r>
    </w:p>
    <w:p w14:paraId="60A3ADB7"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024C3EB8"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Basándose en un enfoque de análisis del riesgo, las localizaciones en las que se concentraron mayoritariamente los buques pesqueros en temporadas anteriores serán el centro de atención previsto en 2026. En este contexto, las actividades de pesca y transferencia de atún rojo del este (BFT-E), así como las actividades de pesca de pez espada del Mediterráneo seguirán siendo inspeccionadas de manera regular a lo largo de la próxima temporada de pesca. </w:t>
      </w:r>
    </w:p>
    <w:p w14:paraId="420EC846"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4C25FE72"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Los registros de las señales de VMS serán objeto de seguimiento regular en las sedes del MoAF y en el Centro principal de operaciones de la Guardia costera en Ankara, así como en los centros regionales de operaciones del TCGC. </w:t>
      </w:r>
    </w:p>
    <w:p w14:paraId="689F4429"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4106D68D"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El TCGC tendrá en cuenta los probables datos de posición de los buques pesqueros que se obtendrán a partir del VMS durante las inspecciones de ICCAT.</w:t>
      </w:r>
    </w:p>
    <w:p w14:paraId="3E61AA27"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43C96638"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Las inspecciones se llevarán a cabo en aguas territoriales de Türkiye, en alta mar en el Mediterráneo y en alta mar en el mar Egeo. Las inspecciones ICCAT realizadas por activos del TCGC se llevarán a cabo durante toda la temporada de pesca de atún rojo del este (BFT-E).</w:t>
      </w:r>
    </w:p>
    <w:p w14:paraId="20635A32"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p>
    <w:p w14:paraId="1E880091"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Los medios de las inspecciones en el mar se desplegarán principalmente en los caladeros de atún rojo del este y de pez espada del Mediterráneo, que se determinarán en base a los datos de la evaluación del riesgo de 2025. </w:t>
      </w:r>
    </w:p>
    <w:p w14:paraId="731E066F" w14:textId="77777777" w:rsidR="009123AC" w:rsidRPr="00F0379B" w:rsidRDefault="009123AC" w:rsidP="009123AC">
      <w:pPr>
        <w:spacing w:after="0" w:line="240" w:lineRule="auto"/>
        <w:rPr>
          <w:rFonts w:ascii="Cambria" w:eastAsia="MS Gothic" w:hAnsi="Cambria" w:cs="Times New Roman"/>
          <w:b/>
          <w:sz w:val="20"/>
          <w:szCs w:val="24"/>
          <w:lang w:eastAsia="fr-FR" w:bidi="fr-FR"/>
        </w:rPr>
      </w:pPr>
    </w:p>
    <w:p w14:paraId="61E9BC12" w14:textId="77777777" w:rsidR="009123AC" w:rsidRPr="00F0379B" w:rsidRDefault="009123AC" w:rsidP="00CE0EC8">
      <w:pPr>
        <w:widowControl w:val="0"/>
        <w:numPr>
          <w:ilvl w:val="0"/>
          <w:numId w:val="67"/>
        </w:numPr>
        <w:spacing w:after="0" w:line="240" w:lineRule="auto"/>
        <w:ind w:left="426" w:hanging="426"/>
        <w:contextualSpacing/>
        <w:jc w:val="both"/>
        <w:rPr>
          <w:rFonts w:ascii="Cambria" w:eastAsia="MS Gothic" w:hAnsi="Cambria" w:cs="Times New Roman"/>
          <w:b/>
          <w:sz w:val="20"/>
          <w:szCs w:val="24"/>
          <w:lang w:eastAsia="fr-FR" w:bidi="fr-FR"/>
        </w:rPr>
      </w:pPr>
      <w:r w:rsidRPr="00F0379B">
        <w:rPr>
          <w:rFonts w:ascii="Cambria" w:eastAsia="MS Gothic" w:hAnsi="Cambria" w:cs="Times New Roman"/>
          <w:b/>
          <w:sz w:val="20"/>
          <w:szCs w:val="24"/>
          <w:lang w:eastAsia="fr-FR" w:bidi="fr-FR"/>
        </w:rPr>
        <w:t>Otros</w:t>
      </w:r>
    </w:p>
    <w:p w14:paraId="5EE0E02B" w14:textId="77777777" w:rsidR="009123AC" w:rsidRPr="00F0379B" w:rsidRDefault="009123AC" w:rsidP="009123AC">
      <w:pPr>
        <w:widowControl w:val="0"/>
        <w:tabs>
          <w:tab w:val="left" w:pos="426"/>
        </w:tabs>
        <w:spacing w:after="0" w:line="240" w:lineRule="auto"/>
        <w:jc w:val="both"/>
        <w:rPr>
          <w:rFonts w:ascii="Cambria" w:eastAsia="Aptos" w:hAnsi="Cambria" w:cs="Times New Roman"/>
          <w:kern w:val="2"/>
          <w:sz w:val="20"/>
          <w:szCs w:val="24"/>
          <w14:ligatures w14:val="standardContextual"/>
        </w:rPr>
      </w:pPr>
    </w:p>
    <w:p w14:paraId="7404C575" w14:textId="77777777" w:rsidR="009123AC" w:rsidRPr="00F0379B" w:rsidRDefault="009123AC" w:rsidP="009123AC">
      <w:pPr>
        <w:widowControl w:val="0"/>
        <w:tabs>
          <w:tab w:val="left" w:pos="426"/>
        </w:tabs>
        <w:spacing w:after="0" w:line="240" w:lineRule="auto"/>
        <w:jc w:val="both"/>
        <w:rPr>
          <w:rFonts w:ascii="Cambria" w:eastAsia="Aptos" w:hAnsi="Cambria" w:cs="Times New Roman"/>
          <w:kern w:val="2"/>
          <w:sz w:val="20"/>
          <w:szCs w:val="24"/>
          <w14:ligatures w14:val="standardContextual"/>
        </w:rPr>
      </w:pPr>
      <w:r w:rsidRPr="00F0379B">
        <w:rPr>
          <w:rFonts w:ascii="Cambria" w:eastAsia="Aptos" w:hAnsi="Cambria" w:cs="Times New Roman"/>
          <w:kern w:val="2"/>
          <w:sz w:val="20"/>
          <w:szCs w:val="24"/>
          <w14:ligatures w14:val="standardContextual"/>
        </w:rPr>
        <w:t>Türkiye seguirá apoyando el programa GBYP de ICCAT.</w:t>
      </w:r>
    </w:p>
    <w:p w14:paraId="761812A9" w14:textId="77777777" w:rsidR="009123AC" w:rsidRPr="00F0379B" w:rsidRDefault="009123AC" w:rsidP="009123AC">
      <w:pPr>
        <w:widowControl w:val="0"/>
        <w:tabs>
          <w:tab w:val="left" w:pos="426"/>
        </w:tabs>
        <w:spacing w:after="0" w:line="240" w:lineRule="auto"/>
        <w:jc w:val="both"/>
        <w:rPr>
          <w:rFonts w:ascii="Cambria" w:eastAsia="Aptos" w:hAnsi="Cambria" w:cs="Times New Roman"/>
          <w:kern w:val="2"/>
          <w:sz w:val="20"/>
          <w:szCs w:val="24"/>
          <w14:ligatures w14:val="standardContextual"/>
        </w:rPr>
      </w:pPr>
    </w:p>
    <w:p w14:paraId="1490D2A9" w14:textId="77777777" w:rsidR="009123AC" w:rsidRPr="00F0379B" w:rsidRDefault="009123AC" w:rsidP="009123AC">
      <w:pPr>
        <w:widowControl w:val="0"/>
        <w:tabs>
          <w:tab w:val="left" w:pos="426"/>
        </w:tabs>
        <w:spacing w:after="0" w:line="240" w:lineRule="auto"/>
        <w:jc w:val="both"/>
        <w:rPr>
          <w:rFonts w:ascii="Cambria" w:eastAsia="Aptos" w:hAnsi="Cambria" w:cs="Times New Roman"/>
          <w:kern w:val="2"/>
          <w:sz w:val="20"/>
          <w:szCs w:val="24"/>
          <w14:ligatures w14:val="standardContextual"/>
        </w:rPr>
      </w:pPr>
      <w:r w:rsidRPr="00F0379B">
        <w:rPr>
          <w:rFonts w:ascii="Cambria" w:eastAsia="Aptos" w:hAnsi="Cambria" w:cs="Times New Roman"/>
          <w:kern w:val="2"/>
          <w:sz w:val="20"/>
          <w:szCs w:val="24"/>
          <w14:ligatures w14:val="standardContextual"/>
        </w:rPr>
        <w:t xml:space="preserve">Está previsto seguir realizando actividades en el marco del proyecto de investigación denominado </w:t>
      </w:r>
      <w:r w:rsidRPr="00F0379B">
        <w:rPr>
          <w:rFonts w:ascii="Cambria" w:eastAsia="Aptos" w:hAnsi="Cambria" w:cs="Times New Roman"/>
          <w:i/>
          <w:iCs/>
          <w:kern w:val="2"/>
          <w:sz w:val="20"/>
          <w:szCs w:val="24"/>
          <w14:ligatures w14:val="standardContextual"/>
        </w:rPr>
        <w:t>Investigación de los comportamientos reproductivos y migratorios de los túnidos del Atlántico (</w:t>
      </w:r>
      <w:proofErr w:type="spellStart"/>
      <w:r w:rsidRPr="00F0379B">
        <w:rPr>
          <w:rFonts w:ascii="Cambria" w:eastAsia="Aptos" w:hAnsi="Cambria" w:cs="Times New Roman"/>
          <w:i/>
          <w:iCs/>
          <w:kern w:val="2"/>
          <w:sz w:val="20"/>
          <w:szCs w:val="24"/>
          <w14:ligatures w14:val="standardContextual"/>
        </w:rPr>
        <w:t>Thunnus</w:t>
      </w:r>
      <w:proofErr w:type="spellEnd"/>
      <w:r w:rsidRPr="00F0379B">
        <w:rPr>
          <w:rFonts w:ascii="Cambria" w:eastAsia="Aptos" w:hAnsi="Cambria" w:cs="Times New Roman"/>
          <w:i/>
          <w:iCs/>
          <w:kern w:val="2"/>
          <w:sz w:val="20"/>
          <w:szCs w:val="24"/>
          <w14:ligatures w14:val="standardContextual"/>
        </w:rPr>
        <w:t xml:space="preserve"> </w:t>
      </w:r>
      <w:proofErr w:type="spellStart"/>
      <w:r w:rsidRPr="00F0379B">
        <w:rPr>
          <w:rFonts w:ascii="Cambria" w:eastAsia="Aptos" w:hAnsi="Cambria" w:cs="Times New Roman"/>
          <w:i/>
          <w:iCs/>
          <w:kern w:val="2"/>
          <w:sz w:val="20"/>
          <w:szCs w:val="24"/>
          <w14:ligatures w14:val="standardContextual"/>
        </w:rPr>
        <w:t>thynnus</w:t>
      </w:r>
      <w:proofErr w:type="spellEnd"/>
      <w:r w:rsidRPr="00F0379B">
        <w:rPr>
          <w:rFonts w:ascii="Cambria" w:eastAsia="Aptos" w:hAnsi="Cambria" w:cs="Times New Roman"/>
          <w:i/>
          <w:iCs/>
          <w:kern w:val="2"/>
          <w:sz w:val="20"/>
          <w:szCs w:val="24"/>
          <w14:ligatures w14:val="standardContextual"/>
        </w:rPr>
        <w:t>) que crían en el Mediterráneo oriental (I. Periodo) (TAGEM/HAYSUD/T1/24/A7/P1/7275)</w:t>
      </w:r>
      <w:r w:rsidRPr="00F0379B">
        <w:rPr>
          <w:rFonts w:ascii="Cambria" w:eastAsia="Aptos" w:hAnsi="Cambria" w:cs="Times New Roman"/>
          <w:kern w:val="2"/>
          <w:sz w:val="20"/>
          <w:szCs w:val="24"/>
          <w14:ligatures w14:val="standardContextual"/>
        </w:rPr>
        <w:t xml:space="preserve"> en cooperación con varias universidades, entre 2024-2028. </w:t>
      </w:r>
    </w:p>
    <w:p w14:paraId="12EE5B37" w14:textId="77777777" w:rsidR="009123AC" w:rsidRPr="00F0379B" w:rsidRDefault="009123AC" w:rsidP="009123AC">
      <w:pPr>
        <w:widowControl w:val="0"/>
        <w:tabs>
          <w:tab w:val="left" w:pos="426"/>
        </w:tabs>
        <w:spacing w:after="0" w:line="240" w:lineRule="auto"/>
        <w:jc w:val="both"/>
        <w:rPr>
          <w:rFonts w:ascii="Cambria" w:eastAsia="MS Gothic" w:hAnsi="Cambria" w:cs="Times New Roman"/>
          <w:sz w:val="20"/>
          <w:szCs w:val="24"/>
          <w:lang w:eastAsia="fr-FR" w:bidi="fr-FR"/>
        </w:rPr>
      </w:pPr>
    </w:p>
    <w:p w14:paraId="5D2DFAD6" w14:textId="77777777" w:rsidR="009123AC" w:rsidRPr="00F0379B" w:rsidRDefault="009123AC" w:rsidP="009123AC">
      <w:pPr>
        <w:widowControl w:val="0"/>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 xml:space="preserve">En este proyecto de investigación se llevarán a cabo prospecciones de </w:t>
      </w:r>
      <w:proofErr w:type="spellStart"/>
      <w:r w:rsidRPr="00F0379B">
        <w:rPr>
          <w:rFonts w:ascii="Cambria" w:eastAsia="MS Gothic" w:hAnsi="Cambria" w:cs="Times New Roman"/>
          <w:sz w:val="20"/>
          <w:szCs w:val="24"/>
          <w:lang w:eastAsia="fr-FR" w:bidi="fr-FR"/>
        </w:rPr>
        <w:t>ictioplancton</w:t>
      </w:r>
      <w:proofErr w:type="spellEnd"/>
      <w:r w:rsidRPr="00F0379B">
        <w:rPr>
          <w:rFonts w:ascii="Cambria" w:eastAsia="MS Gothic" w:hAnsi="Cambria" w:cs="Times New Roman"/>
          <w:sz w:val="20"/>
          <w:szCs w:val="24"/>
          <w:lang w:eastAsia="fr-FR" w:bidi="fr-FR"/>
        </w:rPr>
        <w:t xml:space="preserve"> para determinar las zonas de desove y la biomasa reproductora del stock de concentraciones de reproductores en el Mediterráneo oriental.</w:t>
      </w:r>
    </w:p>
    <w:p w14:paraId="47FCC3E0" w14:textId="77777777" w:rsidR="009123AC" w:rsidRPr="00F0379B" w:rsidRDefault="009123AC" w:rsidP="009123AC">
      <w:pPr>
        <w:widowControl w:val="0"/>
        <w:tabs>
          <w:tab w:val="left" w:pos="426"/>
        </w:tabs>
        <w:spacing w:after="0" w:line="240" w:lineRule="auto"/>
        <w:jc w:val="both"/>
        <w:rPr>
          <w:rFonts w:ascii="Cambria" w:eastAsia="MS Gothic" w:hAnsi="Cambria" w:cs="Times New Roman"/>
          <w:sz w:val="20"/>
          <w:szCs w:val="24"/>
          <w:lang w:eastAsia="fr-FR" w:bidi="fr-FR"/>
        </w:rPr>
      </w:pPr>
    </w:p>
    <w:p w14:paraId="46F343F0" w14:textId="77777777" w:rsidR="009123AC" w:rsidRPr="00F0379B" w:rsidRDefault="009123AC" w:rsidP="009123AC">
      <w:pPr>
        <w:widowControl w:val="0"/>
        <w:tabs>
          <w:tab w:val="left" w:pos="426"/>
        </w:tabs>
        <w:spacing w:after="0" w:line="240" w:lineRule="auto"/>
        <w:jc w:val="both"/>
        <w:rPr>
          <w:rFonts w:ascii="Cambria" w:eastAsia="MS Gothic" w:hAnsi="Cambria" w:cs="Times New Roman"/>
          <w:sz w:val="20"/>
          <w:szCs w:val="24"/>
          <w:lang w:eastAsia="fr-FR" w:bidi="fr-FR"/>
        </w:rPr>
      </w:pPr>
      <w:r w:rsidRPr="00F0379B">
        <w:rPr>
          <w:rFonts w:ascii="Cambria" w:eastAsia="MS Gothic" w:hAnsi="Cambria" w:cs="Times New Roman"/>
          <w:sz w:val="20"/>
          <w:szCs w:val="24"/>
          <w:lang w:eastAsia="fr-FR" w:bidi="fr-FR"/>
        </w:rPr>
        <w:t>Estas prospecciones continuarán en 2026.</w:t>
      </w:r>
    </w:p>
    <w:p w14:paraId="7D8226AD" w14:textId="77777777" w:rsidR="009123AC" w:rsidRPr="00F0379B" w:rsidRDefault="009123AC" w:rsidP="009123AC">
      <w:pPr>
        <w:widowControl w:val="0"/>
        <w:tabs>
          <w:tab w:val="left" w:pos="426"/>
        </w:tabs>
        <w:spacing w:after="0" w:line="240" w:lineRule="auto"/>
        <w:jc w:val="both"/>
        <w:rPr>
          <w:rFonts w:ascii="Cambria" w:eastAsia="MS Gothic" w:hAnsi="Cambria" w:cs="Times New Roman"/>
          <w:sz w:val="20"/>
          <w:szCs w:val="24"/>
          <w:lang w:eastAsia="fr-FR" w:bidi="fr-FR"/>
        </w:rPr>
      </w:pPr>
    </w:p>
    <w:p w14:paraId="0512A88C" w14:textId="77777777" w:rsidR="009123AC" w:rsidRPr="00F0379B" w:rsidRDefault="009123AC" w:rsidP="009123AC">
      <w:pPr>
        <w:widowControl w:val="0"/>
        <w:tabs>
          <w:tab w:val="left" w:pos="426"/>
        </w:tabs>
        <w:spacing w:after="0" w:line="240" w:lineRule="auto"/>
        <w:jc w:val="both"/>
        <w:rPr>
          <w:rFonts w:ascii="Cambria" w:eastAsia="MS Gothic" w:hAnsi="Cambria" w:cs="Times New Roman"/>
          <w:i/>
          <w:sz w:val="20"/>
          <w:szCs w:val="20"/>
        </w:rPr>
        <w:sectPr w:rsidR="009123AC" w:rsidRPr="00F0379B" w:rsidSect="009123AC">
          <w:headerReference w:type="default" r:id="rId232"/>
          <w:footerReference w:type="default" r:id="rId233"/>
          <w:footnotePr>
            <w:numRestart w:val="eachSect"/>
          </w:footnotePr>
          <w:pgSz w:w="11906" w:h="16838" w:code="9"/>
          <w:pgMar w:top="1418" w:right="1418" w:bottom="1418" w:left="1418" w:header="851" w:footer="1134" w:gutter="0"/>
          <w:cols w:space="425"/>
          <w:docGrid w:linePitch="360"/>
        </w:sectPr>
      </w:pPr>
      <w:r w:rsidRPr="00F0379B">
        <w:rPr>
          <w:rFonts w:ascii="Cambria" w:eastAsia="Aptos" w:hAnsi="Cambria" w:cs="Times New Roman"/>
          <w:kern w:val="2"/>
          <w:sz w:val="20"/>
          <w:szCs w:val="24"/>
          <w14:ligatures w14:val="standardContextual"/>
        </w:rPr>
        <w:t>Está previsto realizar un programa de marcado como parte de las actividades de investigación del Programa de investigación sobre atún rojo para todo el Atlántico (ICCAT GBYP)</w:t>
      </w:r>
      <w:r w:rsidRPr="00F0379B">
        <w:rPr>
          <w:rFonts w:ascii="Cambria" w:eastAsia="MS Gothic" w:hAnsi="Cambria" w:cs="Times New Roman"/>
          <w:sz w:val="20"/>
          <w:szCs w:val="24"/>
        </w:rPr>
        <w:t>.</w:t>
      </w:r>
    </w:p>
    <w:p w14:paraId="37D8B357" w14:textId="77777777" w:rsidR="009123AC" w:rsidRPr="00F0379B" w:rsidRDefault="009123AC" w:rsidP="009123AC">
      <w:pPr>
        <w:spacing w:after="0" w:line="240" w:lineRule="auto"/>
        <w:rPr>
          <w:rFonts w:ascii="Cambria" w:eastAsia="Aptos" w:hAnsi="Cambria" w:cs="Times New Roman"/>
          <w:b/>
          <w:bCs/>
          <w:iCs/>
          <w:kern w:val="2"/>
          <w:sz w:val="20"/>
          <w:szCs w:val="20"/>
          <w14:ligatures w14:val="standardContextual"/>
        </w:rPr>
      </w:pPr>
      <w:r w:rsidRPr="00F0379B">
        <w:rPr>
          <w:rFonts w:ascii="Cambria" w:eastAsia="Aptos" w:hAnsi="Cambria" w:cs="Times New Roman"/>
          <w:b/>
          <w:bCs/>
          <w:iCs/>
          <w:kern w:val="2"/>
          <w:sz w:val="20"/>
          <w:szCs w:val="20"/>
          <w14:ligatures w14:val="standardContextual"/>
        </w:rPr>
        <w:t>Tabla de capacidad</w:t>
      </w:r>
    </w:p>
    <w:tbl>
      <w:tblPr>
        <w:tblW w:w="51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1674"/>
        <w:gridCol w:w="583"/>
        <w:gridCol w:w="583"/>
        <w:gridCol w:w="583"/>
        <w:gridCol w:w="583"/>
        <w:gridCol w:w="583"/>
        <w:gridCol w:w="583"/>
        <w:gridCol w:w="635"/>
        <w:gridCol w:w="257"/>
        <w:gridCol w:w="583"/>
        <w:gridCol w:w="609"/>
        <w:gridCol w:w="610"/>
        <w:gridCol w:w="925"/>
        <w:gridCol w:w="873"/>
        <w:gridCol w:w="693"/>
        <w:gridCol w:w="852"/>
      </w:tblGrid>
      <w:tr w:rsidR="009123AC" w:rsidRPr="00F0379B" w14:paraId="66901898" w14:textId="77777777" w:rsidTr="00CA749B">
        <w:trPr>
          <w:trHeight w:val="24"/>
        </w:trPr>
        <w:tc>
          <w:tcPr>
            <w:tcW w:w="1085" w:type="pct"/>
            <w:noWrap/>
            <w:vAlign w:val="center"/>
            <w:hideMark/>
          </w:tcPr>
          <w:p w14:paraId="0F64D817" w14:textId="77777777" w:rsidR="009123AC" w:rsidRPr="00F0379B" w:rsidRDefault="009123AC" w:rsidP="009123AC">
            <w:pPr>
              <w:keepNext/>
              <w:spacing w:after="0" w:line="240" w:lineRule="auto"/>
              <w:jc w:val="center"/>
              <w:outlineLvl w:val="1"/>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Tipo de buque atunero</w:t>
            </w:r>
          </w:p>
        </w:tc>
        <w:tc>
          <w:tcPr>
            <w:tcW w:w="585" w:type="pct"/>
            <w:noWrap/>
            <w:vAlign w:val="center"/>
            <w:hideMark/>
          </w:tcPr>
          <w:p w14:paraId="2AC2A8C6"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612" w:type="pct"/>
            <w:gridSpan w:val="3"/>
          </w:tcPr>
          <w:p w14:paraId="08D1732C" w14:textId="77777777" w:rsidR="009123AC" w:rsidRPr="00F0379B" w:rsidRDefault="009123AC" w:rsidP="009123AC">
            <w:pPr>
              <w:spacing w:after="0" w:line="240" w:lineRule="auto"/>
              <w:jc w:val="center"/>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Años de referencia</w:t>
            </w:r>
          </w:p>
        </w:tc>
        <w:tc>
          <w:tcPr>
            <w:tcW w:w="834" w:type="pct"/>
            <w:gridSpan w:val="4"/>
            <w:vAlign w:val="center"/>
          </w:tcPr>
          <w:p w14:paraId="663C1E26" w14:textId="77777777" w:rsidR="009123AC" w:rsidRPr="00F0379B" w:rsidRDefault="009123AC" w:rsidP="009123AC">
            <w:pPr>
              <w:spacing w:after="0" w:line="240" w:lineRule="auto"/>
              <w:jc w:val="center"/>
              <w:rPr>
                <w:rFonts w:ascii="Cambria" w:eastAsia="Times New Roman" w:hAnsi="Cambria" w:cs="Times New Roman"/>
                <w:sz w:val="16"/>
                <w:szCs w:val="16"/>
                <w:lang w:eastAsia="fr-FR" w:bidi="fr-FR"/>
              </w:rPr>
            </w:pPr>
            <w:r w:rsidRPr="00F0379B">
              <w:rPr>
                <w:rFonts w:ascii="Cambria" w:eastAsia="MS Gothic" w:hAnsi="Cambria" w:cs="Times New Roman"/>
                <w:i/>
                <w:sz w:val="16"/>
                <w:szCs w:val="16"/>
                <w:lang w:eastAsia="fr-FR" w:bidi="fr-FR"/>
              </w:rPr>
              <w:t>N.º de buques</w:t>
            </w:r>
          </w:p>
        </w:tc>
        <w:tc>
          <w:tcPr>
            <w:tcW w:w="90" w:type="pct"/>
            <w:shd w:val="clear" w:color="auto" w:fill="D9D9D9"/>
            <w:vAlign w:val="center"/>
            <w:hideMark/>
          </w:tcPr>
          <w:p w14:paraId="2B5D765E" w14:textId="77777777" w:rsidR="009123AC" w:rsidRPr="00F0379B" w:rsidRDefault="009123AC" w:rsidP="009123AC">
            <w:pPr>
              <w:spacing w:after="0" w:line="240" w:lineRule="auto"/>
              <w:jc w:val="center"/>
              <w:rPr>
                <w:rFonts w:ascii="Cambria" w:eastAsia="Times New Roman" w:hAnsi="Cambria" w:cs="Times New Roman"/>
                <w:sz w:val="16"/>
                <w:szCs w:val="16"/>
                <w:lang w:val="en-US" w:eastAsia="ja-JP"/>
              </w:rPr>
            </w:pPr>
          </w:p>
        </w:tc>
        <w:tc>
          <w:tcPr>
            <w:tcW w:w="630" w:type="pct"/>
            <w:gridSpan w:val="3"/>
          </w:tcPr>
          <w:p w14:paraId="3B92B077" w14:textId="77777777" w:rsidR="009123AC" w:rsidRPr="00F0379B" w:rsidRDefault="009123AC" w:rsidP="009123AC">
            <w:pPr>
              <w:spacing w:after="0" w:line="240" w:lineRule="auto"/>
              <w:jc w:val="center"/>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Años de referencia</w:t>
            </w:r>
          </w:p>
        </w:tc>
        <w:tc>
          <w:tcPr>
            <w:tcW w:w="1165" w:type="pct"/>
            <w:gridSpan w:val="4"/>
          </w:tcPr>
          <w:p w14:paraId="0588A78A" w14:textId="77777777" w:rsidR="009123AC" w:rsidRPr="00F0379B" w:rsidRDefault="009123AC" w:rsidP="009123AC">
            <w:pPr>
              <w:spacing w:after="0" w:line="240" w:lineRule="auto"/>
              <w:jc w:val="center"/>
              <w:rPr>
                <w:rFonts w:ascii="Cambria" w:eastAsia="Times New Roman" w:hAnsi="Cambria" w:cs="Calibri"/>
                <w:i/>
                <w:iCs/>
                <w:sz w:val="16"/>
                <w:szCs w:val="16"/>
                <w:lang w:eastAsia="fr-FR" w:bidi="fr-FR"/>
              </w:rPr>
            </w:pPr>
            <w:r w:rsidRPr="00F0379B">
              <w:rPr>
                <w:rFonts w:ascii="Cambria" w:eastAsia="MS Gothic" w:hAnsi="Cambria" w:cs="Times New Roman"/>
                <w:i/>
                <w:sz w:val="16"/>
                <w:szCs w:val="16"/>
                <w:lang w:eastAsia="fr-FR" w:bidi="fr-FR"/>
              </w:rPr>
              <w:t>Capacidad de pesca</w:t>
            </w:r>
          </w:p>
        </w:tc>
      </w:tr>
      <w:tr w:rsidR="009123AC" w:rsidRPr="00F0379B" w14:paraId="7B9679F9" w14:textId="77777777" w:rsidTr="00CA749B">
        <w:trPr>
          <w:trHeight w:val="24"/>
        </w:trPr>
        <w:tc>
          <w:tcPr>
            <w:tcW w:w="1085" w:type="pct"/>
            <w:tcBorders>
              <w:bottom w:val="single" w:sz="12" w:space="0" w:color="000000"/>
            </w:tcBorders>
            <w:noWrap/>
            <w:vAlign w:val="center"/>
            <w:hideMark/>
          </w:tcPr>
          <w:p w14:paraId="410C79A7"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Tipo</w:t>
            </w:r>
          </w:p>
        </w:tc>
        <w:tc>
          <w:tcPr>
            <w:tcW w:w="585" w:type="pct"/>
            <w:tcBorders>
              <w:bottom w:val="single" w:sz="12" w:space="0" w:color="000000"/>
            </w:tcBorders>
            <w:vAlign w:val="center"/>
            <w:hideMark/>
          </w:tcPr>
          <w:p w14:paraId="16A3CDDE"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Mejores tasas de captura definidas por el SCRS en 2009 (t)</w:t>
            </w:r>
          </w:p>
        </w:tc>
        <w:tc>
          <w:tcPr>
            <w:tcW w:w="204" w:type="pct"/>
            <w:tcBorders>
              <w:bottom w:val="single" w:sz="12" w:space="0" w:color="000000"/>
            </w:tcBorders>
            <w:vAlign w:val="center"/>
          </w:tcPr>
          <w:p w14:paraId="251D7B17"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2006</w:t>
            </w:r>
          </w:p>
        </w:tc>
        <w:tc>
          <w:tcPr>
            <w:tcW w:w="204" w:type="pct"/>
            <w:tcBorders>
              <w:bottom w:val="single" w:sz="12" w:space="0" w:color="000000"/>
            </w:tcBorders>
            <w:noWrap/>
            <w:vAlign w:val="center"/>
            <w:hideMark/>
          </w:tcPr>
          <w:p w14:paraId="7707F918"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2008</w:t>
            </w:r>
          </w:p>
        </w:tc>
        <w:tc>
          <w:tcPr>
            <w:tcW w:w="204" w:type="pct"/>
            <w:tcBorders>
              <w:bottom w:val="single" w:sz="12" w:space="0" w:color="000000"/>
            </w:tcBorders>
            <w:vAlign w:val="center"/>
            <w:hideMark/>
          </w:tcPr>
          <w:p w14:paraId="07EC0276"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2018</w:t>
            </w:r>
          </w:p>
        </w:tc>
        <w:tc>
          <w:tcPr>
            <w:tcW w:w="204" w:type="pct"/>
            <w:tcBorders>
              <w:bottom w:val="single" w:sz="12" w:space="0" w:color="000000"/>
            </w:tcBorders>
            <w:vAlign w:val="center"/>
            <w:hideMark/>
          </w:tcPr>
          <w:p w14:paraId="04271C59"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2023</w:t>
            </w:r>
          </w:p>
        </w:tc>
        <w:tc>
          <w:tcPr>
            <w:tcW w:w="204" w:type="pct"/>
            <w:tcBorders>
              <w:bottom w:val="single" w:sz="12" w:space="0" w:color="000000"/>
            </w:tcBorders>
            <w:vAlign w:val="center"/>
            <w:hideMark/>
          </w:tcPr>
          <w:p w14:paraId="6B772DA3"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2024</w:t>
            </w:r>
          </w:p>
        </w:tc>
        <w:tc>
          <w:tcPr>
            <w:tcW w:w="204" w:type="pct"/>
            <w:tcBorders>
              <w:bottom w:val="single" w:sz="12" w:space="0" w:color="000000"/>
            </w:tcBorders>
            <w:vAlign w:val="center"/>
          </w:tcPr>
          <w:p w14:paraId="561EC5F7"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2025</w:t>
            </w:r>
          </w:p>
        </w:tc>
        <w:tc>
          <w:tcPr>
            <w:tcW w:w="221" w:type="pct"/>
            <w:tcBorders>
              <w:bottom w:val="single" w:sz="12" w:space="0" w:color="000000"/>
            </w:tcBorders>
            <w:vAlign w:val="center"/>
          </w:tcPr>
          <w:p w14:paraId="759D8964"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2026</w:t>
            </w:r>
            <w:r w:rsidRPr="00F0379B">
              <w:rPr>
                <w:rFonts w:ascii="Cambria" w:eastAsia="MS Gothic" w:hAnsi="Cambria" w:cs="Times New Roman"/>
                <w:sz w:val="16"/>
                <w:szCs w:val="16"/>
                <w:vertAlign w:val="superscript"/>
                <w:lang w:eastAsia="fr-FR" w:bidi="fr-FR"/>
              </w:rPr>
              <w:t>a</w:t>
            </w:r>
          </w:p>
        </w:tc>
        <w:tc>
          <w:tcPr>
            <w:tcW w:w="90" w:type="pct"/>
            <w:tcBorders>
              <w:bottom w:val="single" w:sz="12" w:space="0" w:color="000000"/>
            </w:tcBorders>
            <w:shd w:val="clear" w:color="000000" w:fill="D9D9D9"/>
            <w:vAlign w:val="center"/>
            <w:hideMark/>
          </w:tcPr>
          <w:p w14:paraId="37ACBA6A"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204" w:type="pct"/>
            <w:tcBorders>
              <w:bottom w:val="single" w:sz="12" w:space="0" w:color="000000"/>
            </w:tcBorders>
            <w:vAlign w:val="center"/>
          </w:tcPr>
          <w:p w14:paraId="78783C5C"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2006</w:t>
            </w:r>
          </w:p>
        </w:tc>
        <w:tc>
          <w:tcPr>
            <w:tcW w:w="213" w:type="pct"/>
            <w:tcBorders>
              <w:bottom w:val="single" w:sz="12" w:space="0" w:color="000000"/>
            </w:tcBorders>
            <w:vAlign w:val="center"/>
            <w:hideMark/>
          </w:tcPr>
          <w:p w14:paraId="37B09D0B"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2008</w:t>
            </w:r>
          </w:p>
        </w:tc>
        <w:tc>
          <w:tcPr>
            <w:tcW w:w="213" w:type="pct"/>
            <w:tcBorders>
              <w:bottom w:val="single" w:sz="12" w:space="0" w:color="000000"/>
            </w:tcBorders>
            <w:vAlign w:val="center"/>
            <w:hideMark/>
          </w:tcPr>
          <w:p w14:paraId="0D858026"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2018</w:t>
            </w:r>
          </w:p>
        </w:tc>
        <w:tc>
          <w:tcPr>
            <w:tcW w:w="323" w:type="pct"/>
            <w:tcBorders>
              <w:bottom w:val="single" w:sz="12" w:space="0" w:color="000000"/>
            </w:tcBorders>
            <w:vAlign w:val="center"/>
            <w:hideMark/>
          </w:tcPr>
          <w:p w14:paraId="5591DA6A"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2023</w:t>
            </w:r>
          </w:p>
        </w:tc>
        <w:tc>
          <w:tcPr>
            <w:tcW w:w="305" w:type="pct"/>
            <w:tcBorders>
              <w:bottom w:val="single" w:sz="12" w:space="0" w:color="000000"/>
            </w:tcBorders>
            <w:vAlign w:val="center"/>
            <w:hideMark/>
          </w:tcPr>
          <w:p w14:paraId="5774FF94"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2024</w:t>
            </w:r>
          </w:p>
        </w:tc>
        <w:tc>
          <w:tcPr>
            <w:tcW w:w="242" w:type="pct"/>
            <w:tcBorders>
              <w:bottom w:val="single" w:sz="12" w:space="0" w:color="000000"/>
            </w:tcBorders>
            <w:vAlign w:val="center"/>
            <w:hideMark/>
          </w:tcPr>
          <w:p w14:paraId="3E7DC042"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2025</w:t>
            </w:r>
          </w:p>
        </w:tc>
        <w:tc>
          <w:tcPr>
            <w:tcW w:w="294" w:type="pct"/>
            <w:tcBorders>
              <w:bottom w:val="single" w:sz="12" w:space="0" w:color="000000"/>
            </w:tcBorders>
            <w:vAlign w:val="center"/>
          </w:tcPr>
          <w:p w14:paraId="7945889A"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2026</w:t>
            </w:r>
          </w:p>
        </w:tc>
      </w:tr>
      <w:tr w:rsidR="009123AC" w:rsidRPr="00F0379B" w14:paraId="1A404D4F" w14:textId="77777777" w:rsidTr="00CA749B">
        <w:trPr>
          <w:trHeight w:val="258"/>
        </w:trPr>
        <w:tc>
          <w:tcPr>
            <w:tcW w:w="1085" w:type="pct"/>
            <w:tcBorders>
              <w:top w:val="single" w:sz="12" w:space="0" w:color="000000"/>
              <w:left w:val="single" w:sz="12" w:space="0" w:color="000000"/>
            </w:tcBorders>
            <w:noWrap/>
            <w:vAlign w:val="center"/>
            <w:hideMark/>
          </w:tcPr>
          <w:p w14:paraId="56D23360"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Cerqueros de más de 40 m</w:t>
            </w:r>
          </w:p>
        </w:tc>
        <w:tc>
          <w:tcPr>
            <w:tcW w:w="585" w:type="pct"/>
            <w:tcBorders>
              <w:top w:val="single" w:sz="12" w:space="0" w:color="000000"/>
            </w:tcBorders>
            <w:noWrap/>
            <w:vAlign w:val="center"/>
            <w:hideMark/>
          </w:tcPr>
          <w:p w14:paraId="5909D5B2"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70,66</w:t>
            </w:r>
          </w:p>
        </w:tc>
        <w:tc>
          <w:tcPr>
            <w:tcW w:w="204" w:type="pct"/>
            <w:tcBorders>
              <w:top w:val="single" w:sz="12" w:space="0" w:color="000000"/>
            </w:tcBorders>
          </w:tcPr>
          <w:p w14:paraId="6957F61D"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tcBorders>
              <w:top w:val="single" w:sz="12" w:space="0" w:color="000000"/>
            </w:tcBorders>
            <w:noWrap/>
            <w:vAlign w:val="center"/>
            <w:hideMark/>
          </w:tcPr>
          <w:p w14:paraId="6E899850"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41</w:t>
            </w:r>
          </w:p>
        </w:tc>
        <w:tc>
          <w:tcPr>
            <w:tcW w:w="204" w:type="pct"/>
            <w:tcBorders>
              <w:top w:val="single" w:sz="12" w:space="0" w:color="000000"/>
            </w:tcBorders>
            <w:hideMark/>
          </w:tcPr>
          <w:p w14:paraId="2FA536D7"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16</w:t>
            </w:r>
          </w:p>
        </w:tc>
        <w:tc>
          <w:tcPr>
            <w:tcW w:w="204" w:type="pct"/>
            <w:tcBorders>
              <w:top w:val="single" w:sz="12" w:space="0" w:color="000000"/>
            </w:tcBorders>
            <w:vAlign w:val="center"/>
            <w:hideMark/>
          </w:tcPr>
          <w:p w14:paraId="7035A0A8"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rPr>
              <w:t>23</w:t>
            </w:r>
          </w:p>
        </w:tc>
        <w:tc>
          <w:tcPr>
            <w:tcW w:w="204" w:type="pct"/>
            <w:tcBorders>
              <w:top w:val="single" w:sz="12" w:space="0" w:color="000000"/>
            </w:tcBorders>
            <w:vAlign w:val="center"/>
            <w:hideMark/>
          </w:tcPr>
          <w:p w14:paraId="546142F8"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24</w:t>
            </w:r>
          </w:p>
        </w:tc>
        <w:tc>
          <w:tcPr>
            <w:tcW w:w="204" w:type="pct"/>
            <w:tcBorders>
              <w:top w:val="single" w:sz="12" w:space="0" w:color="000000"/>
            </w:tcBorders>
          </w:tcPr>
          <w:p w14:paraId="3252FA56"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32</w:t>
            </w:r>
          </w:p>
        </w:tc>
        <w:tc>
          <w:tcPr>
            <w:tcW w:w="221" w:type="pct"/>
            <w:tcBorders>
              <w:top w:val="single" w:sz="12" w:space="0" w:color="000000"/>
            </w:tcBorders>
          </w:tcPr>
          <w:p w14:paraId="345A91B4"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33</w:t>
            </w:r>
          </w:p>
        </w:tc>
        <w:tc>
          <w:tcPr>
            <w:tcW w:w="90" w:type="pct"/>
            <w:tcBorders>
              <w:top w:val="single" w:sz="12" w:space="0" w:color="000000"/>
            </w:tcBorders>
            <w:shd w:val="clear" w:color="000000" w:fill="D9D9D9"/>
            <w:vAlign w:val="center"/>
            <w:hideMark/>
          </w:tcPr>
          <w:p w14:paraId="119485C7"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Borders>
              <w:top w:val="single" w:sz="12" w:space="0" w:color="000000"/>
            </w:tcBorders>
          </w:tcPr>
          <w:p w14:paraId="09DCDF8A"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13" w:type="pct"/>
            <w:tcBorders>
              <w:top w:val="single" w:sz="12" w:space="0" w:color="000000"/>
            </w:tcBorders>
            <w:vAlign w:val="center"/>
            <w:hideMark/>
          </w:tcPr>
          <w:p w14:paraId="7978661B"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2899</w:t>
            </w:r>
          </w:p>
        </w:tc>
        <w:tc>
          <w:tcPr>
            <w:tcW w:w="213" w:type="pct"/>
            <w:tcBorders>
              <w:top w:val="single" w:sz="12" w:space="0" w:color="000000"/>
            </w:tcBorders>
            <w:hideMark/>
          </w:tcPr>
          <w:p w14:paraId="1AF203C3"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1131</w:t>
            </w:r>
          </w:p>
        </w:tc>
        <w:tc>
          <w:tcPr>
            <w:tcW w:w="323" w:type="pct"/>
            <w:tcBorders>
              <w:top w:val="single" w:sz="12" w:space="0" w:color="000000"/>
            </w:tcBorders>
            <w:vAlign w:val="center"/>
            <w:hideMark/>
          </w:tcPr>
          <w:p w14:paraId="5186FD52"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sz w:val="16"/>
                <w:szCs w:val="16"/>
              </w:rPr>
              <w:t>1626</w:t>
            </w:r>
          </w:p>
        </w:tc>
        <w:tc>
          <w:tcPr>
            <w:tcW w:w="305" w:type="pct"/>
            <w:tcBorders>
              <w:top w:val="single" w:sz="12" w:space="0" w:color="000000"/>
            </w:tcBorders>
            <w:vAlign w:val="center"/>
            <w:hideMark/>
          </w:tcPr>
          <w:p w14:paraId="42B11672"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1697</w:t>
            </w:r>
          </w:p>
        </w:tc>
        <w:tc>
          <w:tcPr>
            <w:tcW w:w="242" w:type="pct"/>
            <w:tcBorders>
              <w:top w:val="single" w:sz="12" w:space="0" w:color="000000"/>
            </w:tcBorders>
            <w:hideMark/>
          </w:tcPr>
          <w:p w14:paraId="1EB6DD39"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2264</w:t>
            </w:r>
          </w:p>
        </w:tc>
        <w:tc>
          <w:tcPr>
            <w:tcW w:w="294" w:type="pct"/>
            <w:tcBorders>
              <w:top w:val="single" w:sz="12" w:space="0" w:color="000000"/>
              <w:right w:val="single" w:sz="12" w:space="0" w:color="000000"/>
            </w:tcBorders>
          </w:tcPr>
          <w:p w14:paraId="685183F5"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2331,8</w:t>
            </w:r>
          </w:p>
        </w:tc>
      </w:tr>
      <w:tr w:rsidR="009123AC" w:rsidRPr="00F0379B" w14:paraId="1B409159" w14:textId="77777777" w:rsidTr="00CA749B">
        <w:trPr>
          <w:trHeight w:val="24"/>
        </w:trPr>
        <w:tc>
          <w:tcPr>
            <w:tcW w:w="1085" w:type="pct"/>
            <w:tcBorders>
              <w:left w:val="single" w:sz="12" w:space="0" w:color="000000"/>
            </w:tcBorders>
            <w:noWrap/>
            <w:vAlign w:val="center"/>
            <w:hideMark/>
          </w:tcPr>
          <w:p w14:paraId="2FE29A7B"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Cerqueros entre 24 y 40 m</w:t>
            </w:r>
          </w:p>
        </w:tc>
        <w:tc>
          <w:tcPr>
            <w:tcW w:w="585" w:type="pct"/>
            <w:noWrap/>
            <w:vAlign w:val="center"/>
            <w:hideMark/>
          </w:tcPr>
          <w:p w14:paraId="234D1ECD"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49,78</w:t>
            </w:r>
          </w:p>
        </w:tc>
        <w:tc>
          <w:tcPr>
            <w:tcW w:w="204" w:type="pct"/>
          </w:tcPr>
          <w:p w14:paraId="60A36833"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noWrap/>
            <w:vAlign w:val="center"/>
            <w:hideMark/>
          </w:tcPr>
          <w:p w14:paraId="77E1628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49</w:t>
            </w:r>
          </w:p>
        </w:tc>
        <w:tc>
          <w:tcPr>
            <w:tcW w:w="204" w:type="pct"/>
            <w:hideMark/>
          </w:tcPr>
          <w:p w14:paraId="1C8E2532"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6</w:t>
            </w:r>
          </w:p>
        </w:tc>
        <w:tc>
          <w:tcPr>
            <w:tcW w:w="204" w:type="pct"/>
            <w:vAlign w:val="center"/>
            <w:hideMark/>
          </w:tcPr>
          <w:p w14:paraId="1435B9B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rPr>
              <w:t>6</w:t>
            </w:r>
          </w:p>
        </w:tc>
        <w:tc>
          <w:tcPr>
            <w:tcW w:w="204" w:type="pct"/>
            <w:vAlign w:val="center"/>
            <w:hideMark/>
          </w:tcPr>
          <w:p w14:paraId="6C22976A"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6</w:t>
            </w:r>
          </w:p>
        </w:tc>
        <w:tc>
          <w:tcPr>
            <w:tcW w:w="204" w:type="pct"/>
          </w:tcPr>
          <w:p w14:paraId="0617B9F8"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lang w:val="en-US" w:eastAsia="ja-JP"/>
              </w:rPr>
              <w:t>4</w:t>
            </w:r>
          </w:p>
        </w:tc>
        <w:tc>
          <w:tcPr>
            <w:tcW w:w="221" w:type="pct"/>
          </w:tcPr>
          <w:p w14:paraId="57460754"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15</w:t>
            </w:r>
          </w:p>
        </w:tc>
        <w:tc>
          <w:tcPr>
            <w:tcW w:w="90" w:type="pct"/>
            <w:shd w:val="clear" w:color="000000" w:fill="D9D9D9"/>
            <w:vAlign w:val="center"/>
            <w:hideMark/>
          </w:tcPr>
          <w:p w14:paraId="3494101C"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Pr>
          <w:p w14:paraId="2F3ADFE9"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13" w:type="pct"/>
            <w:vAlign w:val="center"/>
            <w:hideMark/>
          </w:tcPr>
          <w:p w14:paraId="00ACAA0A"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2439</w:t>
            </w:r>
          </w:p>
        </w:tc>
        <w:tc>
          <w:tcPr>
            <w:tcW w:w="213" w:type="pct"/>
            <w:vAlign w:val="center"/>
            <w:hideMark/>
          </w:tcPr>
          <w:p w14:paraId="7B04048A"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299</w:t>
            </w:r>
          </w:p>
        </w:tc>
        <w:tc>
          <w:tcPr>
            <w:tcW w:w="323" w:type="pct"/>
            <w:vAlign w:val="center"/>
            <w:hideMark/>
          </w:tcPr>
          <w:p w14:paraId="642F2A34"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sz w:val="16"/>
                <w:szCs w:val="16"/>
              </w:rPr>
              <w:t>299</w:t>
            </w:r>
          </w:p>
        </w:tc>
        <w:tc>
          <w:tcPr>
            <w:tcW w:w="305" w:type="pct"/>
            <w:vAlign w:val="center"/>
            <w:hideMark/>
          </w:tcPr>
          <w:p w14:paraId="0072ECE1"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299</w:t>
            </w:r>
          </w:p>
        </w:tc>
        <w:tc>
          <w:tcPr>
            <w:tcW w:w="242" w:type="pct"/>
            <w:hideMark/>
          </w:tcPr>
          <w:p w14:paraId="53F61B00"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199</w:t>
            </w:r>
          </w:p>
        </w:tc>
        <w:tc>
          <w:tcPr>
            <w:tcW w:w="294" w:type="pct"/>
            <w:tcBorders>
              <w:right w:val="single" w:sz="12" w:space="0" w:color="000000"/>
            </w:tcBorders>
          </w:tcPr>
          <w:p w14:paraId="2376AFBC"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746,7</w:t>
            </w:r>
          </w:p>
        </w:tc>
      </w:tr>
      <w:tr w:rsidR="009123AC" w:rsidRPr="00F0379B" w14:paraId="440F43D7" w14:textId="77777777" w:rsidTr="00CA749B">
        <w:trPr>
          <w:trHeight w:val="24"/>
        </w:trPr>
        <w:tc>
          <w:tcPr>
            <w:tcW w:w="1085" w:type="pct"/>
            <w:tcBorders>
              <w:left w:val="single" w:sz="12" w:space="0" w:color="000000"/>
            </w:tcBorders>
            <w:noWrap/>
            <w:vAlign w:val="center"/>
            <w:hideMark/>
          </w:tcPr>
          <w:p w14:paraId="1714B2D7"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Cerqueros de menos de 24 m</w:t>
            </w:r>
          </w:p>
        </w:tc>
        <w:tc>
          <w:tcPr>
            <w:tcW w:w="585" w:type="pct"/>
            <w:noWrap/>
            <w:vAlign w:val="center"/>
            <w:hideMark/>
          </w:tcPr>
          <w:p w14:paraId="101D9BBB"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33,68</w:t>
            </w:r>
          </w:p>
        </w:tc>
        <w:tc>
          <w:tcPr>
            <w:tcW w:w="204" w:type="pct"/>
          </w:tcPr>
          <w:p w14:paraId="5AEBFC32"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noWrap/>
            <w:vAlign w:val="center"/>
            <w:hideMark/>
          </w:tcPr>
          <w:p w14:paraId="2A36EAE6"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3</w:t>
            </w:r>
          </w:p>
        </w:tc>
        <w:tc>
          <w:tcPr>
            <w:tcW w:w="204" w:type="pct"/>
            <w:hideMark/>
          </w:tcPr>
          <w:p w14:paraId="17DE4024"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0</w:t>
            </w:r>
          </w:p>
        </w:tc>
        <w:tc>
          <w:tcPr>
            <w:tcW w:w="204" w:type="pct"/>
            <w:vAlign w:val="center"/>
            <w:hideMark/>
          </w:tcPr>
          <w:p w14:paraId="444F5C9A"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0</w:t>
            </w:r>
          </w:p>
        </w:tc>
        <w:tc>
          <w:tcPr>
            <w:tcW w:w="204" w:type="pct"/>
            <w:vAlign w:val="center"/>
            <w:hideMark/>
          </w:tcPr>
          <w:p w14:paraId="33A04A46"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0</w:t>
            </w:r>
          </w:p>
        </w:tc>
        <w:tc>
          <w:tcPr>
            <w:tcW w:w="204" w:type="pct"/>
          </w:tcPr>
          <w:p w14:paraId="274E4077"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val="en-US" w:eastAsia="ja-JP"/>
              </w:rPr>
              <w:t>0</w:t>
            </w:r>
          </w:p>
        </w:tc>
        <w:tc>
          <w:tcPr>
            <w:tcW w:w="221" w:type="pct"/>
          </w:tcPr>
          <w:p w14:paraId="000BD154"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0</w:t>
            </w:r>
          </w:p>
        </w:tc>
        <w:tc>
          <w:tcPr>
            <w:tcW w:w="90" w:type="pct"/>
            <w:shd w:val="clear" w:color="000000" w:fill="D9D9D9"/>
            <w:vAlign w:val="center"/>
            <w:hideMark/>
          </w:tcPr>
          <w:p w14:paraId="606A2A8D"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Pr>
          <w:p w14:paraId="63EF556A"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13" w:type="pct"/>
            <w:vAlign w:val="center"/>
            <w:hideMark/>
          </w:tcPr>
          <w:p w14:paraId="6FACA416"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101</w:t>
            </w:r>
          </w:p>
        </w:tc>
        <w:tc>
          <w:tcPr>
            <w:tcW w:w="213" w:type="pct"/>
            <w:hideMark/>
          </w:tcPr>
          <w:p w14:paraId="4D1FE55D"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0</w:t>
            </w:r>
          </w:p>
        </w:tc>
        <w:tc>
          <w:tcPr>
            <w:tcW w:w="323" w:type="pct"/>
            <w:vAlign w:val="center"/>
            <w:hideMark/>
          </w:tcPr>
          <w:p w14:paraId="5BAF06E9"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0</w:t>
            </w:r>
          </w:p>
        </w:tc>
        <w:tc>
          <w:tcPr>
            <w:tcW w:w="305" w:type="pct"/>
            <w:vAlign w:val="center"/>
            <w:hideMark/>
          </w:tcPr>
          <w:p w14:paraId="64A90896"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0</w:t>
            </w:r>
          </w:p>
        </w:tc>
        <w:tc>
          <w:tcPr>
            <w:tcW w:w="242" w:type="pct"/>
            <w:hideMark/>
          </w:tcPr>
          <w:p w14:paraId="43BB4A91"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0</w:t>
            </w:r>
          </w:p>
        </w:tc>
        <w:tc>
          <w:tcPr>
            <w:tcW w:w="294" w:type="pct"/>
            <w:tcBorders>
              <w:right w:val="single" w:sz="12" w:space="0" w:color="000000"/>
            </w:tcBorders>
          </w:tcPr>
          <w:p w14:paraId="032881FC"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0</w:t>
            </w:r>
          </w:p>
        </w:tc>
      </w:tr>
      <w:tr w:rsidR="009123AC" w:rsidRPr="00F0379B" w14:paraId="666A13A5" w14:textId="77777777" w:rsidTr="00CA749B">
        <w:trPr>
          <w:trHeight w:val="24"/>
        </w:trPr>
        <w:tc>
          <w:tcPr>
            <w:tcW w:w="1085" w:type="pct"/>
            <w:tcBorders>
              <w:left w:val="single" w:sz="12" w:space="0" w:color="000000"/>
            </w:tcBorders>
            <w:noWrap/>
            <w:vAlign w:val="center"/>
            <w:hideMark/>
          </w:tcPr>
          <w:p w14:paraId="18AA57CA"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Total flota de cerco</w:t>
            </w:r>
          </w:p>
        </w:tc>
        <w:tc>
          <w:tcPr>
            <w:tcW w:w="585" w:type="pct"/>
            <w:noWrap/>
            <w:vAlign w:val="center"/>
            <w:hideMark/>
          </w:tcPr>
          <w:p w14:paraId="59F6B234" w14:textId="77777777" w:rsidR="009123AC" w:rsidRPr="00F0379B" w:rsidRDefault="009123AC" w:rsidP="009123AC">
            <w:pPr>
              <w:spacing w:after="0" w:line="240" w:lineRule="auto"/>
              <w:rPr>
                <w:rFonts w:ascii="Cambria" w:eastAsia="Times New Roman" w:hAnsi="Cambria" w:cs="Times New Roman"/>
                <w:sz w:val="16"/>
                <w:szCs w:val="16"/>
                <w:lang w:eastAsia="fr-FR" w:bidi="fr-FR"/>
              </w:rPr>
            </w:pPr>
            <w:r w:rsidRPr="00F0379B">
              <w:rPr>
                <w:rFonts w:ascii="Cambria" w:eastAsia="MS Gothic" w:hAnsi="Cambria" w:cs="Times New Roman"/>
                <w:sz w:val="16"/>
                <w:szCs w:val="16"/>
                <w:lang w:eastAsia="fr-FR" w:bidi="fr-FR"/>
              </w:rPr>
              <w:t> </w:t>
            </w:r>
          </w:p>
        </w:tc>
        <w:tc>
          <w:tcPr>
            <w:tcW w:w="204" w:type="pct"/>
          </w:tcPr>
          <w:p w14:paraId="681F5C37"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noWrap/>
            <w:vAlign w:val="center"/>
            <w:hideMark/>
          </w:tcPr>
          <w:p w14:paraId="1621965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93</w:t>
            </w:r>
          </w:p>
        </w:tc>
        <w:tc>
          <w:tcPr>
            <w:tcW w:w="204" w:type="pct"/>
            <w:vAlign w:val="center"/>
            <w:hideMark/>
          </w:tcPr>
          <w:p w14:paraId="2190E105"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22</w:t>
            </w:r>
          </w:p>
        </w:tc>
        <w:tc>
          <w:tcPr>
            <w:tcW w:w="204" w:type="pct"/>
            <w:vAlign w:val="center"/>
            <w:hideMark/>
          </w:tcPr>
          <w:p w14:paraId="4E1541C0"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29</w:t>
            </w:r>
          </w:p>
        </w:tc>
        <w:tc>
          <w:tcPr>
            <w:tcW w:w="204" w:type="pct"/>
            <w:vAlign w:val="center"/>
            <w:hideMark/>
          </w:tcPr>
          <w:p w14:paraId="208840CA"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30</w:t>
            </w:r>
          </w:p>
        </w:tc>
        <w:tc>
          <w:tcPr>
            <w:tcW w:w="204" w:type="pct"/>
          </w:tcPr>
          <w:p w14:paraId="262A3749"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color w:val="000000"/>
                <w:sz w:val="16"/>
                <w:szCs w:val="16"/>
                <w:lang w:val="en-US" w:eastAsia="ja-JP"/>
              </w:rPr>
              <w:t>36</w:t>
            </w:r>
          </w:p>
        </w:tc>
        <w:tc>
          <w:tcPr>
            <w:tcW w:w="221" w:type="pct"/>
          </w:tcPr>
          <w:p w14:paraId="3C97C44F"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b/>
                <w:bCs/>
                <w:color w:val="000000"/>
                <w:sz w:val="16"/>
                <w:szCs w:val="16"/>
                <w:lang w:eastAsia="ja-JP" w:bidi="fr-FR"/>
              </w:rPr>
              <w:t>48</w:t>
            </w:r>
          </w:p>
        </w:tc>
        <w:tc>
          <w:tcPr>
            <w:tcW w:w="90" w:type="pct"/>
            <w:shd w:val="clear" w:color="000000" w:fill="D9D9D9"/>
            <w:vAlign w:val="center"/>
            <w:hideMark/>
          </w:tcPr>
          <w:p w14:paraId="2552EDE8"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tcPr>
          <w:p w14:paraId="797DA3A3"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13" w:type="pct"/>
            <w:vAlign w:val="center"/>
            <w:hideMark/>
          </w:tcPr>
          <w:p w14:paraId="63FB938E" w14:textId="77777777" w:rsidR="009123AC" w:rsidRPr="00F0379B" w:rsidRDefault="009123AC" w:rsidP="009123AC">
            <w:pPr>
              <w:spacing w:after="0" w:line="240" w:lineRule="auto"/>
              <w:jc w:val="center"/>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5439</w:t>
            </w:r>
          </w:p>
        </w:tc>
        <w:tc>
          <w:tcPr>
            <w:tcW w:w="213" w:type="pct"/>
            <w:vAlign w:val="center"/>
            <w:hideMark/>
          </w:tcPr>
          <w:p w14:paraId="4558ABCB" w14:textId="77777777" w:rsidR="009123AC" w:rsidRPr="00F0379B" w:rsidRDefault="009123AC" w:rsidP="009123AC">
            <w:pPr>
              <w:spacing w:after="0" w:line="240" w:lineRule="auto"/>
              <w:jc w:val="center"/>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1430</w:t>
            </w:r>
          </w:p>
        </w:tc>
        <w:tc>
          <w:tcPr>
            <w:tcW w:w="323" w:type="pct"/>
            <w:vAlign w:val="center"/>
            <w:hideMark/>
          </w:tcPr>
          <w:p w14:paraId="75C3523A" w14:textId="77777777" w:rsidR="009123AC" w:rsidRPr="00F0379B" w:rsidRDefault="009123AC" w:rsidP="009123AC">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rPr>
              <w:t>1925</w:t>
            </w:r>
          </w:p>
        </w:tc>
        <w:tc>
          <w:tcPr>
            <w:tcW w:w="305" w:type="pct"/>
            <w:vAlign w:val="center"/>
            <w:hideMark/>
          </w:tcPr>
          <w:p w14:paraId="61365FD9" w14:textId="77777777" w:rsidR="009123AC" w:rsidRPr="00F0379B" w:rsidRDefault="009123AC" w:rsidP="009123AC">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1996</w:t>
            </w:r>
          </w:p>
        </w:tc>
        <w:tc>
          <w:tcPr>
            <w:tcW w:w="242" w:type="pct"/>
            <w:hideMark/>
          </w:tcPr>
          <w:p w14:paraId="7E07ED82" w14:textId="77777777" w:rsidR="009123AC" w:rsidRPr="00F0379B" w:rsidRDefault="009123AC" w:rsidP="009123AC">
            <w:pPr>
              <w:spacing w:after="0" w:line="240" w:lineRule="auto"/>
              <w:jc w:val="center"/>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2463</w:t>
            </w:r>
          </w:p>
        </w:tc>
        <w:tc>
          <w:tcPr>
            <w:tcW w:w="294" w:type="pct"/>
            <w:tcBorders>
              <w:right w:val="single" w:sz="12" w:space="0" w:color="000000"/>
            </w:tcBorders>
          </w:tcPr>
          <w:p w14:paraId="112F80BA" w14:textId="77777777" w:rsidR="009123AC" w:rsidRPr="00F0379B" w:rsidRDefault="009123AC" w:rsidP="009123AC">
            <w:pPr>
              <w:spacing w:after="0" w:line="240" w:lineRule="auto"/>
              <w:jc w:val="center"/>
              <w:rPr>
                <w:rFonts w:ascii="Cambria" w:eastAsia="Times New Roman" w:hAnsi="Cambria" w:cs="Calibri"/>
                <w:b/>
                <w:bCs/>
                <w:sz w:val="16"/>
                <w:szCs w:val="16"/>
                <w:lang w:val="en-US" w:eastAsia="ja-JP"/>
              </w:rPr>
            </w:pPr>
            <w:r w:rsidRPr="00F0379B">
              <w:rPr>
                <w:rFonts w:ascii="Cambria" w:eastAsia="Times New Roman" w:hAnsi="Cambria" w:cs="Calibri"/>
                <w:b/>
                <w:bCs/>
                <w:color w:val="000000"/>
                <w:sz w:val="16"/>
                <w:szCs w:val="16"/>
                <w:lang w:eastAsia="ja-JP" w:bidi="fr-FR"/>
              </w:rPr>
              <w:t>3078,5</w:t>
            </w:r>
          </w:p>
        </w:tc>
      </w:tr>
      <w:tr w:rsidR="009123AC" w:rsidRPr="00F0379B" w14:paraId="38F0F3D2" w14:textId="77777777" w:rsidTr="00CA749B">
        <w:trPr>
          <w:trHeight w:val="24"/>
        </w:trPr>
        <w:tc>
          <w:tcPr>
            <w:tcW w:w="1085" w:type="pct"/>
            <w:tcBorders>
              <w:left w:val="single" w:sz="12" w:space="0" w:color="000000"/>
            </w:tcBorders>
            <w:noWrap/>
            <w:vAlign w:val="center"/>
            <w:hideMark/>
          </w:tcPr>
          <w:p w14:paraId="0E808400"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Palangreros de más de 40 m</w:t>
            </w:r>
          </w:p>
        </w:tc>
        <w:tc>
          <w:tcPr>
            <w:tcW w:w="585" w:type="pct"/>
            <w:noWrap/>
            <w:vAlign w:val="center"/>
            <w:hideMark/>
          </w:tcPr>
          <w:p w14:paraId="7354AC6B"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25</w:t>
            </w:r>
          </w:p>
        </w:tc>
        <w:tc>
          <w:tcPr>
            <w:tcW w:w="204" w:type="pct"/>
          </w:tcPr>
          <w:p w14:paraId="12677C76"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noWrap/>
            <w:vAlign w:val="center"/>
            <w:hideMark/>
          </w:tcPr>
          <w:p w14:paraId="271E6A73"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vAlign w:val="center"/>
            <w:hideMark/>
          </w:tcPr>
          <w:p w14:paraId="54E67E5D"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vAlign w:val="center"/>
            <w:hideMark/>
          </w:tcPr>
          <w:p w14:paraId="298AA5A8"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vAlign w:val="center"/>
            <w:hideMark/>
          </w:tcPr>
          <w:p w14:paraId="4701D8C6"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Pr>
          <w:p w14:paraId="2CE60D5B"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221" w:type="pct"/>
          </w:tcPr>
          <w:p w14:paraId="109B2557"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90" w:type="pct"/>
            <w:shd w:val="clear" w:color="000000" w:fill="D9D9D9"/>
            <w:vAlign w:val="center"/>
            <w:hideMark/>
          </w:tcPr>
          <w:p w14:paraId="2AF446CF"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Pr>
          <w:p w14:paraId="784D429F"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13" w:type="pct"/>
            <w:vAlign w:val="center"/>
            <w:hideMark/>
          </w:tcPr>
          <w:p w14:paraId="4701BC48"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213" w:type="pct"/>
            <w:vAlign w:val="center"/>
            <w:hideMark/>
          </w:tcPr>
          <w:p w14:paraId="28A0ED00"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323" w:type="pct"/>
            <w:vAlign w:val="center"/>
            <w:hideMark/>
          </w:tcPr>
          <w:p w14:paraId="40B0E07B"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305" w:type="pct"/>
            <w:vAlign w:val="center"/>
            <w:hideMark/>
          </w:tcPr>
          <w:p w14:paraId="5CA0B376"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42" w:type="pct"/>
            <w:vAlign w:val="center"/>
            <w:hideMark/>
          </w:tcPr>
          <w:p w14:paraId="1C119B7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94" w:type="pct"/>
            <w:tcBorders>
              <w:right w:val="single" w:sz="12" w:space="0" w:color="000000"/>
            </w:tcBorders>
          </w:tcPr>
          <w:p w14:paraId="6A86301F"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r>
      <w:tr w:rsidR="009123AC" w:rsidRPr="00F0379B" w14:paraId="62FD1433" w14:textId="77777777" w:rsidTr="00CA749B">
        <w:trPr>
          <w:trHeight w:val="24"/>
        </w:trPr>
        <w:tc>
          <w:tcPr>
            <w:tcW w:w="1085" w:type="pct"/>
            <w:tcBorders>
              <w:left w:val="single" w:sz="12" w:space="0" w:color="000000"/>
            </w:tcBorders>
            <w:noWrap/>
            <w:vAlign w:val="center"/>
            <w:hideMark/>
          </w:tcPr>
          <w:p w14:paraId="0EC6A1F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Palangreros entre 24 y 40 m</w:t>
            </w:r>
          </w:p>
        </w:tc>
        <w:tc>
          <w:tcPr>
            <w:tcW w:w="585" w:type="pct"/>
            <w:noWrap/>
            <w:vAlign w:val="center"/>
            <w:hideMark/>
          </w:tcPr>
          <w:p w14:paraId="75408966"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5,68</w:t>
            </w:r>
          </w:p>
        </w:tc>
        <w:tc>
          <w:tcPr>
            <w:tcW w:w="204" w:type="pct"/>
          </w:tcPr>
          <w:p w14:paraId="47E3F3E2"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noWrap/>
            <w:vAlign w:val="center"/>
            <w:hideMark/>
          </w:tcPr>
          <w:p w14:paraId="0F0FF940"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vAlign w:val="center"/>
            <w:hideMark/>
          </w:tcPr>
          <w:p w14:paraId="72D9BF0C"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vAlign w:val="center"/>
            <w:hideMark/>
          </w:tcPr>
          <w:p w14:paraId="26833568"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vAlign w:val="center"/>
            <w:hideMark/>
          </w:tcPr>
          <w:p w14:paraId="12A4AEFA"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Pr>
          <w:p w14:paraId="52D95847"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221" w:type="pct"/>
          </w:tcPr>
          <w:p w14:paraId="771C831E"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90" w:type="pct"/>
            <w:shd w:val="clear" w:color="000000" w:fill="D9D9D9"/>
            <w:vAlign w:val="center"/>
            <w:hideMark/>
          </w:tcPr>
          <w:p w14:paraId="1BDF023F"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Pr>
          <w:p w14:paraId="5565F78A"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13" w:type="pct"/>
            <w:vAlign w:val="center"/>
            <w:hideMark/>
          </w:tcPr>
          <w:p w14:paraId="43D63C01"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213" w:type="pct"/>
            <w:vAlign w:val="center"/>
            <w:hideMark/>
          </w:tcPr>
          <w:p w14:paraId="0CC8C829"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323" w:type="pct"/>
            <w:vAlign w:val="center"/>
            <w:hideMark/>
          </w:tcPr>
          <w:p w14:paraId="0DB37F8D"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305" w:type="pct"/>
            <w:vAlign w:val="center"/>
            <w:hideMark/>
          </w:tcPr>
          <w:p w14:paraId="3A30EF9B"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42" w:type="pct"/>
            <w:vAlign w:val="center"/>
            <w:hideMark/>
          </w:tcPr>
          <w:p w14:paraId="0264EDAC"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94" w:type="pct"/>
            <w:tcBorders>
              <w:right w:val="single" w:sz="12" w:space="0" w:color="000000"/>
            </w:tcBorders>
          </w:tcPr>
          <w:p w14:paraId="74FE8339"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r>
      <w:tr w:rsidR="009123AC" w:rsidRPr="00F0379B" w14:paraId="7128513F" w14:textId="77777777" w:rsidTr="00CA749B">
        <w:trPr>
          <w:trHeight w:val="24"/>
        </w:trPr>
        <w:tc>
          <w:tcPr>
            <w:tcW w:w="1085" w:type="pct"/>
            <w:tcBorders>
              <w:left w:val="single" w:sz="12" w:space="0" w:color="000000"/>
            </w:tcBorders>
            <w:noWrap/>
            <w:vAlign w:val="center"/>
            <w:hideMark/>
          </w:tcPr>
          <w:p w14:paraId="21FCC810"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Palangreros de menos de 24 m</w:t>
            </w:r>
          </w:p>
        </w:tc>
        <w:tc>
          <w:tcPr>
            <w:tcW w:w="585" w:type="pct"/>
            <w:noWrap/>
            <w:vAlign w:val="center"/>
            <w:hideMark/>
          </w:tcPr>
          <w:p w14:paraId="7993D7FD"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w:t>
            </w:r>
          </w:p>
        </w:tc>
        <w:tc>
          <w:tcPr>
            <w:tcW w:w="204" w:type="pct"/>
          </w:tcPr>
          <w:p w14:paraId="37D1FE5F"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noWrap/>
            <w:vAlign w:val="center"/>
            <w:hideMark/>
          </w:tcPr>
          <w:p w14:paraId="0E1846ED"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vAlign w:val="center"/>
            <w:hideMark/>
          </w:tcPr>
          <w:p w14:paraId="54659F5A"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vAlign w:val="center"/>
            <w:hideMark/>
          </w:tcPr>
          <w:p w14:paraId="599F34CF"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vAlign w:val="center"/>
            <w:hideMark/>
          </w:tcPr>
          <w:p w14:paraId="4BB9BF5E"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Pr>
          <w:p w14:paraId="2FEF4EA5"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221" w:type="pct"/>
          </w:tcPr>
          <w:p w14:paraId="0AA8CD16"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90" w:type="pct"/>
            <w:shd w:val="clear" w:color="000000" w:fill="D9D9D9"/>
            <w:vAlign w:val="center"/>
            <w:hideMark/>
          </w:tcPr>
          <w:p w14:paraId="08D080DD"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Pr>
          <w:p w14:paraId="41EC56C8"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13" w:type="pct"/>
            <w:vAlign w:val="center"/>
            <w:hideMark/>
          </w:tcPr>
          <w:p w14:paraId="22CA0ED9"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213" w:type="pct"/>
            <w:vAlign w:val="center"/>
            <w:hideMark/>
          </w:tcPr>
          <w:p w14:paraId="3CA86CA7"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323" w:type="pct"/>
            <w:vAlign w:val="center"/>
            <w:hideMark/>
          </w:tcPr>
          <w:p w14:paraId="245D29FF"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305" w:type="pct"/>
            <w:vAlign w:val="center"/>
            <w:hideMark/>
          </w:tcPr>
          <w:p w14:paraId="2520E19F"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42" w:type="pct"/>
            <w:vAlign w:val="center"/>
            <w:hideMark/>
          </w:tcPr>
          <w:p w14:paraId="797C5D43"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94" w:type="pct"/>
            <w:tcBorders>
              <w:right w:val="single" w:sz="12" w:space="0" w:color="000000"/>
            </w:tcBorders>
          </w:tcPr>
          <w:p w14:paraId="3312BEA3"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r>
      <w:tr w:rsidR="009123AC" w:rsidRPr="00F0379B" w14:paraId="176F04AF" w14:textId="77777777" w:rsidTr="00CA749B">
        <w:trPr>
          <w:trHeight w:val="24"/>
        </w:trPr>
        <w:tc>
          <w:tcPr>
            <w:tcW w:w="1085" w:type="pct"/>
            <w:tcBorders>
              <w:left w:val="single" w:sz="12" w:space="0" w:color="000000"/>
            </w:tcBorders>
            <w:noWrap/>
            <w:vAlign w:val="center"/>
            <w:hideMark/>
          </w:tcPr>
          <w:p w14:paraId="32C1DC8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Total flota de palangre</w:t>
            </w:r>
          </w:p>
        </w:tc>
        <w:tc>
          <w:tcPr>
            <w:tcW w:w="585" w:type="pct"/>
            <w:noWrap/>
            <w:vAlign w:val="center"/>
            <w:hideMark/>
          </w:tcPr>
          <w:p w14:paraId="52358CE4" w14:textId="77777777" w:rsidR="009123AC" w:rsidRPr="00F0379B" w:rsidRDefault="009123AC" w:rsidP="009123AC">
            <w:pPr>
              <w:spacing w:after="0" w:line="240" w:lineRule="auto"/>
              <w:rPr>
                <w:rFonts w:ascii="Cambria" w:eastAsia="Times New Roman" w:hAnsi="Cambria" w:cs="Times New Roman"/>
                <w:sz w:val="16"/>
                <w:szCs w:val="16"/>
                <w:lang w:eastAsia="fr-FR" w:bidi="fr-FR"/>
              </w:rPr>
            </w:pPr>
            <w:r w:rsidRPr="00F0379B">
              <w:rPr>
                <w:rFonts w:ascii="Cambria" w:eastAsia="MS Gothic" w:hAnsi="Cambria" w:cs="Times New Roman"/>
                <w:sz w:val="16"/>
                <w:szCs w:val="16"/>
                <w:lang w:eastAsia="fr-FR" w:bidi="fr-FR"/>
              </w:rPr>
              <w:t> </w:t>
            </w:r>
          </w:p>
        </w:tc>
        <w:tc>
          <w:tcPr>
            <w:tcW w:w="204" w:type="pct"/>
          </w:tcPr>
          <w:p w14:paraId="6B6AF7F8"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noWrap/>
            <w:vAlign w:val="center"/>
            <w:hideMark/>
          </w:tcPr>
          <w:p w14:paraId="01B7C99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vAlign w:val="center"/>
            <w:hideMark/>
          </w:tcPr>
          <w:p w14:paraId="02BCD636"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vAlign w:val="center"/>
            <w:hideMark/>
          </w:tcPr>
          <w:p w14:paraId="217285E0"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vAlign w:val="center"/>
            <w:hideMark/>
          </w:tcPr>
          <w:p w14:paraId="4186ABF3"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tcPr>
          <w:p w14:paraId="667F69B5"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c>
          <w:tcPr>
            <w:tcW w:w="221" w:type="pct"/>
          </w:tcPr>
          <w:p w14:paraId="41073C31"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90" w:type="pct"/>
            <w:shd w:val="clear" w:color="000000" w:fill="D9D9D9"/>
            <w:vAlign w:val="center"/>
            <w:hideMark/>
          </w:tcPr>
          <w:p w14:paraId="4D9CEBCE"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tcPr>
          <w:p w14:paraId="180F2D08"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13" w:type="pct"/>
            <w:vAlign w:val="center"/>
            <w:hideMark/>
          </w:tcPr>
          <w:p w14:paraId="193F54AA"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213" w:type="pct"/>
            <w:vAlign w:val="center"/>
            <w:hideMark/>
          </w:tcPr>
          <w:p w14:paraId="2D9FBF8C"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323" w:type="pct"/>
            <w:vAlign w:val="center"/>
            <w:hideMark/>
          </w:tcPr>
          <w:p w14:paraId="648423C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305" w:type="pct"/>
            <w:vAlign w:val="center"/>
            <w:hideMark/>
          </w:tcPr>
          <w:p w14:paraId="3C5D021A"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42" w:type="pct"/>
            <w:vAlign w:val="center"/>
            <w:hideMark/>
          </w:tcPr>
          <w:p w14:paraId="57266880"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94" w:type="pct"/>
            <w:tcBorders>
              <w:right w:val="single" w:sz="12" w:space="0" w:color="000000"/>
            </w:tcBorders>
          </w:tcPr>
          <w:p w14:paraId="7783D428"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r>
      <w:tr w:rsidR="009123AC" w:rsidRPr="00F0379B" w14:paraId="16E7E661" w14:textId="77777777" w:rsidTr="00CA749B">
        <w:trPr>
          <w:trHeight w:val="231"/>
        </w:trPr>
        <w:tc>
          <w:tcPr>
            <w:tcW w:w="1085" w:type="pct"/>
            <w:tcBorders>
              <w:left w:val="single" w:sz="12" w:space="0" w:color="000000"/>
            </w:tcBorders>
            <w:noWrap/>
            <w:vAlign w:val="center"/>
            <w:hideMark/>
          </w:tcPr>
          <w:p w14:paraId="191374AF"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Cebo vivo</w:t>
            </w:r>
          </w:p>
        </w:tc>
        <w:tc>
          <w:tcPr>
            <w:tcW w:w="585" w:type="pct"/>
            <w:noWrap/>
            <w:vAlign w:val="center"/>
            <w:hideMark/>
          </w:tcPr>
          <w:p w14:paraId="1A701F84"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19,75</w:t>
            </w:r>
          </w:p>
        </w:tc>
        <w:tc>
          <w:tcPr>
            <w:tcW w:w="204" w:type="pct"/>
          </w:tcPr>
          <w:p w14:paraId="5A75B86F"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noWrap/>
            <w:vAlign w:val="center"/>
            <w:hideMark/>
          </w:tcPr>
          <w:p w14:paraId="71315DFA"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vAlign w:val="center"/>
            <w:hideMark/>
          </w:tcPr>
          <w:p w14:paraId="0DEF2FFE"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vAlign w:val="center"/>
            <w:hideMark/>
          </w:tcPr>
          <w:p w14:paraId="2C10D39B"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vAlign w:val="center"/>
            <w:hideMark/>
          </w:tcPr>
          <w:p w14:paraId="1C929ADB"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tcPr>
          <w:p w14:paraId="3F4B8A37"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c>
          <w:tcPr>
            <w:tcW w:w="221" w:type="pct"/>
          </w:tcPr>
          <w:p w14:paraId="500244D5"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90" w:type="pct"/>
            <w:shd w:val="clear" w:color="000000" w:fill="D9D9D9"/>
            <w:vAlign w:val="center"/>
            <w:hideMark/>
          </w:tcPr>
          <w:p w14:paraId="02178BF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tcPr>
          <w:p w14:paraId="5C60CAAF"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13" w:type="pct"/>
            <w:vAlign w:val="center"/>
            <w:hideMark/>
          </w:tcPr>
          <w:p w14:paraId="084C7A8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213" w:type="pct"/>
            <w:vAlign w:val="center"/>
            <w:hideMark/>
          </w:tcPr>
          <w:p w14:paraId="7904C363"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323" w:type="pct"/>
            <w:vAlign w:val="center"/>
            <w:hideMark/>
          </w:tcPr>
          <w:p w14:paraId="46C897F6"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305" w:type="pct"/>
            <w:vAlign w:val="center"/>
            <w:hideMark/>
          </w:tcPr>
          <w:p w14:paraId="187AA0E5"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42" w:type="pct"/>
            <w:vAlign w:val="center"/>
            <w:hideMark/>
          </w:tcPr>
          <w:p w14:paraId="337B339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94" w:type="pct"/>
            <w:tcBorders>
              <w:right w:val="single" w:sz="12" w:space="0" w:color="000000"/>
            </w:tcBorders>
          </w:tcPr>
          <w:p w14:paraId="18768C0F"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r>
      <w:tr w:rsidR="009123AC" w:rsidRPr="00F0379B" w14:paraId="6826BFA8" w14:textId="77777777" w:rsidTr="00CA749B">
        <w:trPr>
          <w:trHeight w:val="24"/>
        </w:trPr>
        <w:tc>
          <w:tcPr>
            <w:tcW w:w="1085" w:type="pct"/>
            <w:tcBorders>
              <w:left w:val="single" w:sz="12" w:space="0" w:color="000000"/>
            </w:tcBorders>
            <w:noWrap/>
            <w:vAlign w:val="center"/>
            <w:hideMark/>
          </w:tcPr>
          <w:p w14:paraId="597DE34A"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Liña de mano</w:t>
            </w:r>
          </w:p>
        </w:tc>
        <w:tc>
          <w:tcPr>
            <w:tcW w:w="585" w:type="pct"/>
            <w:noWrap/>
            <w:vAlign w:val="center"/>
            <w:hideMark/>
          </w:tcPr>
          <w:p w14:paraId="4D8575BC"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w:t>
            </w:r>
          </w:p>
        </w:tc>
        <w:tc>
          <w:tcPr>
            <w:tcW w:w="204" w:type="pct"/>
          </w:tcPr>
          <w:p w14:paraId="14027DB3"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noWrap/>
            <w:vAlign w:val="center"/>
            <w:hideMark/>
          </w:tcPr>
          <w:p w14:paraId="3E9CEBAF"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vAlign w:val="center"/>
            <w:hideMark/>
          </w:tcPr>
          <w:p w14:paraId="250A6022"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vAlign w:val="center"/>
            <w:hideMark/>
          </w:tcPr>
          <w:p w14:paraId="1A16BDBD"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vAlign w:val="center"/>
            <w:hideMark/>
          </w:tcPr>
          <w:p w14:paraId="7579B6C7"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Pr>
          <w:p w14:paraId="5965D632"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221" w:type="pct"/>
          </w:tcPr>
          <w:p w14:paraId="32D71734"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90" w:type="pct"/>
            <w:shd w:val="clear" w:color="000000" w:fill="D9D9D9"/>
            <w:vAlign w:val="center"/>
            <w:hideMark/>
          </w:tcPr>
          <w:p w14:paraId="00A1F3F8"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Pr>
          <w:p w14:paraId="60192EE8"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13" w:type="pct"/>
            <w:vAlign w:val="center"/>
            <w:hideMark/>
          </w:tcPr>
          <w:p w14:paraId="412974DE"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213" w:type="pct"/>
            <w:vAlign w:val="center"/>
            <w:hideMark/>
          </w:tcPr>
          <w:p w14:paraId="6E752DE1"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323" w:type="pct"/>
            <w:vAlign w:val="center"/>
            <w:hideMark/>
          </w:tcPr>
          <w:p w14:paraId="206E0AA6"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305" w:type="pct"/>
            <w:vAlign w:val="center"/>
            <w:hideMark/>
          </w:tcPr>
          <w:p w14:paraId="389B4A2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42" w:type="pct"/>
            <w:vAlign w:val="center"/>
            <w:hideMark/>
          </w:tcPr>
          <w:p w14:paraId="3878E827"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94" w:type="pct"/>
            <w:tcBorders>
              <w:right w:val="single" w:sz="12" w:space="0" w:color="000000"/>
            </w:tcBorders>
          </w:tcPr>
          <w:p w14:paraId="116EF12B"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r>
      <w:tr w:rsidR="009123AC" w:rsidRPr="00F0379B" w14:paraId="633E9E64" w14:textId="77777777" w:rsidTr="00CA749B">
        <w:trPr>
          <w:trHeight w:val="24"/>
        </w:trPr>
        <w:tc>
          <w:tcPr>
            <w:tcW w:w="1085" w:type="pct"/>
            <w:tcBorders>
              <w:left w:val="single" w:sz="12" w:space="0" w:color="000000"/>
            </w:tcBorders>
            <w:noWrap/>
            <w:vAlign w:val="center"/>
            <w:hideMark/>
          </w:tcPr>
          <w:p w14:paraId="3193835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Arrastreros</w:t>
            </w:r>
          </w:p>
        </w:tc>
        <w:tc>
          <w:tcPr>
            <w:tcW w:w="585" w:type="pct"/>
            <w:noWrap/>
            <w:vAlign w:val="center"/>
            <w:hideMark/>
          </w:tcPr>
          <w:p w14:paraId="0322B5B8"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10</w:t>
            </w:r>
          </w:p>
        </w:tc>
        <w:tc>
          <w:tcPr>
            <w:tcW w:w="204" w:type="pct"/>
          </w:tcPr>
          <w:p w14:paraId="65A1F2CA"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noWrap/>
            <w:vAlign w:val="center"/>
            <w:hideMark/>
          </w:tcPr>
          <w:p w14:paraId="10EC09E7"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vAlign w:val="center"/>
            <w:hideMark/>
          </w:tcPr>
          <w:p w14:paraId="4A449738"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vAlign w:val="center"/>
            <w:hideMark/>
          </w:tcPr>
          <w:p w14:paraId="446A10F1"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vAlign w:val="center"/>
            <w:hideMark/>
          </w:tcPr>
          <w:p w14:paraId="3418BFF9"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Pr>
          <w:p w14:paraId="348985CE"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221" w:type="pct"/>
          </w:tcPr>
          <w:p w14:paraId="1ADEFB37"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90" w:type="pct"/>
            <w:shd w:val="clear" w:color="000000" w:fill="D9D9D9"/>
            <w:vAlign w:val="center"/>
            <w:hideMark/>
          </w:tcPr>
          <w:p w14:paraId="77583C7A"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Pr>
          <w:p w14:paraId="0F1509D0"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13" w:type="pct"/>
            <w:vAlign w:val="center"/>
            <w:hideMark/>
          </w:tcPr>
          <w:p w14:paraId="35261CD9"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213" w:type="pct"/>
            <w:vAlign w:val="center"/>
            <w:hideMark/>
          </w:tcPr>
          <w:p w14:paraId="122D71B9"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323" w:type="pct"/>
            <w:vAlign w:val="center"/>
            <w:hideMark/>
          </w:tcPr>
          <w:p w14:paraId="74708538"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305" w:type="pct"/>
            <w:vAlign w:val="center"/>
            <w:hideMark/>
          </w:tcPr>
          <w:p w14:paraId="1BB3AC55"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42" w:type="pct"/>
            <w:vAlign w:val="center"/>
            <w:hideMark/>
          </w:tcPr>
          <w:p w14:paraId="56E6FD70"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94" w:type="pct"/>
            <w:tcBorders>
              <w:right w:val="single" w:sz="12" w:space="0" w:color="000000"/>
            </w:tcBorders>
          </w:tcPr>
          <w:p w14:paraId="7695933E"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r>
      <w:tr w:rsidR="009123AC" w:rsidRPr="00F0379B" w14:paraId="6AE9B1FE" w14:textId="77777777" w:rsidTr="00CA749B">
        <w:trPr>
          <w:trHeight w:val="24"/>
        </w:trPr>
        <w:tc>
          <w:tcPr>
            <w:tcW w:w="1085" w:type="pct"/>
            <w:tcBorders>
              <w:left w:val="single" w:sz="12" w:space="0" w:color="000000"/>
            </w:tcBorders>
            <w:noWrap/>
            <w:vAlign w:val="center"/>
            <w:hideMark/>
          </w:tcPr>
          <w:p w14:paraId="744F5FAE"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Almadrabas</w:t>
            </w:r>
          </w:p>
        </w:tc>
        <w:tc>
          <w:tcPr>
            <w:tcW w:w="585" w:type="pct"/>
            <w:noWrap/>
            <w:vAlign w:val="center"/>
            <w:hideMark/>
          </w:tcPr>
          <w:p w14:paraId="241691FF"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130</w:t>
            </w:r>
          </w:p>
        </w:tc>
        <w:tc>
          <w:tcPr>
            <w:tcW w:w="204" w:type="pct"/>
          </w:tcPr>
          <w:p w14:paraId="10EB99D0"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noWrap/>
            <w:vAlign w:val="center"/>
            <w:hideMark/>
          </w:tcPr>
          <w:p w14:paraId="3978808D"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vAlign w:val="center"/>
            <w:hideMark/>
          </w:tcPr>
          <w:p w14:paraId="5EE87FB5"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vAlign w:val="center"/>
            <w:hideMark/>
          </w:tcPr>
          <w:p w14:paraId="18781E78"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vAlign w:val="center"/>
            <w:hideMark/>
          </w:tcPr>
          <w:p w14:paraId="5335A1A8"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tcPr>
          <w:p w14:paraId="4B878F7C"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c>
          <w:tcPr>
            <w:tcW w:w="221" w:type="pct"/>
          </w:tcPr>
          <w:p w14:paraId="2A985FA4"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90" w:type="pct"/>
            <w:shd w:val="clear" w:color="000000" w:fill="D9D9D9"/>
            <w:vAlign w:val="center"/>
            <w:hideMark/>
          </w:tcPr>
          <w:p w14:paraId="3299D705"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tcPr>
          <w:p w14:paraId="52DA9662"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13" w:type="pct"/>
            <w:vAlign w:val="center"/>
            <w:hideMark/>
          </w:tcPr>
          <w:p w14:paraId="26C816F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213" w:type="pct"/>
            <w:vAlign w:val="center"/>
            <w:hideMark/>
          </w:tcPr>
          <w:p w14:paraId="652550F3"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323" w:type="pct"/>
            <w:vAlign w:val="center"/>
            <w:hideMark/>
          </w:tcPr>
          <w:p w14:paraId="639F70F6"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305" w:type="pct"/>
            <w:vAlign w:val="center"/>
            <w:hideMark/>
          </w:tcPr>
          <w:p w14:paraId="76BD82C7"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42" w:type="pct"/>
            <w:vAlign w:val="center"/>
            <w:hideMark/>
          </w:tcPr>
          <w:p w14:paraId="5F4EFE55"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94" w:type="pct"/>
            <w:tcBorders>
              <w:right w:val="single" w:sz="12" w:space="0" w:color="000000"/>
            </w:tcBorders>
          </w:tcPr>
          <w:p w14:paraId="747FEE66"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r>
      <w:tr w:rsidR="009123AC" w:rsidRPr="00F0379B" w14:paraId="0A19783B" w14:textId="77777777" w:rsidTr="00CA749B">
        <w:trPr>
          <w:trHeight w:val="24"/>
        </w:trPr>
        <w:tc>
          <w:tcPr>
            <w:tcW w:w="1085" w:type="pct"/>
            <w:tcBorders>
              <w:left w:val="single" w:sz="12" w:space="0" w:color="000000"/>
            </w:tcBorders>
            <w:vAlign w:val="center"/>
            <w:hideMark/>
          </w:tcPr>
          <w:p w14:paraId="225E4FB1"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Pequeños barcos costeros</w:t>
            </w:r>
          </w:p>
        </w:tc>
        <w:tc>
          <w:tcPr>
            <w:tcW w:w="585" w:type="pct"/>
            <w:noWrap/>
            <w:vAlign w:val="center"/>
            <w:hideMark/>
          </w:tcPr>
          <w:p w14:paraId="1723FADE"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N/A</w:t>
            </w:r>
          </w:p>
        </w:tc>
        <w:tc>
          <w:tcPr>
            <w:tcW w:w="204" w:type="pct"/>
          </w:tcPr>
          <w:p w14:paraId="5A5BC7A6"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noWrap/>
            <w:vAlign w:val="center"/>
            <w:hideMark/>
          </w:tcPr>
          <w:p w14:paraId="0E072391"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vAlign w:val="center"/>
            <w:hideMark/>
          </w:tcPr>
          <w:p w14:paraId="42EC399B"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vAlign w:val="center"/>
            <w:hideMark/>
          </w:tcPr>
          <w:p w14:paraId="7B6AD788"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vAlign w:val="center"/>
            <w:hideMark/>
          </w:tcPr>
          <w:p w14:paraId="4CDB6FA5"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tcPr>
          <w:p w14:paraId="1956F4DF"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c>
          <w:tcPr>
            <w:tcW w:w="221" w:type="pct"/>
          </w:tcPr>
          <w:p w14:paraId="37FCC004"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90" w:type="pct"/>
            <w:shd w:val="clear" w:color="000000" w:fill="D9D9D9"/>
            <w:vAlign w:val="center"/>
            <w:hideMark/>
          </w:tcPr>
          <w:p w14:paraId="765F2B59"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tcPr>
          <w:p w14:paraId="3C0EE3A1"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13" w:type="pct"/>
            <w:vAlign w:val="center"/>
            <w:hideMark/>
          </w:tcPr>
          <w:p w14:paraId="223F595A"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213" w:type="pct"/>
            <w:vAlign w:val="center"/>
            <w:hideMark/>
          </w:tcPr>
          <w:p w14:paraId="73539E92"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323" w:type="pct"/>
            <w:vAlign w:val="center"/>
            <w:hideMark/>
          </w:tcPr>
          <w:p w14:paraId="69F72ED0"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305" w:type="pct"/>
            <w:vAlign w:val="center"/>
            <w:hideMark/>
          </w:tcPr>
          <w:p w14:paraId="4ACBD16E"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42" w:type="pct"/>
            <w:vAlign w:val="center"/>
            <w:hideMark/>
          </w:tcPr>
          <w:p w14:paraId="082E4A12"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94" w:type="pct"/>
            <w:tcBorders>
              <w:right w:val="single" w:sz="12" w:space="0" w:color="000000"/>
            </w:tcBorders>
          </w:tcPr>
          <w:p w14:paraId="72DC5799"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r>
      <w:tr w:rsidR="009123AC" w:rsidRPr="00F0379B" w14:paraId="69D7F308" w14:textId="77777777" w:rsidTr="00CA749B">
        <w:trPr>
          <w:trHeight w:val="24"/>
        </w:trPr>
        <w:tc>
          <w:tcPr>
            <w:tcW w:w="1085" w:type="pct"/>
            <w:tcBorders>
              <w:left w:val="single" w:sz="12" w:space="0" w:color="000000"/>
            </w:tcBorders>
            <w:vAlign w:val="center"/>
            <w:hideMark/>
          </w:tcPr>
          <w:p w14:paraId="0E26156D"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Otros (especificar)</w:t>
            </w:r>
          </w:p>
        </w:tc>
        <w:tc>
          <w:tcPr>
            <w:tcW w:w="585" w:type="pct"/>
            <w:noWrap/>
            <w:vAlign w:val="center"/>
            <w:hideMark/>
          </w:tcPr>
          <w:p w14:paraId="6610AD98" w14:textId="77777777" w:rsidR="009123AC" w:rsidRPr="00F0379B" w:rsidRDefault="009123AC" w:rsidP="009123AC">
            <w:pPr>
              <w:spacing w:after="0" w:line="240" w:lineRule="auto"/>
              <w:jc w:val="center"/>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5</w:t>
            </w:r>
          </w:p>
        </w:tc>
        <w:tc>
          <w:tcPr>
            <w:tcW w:w="204" w:type="pct"/>
          </w:tcPr>
          <w:p w14:paraId="28E0867F"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noWrap/>
            <w:vAlign w:val="center"/>
            <w:hideMark/>
          </w:tcPr>
          <w:p w14:paraId="48948DA7"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vAlign w:val="center"/>
            <w:hideMark/>
          </w:tcPr>
          <w:p w14:paraId="060B1F81"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vAlign w:val="center"/>
            <w:hideMark/>
          </w:tcPr>
          <w:p w14:paraId="73C4578D"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vAlign w:val="center"/>
            <w:hideMark/>
          </w:tcPr>
          <w:p w14:paraId="4E5FA532"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tcPr>
          <w:p w14:paraId="46515B6F"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c>
          <w:tcPr>
            <w:tcW w:w="221" w:type="pct"/>
          </w:tcPr>
          <w:p w14:paraId="3A2D9D39"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90" w:type="pct"/>
            <w:shd w:val="clear" w:color="000000" w:fill="D9D9D9"/>
            <w:vAlign w:val="center"/>
            <w:hideMark/>
          </w:tcPr>
          <w:p w14:paraId="02F55CC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tcPr>
          <w:p w14:paraId="19F48281"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13" w:type="pct"/>
            <w:vAlign w:val="center"/>
            <w:hideMark/>
          </w:tcPr>
          <w:p w14:paraId="543F444A"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213" w:type="pct"/>
            <w:vAlign w:val="center"/>
            <w:hideMark/>
          </w:tcPr>
          <w:p w14:paraId="1A2BA8EC"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
        </w:tc>
        <w:tc>
          <w:tcPr>
            <w:tcW w:w="323" w:type="pct"/>
            <w:vAlign w:val="center"/>
            <w:hideMark/>
          </w:tcPr>
          <w:p w14:paraId="17FC17A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Calibri" w:hAnsi="Cambria" w:cs="Times New Roman"/>
                <w:b/>
                <w:sz w:val="16"/>
                <w:szCs w:val="16"/>
                <w:lang w:val="tr-TR"/>
              </w:rPr>
              <w:t>3</w:t>
            </w:r>
            <w:r w:rsidRPr="00F0379B">
              <w:rPr>
                <w:rFonts w:ascii="Cambria" w:eastAsia="Calibri" w:hAnsi="Cambria" w:cs="Times New Roman"/>
                <w:b/>
                <w:sz w:val="16"/>
                <w:szCs w:val="16"/>
                <w:vertAlign w:val="superscript"/>
                <w:lang w:val="tr-TR"/>
              </w:rPr>
              <w:t>b</w:t>
            </w:r>
          </w:p>
        </w:tc>
        <w:tc>
          <w:tcPr>
            <w:tcW w:w="305" w:type="pct"/>
            <w:hideMark/>
          </w:tcPr>
          <w:p w14:paraId="3D23A101"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Calibri" w:hAnsi="Cambria" w:cs="Times New Roman"/>
                <w:b/>
                <w:sz w:val="16"/>
                <w:szCs w:val="16"/>
                <w:lang w:val="tr-TR"/>
              </w:rPr>
              <w:t>3</w:t>
            </w:r>
            <w:r w:rsidRPr="00F0379B">
              <w:rPr>
                <w:rFonts w:ascii="Cambria" w:eastAsia="Calibri" w:hAnsi="Cambria" w:cs="Times New Roman"/>
                <w:b/>
                <w:sz w:val="16"/>
                <w:szCs w:val="16"/>
                <w:vertAlign w:val="superscript"/>
                <w:lang w:val="tr-TR"/>
              </w:rPr>
              <w:t>b</w:t>
            </w:r>
          </w:p>
        </w:tc>
        <w:tc>
          <w:tcPr>
            <w:tcW w:w="242" w:type="pct"/>
            <w:hideMark/>
          </w:tcPr>
          <w:p w14:paraId="1AE48692"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Calibri" w:hAnsi="Cambria" w:cs="Times New Roman"/>
                <w:b/>
                <w:sz w:val="16"/>
                <w:szCs w:val="16"/>
                <w:lang w:val="tr-TR"/>
              </w:rPr>
              <w:t>3</w:t>
            </w:r>
            <w:r w:rsidRPr="00F0379B">
              <w:rPr>
                <w:rFonts w:ascii="Cambria" w:eastAsia="Calibri" w:hAnsi="Cambria" w:cs="Times New Roman"/>
                <w:b/>
                <w:sz w:val="16"/>
                <w:szCs w:val="16"/>
                <w:vertAlign w:val="superscript"/>
                <w:lang w:val="tr-TR"/>
              </w:rPr>
              <w:t>b</w:t>
            </w:r>
          </w:p>
        </w:tc>
        <w:tc>
          <w:tcPr>
            <w:tcW w:w="294" w:type="pct"/>
            <w:tcBorders>
              <w:right w:val="single" w:sz="12" w:space="0" w:color="000000"/>
            </w:tcBorders>
          </w:tcPr>
          <w:p w14:paraId="4C0B5565"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Calibri" w:hAnsi="Cambria" w:cs="Times New Roman"/>
                <w:b/>
                <w:sz w:val="16"/>
                <w:szCs w:val="16"/>
                <w:lang w:val="tr-TR"/>
              </w:rPr>
              <w:t xml:space="preserve">3,5 </w:t>
            </w:r>
            <w:r w:rsidRPr="00F0379B">
              <w:rPr>
                <w:rFonts w:ascii="Cambria" w:eastAsia="Calibri" w:hAnsi="Cambria" w:cs="Times New Roman"/>
                <w:b/>
                <w:sz w:val="16"/>
                <w:szCs w:val="16"/>
                <w:vertAlign w:val="superscript"/>
                <w:lang w:val="tr-TR"/>
              </w:rPr>
              <w:t>b</w:t>
            </w:r>
          </w:p>
        </w:tc>
      </w:tr>
      <w:tr w:rsidR="009123AC" w:rsidRPr="00F0379B" w14:paraId="7B203CA3" w14:textId="77777777" w:rsidTr="00CA749B">
        <w:trPr>
          <w:trHeight w:val="24"/>
        </w:trPr>
        <w:tc>
          <w:tcPr>
            <w:tcW w:w="1085" w:type="pct"/>
            <w:tcBorders>
              <w:left w:val="single" w:sz="12" w:space="0" w:color="000000"/>
              <w:bottom w:val="single" w:sz="12" w:space="0" w:color="000000"/>
            </w:tcBorders>
            <w:noWrap/>
            <w:vAlign w:val="center"/>
            <w:hideMark/>
          </w:tcPr>
          <w:p w14:paraId="1C9376F7"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Capacidad pesquera/flota total</w:t>
            </w:r>
          </w:p>
        </w:tc>
        <w:tc>
          <w:tcPr>
            <w:tcW w:w="585" w:type="pct"/>
            <w:tcBorders>
              <w:bottom w:val="single" w:sz="12" w:space="0" w:color="000000"/>
            </w:tcBorders>
            <w:noWrap/>
            <w:vAlign w:val="center"/>
            <w:hideMark/>
          </w:tcPr>
          <w:p w14:paraId="60479B46" w14:textId="77777777" w:rsidR="009123AC" w:rsidRPr="00F0379B" w:rsidRDefault="009123AC" w:rsidP="009123AC">
            <w:pPr>
              <w:spacing w:after="0" w:line="240" w:lineRule="auto"/>
              <w:jc w:val="right"/>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 </w:t>
            </w:r>
          </w:p>
        </w:tc>
        <w:tc>
          <w:tcPr>
            <w:tcW w:w="204" w:type="pct"/>
            <w:tcBorders>
              <w:bottom w:val="single" w:sz="12" w:space="0" w:color="000000"/>
            </w:tcBorders>
          </w:tcPr>
          <w:p w14:paraId="361CB974"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tcBorders>
              <w:bottom w:val="single" w:sz="12" w:space="0" w:color="000000"/>
            </w:tcBorders>
            <w:noWrap/>
            <w:vAlign w:val="center"/>
            <w:hideMark/>
          </w:tcPr>
          <w:p w14:paraId="070355A2"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93</w:t>
            </w:r>
          </w:p>
        </w:tc>
        <w:tc>
          <w:tcPr>
            <w:tcW w:w="204" w:type="pct"/>
            <w:tcBorders>
              <w:bottom w:val="single" w:sz="12" w:space="0" w:color="000000"/>
            </w:tcBorders>
            <w:vAlign w:val="center"/>
            <w:hideMark/>
          </w:tcPr>
          <w:p w14:paraId="25F8EE10"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22</w:t>
            </w:r>
          </w:p>
        </w:tc>
        <w:tc>
          <w:tcPr>
            <w:tcW w:w="204" w:type="pct"/>
            <w:tcBorders>
              <w:bottom w:val="single" w:sz="12" w:space="0" w:color="000000"/>
            </w:tcBorders>
            <w:vAlign w:val="center"/>
            <w:hideMark/>
          </w:tcPr>
          <w:p w14:paraId="59D196DB"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30</w:t>
            </w:r>
          </w:p>
        </w:tc>
        <w:tc>
          <w:tcPr>
            <w:tcW w:w="204" w:type="pct"/>
            <w:tcBorders>
              <w:bottom w:val="single" w:sz="12" w:space="0" w:color="000000"/>
            </w:tcBorders>
            <w:vAlign w:val="center"/>
            <w:hideMark/>
          </w:tcPr>
          <w:p w14:paraId="58952E7E"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30</w:t>
            </w:r>
          </w:p>
        </w:tc>
        <w:tc>
          <w:tcPr>
            <w:tcW w:w="204" w:type="pct"/>
            <w:tcBorders>
              <w:bottom w:val="single" w:sz="12" w:space="0" w:color="000000"/>
            </w:tcBorders>
          </w:tcPr>
          <w:p w14:paraId="6E2576EE"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color w:val="000000"/>
                <w:sz w:val="16"/>
                <w:szCs w:val="16"/>
                <w:lang w:val="en-US" w:eastAsia="ja-JP"/>
              </w:rPr>
              <w:t>36</w:t>
            </w:r>
          </w:p>
        </w:tc>
        <w:tc>
          <w:tcPr>
            <w:tcW w:w="221" w:type="pct"/>
            <w:tcBorders>
              <w:bottom w:val="single" w:sz="12" w:space="0" w:color="000000"/>
            </w:tcBorders>
          </w:tcPr>
          <w:p w14:paraId="2E507C87"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r w:rsidRPr="00F0379B">
              <w:rPr>
                <w:rFonts w:ascii="Cambria" w:eastAsia="Times New Roman" w:hAnsi="Cambria" w:cs="Calibri"/>
                <w:b/>
                <w:bCs/>
                <w:color w:val="000000"/>
                <w:sz w:val="16"/>
                <w:szCs w:val="16"/>
                <w:lang w:eastAsia="ja-JP" w:bidi="fr-FR"/>
              </w:rPr>
              <w:t>48</w:t>
            </w:r>
          </w:p>
        </w:tc>
        <w:tc>
          <w:tcPr>
            <w:tcW w:w="90" w:type="pct"/>
            <w:tcBorders>
              <w:bottom w:val="single" w:sz="12" w:space="0" w:color="000000"/>
            </w:tcBorders>
            <w:shd w:val="clear" w:color="000000" w:fill="D9D9D9"/>
            <w:vAlign w:val="center"/>
            <w:hideMark/>
          </w:tcPr>
          <w:p w14:paraId="60C60874"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color w:val="000000"/>
                <w:sz w:val="16"/>
                <w:szCs w:val="16"/>
                <w:lang w:eastAsia="ja-JP" w:bidi="fr-FR"/>
              </w:rPr>
              <w:t> </w:t>
            </w:r>
          </w:p>
        </w:tc>
        <w:tc>
          <w:tcPr>
            <w:tcW w:w="204" w:type="pct"/>
            <w:tcBorders>
              <w:bottom w:val="single" w:sz="12" w:space="0" w:color="000000"/>
            </w:tcBorders>
          </w:tcPr>
          <w:p w14:paraId="283F39EF"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13" w:type="pct"/>
            <w:tcBorders>
              <w:bottom w:val="single" w:sz="12" w:space="0" w:color="000000"/>
            </w:tcBorders>
            <w:vAlign w:val="center"/>
            <w:hideMark/>
          </w:tcPr>
          <w:p w14:paraId="1C9E5FF7"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5439</w:t>
            </w:r>
          </w:p>
        </w:tc>
        <w:tc>
          <w:tcPr>
            <w:tcW w:w="213" w:type="pct"/>
            <w:tcBorders>
              <w:bottom w:val="single" w:sz="12" w:space="0" w:color="000000"/>
            </w:tcBorders>
            <w:vAlign w:val="center"/>
            <w:hideMark/>
          </w:tcPr>
          <w:p w14:paraId="02D44DEB"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1430</w:t>
            </w:r>
          </w:p>
        </w:tc>
        <w:tc>
          <w:tcPr>
            <w:tcW w:w="323" w:type="pct"/>
            <w:tcBorders>
              <w:bottom w:val="single" w:sz="12" w:space="0" w:color="000000"/>
            </w:tcBorders>
            <w:noWrap/>
            <w:vAlign w:val="center"/>
            <w:hideMark/>
          </w:tcPr>
          <w:p w14:paraId="25BDD2EA"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rPr>
              <w:t>1928</w:t>
            </w:r>
          </w:p>
        </w:tc>
        <w:tc>
          <w:tcPr>
            <w:tcW w:w="305" w:type="pct"/>
            <w:tcBorders>
              <w:bottom w:val="single" w:sz="12" w:space="0" w:color="000000"/>
            </w:tcBorders>
            <w:noWrap/>
            <w:vAlign w:val="center"/>
            <w:hideMark/>
          </w:tcPr>
          <w:p w14:paraId="7E512ABB"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1999</w:t>
            </w:r>
          </w:p>
        </w:tc>
        <w:tc>
          <w:tcPr>
            <w:tcW w:w="242" w:type="pct"/>
            <w:tcBorders>
              <w:bottom w:val="single" w:sz="12" w:space="0" w:color="000000"/>
            </w:tcBorders>
            <w:noWrap/>
            <w:hideMark/>
          </w:tcPr>
          <w:p w14:paraId="0AE142F8"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Times New Roman" w:hAnsi="Cambria" w:cs="Calibri"/>
                <w:b/>
                <w:bCs/>
                <w:sz w:val="16"/>
                <w:szCs w:val="16"/>
                <w:lang w:val="en-US" w:eastAsia="ja-JP"/>
              </w:rPr>
              <w:t>2463</w:t>
            </w:r>
          </w:p>
        </w:tc>
        <w:tc>
          <w:tcPr>
            <w:tcW w:w="294" w:type="pct"/>
            <w:tcBorders>
              <w:bottom w:val="single" w:sz="12" w:space="0" w:color="000000"/>
              <w:right w:val="single" w:sz="12" w:space="0" w:color="000000"/>
            </w:tcBorders>
          </w:tcPr>
          <w:p w14:paraId="7ED2E175"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color w:val="000000"/>
                <w:sz w:val="16"/>
                <w:szCs w:val="16"/>
                <w:lang w:eastAsia="ja-JP" w:bidi="fr-FR"/>
              </w:rPr>
              <w:t>3082</w:t>
            </w:r>
          </w:p>
        </w:tc>
      </w:tr>
      <w:tr w:rsidR="009123AC" w:rsidRPr="00F0379B" w14:paraId="46440C8D" w14:textId="77777777" w:rsidTr="00CA749B">
        <w:trPr>
          <w:trHeight w:val="24"/>
        </w:trPr>
        <w:tc>
          <w:tcPr>
            <w:tcW w:w="1085" w:type="pct"/>
            <w:tcBorders>
              <w:top w:val="single" w:sz="12" w:space="0" w:color="000000"/>
              <w:left w:val="single" w:sz="12" w:space="0" w:color="000000"/>
            </w:tcBorders>
            <w:shd w:val="clear" w:color="auto" w:fill="D9D9D9"/>
            <w:noWrap/>
            <w:vAlign w:val="center"/>
            <w:hideMark/>
          </w:tcPr>
          <w:p w14:paraId="1EC3323A"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inicial</w:t>
            </w:r>
          </w:p>
        </w:tc>
        <w:tc>
          <w:tcPr>
            <w:tcW w:w="585" w:type="pct"/>
            <w:tcBorders>
              <w:top w:val="single" w:sz="12" w:space="0" w:color="000000"/>
            </w:tcBorders>
            <w:shd w:val="clear" w:color="auto" w:fill="D9D9D9"/>
            <w:noWrap/>
            <w:vAlign w:val="center"/>
            <w:hideMark/>
          </w:tcPr>
          <w:p w14:paraId="416A9C09" w14:textId="77777777" w:rsidR="009123AC" w:rsidRPr="00F0379B" w:rsidRDefault="009123AC" w:rsidP="009123AC">
            <w:pPr>
              <w:spacing w:after="0" w:line="240" w:lineRule="auto"/>
              <w:jc w:val="right"/>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 </w:t>
            </w:r>
          </w:p>
        </w:tc>
        <w:tc>
          <w:tcPr>
            <w:tcW w:w="204" w:type="pct"/>
            <w:tcBorders>
              <w:top w:val="single" w:sz="12" w:space="0" w:color="000000"/>
            </w:tcBorders>
            <w:shd w:val="clear" w:color="auto" w:fill="D9D9D9"/>
          </w:tcPr>
          <w:p w14:paraId="31F0CB41"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tcBorders>
              <w:top w:val="single" w:sz="12" w:space="0" w:color="000000"/>
            </w:tcBorders>
            <w:shd w:val="clear" w:color="auto" w:fill="D9D9D9"/>
            <w:noWrap/>
            <w:vAlign w:val="center"/>
            <w:hideMark/>
          </w:tcPr>
          <w:p w14:paraId="7DB2491D"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Borders>
              <w:top w:val="single" w:sz="12" w:space="0" w:color="000000"/>
            </w:tcBorders>
            <w:shd w:val="clear" w:color="auto" w:fill="D9D9D9"/>
            <w:vAlign w:val="center"/>
            <w:hideMark/>
          </w:tcPr>
          <w:p w14:paraId="3BABC8D5"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Borders>
              <w:top w:val="single" w:sz="12" w:space="0" w:color="000000"/>
            </w:tcBorders>
            <w:shd w:val="clear" w:color="auto" w:fill="D9D9D9"/>
            <w:vAlign w:val="center"/>
            <w:hideMark/>
          </w:tcPr>
          <w:p w14:paraId="4844716A"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Borders>
              <w:top w:val="single" w:sz="12" w:space="0" w:color="000000"/>
            </w:tcBorders>
            <w:shd w:val="clear" w:color="auto" w:fill="D9D9D9"/>
            <w:vAlign w:val="center"/>
            <w:hideMark/>
          </w:tcPr>
          <w:p w14:paraId="04BFC7C7"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Borders>
              <w:top w:val="single" w:sz="12" w:space="0" w:color="000000"/>
            </w:tcBorders>
            <w:shd w:val="clear" w:color="auto" w:fill="D9D9D9"/>
          </w:tcPr>
          <w:p w14:paraId="4C5FCFB8"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221" w:type="pct"/>
            <w:tcBorders>
              <w:top w:val="single" w:sz="12" w:space="0" w:color="000000"/>
            </w:tcBorders>
            <w:shd w:val="clear" w:color="auto" w:fill="D9D9D9"/>
          </w:tcPr>
          <w:p w14:paraId="12B0A90D"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90" w:type="pct"/>
            <w:tcBorders>
              <w:top w:val="single" w:sz="12" w:space="0" w:color="000000"/>
            </w:tcBorders>
            <w:shd w:val="clear" w:color="auto" w:fill="D9D9D9"/>
            <w:vAlign w:val="center"/>
            <w:hideMark/>
          </w:tcPr>
          <w:p w14:paraId="1E521E15"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Borders>
              <w:top w:val="single" w:sz="12" w:space="0" w:color="000000"/>
            </w:tcBorders>
            <w:shd w:val="clear" w:color="auto" w:fill="D9D9D9"/>
          </w:tcPr>
          <w:p w14:paraId="4F58D49C"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13" w:type="pct"/>
            <w:tcBorders>
              <w:top w:val="single" w:sz="12" w:space="0" w:color="000000"/>
            </w:tcBorders>
            <w:shd w:val="clear" w:color="auto" w:fill="D9D9D9"/>
            <w:vAlign w:val="center"/>
            <w:hideMark/>
          </w:tcPr>
          <w:p w14:paraId="1DE13B5E"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b/>
                <w:sz w:val="16"/>
                <w:szCs w:val="16"/>
                <w:lang w:eastAsia="fr-FR" w:bidi="fr-FR"/>
              </w:rPr>
              <w:t>887</w:t>
            </w:r>
          </w:p>
        </w:tc>
        <w:tc>
          <w:tcPr>
            <w:tcW w:w="213" w:type="pct"/>
            <w:tcBorders>
              <w:top w:val="single" w:sz="12" w:space="0" w:color="000000"/>
            </w:tcBorders>
            <w:shd w:val="clear" w:color="auto" w:fill="D9D9D9"/>
            <w:vAlign w:val="center"/>
            <w:hideMark/>
          </w:tcPr>
          <w:p w14:paraId="64AF3EB1"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b/>
                <w:sz w:val="16"/>
                <w:szCs w:val="16"/>
                <w:lang w:eastAsia="fr-FR" w:bidi="fr-FR"/>
              </w:rPr>
              <w:t>1414</w:t>
            </w:r>
          </w:p>
        </w:tc>
        <w:tc>
          <w:tcPr>
            <w:tcW w:w="323" w:type="pct"/>
            <w:tcBorders>
              <w:top w:val="single" w:sz="12" w:space="0" w:color="000000"/>
            </w:tcBorders>
            <w:shd w:val="clear" w:color="auto" w:fill="D9D9D9"/>
            <w:vAlign w:val="center"/>
            <w:hideMark/>
          </w:tcPr>
          <w:p w14:paraId="3204F953"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2600</w:t>
            </w:r>
          </w:p>
        </w:tc>
        <w:tc>
          <w:tcPr>
            <w:tcW w:w="305" w:type="pct"/>
            <w:tcBorders>
              <w:top w:val="single" w:sz="12" w:space="0" w:color="000000"/>
            </w:tcBorders>
            <w:shd w:val="clear" w:color="auto" w:fill="D9D9D9"/>
            <w:vAlign w:val="center"/>
            <w:hideMark/>
          </w:tcPr>
          <w:p w14:paraId="03DDA3A6"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2600</w:t>
            </w:r>
          </w:p>
        </w:tc>
        <w:tc>
          <w:tcPr>
            <w:tcW w:w="242" w:type="pct"/>
            <w:tcBorders>
              <w:top w:val="single" w:sz="12" w:space="0" w:color="000000"/>
            </w:tcBorders>
            <w:shd w:val="clear" w:color="auto" w:fill="D9D9D9"/>
            <w:hideMark/>
          </w:tcPr>
          <w:p w14:paraId="68DBB726"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2600</w:t>
            </w:r>
          </w:p>
        </w:tc>
        <w:tc>
          <w:tcPr>
            <w:tcW w:w="294" w:type="pct"/>
            <w:tcBorders>
              <w:top w:val="single" w:sz="12" w:space="0" w:color="000000"/>
              <w:right w:val="single" w:sz="12" w:space="0" w:color="000000"/>
            </w:tcBorders>
            <w:shd w:val="clear" w:color="auto" w:fill="D9D9D9"/>
          </w:tcPr>
          <w:p w14:paraId="500E0E36"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3094,45</w:t>
            </w:r>
          </w:p>
        </w:tc>
      </w:tr>
      <w:tr w:rsidR="009123AC" w:rsidRPr="00F0379B" w14:paraId="00DF9668" w14:textId="77777777" w:rsidTr="00CA749B">
        <w:trPr>
          <w:trHeight w:val="24"/>
        </w:trPr>
        <w:tc>
          <w:tcPr>
            <w:tcW w:w="1085" w:type="pct"/>
            <w:tcBorders>
              <w:left w:val="single" w:sz="12" w:space="0" w:color="000000"/>
              <w:bottom w:val="single" w:sz="12" w:space="0" w:color="000000"/>
            </w:tcBorders>
            <w:shd w:val="clear" w:color="auto" w:fill="D9D9D9"/>
            <w:noWrap/>
            <w:vAlign w:val="center"/>
          </w:tcPr>
          <w:p w14:paraId="3BA25C62"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ajustada (si procede)</w:t>
            </w:r>
          </w:p>
        </w:tc>
        <w:tc>
          <w:tcPr>
            <w:tcW w:w="585" w:type="pct"/>
            <w:tcBorders>
              <w:bottom w:val="single" w:sz="12" w:space="0" w:color="000000"/>
            </w:tcBorders>
            <w:shd w:val="clear" w:color="auto" w:fill="D9D9D9"/>
            <w:noWrap/>
            <w:vAlign w:val="center"/>
          </w:tcPr>
          <w:p w14:paraId="5EBEE94D" w14:textId="77777777" w:rsidR="009123AC" w:rsidRPr="00F0379B" w:rsidRDefault="009123AC" w:rsidP="009123AC">
            <w:pPr>
              <w:spacing w:after="0" w:line="240" w:lineRule="auto"/>
              <w:jc w:val="right"/>
              <w:rPr>
                <w:rFonts w:ascii="Cambria" w:eastAsia="Times New Roman" w:hAnsi="Cambria" w:cs="Calibri"/>
                <w:sz w:val="16"/>
                <w:szCs w:val="16"/>
                <w:lang w:eastAsia="ja-JP"/>
              </w:rPr>
            </w:pPr>
          </w:p>
        </w:tc>
        <w:tc>
          <w:tcPr>
            <w:tcW w:w="204" w:type="pct"/>
            <w:tcBorders>
              <w:bottom w:val="single" w:sz="12" w:space="0" w:color="000000"/>
            </w:tcBorders>
            <w:shd w:val="clear" w:color="auto" w:fill="D9D9D9"/>
          </w:tcPr>
          <w:p w14:paraId="5D0916AC"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tcBorders>
              <w:bottom w:val="single" w:sz="12" w:space="0" w:color="000000"/>
            </w:tcBorders>
            <w:shd w:val="clear" w:color="auto" w:fill="D9D9D9"/>
            <w:noWrap/>
            <w:vAlign w:val="center"/>
          </w:tcPr>
          <w:p w14:paraId="40B7AD4F"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tcBorders>
              <w:bottom w:val="single" w:sz="12" w:space="0" w:color="000000"/>
            </w:tcBorders>
            <w:shd w:val="clear" w:color="auto" w:fill="D9D9D9"/>
            <w:vAlign w:val="center"/>
          </w:tcPr>
          <w:p w14:paraId="61808DF5"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tcBorders>
              <w:bottom w:val="single" w:sz="12" w:space="0" w:color="000000"/>
            </w:tcBorders>
            <w:shd w:val="clear" w:color="auto" w:fill="D9D9D9"/>
            <w:vAlign w:val="center"/>
          </w:tcPr>
          <w:p w14:paraId="1BD2DD2D"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204" w:type="pct"/>
            <w:tcBorders>
              <w:bottom w:val="single" w:sz="12" w:space="0" w:color="000000"/>
            </w:tcBorders>
            <w:shd w:val="clear" w:color="auto" w:fill="D9D9D9"/>
            <w:vAlign w:val="center"/>
          </w:tcPr>
          <w:p w14:paraId="037BD3C7"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204" w:type="pct"/>
            <w:tcBorders>
              <w:bottom w:val="single" w:sz="12" w:space="0" w:color="000000"/>
            </w:tcBorders>
            <w:shd w:val="clear" w:color="auto" w:fill="D9D9D9"/>
          </w:tcPr>
          <w:p w14:paraId="40783742"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221" w:type="pct"/>
            <w:tcBorders>
              <w:bottom w:val="single" w:sz="12" w:space="0" w:color="000000"/>
            </w:tcBorders>
            <w:shd w:val="clear" w:color="auto" w:fill="D9D9D9"/>
          </w:tcPr>
          <w:p w14:paraId="5EECC122"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90" w:type="pct"/>
            <w:tcBorders>
              <w:bottom w:val="single" w:sz="12" w:space="0" w:color="000000"/>
            </w:tcBorders>
            <w:shd w:val="clear" w:color="auto" w:fill="D9D9D9"/>
            <w:vAlign w:val="center"/>
          </w:tcPr>
          <w:p w14:paraId="3BBA0D3E"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204" w:type="pct"/>
            <w:tcBorders>
              <w:bottom w:val="single" w:sz="12" w:space="0" w:color="000000"/>
            </w:tcBorders>
            <w:shd w:val="clear" w:color="auto" w:fill="D9D9D9"/>
          </w:tcPr>
          <w:p w14:paraId="6B9ADFD5"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13" w:type="pct"/>
            <w:tcBorders>
              <w:bottom w:val="single" w:sz="12" w:space="0" w:color="000000"/>
            </w:tcBorders>
            <w:shd w:val="clear" w:color="auto" w:fill="D9D9D9"/>
            <w:vAlign w:val="center"/>
          </w:tcPr>
          <w:p w14:paraId="2F89E631"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13" w:type="pct"/>
            <w:tcBorders>
              <w:bottom w:val="single" w:sz="12" w:space="0" w:color="000000"/>
            </w:tcBorders>
            <w:shd w:val="clear" w:color="auto" w:fill="D9D9D9"/>
            <w:vAlign w:val="center"/>
          </w:tcPr>
          <w:p w14:paraId="5850AA5C"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323" w:type="pct"/>
            <w:tcBorders>
              <w:bottom w:val="single" w:sz="12" w:space="0" w:color="000000"/>
            </w:tcBorders>
            <w:shd w:val="clear" w:color="auto" w:fill="D9D9D9"/>
            <w:vAlign w:val="center"/>
          </w:tcPr>
          <w:p w14:paraId="29A46CFB"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sz w:val="16"/>
                <w:szCs w:val="16"/>
              </w:rPr>
              <w:t>3284,</w:t>
            </w:r>
            <w:r w:rsidRPr="00F0379B">
              <w:rPr>
                <w:rFonts w:ascii="Cambria" w:eastAsia="MS Gothic" w:hAnsi="Cambria" w:cs="Times New Roman"/>
                <w:sz w:val="16"/>
                <w:szCs w:val="16"/>
                <w:lang w:eastAsia="fr-FR" w:bidi="fr-FR"/>
              </w:rPr>
              <w:t>17</w:t>
            </w:r>
            <w:r w:rsidRPr="00F0379B">
              <w:rPr>
                <w:rFonts w:ascii="Cambria" w:eastAsia="MS Gothic" w:hAnsi="Cambria" w:cs="Times New Roman"/>
                <w:color w:val="000000"/>
                <w:sz w:val="16"/>
                <w:szCs w:val="16"/>
                <w:vertAlign w:val="superscript"/>
                <w:lang w:eastAsia="fr-FR" w:bidi="fr-FR"/>
              </w:rPr>
              <w:t>c</w:t>
            </w:r>
          </w:p>
        </w:tc>
        <w:tc>
          <w:tcPr>
            <w:tcW w:w="305" w:type="pct"/>
            <w:tcBorders>
              <w:bottom w:val="single" w:sz="12" w:space="0" w:color="000000"/>
            </w:tcBorders>
            <w:shd w:val="clear" w:color="auto" w:fill="D9D9D9"/>
            <w:vAlign w:val="center"/>
          </w:tcPr>
          <w:p w14:paraId="23F59FB1"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MS Gothic" w:hAnsi="Cambria" w:cs="Times New Roman"/>
                <w:sz w:val="16"/>
                <w:szCs w:val="16"/>
                <w:lang w:val="en-US" w:eastAsia="fr-FR" w:bidi="fr-FR"/>
              </w:rPr>
              <w:t>3200,64</w:t>
            </w:r>
            <w:r w:rsidRPr="00F0379B">
              <w:rPr>
                <w:rFonts w:ascii="Cambria" w:eastAsia="MS Gothic" w:hAnsi="Cambria" w:cs="Times New Roman"/>
                <w:color w:val="000000"/>
                <w:sz w:val="16"/>
                <w:szCs w:val="16"/>
                <w:vertAlign w:val="superscript"/>
                <w:lang w:eastAsia="fr-FR" w:bidi="fr-FR"/>
              </w:rPr>
              <w:t xml:space="preserve"> e</w:t>
            </w:r>
          </w:p>
        </w:tc>
        <w:tc>
          <w:tcPr>
            <w:tcW w:w="242" w:type="pct"/>
            <w:tcBorders>
              <w:bottom w:val="single" w:sz="12" w:space="0" w:color="000000"/>
            </w:tcBorders>
            <w:shd w:val="clear" w:color="auto" w:fill="D9D9D9"/>
            <w:vAlign w:val="center"/>
          </w:tcPr>
          <w:p w14:paraId="20FC2038"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 xml:space="preserve"> 2728 </w:t>
            </w:r>
            <w:r w:rsidRPr="00F0379B">
              <w:rPr>
                <w:rFonts w:ascii="Cambria" w:eastAsia="MS Gothic" w:hAnsi="Cambria" w:cs="Times New Roman"/>
                <w:sz w:val="16"/>
                <w:szCs w:val="16"/>
                <w:vertAlign w:val="superscript"/>
                <w:lang w:val="en-US" w:eastAsia="fr-FR" w:bidi="fr-FR"/>
              </w:rPr>
              <w:t>g</w:t>
            </w:r>
          </w:p>
        </w:tc>
        <w:tc>
          <w:tcPr>
            <w:tcW w:w="294" w:type="pct"/>
            <w:tcBorders>
              <w:bottom w:val="single" w:sz="12" w:space="0" w:color="000000"/>
              <w:right w:val="single" w:sz="12" w:space="0" w:color="000000"/>
            </w:tcBorders>
            <w:shd w:val="clear" w:color="auto" w:fill="D9D9D9"/>
          </w:tcPr>
          <w:p w14:paraId="036CD2CC"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 xml:space="preserve">3149,45 </w:t>
            </w:r>
            <w:r w:rsidRPr="00F0379B">
              <w:rPr>
                <w:rFonts w:ascii="Cambria" w:eastAsia="Times New Roman" w:hAnsi="Cambria" w:cs="Calibri"/>
                <w:color w:val="000000"/>
                <w:sz w:val="16"/>
                <w:szCs w:val="16"/>
                <w:vertAlign w:val="superscript"/>
                <w:lang w:eastAsia="ja-JP" w:bidi="fr-FR"/>
              </w:rPr>
              <w:t>i</w:t>
            </w:r>
          </w:p>
        </w:tc>
      </w:tr>
      <w:tr w:rsidR="009123AC" w:rsidRPr="00F0379B" w14:paraId="271626CC" w14:textId="77777777" w:rsidTr="00CA749B">
        <w:trPr>
          <w:trHeight w:val="24"/>
        </w:trPr>
        <w:tc>
          <w:tcPr>
            <w:tcW w:w="1085" w:type="pct"/>
            <w:tcBorders>
              <w:top w:val="single" w:sz="12" w:space="0" w:color="000000"/>
              <w:left w:val="single" w:sz="12" w:space="0" w:color="000000"/>
            </w:tcBorders>
            <w:noWrap/>
            <w:vAlign w:val="center"/>
            <w:hideMark/>
          </w:tcPr>
          <w:p w14:paraId="1C99D366"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Porcentaje asignado a captura fortuita</w:t>
            </w:r>
          </w:p>
        </w:tc>
        <w:tc>
          <w:tcPr>
            <w:tcW w:w="585" w:type="pct"/>
            <w:tcBorders>
              <w:top w:val="single" w:sz="12" w:space="0" w:color="000000"/>
            </w:tcBorders>
            <w:noWrap/>
            <w:vAlign w:val="center"/>
            <w:hideMark/>
          </w:tcPr>
          <w:p w14:paraId="544FABB3" w14:textId="77777777" w:rsidR="009123AC" w:rsidRPr="00F0379B" w:rsidRDefault="009123AC" w:rsidP="009123AC">
            <w:pPr>
              <w:spacing w:after="0" w:line="240" w:lineRule="auto"/>
              <w:jc w:val="right"/>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 </w:t>
            </w:r>
          </w:p>
        </w:tc>
        <w:tc>
          <w:tcPr>
            <w:tcW w:w="204" w:type="pct"/>
            <w:tcBorders>
              <w:top w:val="single" w:sz="12" w:space="0" w:color="000000"/>
            </w:tcBorders>
          </w:tcPr>
          <w:p w14:paraId="0F7AC77D"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tcBorders>
              <w:top w:val="single" w:sz="12" w:space="0" w:color="000000"/>
            </w:tcBorders>
            <w:noWrap/>
            <w:vAlign w:val="center"/>
            <w:hideMark/>
          </w:tcPr>
          <w:p w14:paraId="7443ACEC"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Borders>
              <w:top w:val="single" w:sz="12" w:space="0" w:color="000000"/>
            </w:tcBorders>
            <w:vAlign w:val="center"/>
            <w:hideMark/>
          </w:tcPr>
          <w:p w14:paraId="634DC182"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Borders>
              <w:top w:val="single" w:sz="12" w:space="0" w:color="000000"/>
            </w:tcBorders>
            <w:vAlign w:val="center"/>
            <w:hideMark/>
          </w:tcPr>
          <w:p w14:paraId="39058818"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Borders>
              <w:top w:val="single" w:sz="12" w:space="0" w:color="000000"/>
            </w:tcBorders>
            <w:vAlign w:val="center"/>
            <w:hideMark/>
          </w:tcPr>
          <w:p w14:paraId="2442E1D4"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Borders>
              <w:top w:val="single" w:sz="12" w:space="0" w:color="000000"/>
            </w:tcBorders>
          </w:tcPr>
          <w:p w14:paraId="34DE4514"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21" w:type="pct"/>
            <w:tcBorders>
              <w:top w:val="single" w:sz="12" w:space="0" w:color="000000"/>
            </w:tcBorders>
          </w:tcPr>
          <w:p w14:paraId="4E0CD98C"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90" w:type="pct"/>
            <w:tcBorders>
              <w:top w:val="single" w:sz="12" w:space="0" w:color="000000"/>
            </w:tcBorders>
            <w:shd w:val="clear" w:color="000000" w:fill="D9D9D9"/>
            <w:vAlign w:val="center"/>
            <w:hideMark/>
          </w:tcPr>
          <w:p w14:paraId="5E029C0F"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Borders>
              <w:top w:val="single" w:sz="12" w:space="0" w:color="000000"/>
            </w:tcBorders>
          </w:tcPr>
          <w:p w14:paraId="2529E13D"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13" w:type="pct"/>
            <w:tcBorders>
              <w:top w:val="single" w:sz="12" w:space="0" w:color="000000"/>
            </w:tcBorders>
            <w:vAlign w:val="center"/>
            <w:hideMark/>
          </w:tcPr>
          <w:p w14:paraId="52B2A951"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213" w:type="pct"/>
            <w:tcBorders>
              <w:top w:val="single" w:sz="12" w:space="0" w:color="000000"/>
            </w:tcBorders>
            <w:vAlign w:val="center"/>
            <w:hideMark/>
          </w:tcPr>
          <w:p w14:paraId="2B165F32" w14:textId="77777777" w:rsidR="009123AC" w:rsidRPr="00F0379B" w:rsidRDefault="009123AC" w:rsidP="009123AC">
            <w:pPr>
              <w:spacing w:after="0" w:line="240" w:lineRule="auto"/>
              <w:rPr>
                <w:rFonts w:ascii="Cambria" w:eastAsia="Times New Roman" w:hAnsi="Cambria" w:cs="Calibri"/>
                <w:sz w:val="16"/>
                <w:szCs w:val="16"/>
                <w:lang w:eastAsia="fr-FR" w:bidi="fr-FR"/>
              </w:rPr>
            </w:pPr>
          </w:p>
        </w:tc>
        <w:tc>
          <w:tcPr>
            <w:tcW w:w="323" w:type="pct"/>
            <w:tcBorders>
              <w:top w:val="single" w:sz="12" w:space="0" w:color="000000"/>
            </w:tcBorders>
            <w:vAlign w:val="center"/>
            <w:hideMark/>
          </w:tcPr>
          <w:p w14:paraId="144EC1AE"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0,4%</w:t>
            </w:r>
          </w:p>
        </w:tc>
        <w:tc>
          <w:tcPr>
            <w:tcW w:w="305" w:type="pct"/>
            <w:tcBorders>
              <w:top w:val="single" w:sz="12" w:space="0" w:color="000000"/>
            </w:tcBorders>
            <w:vAlign w:val="center"/>
            <w:hideMark/>
          </w:tcPr>
          <w:p w14:paraId="2C68F2C0"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0,4%</w:t>
            </w:r>
          </w:p>
        </w:tc>
        <w:tc>
          <w:tcPr>
            <w:tcW w:w="242" w:type="pct"/>
            <w:tcBorders>
              <w:top w:val="single" w:sz="12" w:space="0" w:color="000000"/>
            </w:tcBorders>
            <w:hideMark/>
          </w:tcPr>
          <w:p w14:paraId="51356E9D"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0,4%</w:t>
            </w:r>
          </w:p>
        </w:tc>
        <w:tc>
          <w:tcPr>
            <w:tcW w:w="294" w:type="pct"/>
            <w:tcBorders>
              <w:top w:val="single" w:sz="12" w:space="0" w:color="000000"/>
              <w:right w:val="single" w:sz="12" w:space="0" w:color="000000"/>
            </w:tcBorders>
          </w:tcPr>
          <w:p w14:paraId="09E16617"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MS Gothic" w:hAnsi="Cambria" w:cs="Times New Roman"/>
                <w:sz w:val="16"/>
                <w:szCs w:val="16"/>
                <w:lang w:eastAsia="fr-FR" w:bidi="fr-FR"/>
              </w:rPr>
              <w:t>0,4%</w:t>
            </w:r>
          </w:p>
        </w:tc>
      </w:tr>
      <w:tr w:rsidR="009123AC" w:rsidRPr="00F0379B" w14:paraId="4950032D" w14:textId="77777777" w:rsidTr="00CA749B">
        <w:trPr>
          <w:trHeight w:val="24"/>
        </w:trPr>
        <w:tc>
          <w:tcPr>
            <w:tcW w:w="1085" w:type="pct"/>
            <w:tcBorders>
              <w:left w:val="single" w:sz="12" w:space="0" w:color="000000"/>
            </w:tcBorders>
            <w:noWrap/>
            <w:vAlign w:val="center"/>
          </w:tcPr>
          <w:p w14:paraId="17DB1A8E"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Asignación a la captura fortuita</w:t>
            </w:r>
          </w:p>
        </w:tc>
        <w:tc>
          <w:tcPr>
            <w:tcW w:w="585" w:type="pct"/>
            <w:noWrap/>
            <w:vAlign w:val="center"/>
          </w:tcPr>
          <w:p w14:paraId="4B968723" w14:textId="77777777" w:rsidR="009123AC" w:rsidRPr="00F0379B" w:rsidRDefault="009123AC" w:rsidP="009123AC">
            <w:pPr>
              <w:spacing w:after="0" w:line="240" w:lineRule="auto"/>
              <w:jc w:val="right"/>
              <w:rPr>
                <w:rFonts w:ascii="Cambria" w:eastAsia="Times New Roman" w:hAnsi="Cambria" w:cs="Calibri"/>
                <w:sz w:val="16"/>
                <w:szCs w:val="16"/>
                <w:lang w:eastAsia="ja-JP"/>
              </w:rPr>
            </w:pPr>
          </w:p>
        </w:tc>
        <w:tc>
          <w:tcPr>
            <w:tcW w:w="204" w:type="pct"/>
          </w:tcPr>
          <w:p w14:paraId="68CB237A"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noWrap/>
            <w:vAlign w:val="center"/>
          </w:tcPr>
          <w:p w14:paraId="541CF063"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vAlign w:val="center"/>
          </w:tcPr>
          <w:p w14:paraId="753EE379"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vAlign w:val="center"/>
          </w:tcPr>
          <w:p w14:paraId="08A98D2D"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vAlign w:val="center"/>
          </w:tcPr>
          <w:p w14:paraId="6B99A055"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tcPr>
          <w:p w14:paraId="7FA8C46D"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21" w:type="pct"/>
          </w:tcPr>
          <w:p w14:paraId="08848B01"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90" w:type="pct"/>
            <w:shd w:val="clear" w:color="000000" w:fill="D9D9D9"/>
            <w:vAlign w:val="center"/>
          </w:tcPr>
          <w:p w14:paraId="5FD54D26"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tcPr>
          <w:p w14:paraId="14FD95F5"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13" w:type="pct"/>
            <w:vAlign w:val="center"/>
          </w:tcPr>
          <w:p w14:paraId="5F6E81BD"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13" w:type="pct"/>
            <w:vAlign w:val="center"/>
          </w:tcPr>
          <w:p w14:paraId="2D74102B"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323" w:type="pct"/>
            <w:vAlign w:val="center"/>
          </w:tcPr>
          <w:p w14:paraId="589D19A9"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color w:val="000000"/>
                <w:sz w:val="16"/>
                <w:szCs w:val="16"/>
                <w:lang w:eastAsia="ja-JP" w:bidi="fr-FR"/>
              </w:rPr>
              <w:t>10</w:t>
            </w:r>
          </w:p>
        </w:tc>
        <w:tc>
          <w:tcPr>
            <w:tcW w:w="305" w:type="pct"/>
            <w:vAlign w:val="center"/>
          </w:tcPr>
          <w:p w14:paraId="1DEE52A5"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color w:val="000000"/>
                <w:sz w:val="16"/>
                <w:szCs w:val="16"/>
                <w:lang w:eastAsia="ja-JP" w:bidi="fr-FR"/>
              </w:rPr>
              <w:t>10</w:t>
            </w:r>
          </w:p>
        </w:tc>
        <w:tc>
          <w:tcPr>
            <w:tcW w:w="242" w:type="pct"/>
            <w:vAlign w:val="center"/>
          </w:tcPr>
          <w:p w14:paraId="5AE54D25"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color w:val="000000"/>
                <w:sz w:val="16"/>
                <w:szCs w:val="16"/>
                <w:lang w:eastAsia="ja-JP" w:bidi="fr-FR"/>
              </w:rPr>
              <w:t>10</w:t>
            </w:r>
          </w:p>
        </w:tc>
        <w:tc>
          <w:tcPr>
            <w:tcW w:w="294" w:type="pct"/>
            <w:tcBorders>
              <w:right w:val="single" w:sz="12" w:space="0" w:color="000000"/>
            </w:tcBorders>
          </w:tcPr>
          <w:p w14:paraId="29CD700A" w14:textId="77777777" w:rsidR="009123AC" w:rsidRPr="00F0379B" w:rsidRDefault="009123AC" w:rsidP="009123AC">
            <w:pPr>
              <w:spacing w:after="0" w:line="240" w:lineRule="auto"/>
              <w:rPr>
                <w:rFonts w:ascii="Cambria" w:eastAsia="Times New Roman" w:hAnsi="Cambria" w:cs="Calibri"/>
                <w:sz w:val="16"/>
                <w:szCs w:val="16"/>
                <w:lang w:eastAsia="ja-JP"/>
              </w:rPr>
            </w:pPr>
            <w:r w:rsidRPr="00F0379B">
              <w:rPr>
                <w:rFonts w:ascii="Cambria" w:eastAsia="Times New Roman" w:hAnsi="Cambria" w:cs="Calibri"/>
                <w:color w:val="000000"/>
                <w:sz w:val="16"/>
                <w:szCs w:val="16"/>
                <w:lang w:eastAsia="ja-JP" w:bidi="fr-FR"/>
              </w:rPr>
              <w:t>12</w:t>
            </w:r>
          </w:p>
        </w:tc>
      </w:tr>
      <w:tr w:rsidR="009123AC" w:rsidRPr="00F0379B" w14:paraId="2F3FFC08" w14:textId="77777777" w:rsidTr="00CA749B">
        <w:trPr>
          <w:trHeight w:val="24"/>
        </w:trPr>
        <w:tc>
          <w:tcPr>
            <w:tcW w:w="1085" w:type="pct"/>
            <w:tcBorders>
              <w:left w:val="single" w:sz="12" w:space="0" w:color="000000"/>
            </w:tcBorders>
            <w:vAlign w:val="center"/>
          </w:tcPr>
          <w:p w14:paraId="1D96C37F"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para investigación científica (si procede)</w:t>
            </w:r>
          </w:p>
        </w:tc>
        <w:tc>
          <w:tcPr>
            <w:tcW w:w="585" w:type="pct"/>
            <w:noWrap/>
            <w:vAlign w:val="center"/>
          </w:tcPr>
          <w:p w14:paraId="3BD69310" w14:textId="77777777" w:rsidR="009123AC" w:rsidRPr="00F0379B" w:rsidRDefault="009123AC" w:rsidP="009123AC">
            <w:pPr>
              <w:spacing w:after="0" w:line="240" w:lineRule="auto"/>
              <w:jc w:val="right"/>
              <w:rPr>
                <w:rFonts w:ascii="Cambria" w:eastAsia="Times New Roman" w:hAnsi="Cambria" w:cs="Calibri"/>
                <w:b/>
                <w:bCs/>
                <w:sz w:val="16"/>
                <w:szCs w:val="16"/>
                <w:lang w:eastAsia="ja-JP"/>
              </w:rPr>
            </w:pPr>
          </w:p>
        </w:tc>
        <w:tc>
          <w:tcPr>
            <w:tcW w:w="204" w:type="pct"/>
          </w:tcPr>
          <w:p w14:paraId="31D4A1EF"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noWrap/>
            <w:vAlign w:val="center"/>
          </w:tcPr>
          <w:p w14:paraId="45550E7D"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vAlign w:val="center"/>
          </w:tcPr>
          <w:p w14:paraId="6B19A1E1"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vAlign w:val="center"/>
          </w:tcPr>
          <w:p w14:paraId="51643816"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vAlign w:val="center"/>
          </w:tcPr>
          <w:p w14:paraId="0CC88DDF"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tcPr>
          <w:p w14:paraId="04F74A61"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21" w:type="pct"/>
          </w:tcPr>
          <w:p w14:paraId="1DED1EB7"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90" w:type="pct"/>
            <w:shd w:val="clear" w:color="000000" w:fill="D9D9D9"/>
            <w:vAlign w:val="center"/>
          </w:tcPr>
          <w:p w14:paraId="2CC02427"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tcPr>
          <w:p w14:paraId="6237C58E"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13" w:type="pct"/>
            <w:vAlign w:val="center"/>
          </w:tcPr>
          <w:p w14:paraId="10A2CD2D"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13" w:type="pct"/>
            <w:vAlign w:val="center"/>
          </w:tcPr>
          <w:p w14:paraId="50A60319"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323" w:type="pct"/>
            <w:noWrap/>
            <w:vAlign w:val="center"/>
          </w:tcPr>
          <w:p w14:paraId="0BD1C86D"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305" w:type="pct"/>
            <w:noWrap/>
            <w:vAlign w:val="center"/>
          </w:tcPr>
          <w:p w14:paraId="0A02B81F"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42" w:type="pct"/>
            <w:noWrap/>
          </w:tcPr>
          <w:p w14:paraId="255E2B6B"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94" w:type="pct"/>
            <w:tcBorders>
              <w:right w:val="single" w:sz="12" w:space="0" w:color="000000"/>
            </w:tcBorders>
          </w:tcPr>
          <w:p w14:paraId="28B47D84"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r>
      <w:tr w:rsidR="009123AC" w:rsidRPr="00F0379B" w14:paraId="390DDF6F" w14:textId="77777777" w:rsidTr="00CA749B">
        <w:trPr>
          <w:trHeight w:val="24"/>
        </w:trPr>
        <w:tc>
          <w:tcPr>
            <w:tcW w:w="1085" w:type="pct"/>
            <w:tcBorders>
              <w:left w:val="single" w:sz="12" w:space="0" w:color="000000"/>
            </w:tcBorders>
            <w:vAlign w:val="center"/>
          </w:tcPr>
          <w:p w14:paraId="44B498E5"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Tolerancia para pesca deportiva/de recreo (si procede)</w:t>
            </w:r>
          </w:p>
        </w:tc>
        <w:tc>
          <w:tcPr>
            <w:tcW w:w="585" w:type="pct"/>
            <w:noWrap/>
            <w:vAlign w:val="center"/>
          </w:tcPr>
          <w:p w14:paraId="5F5A68CC" w14:textId="77777777" w:rsidR="009123AC" w:rsidRPr="00F0379B" w:rsidRDefault="009123AC" w:rsidP="009123AC">
            <w:pPr>
              <w:spacing w:after="0" w:line="240" w:lineRule="auto"/>
              <w:jc w:val="right"/>
              <w:rPr>
                <w:rFonts w:ascii="Cambria" w:eastAsia="Times New Roman" w:hAnsi="Cambria" w:cs="Calibri"/>
                <w:b/>
                <w:bCs/>
                <w:sz w:val="16"/>
                <w:szCs w:val="16"/>
                <w:lang w:eastAsia="ja-JP"/>
              </w:rPr>
            </w:pPr>
          </w:p>
        </w:tc>
        <w:tc>
          <w:tcPr>
            <w:tcW w:w="204" w:type="pct"/>
          </w:tcPr>
          <w:p w14:paraId="2A73519F"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noWrap/>
            <w:vAlign w:val="center"/>
          </w:tcPr>
          <w:p w14:paraId="250F0FBD"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vAlign w:val="center"/>
          </w:tcPr>
          <w:p w14:paraId="4DDB8A5E"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vAlign w:val="center"/>
          </w:tcPr>
          <w:p w14:paraId="7A5827A3"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vAlign w:val="center"/>
          </w:tcPr>
          <w:p w14:paraId="22F5A335"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tcPr>
          <w:p w14:paraId="4482FFFF"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21" w:type="pct"/>
          </w:tcPr>
          <w:p w14:paraId="70A3A802" w14:textId="77777777" w:rsidR="009123AC" w:rsidRPr="00F0379B" w:rsidRDefault="009123AC" w:rsidP="009123AC">
            <w:pPr>
              <w:spacing w:after="0" w:line="240" w:lineRule="auto"/>
              <w:jc w:val="center"/>
              <w:rPr>
                <w:rFonts w:ascii="Cambria" w:eastAsia="Times New Roman" w:hAnsi="Cambria" w:cs="Calibri"/>
                <w:sz w:val="16"/>
                <w:szCs w:val="16"/>
                <w:lang w:eastAsia="ja-JP"/>
              </w:rPr>
            </w:pPr>
          </w:p>
        </w:tc>
        <w:tc>
          <w:tcPr>
            <w:tcW w:w="90" w:type="pct"/>
            <w:shd w:val="clear" w:color="000000" w:fill="D9D9D9"/>
            <w:vAlign w:val="center"/>
          </w:tcPr>
          <w:p w14:paraId="517154C7"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tcPr>
          <w:p w14:paraId="03CE4078"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13" w:type="pct"/>
            <w:vAlign w:val="center"/>
          </w:tcPr>
          <w:p w14:paraId="1A8BFDD5"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13" w:type="pct"/>
            <w:vAlign w:val="center"/>
          </w:tcPr>
          <w:p w14:paraId="07959DBD"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323" w:type="pct"/>
            <w:noWrap/>
            <w:vAlign w:val="center"/>
          </w:tcPr>
          <w:p w14:paraId="11D10878"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305" w:type="pct"/>
            <w:noWrap/>
            <w:vAlign w:val="center"/>
          </w:tcPr>
          <w:p w14:paraId="1B3EAEE6"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42" w:type="pct"/>
            <w:noWrap/>
            <w:vAlign w:val="center"/>
          </w:tcPr>
          <w:p w14:paraId="4EC87616"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94" w:type="pct"/>
            <w:tcBorders>
              <w:right w:val="single" w:sz="12" w:space="0" w:color="000000"/>
            </w:tcBorders>
          </w:tcPr>
          <w:p w14:paraId="7B66FD3C"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r>
      <w:tr w:rsidR="009123AC" w:rsidRPr="00F0379B" w14:paraId="3A7573E3" w14:textId="77777777" w:rsidTr="00CA749B">
        <w:trPr>
          <w:trHeight w:val="24"/>
        </w:trPr>
        <w:tc>
          <w:tcPr>
            <w:tcW w:w="1085" w:type="pct"/>
            <w:tcBorders>
              <w:left w:val="single" w:sz="12" w:space="0" w:color="000000"/>
              <w:bottom w:val="single" w:sz="12" w:space="0" w:color="000000"/>
            </w:tcBorders>
            <w:vAlign w:val="center"/>
          </w:tcPr>
          <w:p w14:paraId="644169E2"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r w:rsidRPr="00F0379B">
              <w:rPr>
                <w:rFonts w:ascii="Cambria" w:eastAsia="MS Gothic" w:hAnsi="Cambria" w:cs="Times New Roman"/>
                <w:b/>
                <w:sz w:val="16"/>
                <w:szCs w:val="16"/>
                <w:lang w:eastAsia="fr-FR" w:bidi="fr-FR"/>
              </w:rPr>
              <w:t>Cuota disponible</w:t>
            </w:r>
          </w:p>
        </w:tc>
        <w:tc>
          <w:tcPr>
            <w:tcW w:w="585" w:type="pct"/>
            <w:tcBorders>
              <w:bottom w:val="single" w:sz="12" w:space="0" w:color="000000"/>
            </w:tcBorders>
            <w:noWrap/>
            <w:vAlign w:val="center"/>
          </w:tcPr>
          <w:p w14:paraId="3C87E4A9" w14:textId="77777777" w:rsidR="009123AC" w:rsidRPr="00F0379B" w:rsidRDefault="009123AC" w:rsidP="009123AC">
            <w:pPr>
              <w:spacing w:after="0" w:line="240" w:lineRule="auto"/>
              <w:jc w:val="right"/>
              <w:rPr>
                <w:rFonts w:ascii="Cambria" w:eastAsia="Times New Roman" w:hAnsi="Cambria" w:cs="Calibri"/>
                <w:b/>
                <w:bCs/>
                <w:sz w:val="16"/>
                <w:szCs w:val="16"/>
                <w:lang w:eastAsia="ja-JP"/>
              </w:rPr>
            </w:pPr>
          </w:p>
        </w:tc>
        <w:tc>
          <w:tcPr>
            <w:tcW w:w="204" w:type="pct"/>
            <w:tcBorders>
              <w:bottom w:val="single" w:sz="12" w:space="0" w:color="000000"/>
            </w:tcBorders>
          </w:tcPr>
          <w:p w14:paraId="445BEDE7"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tcBorders>
              <w:bottom w:val="single" w:sz="12" w:space="0" w:color="000000"/>
            </w:tcBorders>
            <w:noWrap/>
            <w:vAlign w:val="center"/>
          </w:tcPr>
          <w:p w14:paraId="15C28DD6"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tcBorders>
              <w:bottom w:val="single" w:sz="12" w:space="0" w:color="000000"/>
            </w:tcBorders>
            <w:vAlign w:val="center"/>
          </w:tcPr>
          <w:p w14:paraId="63C81931"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04" w:type="pct"/>
            <w:tcBorders>
              <w:bottom w:val="single" w:sz="12" w:space="0" w:color="000000"/>
            </w:tcBorders>
            <w:vAlign w:val="center"/>
          </w:tcPr>
          <w:p w14:paraId="0E7B4D76"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c>
          <w:tcPr>
            <w:tcW w:w="204" w:type="pct"/>
            <w:tcBorders>
              <w:bottom w:val="single" w:sz="12" w:space="0" w:color="000000"/>
            </w:tcBorders>
            <w:vAlign w:val="center"/>
          </w:tcPr>
          <w:p w14:paraId="2B57677C"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c>
          <w:tcPr>
            <w:tcW w:w="204" w:type="pct"/>
            <w:tcBorders>
              <w:bottom w:val="single" w:sz="12" w:space="0" w:color="000000"/>
            </w:tcBorders>
          </w:tcPr>
          <w:p w14:paraId="5329BBB0"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c>
          <w:tcPr>
            <w:tcW w:w="221" w:type="pct"/>
            <w:tcBorders>
              <w:bottom w:val="single" w:sz="12" w:space="0" w:color="000000"/>
            </w:tcBorders>
          </w:tcPr>
          <w:p w14:paraId="03123F42"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90" w:type="pct"/>
            <w:tcBorders>
              <w:bottom w:val="single" w:sz="12" w:space="0" w:color="000000"/>
            </w:tcBorders>
            <w:shd w:val="clear" w:color="000000" w:fill="D9D9D9"/>
            <w:vAlign w:val="center"/>
          </w:tcPr>
          <w:p w14:paraId="6E11852A"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c>
          <w:tcPr>
            <w:tcW w:w="204" w:type="pct"/>
            <w:tcBorders>
              <w:bottom w:val="single" w:sz="12" w:space="0" w:color="000000"/>
            </w:tcBorders>
          </w:tcPr>
          <w:p w14:paraId="312E9353"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13" w:type="pct"/>
            <w:tcBorders>
              <w:bottom w:val="single" w:sz="12" w:space="0" w:color="000000"/>
            </w:tcBorders>
            <w:vAlign w:val="center"/>
          </w:tcPr>
          <w:p w14:paraId="62D69351" w14:textId="77777777" w:rsidR="009123AC" w:rsidRPr="00F0379B" w:rsidRDefault="009123AC" w:rsidP="009123AC">
            <w:pPr>
              <w:spacing w:after="0" w:line="240" w:lineRule="auto"/>
              <w:rPr>
                <w:rFonts w:ascii="Cambria" w:eastAsia="Times New Roman" w:hAnsi="Cambria" w:cs="Calibri"/>
                <w:b/>
                <w:bCs/>
                <w:sz w:val="16"/>
                <w:szCs w:val="16"/>
                <w:lang w:eastAsia="ja-JP"/>
              </w:rPr>
            </w:pPr>
          </w:p>
        </w:tc>
        <w:tc>
          <w:tcPr>
            <w:tcW w:w="213" w:type="pct"/>
            <w:tcBorders>
              <w:bottom w:val="single" w:sz="12" w:space="0" w:color="000000"/>
            </w:tcBorders>
            <w:vAlign w:val="center"/>
          </w:tcPr>
          <w:p w14:paraId="5CDE8528"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p>
        </w:tc>
        <w:tc>
          <w:tcPr>
            <w:tcW w:w="323" w:type="pct"/>
            <w:tcBorders>
              <w:bottom w:val="single" w:sz="12" w:space="0" w:color="000000"/>
            </w:tcBorders>
            <w:noWrap/>
            <w:vAlign w:val="center"/>
          </w:tcPr>
          <w:p w14:paraId="5FA73D99"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sz w:val="16"/>
                <w:szCs w:val="16"/>
              </w:rPr>
              <w:t>3271,</w:t>
            </w:r>
            <w:r w:rsidRPr="00F0379B">
              <w:rPr>
                <w:rFonts w:ascii="Cambria" w:eastAsia="MS Gothic" w:hAnsi="Cambria" w:cs="Times New Roman"/>
                <w:b/>
                <w:bCs/>
                <w:sz w:val="16"/>
                <w:szCs w:val="16"/>
                <w:lang w:eastAsia="fr-FR" w:bidi="fr-FR"/>
              </w:rPr>
              <w:t>17</w:t>
            </w:r>
            <w:r w:rsidRPr="00F0379B">
              <w:rPr>
                <w:rFonts w:ascii="Cambria" w:eastAsia="MS Gothic" w:hAnsi="Cambria" w:cs="Times New Roman"/>
                <w:b/>
                <w:bCs/>
                <w:color w:val="000000"/>
                <w:sz w:val="16"/>
                <w:szCs w:val="16"/>
                <w:vertAlign w:val="superscript"/>
                <w:lang w:eastAsia="fr-FR" w:bidi="fr-FR"/>
              </w:rPr>
              <w:t xml:space="preserve"> d</w:t>
            </w:r>
          </w:p>
        </w:tc>
        <w:tc>
          <w:tcPr>
            <w:tcW w:w="305" w:type="pct"/>
            <w:tcBorders>
              <w:bottom w:val="single" w:sz="12" w:space="0" w:color="000000"/>
            </w:tcBorders>
            <w:noWrap/>
            <w:vAlign w:val="center"/>
          </w:tcPr>
          <w:p w14:paraId="2DF31044"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MS Gothic" w:hAnsi="Cambria" w:cs="Times New Roman"/>
                <w:b/>
                <w:bCs/>
                <w:sz w:val="16"/>
                <w:szCs w:val="16"/>
                <w:lang w:val="en-US" w:eastAsia="fr-FR" w:bidi="fr-FR"/>
              </w:rPr>
              <w:t>3187,64</w:t>
            </w:r>
            <w:r w:rsidRPr="00F0379B">
              <w:rPr>
                <w:rFonts w:ascii="Cambria" w:eastAsia="MS Gothic" w:hAnsi="Cambria" w:cs="Times New Roman"/>
                <w:b/>
                <w:bCs/>
                <w:sz w:val="16"/>
                <w:szCs w:val="16"/>
                <w:vertAlign w:val="superscript"/>
                <w:lang w:val="en-US" w:eastAsia="fr-FR" w:bidi="fr-FR"/>
              </w:rPr>
              <w:t>f</w:t>
            </w:r>
          </w:p>
        </w:tc>
        <w:tc>
          <w:tcPr>
            <w:tcW w:w="242" w:type="pct"/>
            <w:tcBorders>
              <w:bottom w:val="single" w:sz="12" w:space="0" w:color="000000"/>
            </w:tcBorders>
            <w:noWrap/>
            <w:vAlign w:val="center"/>
          </w:tcPr>
          <w:p w14:paraId="60C3D9F1"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color w:val="000000"/>
                <w:sz w:val="16"/>
                <w:szCs w:val="16"/>
                <w:lang w:eastAsia="ja-JP" w:bidi="fr-FR"/>
              </w:rPr>
              <w:t>2715</w:t>
            </w:r>
            <w:r w:rsidRPr="00F0379B">
              <w:rPr>
                <w:rFonts w:ascii="Cambria" w:eastAsia="MS Gothic" w:hAnsi="Cambria" w:cs="Times New Roman"/>
                <w:b/>
                <w:bCs/>
                <w:color w:val="000000"/>
                <w:sz w:val="16"/>
                <w:szCs w:val="16"/>
                <w:vertAlign w:val="superscript"/>
                <w:lang w:eastAsia="fr-FR" w:bidi="fr-FR"/>
              </w:rPr>
              <w:t>h</w:t>
            </w:r>
          </w:p>
        </w:tc>
        <w:tc>
          <w:tcPr>
            <w:tcW w:w="294" w:type="pct"/>
            <w:tcBorders>
              <w:bottom w:val="single" w:sz="12" w:space="0" w:color="000000"/>
              <w:right w:val="single" w:sz="12" w:space="0" w:color="000000"/>
            </w:tcBorders>
          </w:tcPr>
          <w:p w14:paraId="548CD934" w14:textId="77777777" w:rsidR="009123AC" w:rsidRPr="00F0379B" w:rsidRDefault="009123AC" w:rsidP="009123AC">
            <w:pPr>
              <w:spacing w:after="0" w:line="240" w:lineRule="auto"/>
              <w:rPr>
                <w:rFonts w:ascii="Cambria" w:eastAsia="Times New Roman" w:hAnsi="Cambria" w:cs="Calibri"/>
                <w:b/>
                <w:bCs/>
                <w:sz w:val="16"/>
                <w:szCs w:val="16"/>
                <w:lang w:val="en-US" w:eastAsia="ja-JP"/>
              </w:rPr>
            </w:pPr>
            <w:r w:rsidRPr="00F0379B">
              <w:rPr>
                <w:rFonts w:ascii="Cambria" w:eastAsia="Times New Roman" w:hAnsi="Cambria" w:cs="Calibri"/>
                <w:b/>
                <w:bCs/>
                <w:color w:val="000000"/>
                <w:sz w:val="16"/>
                <w:szCs w:val="16"/>
                <w:lang w:eastAsia="ja-JP" w:bidi="fr-FR"/>
              </w:rPr>
              <w:t>3133,95</w:t>
            </w:r>
            <w:r w:rsidRPr="00F0379B">
              <w:rPr>
                <w:rFonts w:ascii="Cambria" w:eastAsia="Times New Roman" w:hAnsi="Cambria" w:cs="Calibri"/>
                <w:b/>
                <w:bCs/>
                <w:color w:val="000000"/>
                <w:sz w:val="16"/>
                <w:szCs w:val="16"/>
                <w:vertAlign w:val="superscript"/>
                <w:lang w:eastAsia="ja-JP" w:bidi="fr-FR"/>
              </w:rPr>
              <w:t>j</w:t>
            </w:r>
          </w:p>
        </w:tc>
      </w:tr>
      <w:tr w:rsidR="009123AC" w:rsidRPr="00F0379B" w14:paraId="06D33369" w14:textId="77777777" w:rsidTr="00CA749B">
        <w:trPr>
          <w:trHeight w:val="24"/>
        </w:trPr>
        <w:tc>
          <w:tcPr>
            <w:tcW w:w="1085" w:type="pct"/>
            <w:tcBorders>
              <w:top w:val="single" w:sz="12" w:space="0" w:color="000000"/>
              <w:left w:val="single" w:sz="12" w:space="0" w:color="000000"/>
              <w:bottom w:val="single" w:sz="12" w:space="0" w:color="000000"/>
            </w:tcBorders>
            <w:shd w:val="clear" w:color="auto" w:fill="D9D9D9"/>
            <w:noWrap/>
            <w:vAlign w:val="center"/>
            <w:hideMark/>
          </w:tcPr>
          <w:p w14:paraId="46EB96B1" w14:textId="77777777" w:rsidR="009123AC" w:rsidRPr="00F0379B" w:rsidRDefault="009123AC" w:rsidP="009123AC">
            <w:pPr>
              <w:spacing w:after="0" w:line="240" w:lineRule="auto"/>
              <w:rPr>
                <w:rFonts w:ascii="Cambria" w:eastAsia="Times New Roman" w:hAnsi="Cambria" w:cs="Calibri"/>
                <w:b/>
                <w:bCs/>
                <w:sz w:val="16"/>
                <w:szCs w:val="16"/>
                <w:lang w:eastAsia="fr-FR" w:bidi="fr-FR"/>
              </w:rPr>
            </w:pPr>
            <w:proofErr w:type="spellStart"/>
            <w:r w:rsidRPr="00F0379B">
              <w:rPr>
                <w:rFonts w:ascii="Cambria" w:eastAsia="MS Gothic" w:hAnsi="Cambria" w:cs="Times New Roman"/>
                <w:b/>
                <w:sz w:val="16"/>
                <w:szCs w:val="16"/>
                <w:lang w:eastAsia="fr-FR" w:bidi="fr-FR"/>
              </w:rPr>
              <w:t>Subcapacidad</w:t>
            </w:r>
            <w:proofErr w:type="spellEnd"/>
            <w:r w:rsidRPr="00F0379B">
              <w:rPr>
                <w:rFonts w:ascii="Cambria" w:eastAsia="MS Gothic" w:hAnsi="Cambria" w:cs="Times New Roman"/>
                <w:b/>
                <w:sz w:val="16"/>
                <w:szCs w:val="16"/>
                <w:lang w:eastAsia="fr-FR" w:bidi="fr-FR"/>
              </w:rPr>
              <w:t>/exceso de capacidad</w:t>
            </w:r>
          </w:p>
        </w:tc>
        <w:tc>
          <w:tcPr>
            <w:tcW w:w="585" w:type="pct"/>
            <w:tcBorders>
              <w:top w:val="single" w:sz="12" w:space="0" w:color="000000"/>
              <w:bottom w:val="single" w:sz="12" w:space="0" w:color="000000"/>
            </w:tcBorders>
            <w:shd w:val="clear" w:color="auto" w:fill="D9D9D9"/>
            <w:noWrap/>
            <w:vAlign w:val="center"/>
            <w:hideMark/>
          </w:tcPr>
          <w:p w14:paraId="5700EC3A" w14:textId="77777777" w:rsidR="009123AC" w:rsidRPr="00F0379B" w:rsidRDefault="009123AC" w:rsidP="009123AC">
            <w:pPr>
              <w:spacing w:after="0" w:line="240" w:lineRule="auto"/>
              <w:jc w:val="right"/>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 </w:t>
            </w:r>
          </w:p>
        </w:tc>
        <w:tc>
          <w:tcPr>
            <w:tcW w:w="204" w:type="pct"/>
            <w:tcBorders>
              <w:top w:val="single" w:sz="12" w:space="0" w:color="000000"/>
              <w:bottom w:val="single" w:sz="12" w:space="0" w:color="000000"/>
            </w:tcBorders>
            <w:shd w:val="clear" w:color="auto" w:fill="D9D9D9"/>
          </w:tcPr>
          <w:p w14:paraId="5973446F"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04" w:type="pct"/>
            <w:tcBorders>
              <w:top w:val="single" w:sz="12" w:space="0" w:color="000000"/>
              <w:bottom w:val="single" w:sz="12" w:space="0" w:color="000000"/>
            </w:tcBorders>
            <w:shd w:val="clear" w:color="auto" w:fill="D9D9D9"/>
            <w:noWrap/>
            <w:vAlign w:val="center"/>
            <w:hideMark/>
          </w:tcPr>
          <w:p w14:paraId="36154E96"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Borders>
              <w:top w:val="single" w:sz="12" w:space="0" w:color="000000"/>
              <w:bottom w:val="single" w:sz="12" w:space="0" w:color="000000"/>
            </w:tcBorders>
            <w:shd w:val="clear" w:color="auto" w:fill="D9D9D9"/>
            <w:vAlign w:val="center"/>
            <w:hideMark/>
          </w:tcPr>
          <w:p w14:paraId="6A74986C"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Borders>
              <w:top w:val="single" w:sz="12" w:space="0" w:color="000000"/>
              <w:bottom w:val="single" w:sz="12" w:space="0" w:color="000000"/>
            </w:tcBorders>
            <w:shd w:val="clear" w:color="auto" w:fill="D9D9D9"/>
            <w:vAlign w:val="center"/>
            <w:hideMark/>
          </w:tcPr>
          <w:p w14:paraId="16084F76"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Borders>
              <w:top w:val="single" w:sz="12" w:space="0" w:color="000000"/>
              <w:bottom w:val="single" w:sz="12" w:space="0" w:color="000000"/>
            </w:tcBorders>
            <w:shd w:val="clear" w:color="auto" w:fill="D9D9D9"/>
            <w:vAlign w:val="center"/>
            <w:hideMark/>
          </w:tcPr>
          <w:p w14:paraId="57DD2EBE"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Borders>
              <w:top w:val="single" w:sz="12" w:space="0" w:color="000000"/>
              <w:bottom w:val="single" w:sz="12" w:space="0" w:color="000000"/>
            </w:tcBorders>
            <w:shd w:val="clear" w:color="auto" w:fill="D9D9D9"/>
          </w:tcPr>
          <w:p w14:paraId="5B5716CC" w14:textId="77777777" w:rsidR="009123AC" w:rsidRPr="00F0379B" w:rsidRDefault="009123AC" w:rsidP="009123AC">
            <w:pPr>
              <w:spacing w:after="0" w:line="240" w:lineRule="auto"/>
              <w:rPr>
                <w:rFonts w:ascii="Cambria" w:eastAsia="Times New Roman" w:hAnsi="Cambria" w:cs="Calibri"/>
                <w:sz w:val="16"/>
                <w:szCs w:val="16"/>
                <w:lang w:val="en-US" w:eastAsia="ja-JP"/>
              </w:rPr>
            </w:pPr>
          </w:p>
        </w:tc>
        <w:tc>
          <w:tcPr>
            <w:tcW w:w="221" w:type="pct"/>
            <w:tcBorders>
              <w:top w:val="single" w:sz="12" w:space="0" w:color="000000"/>
              <w:bottom w:val="single" w:sz="12" w:space="0" w:color="000000"/>
            </w:tcBorders>
            <w:shd w:val="clear" w:color="auto" w:fill="D9D9D9"/>
          </w:tcPr>
          <w:p w14:paraId="37127FE7" w14:textId="77777777" w:rsidR="009123AC" w:rsidRPr="00F0379B" w:rsidRDefault="009123AC" w:rsidP="009123AC">
            <w:pPr>
              <w:spacing w:after="0" w:line="240" w:lineRule="auto"/>
              <w:jc w:val="center"/>
              <w:rPr>
                <w:rFonts w:ascii="Cambria" w:eastAsia="Times New Roman" w:hAnsi="Cambria" w:cs="Calibri"/>
                <w:sz w:val="16"/>
                <w:szCs w:val="16"/>
                <w:lang w:val="en-US" w:eastAsia="ja-JP"/>
              </w:rPr>
            </w:pPr>
          </w:p>
        </w:tc>
        <w:tc>
          <w:tcPr>
            <w:tcW w:w="90" w:type="pct"/>
            <w:tcBorders>
              <w:top w:val="single" w:sz="12" w:space="0" w:color="000000"/>
              <w:bottom w:val="single" w:sz="12" w:space="0" w:color="000000"/>
            </w:tcBorders>
            <w:shd w:val="clear" w:color="auto" w:fill="D9D9D9"/>
            <w:vAlign w:val="center"/>
            <w:hideMark/>
          </w:tcPr>
          <w:p w14:paraId="5BC19B0E"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color w:val="000000"/>
                <w:sz w:val="16"/>
                <w:szCs w:val="16"/>
                <w:lang w:eastAsia="ja-JP" w:bidi="fr-FR"/>
              </w:rPr>
              <w:t> </w:t>
            </w:r>
          </w:p>
        </w:tc>
        <w:tc>
          <w:tcPr>
            <w:tcW w:w="204" w:type="pct"/>
            <w:tcBorders>
              <w:top w:val="single" w:sz="12" w:space="0" w:color="000000"/>
              <w:bottom w:val="single" w:sz="12" w:space="0" w:color="000000"/>
            </w:tcBorders>
            <w:shd w:val="clear" w:color="auto" w:fill="D9D9D9"/>
          </w:tcPr>
          <w:p w14:paraId="2D6655A2" w14:textId="77777777" w:rsidR="009123AC" w:rsidRPr="00F0379B" w:rsidRDefault="009123AC" w:rsidP="009123AC">
            <w:pPr>
              <w:spacing w:after="0" w:line="240" w:lineRule="auto"/>
              <w:rPr>
                <w:rFonts w:ascii="Cambria" w:eastAsia="Times New Roman" w:hAnsi="Cambria" w:cs="Calibri"/>
                <w:sz w:val="16"/>
                <w:szCs w:val="16"/>
                <w:lang w:eastAsia="ja-JP"/>
              </w:rPr>
            </w:pPr>
          </w:p>
        </w:tc>
        <w:tc>
          <w:tcPr>
            <w:tcW w:w="213" w:type="pct"/>
            <w:tcBorders>
              <w:top w:val="single" w:sz="12" w:space="0" w:color="000000"/>
              <w:bottom w:val="single" w:sz="12" w:space="0" w:color="000000"/>
            </w:tcBorders>
            <w:shd w:val="clear" w:color="auto" w:fill="D9D9D9"/>
            <w:vAlign w:val="center"/>
            <w:hideMark/>
          </w:tcPr>
          <w:p w14:paraId="49EFF0C2"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4552</w:t>
            </w:r>
          </w:p>
        </w:tc>
        <w:tc>
          <w:tcPr>
            <w:tcW w:w="213" w:type="pct"/>
            <w:tcBorders>
              <w:top w:val="single" w:sz="12" w:space="0" w:color="000000"/>
              <w:bottom w:val="single" w:sz="12" w:space="0" w:color="000000"/>
            </w:tcBorders>
            <w:shd w:val="clear" w:color="auto" w:fill="D9D9D9"/>
            <w:vAlign w:val="center"/>
            <w:hideMark/>
          </w:tcPr>
          <w:p w14:paraId="14F41234"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-16</w:t>
            </w:r>
          </w:p>
        </w:tc>
        <w:tc>
          <w:tcPr>
            <w:tcW w:w="323" w:type="pct"/>
            <w:tcBorders>
              <w:top w:val="single" w:sz="12" w:space="0" w:color="000000"/>
              <w:bottom w:val="single" w:sz="12" w:space="0" w:color="000000"/>
            </w:tcBorders>
            <w:shd w:val="clear" w:color="auto" w:fill="D9D9D9"/>
            <w:vAlign w:val="center"/>
            <w:hideMark/>
          </w:tcPr>
          <w:p w14:paraId="726B128E"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MS Gothic" w:hAnsi="Cambria" w:cs="Times New Roman"/>
                <w:sz w:val="16"/>
                <w:szCs w:val="16"/>
                <w:lang w:eastAsia="fr-FR" w:bidi="fr-FR"/>
              </w:rPr>
              <w:t>-</w:t>
            </w:r>
            <w:r w:rsidRPr="00F0379B">
              <w:rPr>
                <w:rFonts w:ascii="Cambria" w:eastAsia="Times New Roman" w:hAnsi="Cambria" w:cs="Calibri"/>
                <w:sz w:val="16"/>
                <w:szCs w:val="16"/>
              </w:rPr>
              <w:t>1343,17</w:t>
            </w:r>
          </w:p>
        </w:tc>
        <w:tc>
          <w:tcPr>
            <w:tcW w:w="305" w:type="pct"/>
            <w:tcBorders>
              <w:top w:val="single" w:sz="12" w:space="0" w:color="000000"/>
              <w:bottom w:val="single" w:sz="12" w:space="0" w:color="000000"/>
            </w:tcBorders>
            <w:shd w:val="clear" w:color="auto" w:fill="D9D9D9"/>
            <w:vAlign w:val="center"/>
            <w:hideMark/>
          </w:tcPr>
          <w:p w14:paraId="10B3BE3C"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-1188</w:t>
            </w:r>
          </w:p>
        </w:tc>
        <w:tc>
          <w:tcPr>
            <w:tcW w:w="242" w:type="pct"/>
            <w:tcBorders>
              <w:top w:val="single" w:sz="12" w:space="0" w:color="000000"/>
              <w:bottom w:val="single" w:sz="12" w:space="0" w:color="000000"/>
            </w:tcBorders>
            <w:shd w:val="clear" w:color="auto" w:fill="D9D9D9"/>
            <w:hideMark/>
          </w:tcPr>
          <w:p w14:paraId="5A95C5F5" w14:textId="77777777" w:rsidR="009123AC" w:rsidRPr="00F0379B" w:rsidRDefault="009123AC" w:rsidP="009123AC">
            <w:pPr>
              <w:spacing w:after="0" w:line="240" w:lineRule="auto"/>
              <w:rPr>
                <w:rFonts w:ascii="Cambria" w:eastAsia="Times New Roman" w:hAnsi="Cambria" w:cs="Calibri"/>
                <w:sz w:val="16"/>
                <w:szCs w:val="16"/>
                <w:lang w:eastAsia="fr-FR" w:bidi="fr-FR"/>
              </w:rPr>
            </w:pPr>
            <w:r w:rsidRPr="00F0379B">
              <w:rPr>
                <w:rFonts w:ascii="Cambria" w:eastAsia="Times New Roman" w:hAnsi="Cambria" w:cs="Calibri"/>
                <w:sz w:val="16"/>
                <w:szCs w:val="16"/>
                <w:lang w:val="en-US" w:eastAsia="ja-JP"/>
              </w:rPr>
              <w:t>-252</w:t>
            </w:r>
          </w:p>
        </w:tc>
        <w:tc>
          <w:tcPr>
            <w:tcW w:w="294" w:type="pct"/>
            <w:tcBorders>
              <w:top w:val="single" w:sz="12" w:space="0" w:color="000000"/>
              <w:bottom w:val="single" w:sz="12" w:space="0" w:color="000000"/>
              <w:right w:val="single" w:sz="12" w:space="0" w:color="000000"/>
            </w:tcBorders>
            <w:shd w:val="clear" w:color="auto" w:fill="D9D9D9"/>
          </w:tcPr>
          <w:p w14:paraId="3ED830C1" w14:textId="77777777" w:rsidR="009123AC" w:rsidRPr="00F0379B" w:rsidRDefault="009123AC" w:rsidP="009123AC">
            <w:pPr>
              <w:spacing w:after="0" w:line="240" w:lineRule="auto"/>
              <w:rPr>
                <w:rFonts w:ascii="Cambria" w:eastAsia="Times New Roman" w:hAnsi="Cambria" w:cs="Calibri"/>
                <w:sz w:val="16"/>
                <w:szCs w:val="16"/>
                <w:lang w:val="en-US" w:eastAsia="ja-JP"/>
              </w:rPr>
            </w:pPr>
            <w:r w:rsidRPr="00F0379B">
              <w:rPr>
                <w:rFonts w:ascii="Cambria" w:eastAsia="Times New Roman" w:hAnsi="Cambria" w:cs="Calibri"/>
                <w:color w:val="000000"/>
                <w:sz w:val="16"/>
                <w:szCs w:val="16"/>
                <w:lang w:eastAsia="ja-JP" w:bidi="fr-FR"/>
              </w:rPr>
              <w:t>-51,95</w:t>
            </w:r>
          </w:p>
        </w:tc>
      </w:tr>
    </w:tbl>
    <w:p w14:paraId="6F67E7B5" w14:textId="77777777" w:rsidR="009123AC" w:rsidRPr="00F0379B" w:rsidRDefault="009123AC" w:rsidP="009123AC">
      <w:pPr>
        <w:spacing w:after="0" w:line="240" w:lineRule="auto"/>
        <w:rPr>
          <w:rFonts w:ascii="Cambria" w:eastAsia="MS Gothic" w:hAnsi="Cambria" w:cs="Times New Roman"/>
          <w:i/>
          <w:sz w:val="20"/>
          <w:szCs w:val="20"/>
          <w:lang w:val="en-GB" w:eastAsia="fr-FR" w:bidi="fr-FR"/>
        </w:rPr>
      </w:pPr>
    </w:p>
    <w:p w14:paraId="0030FD2C" w14:textId="77777777" w:rsidR="009123AC" w:rsidRPr="00F0379B" w:rsidRDefault="009123AC" w:rsidP="009123AC">
      <w:pPr>
        <w:spacing w:after="0" w:line="240" w:lineRule="auto"/>
        <w:jc w:val="both"/>
        <w:rPr>
          <w:rFonts w:ascii="Cambria" w:eastAsia="MS Gothic" w:hAnsi="Cambria" w:cs="Times New Roman"/>
          <w:sz w:val="16"/>
          <w:szCs w:val="16"/>
        </w:rPr>
      </w:pPr>
      <w:r w:rsidRPr="00F0379B">
        <w:rPr>
          <w:rFonts w:ascii="Cambria" w:eastAsia="Aptos" w:hAnsi="Cambria" w:cs="Times New Roman"/>
          <w:kern w:val="2"/>
          <w:sz w:val="16"/>
          <w:szCs w:val="16"/>
          <w:vertAlign w:val="superscript"/>
          <w14:ligatures w14:val="standardContextual"/>
        </w:rPr>
        <w:t>a</w:t>
      </w:r>
      <w:r w:rsidRPr="00F0379B">
        <w:rPr>
          <w:rFonts w:ascii="Cambria" w:eastAsia="Aptos" w:hAnsi="Cambria" w:cs="Times New Roman"/>
          <w:kern w:val="2"/>
          <w:sz w:val="16"/>
          <w:szCs w:val="16"/>
          <w14:ligatures w14:val="standardContextual"/>
        </w:rPr>
        <w:t xml:space="preserve"> El número de buques a autorizar y sus distribuciones de eslora son cifras provisionales basadas en supuestos. El número definitivo y el desglose de los buques se añadirá antes del 30 de abril.</w:t>
      </w:r>
    </w:p>
    <w:p w14:paraId="726D428B" w14:textId="77777777" w:rsidR="009123AC" w:rsidRPr="00F0379B" w:rsidRDefault="009123AC" w:rsidP="009123AC">
      <w:pPr>
        <w:spacing w:after="0" w:line="240" w:lineRule="auto"/>
        <w:jc w:val="both"/>
        <w:rPr>
          <w:rFonts w:ascii="Cambria" w:eastAsia="Aptos" w:hAnsi="Cambria" w:cs="Times New Roman"/>
          <w:kern w:val="2"/>
          <w:sz w:val="16"/>
          <w:szCs w:val="16"/>
          <w14:ligatures w14:val="standardContextual"/>
        </w:rPr>
      </w:pPr>
      <w:r w:rsidRPr="00F0379B">
        <w:rPr>
          <w:rFonts w:ascii="Cambria" w:eastAsia="Aptos" w:hAnsi="Cambria" w:cs="Times New Roman"/>
          <w:kern w:val="2"/>
          <w:sz w:val="16"/>
          <w:szCs w:val="16"/>
          <w:vertAlign w:val="superscript"/>
          <w14:ligatures w14:val="standardContextual"/>
        </w:rPr>
        <w:t>b</w:t>
      </w:r>
      <w:r w:rsidRPr="00F0379B">
        <w:rPr>
          <w:rFonts w:ascii="Cambria" w:eastAsia="Aptos" w:hAnsi="Cambria" w:cs="Times New Roman"/>
          <w:kern w:val="2"/>
          <w:sz w:val="16"/>
          <w:szCs w:val="16"/>
          <w14:ligatures w14:val="standardContextual"/>
        </w:rPr>
        <w:t xml:space="preserve"> Asignado para los fines de la pesca artesanal y costera, recreativa y deportiva.</w:t>
      </w:r>
    </w:p>
    <w:p w14:paraId="649ECC3A" w14:textId="77777777" w:rsidR="009123AC" w:rsidRPr="00F0379B" w:rsidRDefault="009123AC" w:rsidP="009123AC">
      <w:pPr>
        <w:tabs>
          <w:tab w:val="left" w:pos="142"/>
        </w:tabs>
        <w:suppressAutoHyphens/>
        <w:spacing w:after="0" w:line="240" w:lineRule="auto"/>
        <w:jc w:val="both"/>
        <w:rPr>
          <w:rFonts w:ascii="Cambria" w:eastAsia="Aptos" w:hAnsi="Cambria" w:cs="Times New Roman"/>
          <w:kern w:val="2"/>
          <w:sz w:val="16"/>
          <w:szCs w:val="16"/>
          <w14:ligatures w14:val="standardContextual"/>
        </w:rPr>
      </w:pPr>
      <w:r w:rsidRPr="00F0379B">
        <w:rPr>
          <w:rFonts w:ascii="Cambria" w:eastAsia="Aptos" w:hAnsi="Cambria" w:cs="Times New Roman"/>
          <w:kern w:val="2"/>
          <w:sz w:val="16"/>
          <w:szCs w:val="16"/>
          <w:vertAlign w:val="superscript"/>
          <w14:ligatures w14:val="standardContextual"/>
        </w:rPr>
        <w:t>c</w:t>
      </w:r>
      <w:r w:rsidRPr="00F0379B">
        <w:rPr>
          <w:rFonts w:ascii="Cambria" w:eastAsia="Aptos" w:hAnsi="Cambria" w:cs="Times New Roman"/>
          <w:kern w:val="2"/>
          <w:sz w:val="16"/>
          <w:szCs w:val="16"/>
          <w14:ligatures w14:val="standardContextual"/>
        </w:rPr>
        <w:t xml:space="preserve"> Cuota ajustada para 2023 = 2.600 t (cuota) + 48,3 t (cantidad transferida) + 635,87 t (cuota transferida de Egipto y Siria de conformidad con el párrafo 8 de la Rec. 22-08) = 3.284,17 t.</w:t>
      </w:r>
    </w:p>
    <w:p w14:paraId="3B0DAD5B" w14:textId="77777777" w:rsidR="009123AC" w:rsidRPr="00F0379B" w:rsidRDefault="009123AC" w:rsidP="009123AC">
      <w:pPr>
        <w:tabs>
          <w:tab w:val="left" w:pos="142"/>
        </w:tabs>
        <w:suppressAutoHyphens/>
        <w:spacing w:after="0" w:line="240" w:lineRule="auto"/>
        <w:jc w:val="both"/>
        <w:rPr>
          <w:rFonts w:ascii="Cambria" w:eastAsia="Aptos" w:hAnsi="Cambria" w:cs="Times New Roman"/>
          <w:kern w:val="2"/>
          <w:sz w:val="16"/>
          <w:szCs w:val="16"/>
          <w14:ligatures w14:val="standardContextual"/>
        </w:rPr>
      </w:pPr>
      <w:r w:rsidRPr="00F0379B">
        <w:rPr>
          <w:rFonts w:ascii="Cambria" w:eastAsia="Aptos" w:hAnsi="Cambria" w:cs="Times New Roman"/>
          <w:kern w:val="2"/>
          <w:sz w:val="16"/>
          <w:szCs w:val="16"/>
          <w:vertAlign w:val="superscript"/>
          <w14:ligatures w14:val="standardContextual"/>
        </w:rPr>
        <w:t xml:space="preserve">d </w:t>
      </w:r>
      <w:r w:rsidRPr="00F0379B">
        <w:rPr>
          <w:rFonts w:ascii="Cambria" w:eastAsia="Aptos" w:hAnsi="Cambria" w:cs="Times New Roman"/>
          <w:kern w:val="2"/>
          <w:sz w:val="16"/>
          <w:szCs w:val="16"/>
          <w14:ligatures w14:val="standardContextual"/>
        </w:rPr>
        <w:t>Cuota disponible para 2023 = 3.284,17 t (cuota) – 10 t (cuota de captura fortuita) – 3 t (asignación para las pesquerías artesanal y costera, pesquerías deportiva y de recreo) = 3.271,17 t.</w:t>
      </w:r>
    </w:p>
    <w:p w14:paraId="16C03F32" w14:textId="77777777" w:rsidR="009123AC" w:rsidRPr="00F0379B" w:rsidRDefault="009123AC" w:rsidP="009123AC">
      <w:pPr>
        <w:tabs>
          <w:tab w:val="left" w:pos="142"/>
        </w:tabs>
        <w:suppressAutoHyphens/>
        <w:spacing w:after="0" w:line="240" w:lineRule="auto"/>
        <w:jc w:val="both"/>
        <w:rPr>
          <w:rFonts w:ascii="Cambria" w:eastAsia="Aptos" w:hAnsi="Cambria" w:cs="Times New Roman"/>
          <w:kern w:val="2"/>
          <w:sz w:val="16"/>
          <w:szCs w:val="16"/>
          <w14:ligatures w14:val="standardContextual"/>
        </w:rPr>
      </w:pPr>
      <w:proofErr w:type="spellStart"/>
      <w:r w:rsidRPr="00F0379B">
        <w:rPr>
          <w:rFonts w:ascii="Cambria" w:eastAsia="Aptos" w:hAnsi="Cambria" w:cs="Times New Roman"/>
          <w:kern w:val="2"/>
          <w:sz w:val="16"/>
          <w:szCs w:val="16"/>
          <w:vertAlign w:val="superscript"/>
          <w14:ligatures w14:val="standardContextual"/>
        </w:rPr>
        <w:t>e</w:t>
      </w:r>
      <w:proofErr w:type="spellEnd"/>
      <w:r w:rsidRPr="00F0379B">
        <w:rPr>
          <w:rFonts w:ascii="Cambria" w:eastAsia="Aptos" w:hAnsi="Cambria" w:cs="Times New Roman"/>
          <w:kern w:val="2"/>
          <w:sz w:val="16"/>
          <w:szCs w:val="16"/>
          <w14:ligatures w14:val="standardContextual"/>
        </w:rPr>
        <w:t xml:space="preserve"> Cuota ajustada de 2024 = 2.600 t (cuota) - 35,13 t (cantidad de exceso de captura en 2023) + 507,87 t (cuota transferida de Egipto de conformidad con el párrafo 8 de la Rec. 22-08) +128 t (cuota transferida de Siria de conformidad con el párrafo 8 de la Rec. 22-08) = 3.200,64 t. </w:t>
      </w:r>
    </w:p>
    <w:p w14:paraId="68453169" w14:textId="77777777" w:rsidR="009123AC" w:rsidRPr="00F0379B" w:rsidRDefault="009123AC" w:rsidP="009123AC">
      <w:pPr>
        <w:tabs>
          <w:tab w:val="left" w:pos="142"/>
        </w:tabs>
        <w:suppressAutoHyphens/>
        <w:spacing w:after="0" w:line="240" w:lineRule="auto"/>
        <w:jc w:val="both"/>
        <w:rPr>
          <w:rFonts w:ascii="Cambria" w:eastAsia="Aptos" w:hAnsi="Cambria" w:cs="Times New Roman"/>
          <w:kern w:val="2"/>
          <w:sz w:val="16"/>
          <w:szCs w:val="16"/>
          <w14:ligatures w14:val="standardContextual"/>
        </w:rPr>
      </w:pPr>
      <w:r w:rsidRPr="00F0379B">
        <w:rPr>
          <w:rFonts w:ascii="Cambria" w:eastAsia="Aptos" w:hAnsi="Cambria" w:cs="Times New Roman"/>
          <w:kern w:val="2"/>
          <w:sz w:val="16"/>
          <w:szCs w:val="16"/>
          <w:vertAlign w:val="superscript"/>
          <w14:ligatures w14:val="standardContextual"/>
        </w:rPr>
        <w:t xml:space="preserve">f </w:t>
      </w:r>
      <w:r w:rsidRPr="00F0379B">
        <w:rPr>
          <w:rFonts w:ascii="Cambria" w:eastAsia="Aptos" w:hAnsi="Cambria" w:cs="Times New Roman"/>
          <w:kern w:val="2"/>
          <w:sz w:val="16"/>
          <w:szCs w:val="16"/>
          <w14:ligatures w14:val="standardContextual"/>
        </w:rPr>
        <w:t>Cuota disponible para 2024 = 3.200,64 t (cuota ajustada) – 10 t (cuota de captura fortuita) – 3 t (asignación para las pesquerías artesanal y costera, pesquerías deportiva y de recreo) = 3.187,64 t.</w:t>
      </w:r>
    </w:p>
    <w:p w14:paraId="41857797" w14:textId="77777777" w:rsidR="009123AC" w:rsidRPr="00F0379B" w:rsidRDefault="009123AC" w:rsidP="009123AC">
      <w:pPr>
        <w:tabs>
          <w:tab w:val="left" w:pos="142"/>
        </w:tabs>
        <w:suppressAutoHyphens/>
        <w:spacing w:after="0" w:line="240" w:lineRule="auto"/>
        <w:jc w:val="both"/>
        <w:rPr>
          <w:rFonts w:ascii="Cambria" w:eastAsia="Aptos" w:hAnsi="Cambria" w:cs="Times New Roman"/>
          <w:kern w:val="2"/>
          <w:sz w:val="16"/>
          <w:szCs w:val="16"/>
          <w14:ligatures w14:val="standardContextual"/>
        </w:rPr>
      </w:pPr>
      <w:r w:rsidRPr="00F0379B">
        <w:rPr>
          <w:rFonts w:ascii="Cambria" w:eastAsia="Aptos" w:hAnsi="Cambria" w:cs="Times New Roman"/>
          <w:kern w:val="2"/>
          <w:sz w:val="16"/>
          <w:szCs w:val="16"/>
          <w:vertAlign w:val="superscript"/>
          <w14:ligatures w14:val="standardContextual"/>
        </w:rPr>
        <w:t xml:space="preserve">g </w:t>
      </w:r>
      <w:r w:rsidRPr="00F0379B">
        <w:rPr>
          <w:rFonts w:ascii="Cambria" w:eastAsia="Aptos" w:hAnsi="Cambria" w:cs="Times New Roman"/>
          <w:kern w:val="2"/>
          <w:sz w:val="16"/>
          <w:szCs w:val="16"/>
          <w14:ligatures w14:val="standardContextual"/>
        </w:rPr>
        <w:t>Cuota ajustada de 2025 = 2.600 t (cuota inicial de 2025) + 128 t (cuota transferida de Siria de conformidad con el párrafo 8 de la Rec. 24-05) = 2.728 t.</w:t>
      </w:r>
    </w:p>
    <w:p w14:paraId="3849ABA8" w14:textId="77777777" w:rsidR="009123AC" w:rsidRPr="00F0379B" w:rsidRDefault="009123AC" w:rsidP="009123AC">
      <w:pPr>
        <w:tabs>
          <w:tab w:val="left" w:pos="142"/>
        </w:tabs>
        <w:suppressAutoHyphens/>
        <w:spacing w:after="0" w:line="240" w:lineRule="auto"/>
        <w:jc w:val="both"/>
        <w:rPr>
          <w:rFonts w:ascii="Cambria" w:eastAsia="Aptos" w:hAnsi="Cambria" w:cs="Times New Roman"/>
          <w:kern w:val="2"/>
          <w:sz w:val="16"/>
          <w:szCs w:val="16"/>
          <w14:ligatures w14:val="standardContextual"/>
        </w:rPr>
      </w:pPr>
      <w:r w:rsidRPr="00F0379B">
        <w:rPr>
          <w:rFonts w:ascii="Cambria" w:eastAsia="Aptos" w:hAnsi="Cambria" w:cs="Times New Roman"/>
          <w:kern w:val="2"/>
          <w:sz w:val="16"/>
          <w:szCs w:val="16"/>
          <w:vertAlign w:val="superscript"/>
          <w14:ligatures w14:val="standardContextual"/>
        </w:rPr>
        <w:t>h</w:t>
      </w:r>
      <w:r w:rsidRPr="00F0379B">
        <w:rPr>
          <w:rFonts w:ascii="Cambria" w:eastAsia="Aptos" w:hAnsi="Cambria" w:cs="Times New Roman"/>
          <w:kern w:val="2"/>
          <w:sz w:val="16"/>
          <w:szCs w:val="16"/>
          <w14:ligatures w14:val="standardContextual"/>
        </w:rPr>
        <w:t xml:space="preserve"> Cuota disponible de 2025 = 2.728 t (cuota ajustada de 2025) – 10 t (captura fortuita) – 3 t (asignación para las pesquerías artesanal y costera, pesquerías deportiva y de recreo) = 2.715 t.</w:t>
      </w:r>
    </w:p>
    <w:p w14:paraId="7D4B10AA" w14:textId="77777777" w:rsidR="009123AC" w:rsidRPr="00F0379B" w:rsidRDefault="009123AC" w:rsidP="009123AC">
      <w:pPr>
        <w:tabs>
          <w:tab w:val="left" w:pos="142"/>
        </w:tabs>
        <w:suppressAutoHyphens/>
        <w:spacing w:after="0" w:line="240" w:lineRule="auto"/>
        <w:jc w:val="both"/>
        <w:rPr>
          <w:rFonts w:ascii="Cambria" w:eastAsia="Aptos" w:hAnsi="Cambria" w:cs="Times New Roman"/>
          <w:kern w:val="2"/>
          <w:sz w:val="16"/>
          <w:szCs w:val="16"/>
          <w14:ligatures w14:val="standardContextual"/>
        </w:rPr>
      </w:pPr>
      <w:r w:rsidRPr="00F0379B">
        <w:rPr>
          <w:rFonts w:ascii="Cambria" w:eastAsia="Aptos" w:hAnsi="Cambria" w:cs="Times New Roman"/>
          <w:kern w:val="2"/>
          <w:sz w:val="16"/>
          <w:szCs w:val="16"/>
          <w:vertAlign w:val="superscript"/>
          <w14:ligatures w14:val="standardContextual"/>
        </w:rPr>
        <w:t>i</w:t>
      </w:r>
      <w:r w:rsidRPr="00F0379B">
        <w:rPr>
          <w:rFonts w:ascii="Cambria" w:eastAsia="Aptos" w:hAnsi="Cambria" w:cs="Times New Roman"/>
          <w:kern w:val="2"/>
          <w:sz w:val="16"/>
          <w:szCs w:val="16"/>
          <w14:ligatures w14:val="standardContextual"/>
        </w:rPr>
        <w:t xml:space="preserve"> Cuota ajustada de 2026 = 3.094,45 t (cuota inicial de 2026) + 55 t (cuota transferida de Mauritania de conformidad con el párrafo 8 de la Rec. 25-04) = 3.149,45 t. </w:t>
      </w:r>
    </w:p>
    <w:p w14:paraId="43CB3248" w14:textId="77777777" w:rsidR="009123AC" w:rsidRPr="00F0379B" w:rsidRDefault="009123AC" w:rsidP="009123AC">
      <w:pPr>
        <w:tabs>
          <w:tab w:val="left" w:pos="142"/>
        </w:tabs>
        <w:suppressAutoHyphens/>
        <w:spacing w:after="0" w:line="240" w:lineRule="auto"/>
        <w:jc w:val="both"/>
        <w:rPr>
          <w:rFonts w:ascii="Cambria" w:eastAsia="Aptos" w:hAnsi="Cambria" w:cs="Times New Roman"/>
          <w:kern w:val="2"/>
          <w:sz w:val="16"/>
          <w:szCs w:val="16"/>
          <w14:ligatures w14:val="standardContextual"/>
        </w:rPr>
      </w:pPr>
      <w:r w:rsidRPr="00F0379B">
        <w:rPr>
          <w:rFonts w:ascii="Cambria" w:eastAsia="Aptos" w:hAnsi="Cambria" w:cs="Times New Roman"/>
          <w:kern w:val="2"/>
          <w:sz w:val="16"/>
          <w:szCs w:val="16"/>
          <w:vertAlign w:val="superscript"/>
          <w14:ligatures w14:val="standardContextual"/>
        </w:rPr>
        <w:t>j</w:t>
      </w:r>
      <w:r w:rsidRPr="00F0379B">
        <w:rPr>
          <w:rFonts w:ascii="Cambria" w:eastAsia="Aptos" w:hAnsi="Cambria" w:cs="Times New Roman"/>
          <w:kern w:val="2"/>
          <w:sz w:val="16"/>
          <w:szCs w:val="16"/>
          <w14:ligatures w14:val="standardContextual"/>
        </w:rPr>
        <w:t xml:space="preserve"> Cuota disponible de 2026 = 3.149,45 t (cuota ajustada de 2026) – 12 t (captura fortuita) – 3,5 t (asignación para las pesquerías artesanal y costera, pesquerías deportiva y de recreo) = 3.133,95 t. </w:t>
      </w:r>
    </w:p>
    <w:p w14:paraId="6554DCFB" w14:textId="77777777" w:rsidR="009123AC" w:rsidRPr="00F0379B" w:rsidRDefault="009123AC" w:rsidP="009123AC">
      <w:pPr>
        <w:spacing w:after="0" w:line="240" w:lineRule="auto"/>
        <w:jc w:val="both"/>
        <w:rPr>
          <w:rFonts w:ascii="Cambria" w:eastAsia="Aptos" w:hAnsi="Cambria" w:cs="Times New Roman"/>
          <w:kern w:val="2"/>
          <w:sz w:val="16"/>
          <w:szCs w:val="16"/>
          <w14:ligatures w14:val="standardContextual"/>
        </w:rPr>
        <w:sectPr w:rsidR="009123AC" w:rsidRPr="00F0379B" w:rsidSect="009123AC">
          <w:footnotePr>
            <w:numFmt w:val="chicago"/>
          </w:footnotePr>
          <w:pgSz w:w="16838" w:h="11906" w:orient="landscape" w:code="9"/>
          <w:pgMar w:top="1418" w:right="1418" w:bottom="1418" w:left="1418" w:header="851" w:footer="1134" w:gutter="0"/>
          <w:cols w:space="425"/>
          <w:docGrid w:linePitch="360"/>
        </w:sectPr>
      </w:pPr>
      <w:r w:rsidRPr="00F0379B">
        <w:rPr>
          <w:rFonts w:ascii="Cambria" w:eastAsia="Aptos" w:hAnsi="Cambria" w:cs="Times New Roman"/>
          <w:kern w:val="2"/>
          <w:sz w:val="16"/>
          <w:szCs w:val="16"/>
          <w14:ligatures w14:val="standardContextual"/>
        </w:rPr>
        <w:t xml:space="preserve">   </w:t>
      </w:r>
    </w:p>
    <w:p w14:paraId="03AE6773" w14:textId="71763205" w:rsidR="009123AC" w:rsidRPr="000B5464" w:rsidRDefault="009123AC" w:rsidP="009123AC">
      <w:pPr>
        <w:widowControl w:val="0"/>
        <w:spacing w:after="0" w:line="240" w:lineRule="auto"/>
        <w:jc w:val="both"/>
        <w:rPr>
          <w:rFonts w:ascii="Cambria" w:eastAsia="MS Gothic" w:hAnsi="Cambria" w:cs="Times New Roman"/>
          <w:b/>
          <w:color w:val="000000"/>
          <w:sz w:val="20"/>
          <w:szCs w:val="20"/>
          <w:lang w:eastAsia="fr-FR" w:bidi="fr-FR"/>
        </w:rPr>
      </w:pPr>
      <w:r w:rsidRPr="000B5464">
        <w:rPr>
          <w:rFonts w:ascii="Cambria" w:eastAsia="MS Gothic" w:hAnsi="Cambria" w:cs="Times New Roman"/>
          <w:b/>
          <w:color w:val="000000"/>
          <w:sz w:val="20"/>
          <w:szCs w:val="24"/>
          <w:lang w:eastAsia="fr-FR" w:bidi="fr-FR"/>
        </w:rPr>
        <w:t>Reino Unido</w:t>
      </w:r>
    </w:p>
    <w:p w14:paraId="54C34738" w14:textId="77777777" w:rsidR="009123AC" w:rsidRPr="000B5464"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62902222" w14:textId="77777777" w:rsidR="009123AC" w:rsidRPr="00F0379B" w:rsidRDefault="009123AC" w:rsidP="009123AC">
      <w:pPr>
        <w:widowControl w:val="0"/>
        <w:spacing w:after="0" w:line="240" w:lineRule="auto"/>
        <w:jc w:val="both"/>
        <w:rPr>
          <w:rFonts w:ascii="Cambria" w:eastAsia="MS Gothic" w:hAnsi="Cambria" w:cs="Times New Roman"/>
          <w:b/>
          <w:color w:val="000000"/>
          <w:sz w:val="20"/>
          <w:szCs w:val="20"/>
          <w:lang w:eastAsia="fr-FR" w:bidi="fr-FR"/>
        </w:rPr>
      </w:pPr>
      <w:r w:rsidRPr="00F0379B">
        <w:rPr>
          <w:rFonts w:ascii="Cambria" w:eastAsia="MS Gothic" w:hAnsi="Cambria" w:cs="Times New Roman"/>
          <w:b/>
          <w:color w:val="000000"/>
          <w:sz w:val="20"/>
          <w:szCs w:val="24"/>
          <w:lang w:eastAsia="fr-FR" w:bidi="fr-FR"/>
        </w:rPr>
        <w:t>Año del plan de pesca: 2026</w:t>
      </w:r>
    </w:p>
    <w:p w14:paraId="4E7A56AE"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465C335E" w14:textId="77777777" w:rsidR="009123AC" w:rsidRPr="00F0379B" w:rsidRDefault="009123AC" w:rsidP="009123AC">
      <w:pPr>
        <w:widowControl w:val="0"/>
        <w:tabs>
          <w:tab w:val="left" w:pos="426"/>
        </w:tabs>
        <w:spacing w:after="0" w:line="240" w:lineRule="auto"/>
        <w:jc w:val="both"/>
        <w:rPr>
          <w:rFonts w:ascii="Cambria" w:eastAsia="MS Gothic" w:hAnsi="Cambria" w:cs="Times New Roman"/>
          <w:b/>
          <w:color w:val="000000"/>
          <w:sz w:val="20"/>
          <w:szCs w:val="20"/>
          <w:lang w:eastAsia="fr-FR" w:bidi="fr-FR"/>
        </w:rPr>
      </w:pPr>
      <w:r w:rsidRPr="00F0379B">
        <w:rPr>
          <w:rFonts w:ascii="Cambria" w:eastAsia="MS Gothic" w:hAnsi="Cambria" w:cs="Times New Roman"/>
          <w:b/>
          <w:color w:val="000000"/>
          <w:sz w:val="20"/>
          <w:szCs w:val="24"/>
          <w:lang w:eastAsia="fr-FR" w:bidi="fr-FR"/>
        </w:rPr>
        <w:t xml:space="preserve">1. </w:t>
      </w:r>
      <w:r w:rsidRPr="00F0379B">
        <w:rPr>
          <w:rFonts w:ascii="Cambria" w:eastAsia="MS Gothic" w:hAnsi="Cambria" w:cs="Times New Roman"/>
          <w:b/>
          <w:color w:val="000000"/>
          <w:sz w:val="20"/>
          <w:szCs w:val="24"/>
          <w:lang w:eastAsia="fr-FR" w:bidi="fr-FR"/>
        </w:rPr>
        <w:tab/>
        <w:t xml:space="preserve">Detalles del plan anual de pesca para los buques de captura y las almadrabas </w:t>
      </w:r>
    </w:p>
    <w:p w14:paraId="5A2B750A" w14:textId="77777777" w:rsidR="009123AC" w:rsidRPr="00F0379B" w:rsidRDefault="009123AC" w:rsidP="009123AC">
      <w:pPr>
        <w:widowControl w:val="0"/>
        <w:spacing w:after="0" w:line="240" w:lineRule="auto"/>
        <w:jc w:val="both"/>
        <w:rPr>
          <w:rFonts w:ascii="Cambria" w:eastAsia="MS Gothic" w:hAnsi="Cambria" w:cs="Times New Roman"/>
          <w:i/>
          <w:color w:val="000000"/>
          <w:sz w:val="20"/>
          <w:szCs w:val="20"/>
          <w:lang w:eastAsia="fr-FR" w:bidi="fr-FR"/>
        </w:rPr>
      </w:pPr>
    </w:p>
    <w:p w14:paraId="5035DCF2" w14:textId="77777777" w:rsidR="009123AC" w:rsidRPr="00F0379B" w:rsidRDefault="009123AC" w:rsidP="009123AC">
      <w:pPr>
        <w:widowControl w:val="0"/>
        <w:spacing w:after="0" w:line="240" w:lineRule="auto"/>
        <w:jc w:val="both"/>
        <w:rPr>
          <w:rFonts w:ascii="Cambria" w:eastAsia="MS Gothic" w:hAnsi="Cambria" w:cs="Times New Roman"/>
          <w:i/>
          <w:color w:val="000000"/>
          <w:sz w:val="20"/>
          <w:szCs w:val="24"/>
          <w:lang w:eastAsia="fr-FR" w:bidi="fr-FR"/>
        </w:rPr>
      </w:pPr>
      <w:r w:rsidRPr="00F0379B">
        <w:rPr>
          <w:rFonts w:ascii="Cambria" w:eastAsia="MS Gothic" w:hAnsi="Cambria" w:cs="Times New Roman"/>
          <w:b/>
          <w:i/>
          <w:color w:val="000000"/>
          <w:sz w:val="20"/>
          <w:szCs w:val="24"/>
          <w:lang w:eastAsia="fr-FR" w:bidi="fr-FR"/>
        </w:rPr>
        <w:t>1 a) Presentación (párr. 12)</w:t>
      </w:r>
    </w:p>
    <w:p w14:paraId="3D6A015D" w14:textId="77777777" w:rsidR="009123AC" w:rsidRPr="00F0379B" w:rsidRDefault="009123AC" w:rsidP="009123AC">
      <w:pPr>
        <w:spacing w:after="0" w:line="240" w:lineRule="auto"/>
        <w:jc w:val="both"/>
        <w:textAlignment w:val="baseline"/>
        <w:rPr>
          <w:rFonts w:ascii="Cambria" w:eastAsia="Times New Roman" w:hAnsi="Cambria" w:cs="Segoe UI"/>
          <w:color w:val="000000"/>
          <w:sz w:val="20"/>
          <w:szCs w:val="20"/>
          <w:lang w:eastAsia="en-GB"/>
        </w:rPr>
      </w:pPr>
    </w:p>
    <w:p w14:paraId="26C31145" w14:textId="77777777" w:rsidR="009123AC" w:rsidRPr="00F0379B" w:rsidRDefault="009123AC" w:rsidP="009123AC">
      <w:pPr>
        <w:spacing w:after="0" w:line="240" w:lineRule="auto"/>
        <w:jc w:val="both"/>
        <w:textAlignment w:val="baseline"/>
        <w:rPr>
          <w:rFonts w:ascii="Cambria" w:eastAsia="Times New Roman" w:hAnsi="Cambria" w:cs="Segoe UI"/>
          <w:color w:val="000000"/>
          <w:sz w:val="20"/>
          <w:szCs w:val="20"/>
          <w:lang w:eastAsia="en-GB"/>
        </w:rPr>
      </w:pPr>
      <w:r w:rsidRPr="00F0379B">
        <w:rPr>
          <w:rFonts w:ascii="Cambria" w:eastAsia="Times New Roman" w:hAnsi="Cambria" w:cs="Times New Roman"/>
          <w:color w:val="000000"/>
          <w:sz w:val="20"/>
          <w:szCs w:val="24"/>
          <w:lang w:eastAsia="en-GB"/>
        </w:rPr>
        <w:t xml:space="preserve">El Reino Unido tiene una cuota inicial de 230,56 t para 2026, tal y como establece la Recomendación 25-04 de ICCAT, ajustada a 243,16 t (véase más abajo). Utilizaremos esta cuota para seguir desarrollando nuestras actividades pesqueras en 2026, basándonos en los años anteriores. En particular:   </w:t>
      </w:r>
    </w:p>
    <w:p w14:paraId="247A5EA8" w14:textId="77777777" w:rsidR="009123AC" w:rsidRPr="00F0379B" w:rsidRDefault="009123AC" w:rsidP="009123AC">
      <w:pPr>
        <w:spacing w:after="0" w:line="240" w:lineRule="auto"/>
        <w:jc w:val="both"/>
        <w:textAlignment w:val="baseline"/>
        <w:rPr>
          <w:rFonts w:ascii="Cambria" w:eastAsia="Times New Roman" w:hAnsi="Cambria" w:cs="Segoe UI"/>
          <w:color w:val="000000"/>
          <w:sz w:val="20"/>
          <w:szCs w:val="20"/>
          <w:lang w:val="en-US" w:eastAsia="en-GB"/>
        </w:rPr>
      </w:pPr>
    </w:p>
    <w:p w14:paraId="058E1DAA" w14:textId="77777777" w:rsidR="009123AC" w:rsidRPr="00F0379B" w:rsidRDefault="009123AC" w:rsidP="00CE0EC8">
      <w:pPr>
        <w:widowControl w:val="0"/>
        <w:numPr>
          <w:ilvl w:val="0"/>
          <w:numId w:val="20"/>
        </w:numPr>
        <w:spacing w:after="0" w:line="240" w:lineRule="auto"/>
        <w:ind w:left="851" w:hanging="425"/>
        <w:jc w:val="both"/>
        <w:textAlignment w:val="baseline"/>
        <w:rPr>
          <w:rFonts w:ascii="Cambria" w:eastAsia="Times New Roman" w:hAnsi="Cambria" w:cs="Segoe UI"/>
          <w:b/>
          <w:color w:val="000000"/>
          <w:sz w:val="20"/>
          <w:szCs w:val="20"/>
          <w:lang w:eastAsia="en-GB"/>
        </w:rPr>
      </w:pPr>
      <w:r w:rsidRPr="00F0379B">
        <w:rPr>
          <w:rFonts w:ascii="Cambria" w:eastAsia="Times New Roman" w:hAnsi="Cambria" w:cs="Times New Roman"/>
          <w:color w:val="000000"/>
          <w:sz w:val="20"/>
          <w:szCs w:val="24"/>
          <w:lang w:eastAsia="en-GB"/>
        </w:rPr>
        <w:t xml:space="preserve">El Reino Unido ampliará las pesquerías comerciales de atún rojo del este. </w:t>
      </w:r>
    </w:p>
    <w:p w14:paraId="3814B2F0" w14:textId="77777777" w:rsidR="009123AC" w:rsidRPr="00F0379B" w:rsidRDefault="009123AC" w:rsidP="00CE0EC8">
      <w:pPr>
        <w:widowControl w:val="0"/>
        <w:numPr>
          <w:ilvl w:val="0"/>
          <w:numId w:val="20"/>
        </w:numPr>
        <w:spacing w:after="0" w:line="240" w:lineRule="auto"/>
        <w:ind w:left="851" w:hanging="425"/>
        <w:jc w:val="both"/>
        <w:textAlignment w:val="baseline"/>
        <w:rPr>
          <w:rFonts w:ascii="Cambria" w:eastAsia="Times New Roman" w:hAnsi="Cambria" w:cs="Times New Roman"/>
          <w:color w:val="000000"/>
          <w:sz w:val="20"/>
          <w:szCs w:val="20"/>
          <w:lang w:eastAsia="en-GB"/>
        </w:rPr>
      </w:pPr>
      <w:r w:rsidRPr="00F0379B">
        <w:rPr>
          <w:rFonts w:ascii="Cambria" w:eastAsia="Times New Roman" w:hAnsi="Cambria" w:cs="Times New Roman"/>
          <w:color w:val="000000"/>
          <w:sz w:val="20"/>
          <w:szCs w:val="24"/>
          <w:lang w:eastAsia="en-GB"/>
        </w:rPr>
        <w:t xml:space="preserve">El Reino Unido ampliará las pesquerías de recreo de captura y liberación de atún rojo del este. </w:t>
      </w:r>
    </w:p>
    <w:p w14:paraId="0D21732A" w14:textId="77777777" w:rsidR="009123AC" w:rsidRPr="00F0379B" w:rsidRDefault="009123AC" w:rsidP="00CE0EC8">
      <w:pPr>
        <w:widowControl w:val="0"/>
        <w:numPr>
          <w:ilvl w:val="0"/>
          <w:numId w:val="20"/>
        </w:numPr>
        <w:spacing w:after="0" w:line="240" w:lineRule="auto"/>
        <w:ind w:left="851" w:hanging="425"/>
        <w:jc w:val="both"/>
        <w:textAlignment w:val="baseline"/>
        <w:rPr>
          <w:rFonts w:ascii="Cambria" w:eastAsia="Times New Roman" w:hAnsi="Cambria" w:cs="Segoe UI"/>
          <w:b/>
          <w:color w:val="000000"/>
          <w:sz w:val="20"/>
          <w:szCs w:val="20"/>
          <w:lang w:eastAsia="en-GB"/>
        </w:rPr>
      </w:pPr>
      <w:r w:rsidRPr="00F0379B">
        <w:rPr>
          <w:rFonts w:ascii="Cambria" w:eastAsia="Times New Roman" w:hAnsi="Cambria" w:cs="Times New Roman"/>
          <w:color w:val="000000"/>
          <w:sz w:val="20"/>
          <w:szCs w:val="24"/>
          <w:lang w:eastAsia="en-GB"/>
        </w:rPr>
        <w:t>Algunas administraciones pesqueras del Reino Unido seguirán operando los programas científicos de marcado de captura y liberación (CHART), que llevarán a cabo conjuntamente patrones y científicos especialmente formados. </w:t>
      </w:r>
    </w:p>
    <w:p w14:paraId="574BBACB" w14:textId="77777777" w:rsidR="009123AC" w:rsidRPr="00F0379B" w:rsidRDefault="009123AC" w:rsidP="00CE0EC8">
      <w:pPr>
        <w:widowControl w:val="0"/>
        <w:numPr>
          <w:ilvl w:val="0"/>
          <w:numId w:val="20"/>
        </w:numPr>
        <w:spacing w:after="0" w:line="240" w:lineRule="auto"/>
        <w:ind w:left="851" w:hanging="425"/>
        <w:jc w:val="both"/>
        <w:textAlignment w:val="baseline"/>
        <w:rPr>
          <w:rFonts w:ascii="Cambria" w:eastAsia="Times New Roman" w:hAnsi="Cambria" w:cs="Segoe UI"/>
          <w:b/>
          <w:color w:val="000000"/>
          <w:sz w:val="20"/>
          <w:szCs w:val="20"/>
          <w:lang w:eastAsia="en-GB"/>
        </w:rPr>
      </w:pPr>
      <w:r w:rsidRPr="00F0379B">
        <w:rPr>
          <w:rFonts w:ascii="Cambria" w:eastAsia="Times New Roman" w:hAnsi="Cambria" w:cs="Times New Roman"/>
          <w:color w:val="000000"/>
          <w:sz w:val="20"/>
          <w:szCs w:val="24"/>
          <w:lang w:eastAsia="en-GB"/>
        </w:rPr>
        <w:t>El Reino Unido seguirá permitiendo algunas oportunidades limitadas para la venta de atún rojo del este capturado de forma fortuita en pesquerías comerciales utilizando ciertos tipos de artes.</w:t>
      </w:r>
    </w:p>
    <w:p w14:paraId="0F49E1DB" w14:textId="77777777" w:rsidR="009123AC" w:rsidRPr="00F0379B" w:rsidRDefault="009123AC" w:rsidP="009123AC">
      <w:pPr>
        <w:spacing w:after="0" w:line="240" w:lineRule="auto"/>
        <w:ind w:left="720"/>
        <w:jc w:val="both"/>
        <w:textAlignment w:val="baseline"/>
        <w:rPr>
          <w:rFonts w:ascii="Cambria" w:eastAsia="Times New Roman" w:hAnsi="Cambria" w:cs="Times New Roman"/>
          <w:b/>
          <w:color w:val="000000"/>
          <w:sz w:val="20"/>
          <w:szCs w:val="20"/>
          <w:lang w:eastAsia="en-GB"/>
        </w:rPr>
      </w:pPr>
    </w:p>
    <w:p w14:paraId="206A3573" w14:textId="77777777" w:rsidR="009123AC" w:rsidRPr="00F0379B" w:rsidRDefault="009123AC" w:rsidP="009123AC">
      <w:pPr>
        <w:spacing w:after="0" w:line="240" w:lineRule="auto"/>
        <w:jc w:val="both"/>
        <w:textAlignment w:val="baseline"/>
        <w:rPr>
          <w:rFonts w:ascii="Times New Roman" w:eastAsia="Times New Roman" w:hAnsi="Times New Roman" w:cs="Segoe UI"/>
          <w:color w:val="000000"/>
          <w:sz w:val="24"/>
          <w:szCs w:val="24"/>
          <w:lang w:eastAsia="en-GB"/>
        </w:rPr>
      </w:pPr>
      <w:r w:rsidRPr="00F0379B">
        <w:rPr>
          <w:rFonts w:ascii="Cambria" w:eastAsia="Times New Roman" w:hAnsi="Cambria" w:cs="Times New Roman"/>
          <w:color w:val="000000"/>
          <w:sz w:val="20"/>
          <w:szCs w:val="24"/>
          <w:lang w:eastAsia="en-GB"/>
        </w:rPr>
        <w:t xml:space="preserve">El Reino Unido solo permitirá la pesca comercial dirigida al atún rojo con caña y carrete. No se permiten otros artes comerciales. Los buques que participarán en esta pesquería serán embarcaciones costeras de pequeña escala. </w:t>
      </w:r>
    </w:p>
    <w:p w14:paraId="25913AAC" w14:textId="77777777" w:rsidR="009123AC" w:rsidRPr="00F0379B" w:rsidRDefault="009123AC" w:rsidP="009123AC">
      <w:pPr>
        <w:spacing w:after="0" w:line="240" w:lineRule="auto"/>
        <w:jc w:val="both"/>
        <w:textAlignment w:val="baseline"/>
        <w:rPr>
          <w:rFonts w:ascii="Cambria" w:eastAsia="Times New Roman" w:hAnsi="Cambria" w:cs="Segoe UI"/>
          <w:color w:val="000000"/>
          <w:sz w:val="20"/>
          <w:szCs w:val="20"/>
          <w:lang w:eastAsia="en-GB"/>
        </w:rPr>
      </w:pPr>
      <w:r w:rsidRPr="00F0379B">
        <w:rPr>
          <w:rFonts w:ascii="Cambria" w:eastAsia="Times New Roman" w:hAnsi="Cambria" w:cs="Times New Roman"/>
          <w:color w:val="000000"/>
          <w:sz w:val="20"/>
          <w:szCs w:val="24"/>
          <w:lang w:eastAsia="en-GB"/>
        </w:rPr>
        <w:t> </w:t>
      </w:r>
    </w:p>
    <w:p w14:paraId="4F848D4F"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Nuestro enfoque de ordenación se mantendrá bajo estrecha revisión en el transcurso del año. Cualquier mejora del enfoque que requiera ajustes en nuestro Plan de pesca se notificará a ICCAT de acuerdo con el párrafo 13 de la Recomendación 25-04.</w:t>
      </w:r>
    </w:p>
    <w:p w14:paraId="2B2DEBB6"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1BB8810F"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4"/>
          <w:lang w:eastAsia="fr-FR" w:bidi="fr-FR"/>
        </w:rPr>
      </w:pPr>
      <w:r w:rsidRPr="00F0379B">
        <w:rPr>
          <w:rFonts w:ascii="Cambria" w:eastAsia="MS Gothic" w:hAnsi="Cambria" w:cs="Times New Roman"/>
          <w:color w:val="000000"/>
          <w:sz w:val="20"/>
          <w:szCs w:val="24"/>
          <w:lang w:eastAsia="fr-FR" w:bidi="fr-FR"/>
        </w:rPr>
        <w:t xml:space="preserve">En 2025, la pertenencia del Reino Unido a ICCAT se amplió a la Bailía de Jersey. En 2026, Jersey tiene la intención de ampliar su pesquería de recreo de atún rojo del este. El proceso de ampliación de la adhesión del Reino Unido a ICCAT para incluir a la Bailía de Guernsey está en curso y se espera que concluya en 2026. El Reino Unido notificará a la Secretaría de ICCAT una vez que se haya completado el proceso. Una vez completado el proceso, Guernsey tiene la intención de abrir una pequeña pesquería de recreo de atún rojo del este. Los operadores de buques en Jersey y Guernsey también podrán solicitar licencias comerciales para la pesca del atún rojo.  </w:t>
      </w:r>
    </w:p>
    <w:p w14:paraId="103BCB0F"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60E9B12D" w14:textId="77777777" w:rsidR="009123AC" w:rsidRPr="00F0379B" w:rsidRDefault="009123AC" w:rsidP="009123AC">
      <w:pPr>
        <w:spacing w:after="0" w:line="240" w:lineRule="auto"/>
        <w:jc w:val="both"/>
        <w:textAlignment w:val="baseline"/>
        <w:rPr>
          <w:rFonts w:ascii="Cambria" w:eastAsia="Times New Roman" w:hAnsi="Cambria" w:cs="Times New Roman"/>
          <w:i/>
          <w:color w:val="000000"/>
          <w:sz w:val="20"/>
          <w:szCs w:val="24"/>
          <w:lang w:eastAsia="en-GB"/>
        </w:rPr>
      </w:pPr>
      <w:r w:rsidRPr="00F0379B">
        <w:rPr>
          <w:rFonts w:ascii="Cambria" w:eastAsia="Times New Roman" w:hAnsi="Cambria" w:cs="Times New Roman"/>
          <w:i/>
          <w:color w:val="000000"/>
          <w:sz w:val="20"/>
          <w:szCs w:val="24"/>
          <w:lang w:eastAsia="en-GB"/>
        </w:rPr>
        <w:t>Cobertura de la captura fortuita </w:t>
      </w:r>
    </w:p>
    <w:p w14:paraId="003EE411" w14:textId="77777777" w:rsidR="009123AC" w:rsidRPr="00F0379B" w:rsidRDefault="009123AC" w:rsidP="009123AC">
      <w:pPr>
        <w:spacing w:after="0" w:line="240" w:lineRule="auto"/>
        <w:jc w:val="both"/>
        <w:textAlignment w:val="baseline"/>
        <w:rPr>
          <w:rFonts w:ascii="Times New Roman" w:eastAsia="Times New Roman" w:hAnsi="Times New Roman" w:cs="Times New Roman"/>
          <w:i/>
          <w:color w:val="000000"/>
          <w:sz w:val="24"/>
          <w:szCs w:val="24"/>
          <w:lang w:eastAsia="en-GB"/>
        </w:rPr>
      </w:pPr>
    </w:p>
    <w:p w14:paraId="07C0160E" w14:textId="77777777" w:rsidR="009123AC" w:rsidRPr="00F0379B" w:rsidRDefault="009123AC" w:rsidP="009123AC">
      <w:pPr>
        <w:spacing w:after="0" w:line="240" w:lineRule="auto"/>
        <w:jc w:val="both"/>
        <w:textAlignment w:val="baseline"/>
        <w:rPr>
          <w:rFonts w:ascii="Cambria" w:eastAsia="Times New Roman" w:hAnsi="Cambria" w:cs="Times New Roman"/>
          <w:color w:val="000000"/>
          <w:sz w:val="20"/>
          <w:szCs w:val="20"/>
          <w:lang w:eastAsia="en-GB"/>
        </w:rPr>
      </w:pPr>
      <w:r w:rsidRPr="00F0379B">
        <w:rPr>
          <w:rFonts w:ascii="Cambria" w:eastAsia="Times New Roman" w:hAnsi="Cambria" w:cs="Times New Roman"/>
          <w:color w:val="000000"/>
          <w:sz w:val="20"/>
          <w:szCs w:val="24"/>
          <w:lang w:eastAsia="en-GB"/>
        </w:rPr>
        <w:t xml:space="preserve">Todas las capturas fortuitas muertas de atún rojo del este se deducirán de la cuota del Reino Unido. En 2026, el Reino Unido reservará 10 t para la captura fortuita por parte de buques que no tengan como objetivo el atún rojo del este. Teniendo en cuenta las capturas fortuitas de atún rojo del este por parte de buques comerciales del Reino Unido en años anteriores (4,10 t en 2024 y 3,31 t en 2025), pero teniendo también en cuenta que el atún rojo del este se está observando en aguas del Reino Unido en cantidades significativas y en una zona geográfica cada vez mayor, lo que aumenta la probabilidad de interacciones con buques pesqueros, el Reino Unido considera que 10 t son suficientes para garantizar que podamos contabilizar adecuadamente toda la captura fortuita de atún rojo del este. </w:t>
      </w:r>
    </w:p>
    <w:p w14:paraId="6F1ABB33" w14:textId="77777777" w:rsidR="009123AC" w:rsidRPr="00F0379B" w:rsidRDefault="009123AC" w:rsidP="009123AC">
      <w:pPr>
        <w:spacing w:after="0" w:line="240" w:lineRule="auto"/>
        <w:jc w:val="both"/>
        <w:textAlignment w:val="baseline"/>
        <w:rPr>
          <w:rFonts w:ascii="Times New Roman" w:eastAsia="Times New Roman" w:hAnsi="Times New Roman" w:cs="Times New Roman"/>
          <w:color w:val="000000"/>
          <w:sz w:val="24"/>
          <w:szCs w:val="24"/>
          <w:lang w:eastAsia="en-GB"/>
        </w:rPr>
      </w:pPr>
      <w:r w:rsidRPr="00F0379B">
        <w:rPr>
          <w:rFonts w:ascii="Cambria" w:eastAsia="Times New Roman" w:hAnsi="Cambria" w:cs="Times New Roman"/>
          <w:color w:val="000000"/>
          <w:sz w:val="20"/>
          <w:szCs w:val="24"/>
          <w:lang w:eastAsia="en-GB"/>
        </w:rPr>
        <w:t> </w:t>
      </w:r>
    </w:p>
    <w:p w14:paraId="6F8C90DF" w14:textId="77777777" w:rsidR="009123AC" w:rsidRPr="00F0379B" w:rsidRDefault="009123AC" w:rsidP="009123AC">
      <w:pPr>
        <w:spacing w:after="0" w:line="240" w:lineRule="auto"/>
        <w:jc w:val="both"/>
        <w:textAlignment w:val="baseline"/>
        <w:rPr>
          <w:rFonts w:ascii="Cambria" w:eastAsia="Times New Roman" w:hAnsi="Cambria" w:cs="Times New Roman"/>
          <w:color w:val="000000"/>
          <w:sz w:val="20"/>
          <w:szCs w:val="20"/>
          <w:lang w:eastAsia="en-GB"/>
        </w:rPr>
      </w:pPr>
      <w:r w:rsidRPr="00F0379B">
        <w:rPr>
          <w:rFonts w:ascii="Cambria" w:eastAsia="Times New Roman" w:hAnsi="Cambria" w:cs="Times New Roman"/>
          <w:color w:val="000000"/>
          <w:sz w:val="20"/>
          <w:szCs w:val="24"/>
          <w:lang w:eastAsia="en-GB"/>
        </w:rPr>
        <w:t xml:space="preserve">Para evitar incentivar la pesca dirigida al atún rojo del este por buques que no formen parte de la pesquería comercial de atún rojo del este, los buques comerciales del Reino Unido que no estén autorizados a pescar atún rojo del este podrán seguir desembarcando y vendiendo un máximo de un ejemplar capturado de forma fortuita por marea. Esto también garantizará que no se supera el máximo del 20 % establecido en el párrafo 37 de la Recomendación 25-04. Cualquier otro ejemplar de atún rojo del este capturado deberá ser liberado vivo si es posible. Si está muerto, se requerirá al operador del buque que lo notifique a las autoridades pertinentes y podría requerírsele que mantenga el ejemplar para muestreo científico, pero no podrá ofrecerse para la venta. </w:t>
      </w:r>
    </w:p>
    <w:p w14:paraId="7E9EA794" w14:textId="77777777" w:rsidR="009123AC" w:rsidRPr="00F0379B" w:rsidRDefault="009123AC" w:rsidP="009123AC">
      <w:pPr>
        <w:spacing w:after="0" w:line="240" w:lineRule="auto"/>
        <w:jc w:val="both"/>
        <w:textAlignment w:val="baseline"/>
        <w:rPr>
          <w:rFonts w:ascii="Cambria" w:eastAsia="Times New Roman" w:hAnsi="Cambria" w:cs="Times New Roman"/>
          <w:color w:val="000000"/>
          <w:sz w:val="20"/>
          <w:szCs w:val="20"/>
          <w:lang w:eastAsia="en-GB"/>
        </w:rPr>
      </w:pPr>
      <w:r w:rsidRPr="00F0379B">
        <w:rPr>
          <w:rFonts w:ascii="Cambria" w:eastAsia="Times New Roman" w:hAnsi="Cambria" w:cs="Times New Roman"/>
          <w:color w:val="000000"/>
          <w:sz w:val="20"/>
          <w:szCs w:val="24"/>
          <w:lang w:eastAsia="en-GB"/>
        </w:rPr>
        <w:t> </w:t>
      </w:r>
    </w:p>
    <w:p w14:paraId="278FE09D" w14:textId="77777777" w:rsidR="009123AC" w:rsidRPr="00F0379B" w:rsidRDefault="009123AC" w:rsidP="009123AC">
      <w:pPr>
        <w:spacing w:after="0" w:line="240" w:lineRule="auto"/>
        <w:jc w:val="both"/>
        <w:textAlignment w:val="baseline"/>
        <w:rPr>
          <w:rFonts w:ascii="Times New Roman" w:eastAsia="Times New Roman" w:hAnsi="Times New Roman" w:cs="Segoe UI"/>
          <w:color w:val="000000"/>
          <w:sz w:val="24"/>
          <w:szCs w:val="24"/>
          <w:lang w:eastAsia="en-GB"/>
        </w:rPr>
      </w:pPr>
      <w:r w:rsidRPr="00F0379B">
        <w:rPr>
          <w:rFonts w:ascii="Cambria" w:eastAsia="Times New Roman" w:hAnsi="Cambria" w:cs="Times New Roman"/>
          <w:color w:val="000000"/>
          <w:sz w:val="20"/>
          <w:szCs w:val="24"/>
          <w:lang w:eastAsia="en-GB"/>
        </w:rPr>
        <w:t>Si se agota la cuota del Reino Unido, todos los atunes rojos del este capturados que estén vivos deberán ser liberados. En virtud de la Obligación de desembarque del Reino Unido, se exigirá la retención de cualquier atún rojo del este capturado que esté muerto y que supere la talla mínima de referencia a efectos de conservación. Los peces muertos retenidos podrán enviarse para muestreo científico, pero no podrán ponerse a la venta en los mercados destinados al consumo humano. En este escenario, los desembarques se contabilizarían ajustando la cuota del Reino Unido para 2027.</w:t>
      </w:r>
    </w:p>
    <w:p w14:paraId="55A8A6A6" w14:textId="77777777" w:rsidR="009123AC" w:rsidRPr="00F0379B" w:rsidRDefault="009123AC" w:rsidP="009123AC">
      <w:pPr>
        <w:spacing w:after="0" w:line="240" w:lineRule="auto"/>
        <w:jc w:val="both"/>
        <w:textAlignment w:val="baseline"/>
        <w:rPr>
          <w:rFonts w:ascii="Times New Roman" w:eastAsia="Times New Roman" w:hAnsi="Times New Roman" w:cs="Times New Roman"/>
          <w:color w:val="000000"/>
          <w:sz w:val="24"/>
          <w:szCs w:val="24"/>
          <w:lang w:eastAsia="en-GB"/>
        </w:rPr>
      </w:pPr>
    </w:p>
    <w:p w14:paraId="420E1050" w14:textId="77777777" w:rsidR="009123AC" w:rsidRPr="00F0379B" w:rsidRDefault="009123AC" w:rsidP="009123AC">
      <w:pPr>
        <w:spacing w:after="0" w:line="240" w:lineRule="auto"/>
        <w:jc w:val="both"/>
        <w:textAlignment w:val="baseline"/>
        <w:rPr>
          <w:rFonts w:ascii="Cambria" w:eastAsia="Times New Roman" w:hAnsi="Cambria" w:cs="Segoe UI"/>
          <w:color w:val="000000"/>
          <w:sz w:val="20"/>
          <w:szCs w:val="20"/>
          <w:lang w:eastAsia="en-GB"/>
        </w:rPr>
      </w:pPr>
      <w:r w:rsidRPr="00F0379B">
        <w:rPr>
          <w:rFonts w:ascii="Cambria" w:eastAsia="Times New Roman" w:hAnsi="Cambria" w:cs="Times New Roman"/>
          <w:color w:val="000000"/>
          <w:sz w:val="20"/>
          <w:szCs w:val="24"/>
          <w:lang w:eastAsia="en-GB"/>
        </w:rPr>
        <w:t>Todo el atún rojo del este capturado de forma fortuita estará sujeto a los requisitos del programa electrónico de documentación de capturas de atún rojo de ICCAT (eBCD). </w:t>
      </w:r>
    </w:p>
    <w:p w14:paraId="30949705" w14:textId="77777777" w:rsidR="009123AC" w:rsidRPr="00F0379B" w:rsidRDefault="009123AC" w:rsidP="009123AC">
      <w:pPr>
        <w:spacing w:after="0" w:line="240" w:lineRule="auto"/>
        <w:jc w:val="both"/>
        <w:textAlignment w:val="baseline"/>
        <w:rPr>
          <w:rFonts w:ascii="Times New Roman" w:eastAsia="Times New Roman" w:hAnsi="Times New Roman" w:cs="Segoe UI"/>
          <w:color w:val="000000"/>
          <w:sz w:val="24"/>
          <w:szCs w:val="24"/>
          <w:lang w:eastAsia="en-GB"/>
        </w:rPr>
      </w:pPr>
      <w:r w:rsidRPr="00F0379B">
        <w:rPr>
          <w:rFonts w:ascii="Cambria" w:eastAsia="Times New Roman" w:hAnsi="Cambria" w:cs="Times New Roman"/>
          <w:color w:val="000000"/>
          <w:sz w:val="20"/>
          <w:szCs w:val="24"/>
          <w:lang w:eastAsia="en-GB"/>
        </w:rPr>
        <w:t>  </w:t>
      </w:r>
    </w:p>
    <w:p w14:paraId="4F725902" w14:textId="77777777" w:rsidR="009123AC" w:rsidRPr="00F0379B" w:rsidRDefault="009123AC" w:rsidP="009123AC">
      <w:pPr>
        <w:spacing w:after="0" w:line="240" w:lineRule="auto"/>
        <w:jc w:val="both"/>
        <w:textAlignment w:val="baseline"/>
        <w:rPr>
          <w:rFonts w:ascii="Cambria" w:eastAsia="Times New Roman" w:hAnsi="Cambria" w:cs="Segoe UI"/>
          <w:i/>
          <w:color w:val="000000"/>
          <w:sz w:val="20"/>
          <w:szCs w:val="20"/>
          <w:lang w:eastAsia="en-GB"/>
        </w:rPr>
      </w:pPr>
      <w:r w:rsidRPr="00F0379B">
        <w:rPr>
          <w:rFonts w:ascii="Cambria" w:eastAsia="Times New Roman" w:hAnsi="Cambria" w:cs="Times New Roman"/>
          <w:i/>
          <w:color w:val="000000"/>
          <w:sz w:val="20"/>
          <w:szCs w:val="24"/>
          <w:lang w:eastAsia="en-GB"/>
        </w:rPr>
        <w:t>Pesquerías comerciales </w:t>
      </w:r>
    </w:p>
    <w:p w14:paraId="70CD726C" w14:textId="77777777" w:rsidR="009123AC" w:rsidRPr="00F0379B" w:rsidRDefault="009123AC" w:rsidP="009123AC">
      <w:pPr>
        <w:spacing w:after="0" w:line="240" w:lineRule="auto"/>
        <w:jc w:val="both"/>
        <w:textAlignment w:val="baseline"/>
        <w:rPr>
          <w:rFonts w:ascii="Cambria" w:eastAsia="Times New Roman" w:hAnsi="Cambria" w:cs="Segoe UI"/>
          <w:i/>
          <w:iCs/>
          <w:color w:val="000000"/>
          <w:sz w:val="20"/>
          <w:szCs w:val="20"/>
          <w:lang w:eastAsia="en-GB"/>
        </w:rPr>
      </w:pPr>
    </w:p>
    <w:p w14:paraId="14AB8B21"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 xml:space="preserve">El interés por seguir desarrollando las pesquerías comerciales de atún rojo del este en el Reino Unido sigue siendo significativo, y la demanda de licencias supera con creces el número disponible en 2024 y 2025. El Reino Unido tiene la intención de ampliar sus pesquerías comerciales de atún rojo del este de forma gradual a lo largo del ciclo de ordenación/TAC 2026-2028. En 2026 aumentaremos el número de licencias comerciales de 15 a 30 y asignaremos 120 t de nuestra cuota a buques comerciales que se dirigen al atún rojo del este. Todos los operadores elegibles del Reino Unido, de Jersey y de Guernsey (una vez que se amplíe la adhesión del Reino Unido a este), podrán solicitar licencias comerciales y, si se les concede, podrán realizar actividades de pesca comercial. </w:t>
      </w:r>
    </w:p>
    <w:p w14:paraId="14052810"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24DEB4B2" w14:textId="77777777" w:rsidR="009123AC" w:rsidRPr="00F0379B" w:rsidRDefault="009123AC" w:rsidP="009123AC">
      <w:pPr>
        <w:widowControl w:val="0"/>
        <w:spacing w:after="0" w:line="240" w:lineRule="auto"/>
        <w:jc w:val="both"/>
        <w:rPr>
          <w:rFonts w:ascii="Cambria" w:eastAsia="MS Gothic" w:hAnsi="Cambria" w:cs="Segoe UI"/>
          <w:color w:val="000000"/>
          <w:sz w:val="20"/>
          <w:szCs w:val="20"/>
          <w:lang w:eastAsia="fr-FR" w:bidi="fr-FR"/>
        </w:rPr>
      </w:pPr>
      <w:r w:rsidRPr="00F0379B">
        <w:rPr>
          <w:rFonts w:ascii="Cambria" w:eastAsia="MS Gothic" w:hAnsi="Cambria" w:cs="Times New Roman"/>
          <w:color w:val="000000"/>
          <w:sz w:val="20"/>
          <w:szCs w:val="24"/>
          <w:lang w:eastAsia="fr-FR" w:bidi="fr-FR"/>
        </w:rPr>
        <w:t xml:space="preserve">Nuestra intención es seguir aumentando el número de licencias comerciales y la proporción de nuestra cuota asignada a los buques comerciales en 2027, y de nuevo en 2028. Este enfoque gradual tiene por objeto garantizar que el sistema de control e inspección basado en el riesgo del Reino Unido sea eficaz en la ordenación de nuestras pesquerías de atún rojo del este a medida que crecen y permita revisar y perfeccionar el sistema cada año. Este enfoque dará lugar a la asignación completa de la cuota del Reino Unido para 2028. </w:t>
      </w:r>
    </w:p>
    <w:p w14:paraId="0EC6E410" w14:textId="77777777" w:rsidR="009123AC" w:rsidRPr="00F0379B" w:rsidRDefault="009123AC" w:rsidP="009123AC">
      <w:pPr>
        <w:spacing w:after="0" w:line="240" w:lineRule="auto"/>
        <w:jc w:val="both"/>
        <w:textAlignment w:val="baseline"/>
        <w:rPr>
          <w:rFonts w:ascii="Cambria" w:eastAsia="Times New Roman" w:hAnsi="Cambria" w:cs="Segoe UI"/>
          <w:color w:val="000000"/>
          <w:sz w:val="20"/>
          <w:szCs w:val="20"/>
          <w:lang w:eastAsia="en-GB"/>
        </w:rPr>
      </w:pPr>
    </w:p>
    <w:p w14:paraId="7F27F3A7" w14:textId="339AC245" w:rsidR="009123AC" w:rsidRPr="00F0379B" w:rsidRDefault="009123AC" w:rsidP="009123AC">
      <w:pPr>
        <w:spacing w:after="0" w:line="240" w:lineRule="auto"/>
        <w:jc w:val="both"/>
        <w:textAlignment w:val="baseline"/>
        <w:rPr>
          <w:rFonts w:ascii="Cambria" w:eastAsia="Times New Roman" w:hAnsi="Cambria" w:cs="Segoe UI"/>
          <w:color w:val="000000"/>
          <w:sz w:val="20"/>
          <w:szCs w:val="20"/>
          <w:lang w:eastAsia="en-GB"/>
        </w:rPr>
      </w:pPr>
      <w:r w:rsidRPr="00F0379B">
        <w:rPr>
          <w:rFonts w:ascii="Cambria" w:eastAsia="Times New Roman" w:hAnsi="Cambria" w:cs="Times New Roman"/>
          <w:color w:val="000000"/>
          <w:sz w:val="20"/>
          <w:szCs w:val="24"/>
          <w:lang w:eastAsia="en-GB"/>
        </w:rPr>
        <w:t xml:space="preserve">Las pesquerías comerciales de atún rojo del este estarán </w:t>
      </w:r>
      <w:r w:rsidR="00B51D10" w:rsidRPr="00F0379B">
        <w:rPr>
          <w:rFonts w:ascii="Cambria" w:eastAsia="Times New Roman" w:hAnsi="Cambria" w:cs="Times New Roman"/>
          <w:color w:val="000000"/>
          <w:sz w:val="20"/>
          <w:szCs w:val="24"/>
          <w:lang w:eastAsia="en-GB"/>
        </w:rPr>
        <w:t>abiertas</w:t>
      </w:r>
      <w:r w:rsidRPr="00F0379B">
        <w:rPr>
          <w:rFonts w:ascii="Cambria" w:eastAsia="Times New Roman" w:hAnsi="Cambria" w:cs="Times New Roman"/>
          <w:color w:val="000000"/>
          <w:sz w:val="20"/>
          <w:szCs w:val="24"/>
          <w:lang w:eastAsia="en-GB"/>
        </w:rPr>
        <w:t xml:space="preserve"> del 13 de julio al 31 de diciembre (6 meses). La pesca la realizarán embarcaciones de pequeña escala (de no más de 12 m de eslora). Los buques solo operarán dentro de la zona económica exclusiva del Reino Unido y, principalmente, dentro de las aguas territoriales (0-12 millas náuticas). Cada una de sus mareas durará menos de 24 horas. Utilizarán el arte de caña y carrete (sin permitir el uso de carnada) para maximizar la selectividad en la pesquería y también maximizar la posibilidad de liberar de forma segura cualquier pez con una talla inferior a la permitida que sea capturado. Por lo tanto, las embarcaciones participantes entrarán en la categoría de "embarcaciones costeras de pequeña escala", tal como se define en la Recomendación 25-04 (párrafo 2 (</w:t>
      </w:r>
      <w:proofErr w:type="spellStart"/>
      <w:r w:rsidRPr="00F0379B">
        <w:rPr>
          <w:rFonts w:ascii="Cambria" w:eastAsia="Times New Roman" w:hAnsi="Cambria" w:cs="Times New Roman"/>
          <w:color w:val="000000"/>
          <w:sz w:val="20"/>
          <w:szCs w:val="24"/>
          <w:lang w:eastAsia="en-GB"/>
        </w:rPr>
        <w:t>dd</w:t>
      </w:r>
      <w:proofErr w:type="spellEnd"/>
      <w:r w:rsidRPr="00F0379B">
        <w:rPr>
          <w:rFonts w:ascii="Cambria" w:eastAsia="Times New Roman" w:hAnsi="Cambria" w:cs="Times New Roman"/>
          <w:color w:val="000000"/>
          <w:sz w:val="20"/>
          <w:szCs w:val="24"/>
          <w:lang w:eastAsia="en-GB"/>
        </w:rPr>
        <w:t xml:space="preserve">)). </w:t>
      </w:r>
    </w:p>
    <w:p w14:paraId="3ABB5690" w14:textId="77777777" w:rsidR="009123AC" w:rsidRPr="00F0379B" w:rsidRDefault="009123AC" w:rsidP="009123AC">
      <w:pPr>
        <w:widowControl w:val="0"/>
        <w:spacing w:after="0" w:line="240" w:lineRule="auto"/>
        <w:jc w:val="both"/>
        <w:rPr>
          <w:rFonts w:ascii="Times New Roman" w:eastAsia="MS Gothic" w:hAnsi="Times New Roman"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 xml:space="preserve">  </w:t>
      </w:r>
    </w:p>
    <w:p w14:paraId="3FF4A6C2" w14:textId="77777777" w:rsidR="009123AC" w:rsidRPr="00F0379B" w:rsidRDefault="009123AC" w:rsidP="009123AC">
      <w:pPr>
        <w:spacing w:after="0" w:line="240" w:lineRule="auto"/>
        <w:jc w:val="both"/>
        <w:textAlignment w:val="baseline"/>
        <w:rPr>
          <w:rFonts w:ascii="Cambria" w:eastAsia="Times New Roman" w:hAnsi="Cambria" w:cs="Times New Roman"/>
          <w:i/>
          <w:color w:val="000000"/>
          <w:sz w:val="20"/>
          <w:szCs w:val="24"/>
          <w:lang w:eastAsia="en-GB"/>
        </w:rPr>
      </w:pPr>
      <w:r w:rsidRPr="00F0379B">
        <w:rPr>
          <w:rFonts w:ascii="Cambria" w:eastAsia="Times New Roman" w:hAnsi="Cambria" w:cs="Times New Roman"/>
          <w:i/>
          <w:color w:val="000000"/>
          <w:sz w:val="20"/>
          <w:szCs w:val="24"/>
          <w:lang w:eastAsia="en-GB"/>
        </w:rPr>
        <w:t>Programas de marcado de captura y liberación y programas de investigación sobre el atún rojo del este </w:t>
      </w:r>
    </w:p>
    <w:p w14:paraId="27AE2F27" w14:textId="77777777" w:rsidR="009123AC" w:rsidRPr="00F0379B" w:rsidRDefault="009123AC" w:rsidP="009123AC">
      <w:pPr>
        <w:spacing w:after="0" w:line="240" w:lineRule="auto"/>
        <w:jc w:val="both"/>
        <w:textAlignment w:val="baseline"/>
        <w:rPr>
          <w:rFonts w:ascii="Times New Roman" w:eastAsia="Times New Roman" w:hAnsi="Times New Roman" w:cs="Times New Roman"/>
          <w:i/>
          <w:color w:val="000000"/>
          <w:sz w:val="24"/>
          <w:szCs w:val="24"/>
          <w:lang w:eastAsia="en-GB"/>
        </w:rPr>
      </w:pPr>
    </w:p>
    <w:p w14:paraId="6053BA5E" w14:textId="77777777" w:rsidR="009123AC" w:rsidRPr="00F0379B" w:rsidRDefault="009123AC" w:rsidP="009123AC">
      <w:pPr>
        <w:spacing w:after="0" w:line="240" w:lineRule="auto"/>
        <w:jc w:val="both"/>
        <w:textAlignment w:val="baseline"/>
        <w:rPr>
          <w:rFonts w:ascii="Cambria" w:eastAsia="Times New Roman" w:hAnsi="Cambria" w:cs="Times New Roman"/>
          <w:color w:val="000000"/>
          <w:sz w:val="20"/>
          <w:szCs w:val="20"/>
          <w:lang w:eastAsia="en-GB"/>
        </w:rPr>
      </w:pPr>
      <w:r w:rsidRPr="00F0379B">
        <w:rPr>
          <w:rFonts w:ascii="Cambria" w:eastAsia="Times New Roman" w:hAnsi="Cambria" w:cs="Times New Roman"/>
          <w:color w:val="000000"/>
          <w:sz w:val="20"/>
          <w:szCs w:val="24"/>
          <w:lang w:eastAsia="en-GB"/>
        </w:rPr>
        <w:t xml:space="preserve">En 2026, el Reino Unido reservará 5 t de cuota para la continuación del programa de marcado de captura y liberación (CHART) para el atún rojo del este y para cualquier otro programa de investigación previsto sobre el atún rojo del este que se lleve a cabo en aguas del Reino Unido. Los programas de investigación previstos se encuentran actualmente en sus fases preliminares de desarrollo y puesta en marcha. </w:t>
      </w:r>
    </w:p>
    <w:p w14:paraId="072181C4" w14:textId="77777777" w:rsidR="009123AC" w:rsidRPr="00F0379B" w:rsidRDefault="009123AC" w:rsidP="009123AC">
      <w:pPr>
        <w:spacing w:after="0" w:line="240" w:lineRule="auto"/>
        <w:jc w:val="both"/>
        <w:textAlignment w:val="baseline"/>
        <w:rPr>
          <w:rFonts w:ascii="Cambria" w:eastAsia="Times New Roman" w:hAnsi="Cambria" w:cs="Times New Roman"/>
          <w:color w:val="000000"/>
          <w:sz w:val="20"/>
          <w:szCs w:val="20"/>
          <w:lang w:eastAsia="en-GB"/>
        </w:rPr>
      </w:pPr>
    </w:p>
    <w:p w14:paraId="2B7BF8F9" w14:textId="77777777" w:rsidR="009123AC" w:rsidRPr="00F0379B" w:rsidRDefault="009123AC" w:rsidP="009123AC">
      <w:pPr>
        <w:spacing w:after="0" w:line="240" w:lineRule="auto"/>
        <w:jc w:val="both"/>
        <w:textAlignment w:val="baseline"/>
        <w:rPr>
          <w:rFonts w:ascii="Cambria" w:eastAsia="Times New Roman" w:hAnsi="Cambria" w:cs="Segoe UI"/>
          <w:color w:val="000000"/>
          <w:sz w:val="20"/>
          <w:szCs w:val="20"/>
          <w:lang w:eastAsia="en-GB"/>
        </w:rPr>
      </w:pPr>
      <w:r w:rsidRPr="00F0379B">
        <w:rPr>
          <w:rFonts w:ascii="Cambria" w:eastAsia="Times New Roman" w:hAnsi="Cambria" w:cs="Times New Roman"/>
          <w:color w:val="000000"/>
          <w:sz w:val="20"/>
          <w:szCs w:val="24"/>
          <w:lang w:eastAsia="en-GB"/>
        </w:rPr>
        <w:t xml:space="preserve">Se considera que una cuota de 5 t es una medida precautoria adecuada y más que suficiente para cubrir la actividad prevista, teniendo en cuenta que en 2025 no se registraron muertes en el programa CHART. Si se llevan a cabo los programas de investigación previstos mencionados anteriormente, se realizará una evaluación de las necesidades previstas de cuotas para las actividades y la asignación de 5 t de cuota a la ciencia se repartirá entre ellos y CHART en consecuencia. </w:t>
      </w:r>
    </w:p>
    <w:p w14:paraId="4E0B27D9" w14:textId="77777777" w:rsidR="009123AC" w:rsidRPr="00F0379B" w:rsidRDefault="009123AC" w:rsidP="009123AC">
      <w:pPr>
        <w:spacing w:after="0" w:line="240" w:lineRule="auto"/>
        <w:jc w:val="both"/>
        <w:textAlignment w:val="baseline"/>
        <w:rPr>
          <w:rFonts w:ascii="Cambria" w:eastAsia="Times New Roman" w:hAnsi="Cambria" w:cs="Segoe UI"/>
          <w:color w:val="000000"/>
          <w:sz w:val="20"/>
          <w:szCs w:val="20"/>
          <w:lang w:eastAsia="en-GB"/>
        </w:rPr>
      </w:pPr>
    </w:p>
    <w:p w14:paraId="1D047CF0" w14:textId="77777777" w:rsidR="009123AC" w:rsidRPr="00F0379B" w:rsidRDefault="009123AC" w:rsidP="009123AC">
      <w:pPr>
        <w:spacing w:after="0" w:line="240" w:lineRule="auto"/>
        <w:jc w:val="both"/>
        <w:textAlignment w:val="baseline"/>
        <w:rPr>
          <w:rFonts w:ascii="Cambria" w:eastAsia="Times New Roman" w:hAnsi="Cambria" w:cs="Times New Roman"/>
          <w:color w:val="000000"/>
          <w:sz w:val="20"/>
          <w:szCs w:val="20"/>
          <w:lang w:eastAsia="en-GB"/>
        </w:rPr>
      </w:pPr>
      <w:r w:rsidRPr="00F0379B">
        <w:rPr>
          <w:rFonts w:ascii="Cambria" w:eastAsia="Times New Roman" w:hAnsi="Cambria" w:cs="Times New Roman"/>
          <w:color w:val="000000"/>
          <w:sz w:val="20"/>
          <w:szCs w:val="24"/>
          <w:lang w:eastAsia="en-GB"/>
        </w:rPr>
        <w:t>La cuota asignada a estos fines se utilizará para contabilizar cualquier mortalidad incidental a bordo relacionada con el programa CHART u otros programas que se lleven a cabo. Esta cifra se estableció teniendo en cuenta la duración prevista del programa, el número de buques que participan y nuestras estimaciones de la media de días de pesca al mes, las capturas por unidad de esfuerzo, el peso y la mortalidad en los buques. La cuota no se asignará buque por buque, sino que cubrirá todo el programa CHART y otros programas.</w:t>
      </w:r>
    </w:p>
    <w:p w14:paraId="5039B324" w14:textId="77777777" w:rsidR="009123AC" w:rsidRPr="00F0379B" w:rsidRDefault="009123AC" w:rsidP="009123AC">
      <w:pPr>
        <w:spacing w:after="0" w:line="240" w:lineRule="auto"/>
        <w:jc w:val="both"/>
        <w:textAlignment w:val="baseline"/>
        <w:rPr>
          <w:rFonts w:ascii="Cambria" w:eastAsia="Times New Roman" w:hAnsi="Cambria" w:cs="Times New Roman"/>
          <w:color w:val="000000"/>
          <w:sz w:val="20"/>
          <w:szCs w:val="20"/>
          <w:lang w:eastAsia="en-GB"/>
        </w:rPr>
      </w:pPr>
    </w:p>
    <w:p w14:paraId="509A4F82" w14:textId="77777777" w:rsidR="009123AC" w:rsidRPr="00F0379B" w:rsidRDefault="009123AC" w:rsidP="009123AC">
      <w:pPr>
        <w:spacing w:after="0" w:line="240" w:lineRule="auto"/>
        <w:jc w:val="both"/>
        <w:textAlignment w:val="baseline"/>
        <w:rPr>
          <w:rFonts w:ascii="Cambria" w:eastAsia="Times New Roman" w:hAnsi="Cambria" w:cs="Times New Roman"/>
          <w:color w:val="000000"/>
          <w:sz w:val="20"/>
          <w:szCs w:val="20"/>
          <w:lang w:eastAsia="en-GB"/>
        </w:rPr>
      </w:pPr>
      <w:r w:rsidRPr="00F0379B">
        <w:rPr>
          <w:rFonts w:ascii="Cambria" w:eastAsia="Times New Roman" w:hAnsi="Cambria" w:cs="Times New Roman"/>
          <w:color w:val="000000"/>
          <w:sz w:val="20"/>
          <w:szCs w:val="24"/>
          <w:lang w:eastAsia="en-GB"/>
        </w:rPr>
        <w:t>El programa CHART y cualquier otro programa se llevarán a cabo de conformidad con el párrafo 44 de la Recomendación 25-04, lo que incluye la presentación de un informe al SCRS. Todos los programas recibirán una autorización por parte de las Administraciones pesqueras del Reino Unido pertinentes y llevarán a cabo la pesca en condiciones estrictas de seguimiento y comunicación.</w:t>
      </w:r>
    </w:p>
    <w:p w14:paraId="4AE9097D" w14:textId="77777777" w:rsidR="009123AC" w:rsidRPr="00F0379B" w:rsidRDefault="009123AC" w:rsidP="009123AC">
      <w:pPr>
        <w:spacing w:after="0" w:line="240" w:lineRule="auto"/>
        <w:jc w:val="both"/>
        <w:rPr>
          <w:rFonts w:ascii="Cambria" w:eastAsia="MS Gothic" w:hAnsi="Cambria" w:cs="Segoe UI"/>
          <w:color w:val="000000"/>
          <w:sz w:val="20"/>
          <w:szCs w:val="20"/>
          <w:lang w:eastAsia="fr-FR" w:bidi="fr-FR"/>
        </w:rPr>
      </w:pPr>
    </w:p>
    <w:p w14:paraId="691DE363" w14:textId="77777777" w:rsidR="009123AC" w:rsidRPr="00F0379B" w:rsidRDefault="009123AC" w:rsidP="009123AC">
      <w:pPr>
        <w:spacing w:after="0" w:line="240" w:lineRule="auto"/>
        <w:jc w:val="both"/>
        <w:textAlignment w:val="baseline"/>
        <w:rPr>
          <w:rFonts w:ascii="Cambria" w:eastAsia="Times New Roman" w:hAnsi="Cambria" w:cs="Times New Roman"/>
          <w:color w:val="000000"/>
          <w:sz w:val="20"/>
          <w:szCs w:val="24"/>
          <w:lang w:eastAsia="en-GB"/>
        </w:rPr>
      </w:pPr>
      <w:r w:rsidRPr="00F0379B">
        <w:rPr>
          <w:rFonts w:ascii="Cambria" w:eastAsia="Times New Roman" w:hAnsi="Cambria" w:cs="Times New Roman"/>
          <w:color w:val="000000"/>
          <w:sz w:val="20"/>
          <w:szCs w:val="24"/>
          <w:lang w:eastAsia="en-GB"/>
        </w:rPr>
        <w:t>Se prevé que la temporada de pesca del programa CHART 2026 sea de agosto a mediados de diciembre de 2026.</w:t>
      </w:r>
    </w:p>
    <w:p w14:paraId="3AA94B25" w14:textId="77777777" w:rsidR="009123AC" w:rsidRPr="00F0379B" w:rsidRDefault="009123AC" w:rsidP="009123AC">
      <w:pPr>
        <w:spacing w:after="0" w:line="240" w:lineRule="auto"/>
        <w:jc w:val="both"/>
        <w:textAlignment w:val="baseline"/>
        <w:rPr>
          <w:rFonts w:ascii="Cambria" w:eastAsia="Times New Roman" w:hAnsi="Cambria" w:cs="Times New Roman"/>
          <w:color w:val="000000"/>
          <w:sz w:val="20"/>
          <w:szCs w:val="24"/>
          <w:lang w:eastAsia="en-GB"/>
        </w:rPr>
      </w:pPr>
    </w:p>
    <w:p w14:paraId="0BB49FCA" w14:textId="77777777" w:rsidR="009123AC" w:rsidRPr="00F0379B" w:rsidRDefault="009123AC" w:rsidP="009123AC">
      <w:pPr>
        <w:spacing w:after="0" w:line="240" w:lineRule="auto"/>
        <w:jc w:val="both"/>
        <w:textAlignment w:val="baseline"/>
        <w:rPr>
          <w:rFonts w:ascii="Cambria" w:eastAsia="Times New Roman" w:hAnsi="Cambria" w:cs="Segoe UI"/>
          <w:i/>
          <w:color w:val="000000"/>
          <w:sz w:val="20"/>
          <w:szCs w:val="20"/>
          <w:lang w:eastAsia="en-GB"/>
        </w:rPr>
      </w:pPr>
      <w:r w:rsidRPr="00F0379B">
        <w:rPr>
          <w:rFonts w:ascii="Cambria" w:eastAsia="Times New Roman" w:hAnsi="Cambria" w:cs="Times New Roman"/>
          <w:i/>
          <w:color w:val="000000"/>
          <w:sz w:val="20"/>
          <w:szCs w:val="24"/>
          <w:lang w:eastAsia="en-GB"/>
        </w:rPr>
        <w:t>Pesquería de recreo</w:t>
      </w:r>
    </w:p>
    <w:p w14:paraId="2B62B797" w14:textId="77777777" w:rsidR="009123AC" w:rsidRPr="00F0379B" w:rsidRDefault="009123AC" w:rsidP="009123AC">
      <w:pPr>
        <w:spacing w:after="0" w:line="240" w:lineRule="auto"/>
        <w:jc w:val="both"/>
        <w:textAlignment w:val="baseline"/>
        <w:rPr>
          <w:rFonts w:ascii="Times New Roman" w:eastAsia="Times New Roman" w:hAnsi="Times New Roman" w:cs="Times New Roman"/>
          <w:color w:val="000000"/>
          <w:sz w:val="24"/>
          <w:szCs w:val="24"/>
          <w:lang w:eastAsia="en-GB"/>
        </w:rPr>
      </w:pPr>
    </w:p>
    <w:p w14:paraId="0529DFF8" w14:textId="77777777" w:rsidR="009123AC" w:rsidRPr="00F0379B" w:rsidRDefault="009123AC" w:rsidP="009123AC">
      <w:pPr>
        <w:spacing w:after="0" w:line="240" w:lineRule="auto"/>
        <w:jc w:val="both"/>
        <w:textAlignment w:val="baseline"/>
        <w:rPr>
          <w:rFonts w:ascii="Cambria" w:eastAsia="Times New Roman" w:hAnsi="Cambria" w:cs="Segoe UI"/>
          <w:color w:val="000000"/>
          <w:sz w:val="20"/>
          <w:szCs w:val="20"/>
          <w:lang w:eastAsia="en-GB"/>
        </w:rPr>
      </w:pPr>
      <w:bookmarkStart w:id="27" w:name="_Hlk190083009"/>
      <w:r w:rsidRPr="00F0379B">
        <w:rPr>
          <w:rFonts w:ascii="Cambria" w:eastAsia="Times New Roman" w:hAnsi="Cambria" w:cs="Times New Roman"/>
          <w:color w:val="000000"/>
          <w:sz w:val="20"/>
          <w:szCs w:val="24"/>
          <w:lang w:eastAsia="en-GB"/>
        </w:rPr>
        <w:t xml:space="preserve">En 2025, el Reino Unido continuó con la pesca las pesquerías de recreo de captura y liberación (CRRF) del atún rojo del este. El interés por seguir desarrollando las pesquerías de recreo sigue siendo significativo: en 2024 y 2025, el número de solicitudes de permisos para la pesca de recreo de atún rojo en Inglaterra fue muy superior al número de permisos disponibles. </w:t>
      </w:r>
    </w:p>
    <w:p w14:paraId="3281E4D7" w14:textId="77777777" w:rsidR="009123AC" w:rsidRPr="00F0379B" w:rsidRDefault="009123AC" w:rsidP="009123AC">
      <w:pPr>
        <w:spacing w:after="0" w:line="240" w:lineRule="auto"/>
        <w:jc w:val="both"/>
        <w:textAlignment w:val="baseline"/>
        <w:rPr>
          <w:rFonts w:ascii="Cambria" w:eastAsia="Times New Roman" w:hAnsi="Cambria" w:cs="Segoe UI"/>
          <w:color w:val="000000"/>
          <w:sz w:val="20"/>
          <w:szCs w:val="20"/>
          <w:lang w:eastAsia="en-GB"/>
        </w:rPr>
      </w:pPr>
    </w:p>
    <w:p w14:paraId="3C34EB57" w14:textId="77777777" w:rsidR="009123AC" w:rsidRPr="00F0379B" w:rsidRDefault="009123AC" w:rsidP="009123AC">
      <w:pPr>
        <w:spacing w:after="0" w:line="240" w:lineRule="auto"/>
        <w:jc w:val="both"/>
        <w:textAlignment w:val="baseline"/>
        <w:rPr>
          <w:rFonts w:ascii="Cambria" w:eastAsia="Times New Roman" w:hAnsi="Cambria" w:cs="Times New Roman"/>
          <w:color w:val="000000"/>
          <w:sz w:val="20"/>
          <w:szCs w:val="20"/>
          <w:lang w:eastAsia="en-GB"/>
        </w:rPr>
      </w:pPr>
      <w:r w:rsidRPr="00F0379B">
        <w:rPr>
          <w:rFonts w:ascii="Cambria" w:eastAsia="Times New Roman" w:hAnsi="Cambria" w:cs="Times New Roman"/>
          <w:color w:val="000000"/>
          <w:sz w:val="20"/>
          <w:szCs w:val="24"/>
          <w:lang w:eastAsia="en-GB"/>
        </w:rPr>
        <w:t xml:space="preserve">En 2025, el nivel de actividad pesquera y la tasa de mortalidad comunicada fueron significativamente inferiores a lo previsto, lo que condujo a un uso muy limitado de la cuota. En 2025 se registraron 14 muertes en la pesquería de recreo, lo que equivale a aproximadamente 1,75 t. Los datos sobre talla/peso de los ejemplares, CPUE y mortalidad recogidos en el marco de la pesquería de recreo de 2025 se pondrán a disposición de ICCAT. </w:t>
      </w:r>
    </w:p>
    <w:p w14:paraId="55353D46" w14:textId="77777777" w:rsidR="009123AC" w:rsidRPr="00F0379B" w:rsidRDefault="009123AC" w:rsidP="009123AC">
      <w:pPr>
        <w:spacing w:after="0" w:line="240" w:lineRule="auto"/>
        <w:jc w:val="both"/>
        <w:textAlignment w:val="baseline"/>
        <w:rPr>
          <w:rFonts w:ascii="Cambria" w:eastAsia="Times New Roman" w:hAnsi="Cambria" w:cs="Times New Roman"/>
          <w:color w:val="000000"/>
          <w:sz w:val="20"/>
          <w:szCs w:val="20"/>
          <w:lang w:eastAsia="en-GB"/>
        </w:rPr>
      </w:pPr>
    </w:p>
    <w:p w14:paraId="767C8A02" w14:textId="77777777" w:rsidR="009123AC" w:rsidRPr="00F0379B" w:rsidRDefault="009123AC" w:rsidP="009123AC">
      <w:pPr>
        <w:spacing w:after="0" w:line="240" w:lineRule="auto"/>
        <w:jc w:val="both"/>
        <w:textAlignment w:val="baseline"/>
        <w:rPr>
          <w:rFonts w:ascii="Cambria" w:eastAsia="Times New Roman" w:hAnsi="Cambria" w:cs="Times New Roman"/>
          <w:color w:val="000000"/>
          <w:sz w:val="20"/>
          <w:szCs w:val="20"/>
          <w:lang w:eastAsia="en-GB"/>
        </w:rPr>
      </w:pPr>
      <w:r w:rsidRPr="00F0379B">
        <w:rPr>
          <w:rFonts w:ascii="Cambria" w:eastAsia="Times New Roman" w:hAnsi="Cambria" w:cs="Times New Roman"/>
          <w:color w:val="000000"/>
          <w:sz w:val="20"/>
          <w:szCs w:val="24"/>
          <w:lang w:eastAsia="en-GB"/>
        </w:rPr>
        <w:t xml:space="preserve">El Reino Unido tiene la intención de ampliar sus pesquerías de recreo de forma gradual a lo largo del ciclo de ordenación/TAC 2026-2028. Para 2026, el Reino Unido aumentará el límite máximo del número de permisos para la pesca de recreo disponibles de 185 a 230. Esto incluye los permisos que deben facilitar Jersey y Guernsey, así como el resto del Reino Unido. Jersey tiene la intención de ampliar su pesquería de recreo en 2026, permitiendo la participación tanto de embarcaciones de recreo como de embarcaciones fletadas. Una vez completado el proceso de adhesión, Guernsey tiene la intención de abrir una pequeña pesquería de recreo de atún rojo del este. Ambos se contabilizarán en el número total de permisos que se expedirán para buques del Reino Unido y cualquier mortalidad incidental se descontará de la cuota de atún rojo del este del Reino Unido.  </w:t>
      </w:r>
    </w:p>
    <w:p w14:paraId="22C757EE" w14:textId="77777777" w:rsidR="009123AC" w:rsidRPr="00F0379B" w:rsidRDefault="009123AC" w:rsidP="009123AC">
      <w:pPr>
        <w:spacing w:after="0" w:line="240" w:lineRule="auto"/>
        <w:jc w:val="both"/>
        <w:textAlignment w:val="baseline"/>
        <w:rPr>
          <w:rFonts w:ascii="Cambria" w:eastAsia="Times New Roman" w:hAnsi="Cambria" w:cs="Times New Roman"/>
          <w:color w:val="000000"/>
          <w:sz w:val="20"/>
          <w:szCs w:val="20"/>
          <w:lang w:eastAsia="en-GB"/>
        </w:rPr>
      </w:pPr>
    </w:p>
    <w:p w14:paraId="5484F9D6" w14:textId="77777777" w:rsidR="009123AC" w:rsidRPr="00F0379B" w:rsidRDefault="009123AC" w:rsidP="009123AC">
      <w:pPr>
        <w:widowControl w:val="0"/>
        <w:spacing w:after="0" w:line="240" w:lineRule="auto"/>
        <w:jc w:val="both"/>
        <w:rPr>
          <w:rFonts w:ascii="Cambria" w:eastAsia="Times New Roman" w:hAnsi="Cambria" w:cs="Times New Roman"/>
          <w:color w:val="000000"/>
          <w:sz w:val="20"/>
          <w:szCs w:val="20"/>
          <w:lang w:eastAsia="en-GB"/>
        </w:rPr>
      </w:pPr>
      <w:r w:rsidRPr="00F0379B">
        <w:rPr>
          <w:rFonts w:ascii="Cambria" w:eastAsia="Times New Roman" w:hAnsi="Cambria" w:cs="Times New Roman"/>
          <w:color w:val="000000"/>
          <w:sz w:val="20"/>
          <w:szCs w:val="24"/>
          <w:lang w:eastAsia="en-GB"/>
        </w:rPr>
        <w:t>El Reino Unido asignará 20 t de su cuota para cubrir la mortalidad incidental estimada. El mecanismo clave para garantizar que no se supere la cuota es limitar el número de permisos expedidos. Las autoridades de ordenación pesquera supervisan semanalmente el uso de las cuotas y tienen la facultad de modificar las condiciones de los permisos o cerrar la pesquería antes de tiempo si se prevé que se superará la cuota. Se ha utilizado la modelación pesquera para determinar la cantidad media de cuota que podría utilizar cada titular de permiso. El modelo se ha basado en datos de las CRRF inglesas de atún rojo de 2024 y 2025 y en la experiencia de científicos, reguladores y el sector de recreo. El modelo se basa en los siguientes supuestos: </w:t>
      </w:r>
    </w:p>
    <w:p w14:paraId="0C715F50" w14:textId="77777777" w:rsidR="009123AC" w:rsidRPr="00F0379B" w:rsidRDefault="009123AC" w:rsidP="009123AC">
      <w:pPr>
        <w:widowControl w:val="0"/>
        <w:spacing w:after="0" w:line="240" w:lineRule="auto"/>
        <w:jc w:val="both"/>
        <w:rPr>
          <w:rFonts w:ascii="Cambria" w:eastAsia="Times New Roman" w:hAnsi="Cambria" w:cs="Times New Roman"/>
          <w:color w:val="000000"/>
          <w:sz w:val="20"/>
          <w:szCs w:val="20"/>
          <w:lang w:eastAsia="en-GB" w:bidi="fr-FR"/>
        </w:rPr>
      </w:pPr>
    </w:p>
    <w:p w14:paraId="746227FF" w14:textId="77777777" w:rsidR="009123AC" w:rsidRPr="00F0379B" w:rsidRDefault="009123AC" w:rsidP="00CE0EC8">
      <w:pPr>
        <w:widowControl w:val="0"/>
        <w:numPr>
          <w:ilvl w:val="0"/>
          <w:numId w:val="88"/>
        </w:numPr>
        <w:spacing w:after="0" w:line="240" w:lineRule="auto"/>
        <w:jc w:val="both"/>
        <w:rPr>
          <w:rFonts w:ascii="Cambria" w:eastAsia="Times New Roman" w:hAnsi="Cambria" w:cs="Times New Roman"/>
          <w:color w:val="000000"/>
          <w:sz w:val="20"/>
          <w:szCs w:val="20"/>
          <w:lang w:eastAsia="en-GB"/>
        </w:rPr>
      </w:pPr>
      <w:r w:rsidRPr="00F0379B">
        <w:rPr>
          <w:rFonts w:ascii="Cambria" w:eastAsia="Times New Roman" w:hAnsi="Cambria" w:cs="Times New Roman"/>
          <w:color w:val="000000"/>
          <w:sz w:val="20"/>
          <w:szCs w:val="24"/>
          <w:lang w:eastAsia="en-GB"/>
        </w:rPr>
        <w:t>Peso medio del atún rojo capturado </w:t>
      </w:r>
    </w:p>
    <w:p w14:paraId="74A55AB8" w14:textId="77777777" w:rsidR="009123AC" w:rsidRPr="00F0379B" w:rsidRDefault="009123AC" w:rsidP="00CE0EC8">
      <w:pPr>
        <w:widowControl w:val="0"/>
        <w:numPr>
          <w:ilvl w:val="0"/>
          <w:numId w:val="88"/>
        </w:numPr>
        <w:spacing w:after="0" w:line="240" w:lineRule="auto"/>
        <w:jc w:val="both"/>
        <w:rPr>
          <w:rFonts w:ascii="Cambria" w:eastAsia="Times New Roman" w:hAnsi="Cambria" w:cs="Times New Roman"/>
          <w:color w:val="000000"/>
          <w:sz w:val="20"/>
          <w:szCs w:val="20"/>
          <w:lang w:eastAsia="en-GB"/>
        </w:rPr>
      </w:pPr>
      <w:r w:rsidRPr="00F0379B">
        <w:rPr>
          <w:rFonts w:ascii="Cambria" w:eastAsia="Times New Roman" w:hAnsi="Cambria" w:cs="Times New Roman"/>
          <w:color w:val="000000"/>
          <w:sz w:val="20"/>
          <w:szCs w:val="24"/>
          <w:lang w:eastAsia="en-GB"/>
        </w:rPr>
        <w:t>Tasa general de mortalidad por captura de atún rojo </w:t>
      </w:r>
    </w:p>
    <w:p w14:paraId="06963311" w14:textId="77777777" w:rsidR="009123AC" w:rsidRPr="00F0379B" w:rsidRDefault="009123AC" w:rsidP="00CE0EC8">
      <w:pPr>
        <w:widowControl w:val="0"/>
        <w:numPr>
          <w:ilvl w:val="0"/>
          <w:numId w:val="88"/>
        </w:numPr>
        <w:spacing w:after="0" w:line="240" w:lineRule="auto"/>
        <w:jc w:val="both"/>
        <w:rPr>
          <w:rFonts w:ascii="Cambria" w:eastAsia="Times New Roman" w:hAnsi="Cambria" w:cs="Times New Roman"/>
          <w:color w:val="000000"/>
          <w:sz w:val="20"/>
          <w:szCs w:val="20"/>
          <w:lang w:eastAsia="en-GB"/>
        </w:rPr>
      </w:pPr>
      <w:r w:rsidRPr="00F0379B">
        <w:rPr>
          <w:rFonts w:ascii="Cambria" w:eastAsia="Times New Roman" w:hAnsi="Cambria" w:cs="Times New Roman"/>
          <w:color w:val="000000"/>
          <w:sz w:val="20"/>
          <w:szCs w:val="24"/>
          <w:lang w:eastAsia="en-GB"/>
        </w:rPr>
        <w:t>Esfuerzo pesquero previsto</w:t>
      </w:r>
    </w:p>
    <w:p w14:paraId="4B31CE25" w14:textId="77777777" w:rsidR="009123AC" w:rsidRPr="00F0379B" w:rsidRDefault="009123AC" w:rsidP="009123AC">
      <w:pPr>
        <w:spacing w:after="0" w:line="240" w:lineRule="auto"/>
        <w:jc w:val="both"/>
        <w:rPr>
          <w:rFonts w:ascii="Cambria" w:eastAsia="Times New Roman" w:hAnsi="Cambria" w:cs="Times New Roman"/>
          <w:color w:val="000000"/>
          <w:sz w:val="20"/>
          <w:szCs w:val="20"/>
          <w:lang w:eastAsia="en-GB" w:bidi="fr-FR"/>
        </w:rPr>
      </w:pPr>
    </w:p>
    <w:p w14:paraId="50BE3968" w14:textId="77777777" w:rsidR="009123AC" w:rsidRPr="00F0379B" w:rsidRDefault="009123AC" w:rsidP="009123AC">
      <w:pPr>
        <w:spacing w:after="0" w:line="240" w:lineRule="auto"/>
        <w:jc w:val="both"/>
        <w:rPr>
          <w:rFonts w:ascii="Cambria" w:eastAsia="Times New Roman" w:hAnsi="Cambria" w:cs="Times New Roman"/>
          <w:color w:val="000000"/>
          <w:sz w:val="20"/>
          <w:szCs w:val="20"/>
          <w:lang w:eastAsia="en-GB"/>
        </w:rPr>
      </w:pPr>
      <w:r w:rsidRPr="00F0379B">
        <w:rPr>
          <w:rFonts w:ascii="Cambria" w:eastAsia="Times New Roman" w:hAnsi="Cambria" w:cs="Times New Roman"/>
          <w:color w:val="000000"/>
          <w:sz w:val="20"/>
          <w:szCs w:val="24"/>
          <w:lang w:eastAsia="en-GB"/>
        </w:rPr>
        <w:t>Estas cifras se utilizan para calcular la cantidad media de mortalidad de atún rojo que se podría esperar que generara cada permiso. </w:t>
      </w:r>
      <w:bookmarkEnd w:id="27"/>
      <w:r w:rsidRPr="00F0379B">
        <w:rPr>
          <w:rFonts w:ascii="Cambria" w:eastAsia="Times New Roman" w:hAnsi="Cambria" w:cs="Times New Roman"/>
          <w:color w:val="000000"/>
          <w:sz w:val="20"/>
          <w:szCs w:val="24"/>
          <w:lang w:eastAsia="en-GB"/>
        </w:rPr>
        <w:t xml:space="preserve"> </w:t>
      </w:r>
    </w:p>
    <w:p w14:paraId="2CAD2E10" w14:textId="77777777" w:rsidR="009123AC" w:rsidRPr="00F0379B" w:rsidRDefault="009123AC" w:rsidP="009123AC">
      <w:pPr>
        <w:spacing w:after="0" w:line="240" w:lineRule="auto"/>
        <w:jc w:val="both"/>
        <w:textAlignment w:val="baseline"/>
        <w:rPr>
          <w:rFonts w:ascii="Cambria" w:eastAsia="Times New Roman" w:hAnsi="Cambria" w:cs="Times New Roman"/>
          <w:color w:val="000000"/>
          <w:sz w:val="20"/>
          <w:szCs w:val="20"/>
          <w:lang w:eastAsia="en-GB"/>
        </w:rPr>
      </w:pPr>
    </w:p>
    <w:p w14:paraId="0ACCE924" w14:textId="77777777" w:rsidR="009123AC" w:rsidRPr="00F0379B" w:rsidRDefault="009123AC" w:rsidP="009123AC">
      <w:pPr>
        <w:spacing w:after="0" w:line="240" w:lineRule="auto"/>
        <w:textAlignment w:val="baseline"/>
        <w:rPr>
          <w:rFonts w:ascii="Cambria" w:eastAsia="Times New Roman" w:hAnsi="Cambria" w:cs="Segoe UI"/>
          <w:i/>
          <w:color w:val="000000"/>
          <w:sz w:val="20"/>
          <w:szCs w:val="20"/>
          <w:lang w:eastAsia="en-GB"/>
        </w:rPr>
      </w:pPr>
      <w:r w:rsidRPr="00F0379B">
        <w:rPr>
          <w:rFonts w:ascii="Cambria" w:eastAsia="Times New Roman" w:hAnsi="Cambria" w:cs="Times New Roman"/>
          <w:i/>
          <w:color w:val="000000"/>
          <w:sz w:val="20"/>
          <w:szCs w:val="24"/>
          <w:lang w:eastAsia="en-GB"/>
        </w:rPr>
        <w:t>Programa de marcado electrónico </w:t>
      </w:r>
    </w:p>
    <w:p w14:paraId="7218CEEF" w14:textId="77777777" w:rsidR="009123AC" w:rsidRPr="00F0379B" w:rsidRDefault="009123AC" w:rsidP="009123AC">
      <w:pPr>
        <w:spacing w:after="0" w:line="240" w:lineRule="auto"/>
        <w:textAlignment w:val="baseline"/>
        <w:rPr>
          <w:rFonts w:ascii="Times New Roman" w:eastAsia="Times New Roman" w:hAnsi="Times New Roman" w:cs="Times New Roman"/>
          <w:color w:val="000000"/>
          <w:sz w:val="24"/>
          <w:szCs w:val="24"/>
          <w:lang w:eastAsia="en-GB"/>
        </w:rPr>
      </w:pPr>
    </w:p>
    <w:p w14:paraId="3CC7A441" w14:textId="77777777" w:rsidR="009123AC" w:rsidRPr="00F0379B" w:rsidRDefault="009123AC" w:rsidP="009123AC">
      <w:pPr>
        <w:widowControl w:val="0"/>
        <w:spacing w:after="0" w:line="240" w:lineRule="auto"/>
        <w:jc w:val="both"/>
        <w:textAlignment w:val="baseline"/>
        <w:rPr>
          <w:rFonts w:ascii="Cambria" w:eastAsia="Cambria" w:hAnsi="Cambria" w:cs="Cambria"/>
          <w:color w:val="000000"/>
          <w:sz w:val="20"/>
          <w:szCs w:val="20"/>
          <w:lang w:eastAsia="fr-FR" w:bidi="fr-FR"/>
        </w:rPr>
      </w:pPr>
      <w:r w:rsidRPr="00F0379B">
        <w:rPr>
          <w:rFonts w:ascii="Cambria" w:eastAsia="MS Gothic" w:hAnsi="Cambria" w:cs="Times New Roman"/>
          <w:color w:val="000000"/>
          <w:sz w:val="20"/>
          <w:szCs w:val="24"/>
          <w:lang w:eastAsia="fr-FR" w:bidi="fr-FR"/>
        </w:rPr>
        <w:t xml:space="preserve">En función de la financiación, el Reino Unido podrá continuar sus programas de marcado electrónico en apoyo del GBYP (Programa de investigación sobre atún rojo para todo el Atlántico), y las muertes que se puedan producir serán cubiertas por la Tolerancia de mortalidad para la investigación en lugar de por la cuota nacional.    </w:t>
      </w:r>
    </w:p>
    <w:p w14:paraId="51F52E26" w14:textId="77777777" w:rsidR="009123AC" w:rsidRPr="00F0379B" w:rsidRDefault="009123AC" w:rsidP="009123AC">
      <w:pPr>
        <w:widowControl w:val="0"/>
        <w:spacing w:after="0" w:line="240" w:lineRule="auto"/>
        <w:jc w:val="both"/>
        <w:rPr>
          <w:rFonts w:ascii="Cambria" w:eastAsia="Cambria" w:hAnsi="Cambria" w:cs="Cambria"/>
          <w:color w:val="000000"/>
          <w:sz w:val="20"/>
          <w:szCs w:val="20"/>
          <w:lang w:eastAsia="fr-FR" w:bidi="fr-FR"/>
        </w:rPr>
      </w:pPr>
    </w:p>
    <w:p w14:paraId="45F84E28"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 xml:space="preserve">La ciencia pesquera es un asunto descentralizado en el Reino Unido, y si alguna administración pesquera del Reino Unido expresa su intención de llevar a cabo un estudio científico que sea sustancialmente diferente de los descritos anteriormente, el Reino Unido lo notificará si es necesario a ICCAT mediante la modificación de su plan de pesca. </w:t>
      </w:r>
    </w:p>
    <w:p w14:paraId="61DB3304"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4"/>
          <w:lang w:eastAsia="fr-FR" w:bidi="fr-FR"/>
        </w:rPr>
      </w:pPr>
    </w:p>
    <w:p w14:paraId="3140FC2B" w14:textId="77777777" w:rsidR="009123AC" w:rsidRPr="00F0379B" w:rsidRDefault="009123AC" w:rsidP="009123AC">
      <w:pPr>
        <w:widowControl w:val="0"/>
        <w:spacing w:after="0" w:line="240" w:lineRule="auto"/>
        <w:jc w:val="both"/>
        <w:rPr>
          <w:rFonts w:ascii="Cambria" w:eastAsia="MS Gothic" w:hAnsi="Cambria" w:cs="Times New Roman"/>
          <w:b/>
          <w:i/>
          <w:color w:val="000000"/>
          <w:sz w:val="20"/>
          <w:szCs w:val="20"/>
          <w:lang w:eastAsia="fr-FR" w:bidi="fr-FR"/>
        </w:rPr>
      </w:pPr>
      <w:r w:rsidRPr="00F0379B">
        <w:rPr>
          <w:rFonts w:ascii="Cambria" w:eastAsia="MS Gothic" w:hAnsi="Cambria" w:cs="Times New Roman"/>
          <w:b/>
          <w:i/>
          <w:color w:val="000000"/>
          <w:sz w:val="20"/>
          <w:szCs w:val="24"/>
          <w:lang w:eastAsia="fr-FR" w:bidi="fr-FR"/>
        </w:rPr>
        <w:t>1 b) Traspaso (párr. 6)</w:t>
      </w:r>
    </w:p>
    <w:p w14:paraId="2516BDB0"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7477C806"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 xml:space="preserve">De acuerdo con el párrafo 4 de la Recomendación 25-04 de ICCAT, la cuota del Reino Unido para 2026 es de 230,56 t. En 2025, el Reino Unido tuvo un pequeño remanente de captura de atún rojo del este en la que nos quedaban 22,35 t de nuestra cuota inicial. De acuerdo con el párrafo 6 de la Rec. 25-04, el Reino Unido quiere traspasar 12,6 t (20 % de nuestra cuota inicial) de 2025 a 2026. La cuota ajustada para el Reino Unido en 2025 sería, por tanto, de 243,16 t. </w:t>
      </w:r>
    </w:p>
    <w:p w14:paraId="32418C23"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17A9DB3B" w14:textId="77777777" w:rsidR="009123AC" w:rsidRPr="00F0379B" w:rsidRDefault="009123AC" w:rsidP="009123AC">
      <w:pPr>
        <w:widowControl w:val="0"/>
        <w:spacing w:after="0" w:line="240" w:lineRule="auto"/>
        <w:jc w:val="both"/>
        <w:rPr>
          <w:rFonts w:ascii="Cambria" w:eastAsia="MS Gothic" w:hAnsi="Cambria" w:cs="Times New Roman"/>
          <w:b/>
          <w:i/>
          <w:color w:val="000000"/>
          <w:sz w:val="20"/>
          <w:szCs w:val="20"/>
          <w:lang w:eastAsia="fr-FR" w:bidi="fr-FR"/>
        </w:rPr>
      </w:pPr>
      <w:r w:rsidRPr="00F0379B">
        <w:rPr>
          <w:rFonts w:ascii="Cambria" w:eastAsia="MS Gothic" w:hAnsi="Cambria" w:cs="Times New Roman"/>
          <w:b/>
          <w:i/>
          <w:color w:val="000000"/>
          <w:sz w:val="20"/>
          <w:szCs w:val="24"/>
          <w:lang w:eastAsia="fr-FR" w:bidi="fr-FR"/>
        </w:rPr>
        <w:t>1 c) Destino de la captura</w:t>
      </w:r>
    </w:p>
    <w:p w14:paraId="6A4C28F8"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06CC9753"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 xml:space="preserve">Todas las capturas comerciales de atún rojo del este del Reino Unido que superen la talla mínima de referencia a efectos de conservación se desembarcarán. El Reino Unido no tiene ninguna actividad de cría de atún rojo. </w:t>
      </w:r>
    </w:p>
    <w:p w14:paraId="71D60DD6"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3BDDBDE8" w14:textId="77777777" w:rsidR="009123AC" w:rsidRPr="00F0379B" w:rsidRDefault="009123AC" w:rsidP="009123AC">
      <w:pPr>
        <w:widowControl w:val="0"/>
        <w:spacing w:after="0" w:line="240" w:lineRule="auto"/>
        <w:jc w:val="both"/>
        <w:rPr>
          <w:rFonts w:ascii="Cambria" w:eastAsia="MS Gothic" w:hAnsi="Cambria" w:cs="Times New Roman"/>
          <w:i/>
          <w:color w:val="000000"/>
          <w:sz w:val="20"/>
          <w:szCs w:val="20"/>
          <w:lang w:eastAsia="fr-FR" w:bidi="fr-FR"/>
        </w:rPr>
      </w:pPr>
      <w:r w:rsidRPr="00F0379B">
        <w:rPr>
          <w:rFonts w:ascii="Cambria" w:eastAsia="MS Gothic" w:hAnsi="Cambria" w:cs="Times New Roman"/>
          <w:b/>
          <w:i/>
          <w:color w:val="000000"/>
          <w:sz w:val="20"/>
          <w:szCs w:val="24"/>
          <w:lang w:eastAsia="fr-FR" w:bidi="fr-FR"/>
        </w:rPr>
        <w:t>1 d)</w:t>
      </w:r>
    </w:p>
    <w:p w14:paraId="44CB4E2A" w14:textId="77777777" w:rsidR="009123AC" w:rsidRPr="00F0379B" w:rsidRDefault="009123AC" w:rsidP="009123AC">
      <w:pPr>
        <w:widowControl w:val="0"/>
        <w:spacing w:after="0" w:line="240" w:lineRule="auto"/>
        <w:jc w:val="both"/>
        <w:rPr>
          <w:rFonts w:ascii="Cambria" w:eastAsia="MS Gothic" w:hAnsi="Cambria" w:cs="Times New Roman"/>
          <w:i/>
          <w:color w:val="000000"/>
          <w:sz w:val="20"/>
          <w:szCs w:val="20"/>
          <w:lang w:eastAsia="fr-FR" w:bidi="fr-FR"/>
        </w:rPr>
      </w:pPr>
    </w:p>
    <w:tbl>
      <w:tblPr>
        <w:tblStyle w:val="TableGrid"/>
        <w:tblW w:w="9060" w:type="dxa"/>
        <w:tblLook w:val="04A0" w:firstRow="1" w:lastRow="0" w:firstColumn="1" w:lastColumn="0" w:noHBand="0" w:noVBand="1"/>
      </w:tblPr>
      <w:tblGrid>
        <w:gridCol w:w="465"/>
        <w:gridCol w:w="2082"/>
        <w:gridCol w:w="2454"/>
        <w:gridCol w:w="1952"/>
        <w:gridCol w:w="2107"/>
      </w:tblGrid>
      <w:tr w:rsidR="009123AC" w:rsidRPr="00F0379B" w14:paraId="22C807EB" w14:textId="77777777" w:rsidTr="00CA749B">
        <w:trPr>
          <w:tblHeader/>
        </w:trPr>
        <w:tc>
          <w:tcPr>
            <w:tcW w:w="465" w:type="dxa"/>
          </w:tcPr>
          <w:p w14:paraId="468275C7"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082" w:type="dxa"/>
            <w:vAlign w:val="center"/>
          </w:tcPr>
          <w:p w14:paraId="15ED28F0" w14:textId="77777777" w:rsidR="009123AC" w:rsidRPr="00F0379B" w:rsidRDefault="009123AC" w:rsidP="009123AC">
            <w:pPr>
              <w:widowControl w:val="0"/>
              <w:spacing w:line="240" w:lineRule="auto"/>
              <w:jc w:val="center"/>
              <w:rPr>
                <w:rFonts w:ascii="Cambria" w:eastAsiaTheme="minorEastAsia" w:hAnsi="Cambria"/>
                <w:i/>
                <w:kern w:val="2"/>
                <w:sz w:val="20"/>
                <w:lang w:eastAsia="ja-JP"/>
                <w14:ligatures w14:val="standardContextual"/>
              </w:rPr>
            </w:pPr>
            <w:r w:rsidRPr="00F0379B">
              <w:rPr>
                <w:rFonts w:ascii="Cambria" w:eastAsiaTheme="minorEastAsia" w:hAnsi="Cambria"/>
                <w:i/>
                <w:kern w:val="2"/>
                <w:sz w:val="20"/>
                <w:lang w:eastAsia="ja-JP"/>
                <w14:ligatures w14:val="standardContextual"/>
              </w:rPr>
              <w:t>Requisito ICCAT</w:t>
            </w:r>
          </w:p>
          <w:p w14:paraId="46484A44"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 xml:space="preserve">(según </w:t>
            </w:r>
            <w:hyperlink r:id="rId234" w:history="1">
              <w:r w:rsidRPr="00F0379B">
                <w:rPr>
                  <w:rFonts w:ascii="Cambria" w:eastAsiaTheme="minorEastAsia" w:hAnsi="Cambria"/>
                  <w:i/>
                  <w:color w:val="0563C1"/>
                  <w:kern w:val="2"/>
                  <w:sz w:val="20"/>
                  <w:lang w:eastAsia="ja-JP"/>
                  <w14:ligatures w14:val="standardContextual"/>
                </w:rPr>
                <w:t>Rec. 25-04</w:t>
              </w:r>
            </w:hyperlink>
            <w:r w:rsidRPr="00F0379B">
              <w:rPr>
                <w:rFonts w:ascii="Cambria" w:eastAsiaTheme="minorEastAsia" w:hAnsi="Cambria"/>
                <w:i/>
                <w:kern w:val="2"/>
                <w:sz w:val="20"/>
                <w:lang w:eastAsia="ja-JP"/>
                <w14:ligatures w14:val="standardContextual"/>
              </w:rPr>
              <w:t>)</w:t>
            </w:r>
          </w:p>
        </w:tc>
        <w:tc>
          <w:tcPr>
            <w:tcW w:w="2454" w:type="dxa"/>
            <w:vAlign w:val="center"/>
          </w:tcPr>
          <w:p w14:paraId="5E55ECB1"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Explicación de las acciones emprendidas por la CPC con fines de implementación</w:t>
            </w:r>
          </w:p>
        </w:tc>
        <w:tc>
          <w:tcPr>
            <w:tcW w:w="1952" w:type="dxa"/>
            <w:vAlign w:val="center"/>
          </w:tcPr>
          <w:p w14:paraId="216621E9" w14:textId="77777777" w:rsidR="009123AC" w:rsidRPr="00F0379B" w:rsidRDefault="009123AC" w:rsidP="009123AC">
            <w:pPr>
              <w:widowControl w:val="0"/>
              <w:spacing w:line="240" w:lineRule="auto"/>
              <w:jc w:val="center"/>
              <w:rPr>
                <w:rFonts w:ascii="Cambria" w:eastAsiaTheme="minorEastAsia" w:hAnsi="Cambria"/>
                <w:i/>
                <w:kern w:val="2"/>
                <w:sz w:val="20"/>
                <w:lang w:eastAsia="ja-JP"/>
                <w14:ligatures w14:val="standardContextual"/>
              </w:rPr>
            </w:pPr>
            <w:r w:rsidRPr="00F0379B">
              <w:rPr>
                <w:rFonts w:ascii="Cambria" w:eastAsiaTheme="minorEastAsia" w:hAnsi="Cambria"/>
                <w:i/>
                <w:kern w:val="2"/>
                <w:sz w:val="20"/>
                <w:lang w:eastAsia="ja-JP"/>
                <w14:ligatures w14:val="standardContextual"/>
              </w:rPr>
              <w:t>Leyes o reglamentos internos pertinentes</w:t>
            </w:r>
          </w:p>
          <w:p w14:paraId="662FB8CA"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(si procede)</w:t>
            </w:r>
          </w:p>
        </w:tc>
        <w:tc>
          <w:tcPr>
            <w:tcW w:w="2107" w:type="dxa"/>
            <w:vAlign w:val="center"/>
          </w:tcPr>
          <w:p w14:paraId="4FD112B8"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Nota</w:t>
            </w:r>
          </w:p>
        </w:tc>
      </w:tr>
      <w:tr w:rsidR="009123AC" w:rsidRPr="00F0379B" w14:paraId="18DAC2F9" w14:textId="77777777" w:rsidTr="00CA749B">
        <w:tc>
          <w:tcPr>
            <w:tcW w:w="465" w:type="dxa"/>
          </w:tcPr>
          <w:p w14:paraId="6EE48B80"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1</w:t>
            </w:r>
          </w:p>
        </w:tc>
        <w:tc>
          <w:tcPr>
            <w:tcW w:w="2082" w:type="dxa"/>
          </w:tcPr>
          <w:p w14:paraId="50C89221"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Consignación y comunicación de la captura </w:t>
            </w:r>
          </w:p>
          <w:p w14:paraId="399AD3BB"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74-88)</w:t>
            </w:r>
          </w:p>
        </w:tc>
        <w:tc>
          <w:tcPr>
            <w:tcW w:w="2454" w:type="dxa"/>
          </w:tcPr>
          <w:p w14:paraId="03B97B50" w14:textId="77777777" w:rsidR="009123AC" w:rsidRPr="00F0379B" w:rsidRDefault="009123AC" w:rsidP="009123AC">
            <w:pPr>
              <w:spacing w:line="240" w:lineRule="auto"/>
              <w:jc w:val="both"/>
              <w:textAlignment w:val="baseline"/>
              <w:rPr>
                <w:rFonts w:ascii="Cambria" w:eastAsia="Times New Roman" w:hAnsi="Cambria" w:cs="Segoe UI"/>
                <w:i/>
                <w:kern w:val="2"/>
                <w:sz w:val="20"/>
                <w:szCs w:val="20"/>
                <w:lang w:eastAsia="en-GB"/>
                <w14:ligatures w14:val="standardContextual"/>
              </w:rPr>
            </w:pPr>
            <w:r w:rsidRPr="00F0379B">
              <w:rPr>
                <w:rFonts w:ascii="Cambria" w:eastAsia="Times New Roman" w:hAnsi="Cambria"/>
                <w:i/>
                <w:kern w:val="2"/>
                <w:sz w:val="20"/>
                <w:lang w:eastAsia="en-GB"/>
                <w14:ligatures w14:val="standardContextual"/>
              </w:rPr>
              <w:t>Pesquería comercial y captura fortuita </w:t>
            </w:r>
          </w:p>
          <w:p w14:paraId="7DBC5F63" w14:textId="77777777" w:rsidR="009123AC" w:rsidRPr="00F0379B" w:rsidRDefault="009123AC" w:rsidP="009123AC">
            <w:pPr>
              <w:spacing w:line="240" w:lineRule="auto"/>
              <w:textAlignment w:val="baseline"/>
              <w:rPr>
                <w:rFonts w:ascii="Cambria" w:eastAsia="Times New Roman" w:hAnsi="Cambria" w:cs="Segoe UI"/>
                <w:kern w:val="2"/>
                <w:sz w:val="20"/>
                <w:szCs w:val="20"/>
                <w:lang w:eastAsia="en-GB"/>
                <w14:ligatures w14:val="standardContextual"/>
              </w:rPr>
            </w:pPr>
            <w:r w:rsidRPr="00F0379B">
              <w:rPr>
                <w:rFonts w:ascii="Cambria" w:eastAsia="Times New Roman" w:hAnsi="Cambria"/>
                <w:kern w:val="2"/>
                <w:sz w:val="20"/>
                <w:lang w:eastAsia="en-GB"/>
                <w14:ligatures w14:val="standardContextual"/>
              </w:rPr>
              <w:t xml:space="preserve">Todos los buques comerciales autorizados a dirigir la pesca al atún rojo del este deberán llevar un registro de todas sus capturas en un cuaderno de pesca. Estos cuadernos de pesca cumplirán los requisitos establecidos en el Anexo 2 de la Recomendación 25-04. </w:t>
            </w:r>
          </w:p>
          <w:p w14:paraId="3EA44310" w14:textId="77777777" w:rsidR="009123AC" w:rsidRPr="00F0379B" w:rsidRDefault="009123AC" w:rsidP="009123AC">
            <w:pPr>
              <w:spacing w:line="240" w:lineRule="auto"/>
              <w:jc w:val="both"/>
              <w:textAlignment w:val="baseline"/>
              <w:rPr>
                <w:rFonts w:eastAsia="Times New Roman" w:cs="Segoe UI"/>
                <w:kern w:val="2"/>
                <w:lang w:eastAsia="en-GB"/>
                <w14:ligatures w14:val="standardContextual"/>
              </w:rPr>
            </w:pPr>
          </w:p>
          <w:p w14:paraId="3EAD9E72" w14:textId="77777777" w:rsidR="009123AC" w:rsidRPr="00F0379B" w:rsidRDefault="009123AC" w:rsidP="009123AC">
            <w:pPr>
              <w:spacing w:line="240" w:lineRule="auto"/>
              <w:textAlignment w:val="baseline"/>
              <w:rPr>
                <w:rFonts w:eastAsia="Cambria"/>
                <w:kern w:val="2"/>
                <w:lang w:eastAsia="en-GB"/>
                <w14:ligatures w14:val="standardContextual"/>
              </w:rPr>
            </w:pPr>
            <w:r w:rsidRPr="00F0379B">
              <w:rPr>
                <w:rFonts w:ascii="Cambria" w:eastAsia="Times New Roman" w:hAnsi="Cambria"/>
                <w:kern w:val="2"/>
                <w:sz w:val="20"/>
                <w:lang w:eastAsia="en-GB"/>
                <w14:ligatures w14:val="standardContextual"/>
              </w:rPr>
              <w:t xml:space="preserve">A cualquier buque con capturas de atún rojo del este se le requerirá que alerte a las autoridades pertinentes cuatro horas antes de la llegada a puerto o, si esto es imposible por razones prácticas, lo antes posible. </w:t>
            </w:r>
          </w:p>
          <w:p w14:paraId="25A448E4" w14:textId="77777777" w:rsidR="009123AC" w:rsidRPr="00F0379B" w:rsidRDefault="009123AC" w:rsidP="009123AC">
            <w:pPr>
              <w:spacing w:line="240" w:lineRule="auto"/>
              <w:jc w:val="both"/>
              <w:textAlignment w:val="baseline"/>
              <w:rPr>
                <w:rFonts w:eastAsia="Times New Roman" w:cs="Segoe UI"/>
                <w:kern w:val="2"/>
                <w:lang w:eastAsia="en-GB"/>
                <w14:ligatures w14:val="standardContextual"/>
              </w:rPr>
            </w:pPr>
            <w:r w:rsidRPr="00F0379B">
              <w:rPr>
                <w:rFonts w:ascii="Cambria" w:eastAsia="Times New Roman" w:hAnsi="Cambria"/>
                <w:kern w:val="2"/>
                <w:sz w:val="20"/>
                <w:lang w:eastAsia="en-GB"/>
                <w14:ligatures w14:val="standardContextual"/>
              </w:rPr>
              <w:t>  </w:t>
            </w:r>
          </w:p>
          <w:p w14:paraId="2A8D25A0" w14:textId="77777777" w:rsidR="009123AC" w:rsidRPr="00F0379B" w:rsidRDefault="009123AC" w:rsidP="009123AC">
            <w:pPr>
              <w:spacing w:line="240" w:lineRule="auto"/>
              <w:rPr>
                <w:rFonts w:eastAsia="Times New Roman"/>
                <w:kern w:val="2"/>
                <w:lang w:eastAsia="en-GB"/>
                <w14:ligatures w14:val="standardContextual"/>
              </w:rPr>
            </w:pPr>
            <w:r w:rsidRPr="00F0379B">
              <w:rPr>
                <w:rFonts w:ascii="Cambria" w:eastAsia="Times New Roman" w:hAnsi="Cambria"/>
                <w:kern w:val="2"/>
                <w:sz w:val="20"/>
                <w:lang w:eastAsia="en-GB"/>
                <w14:ligatures w14:val="standardContextual"/>
              </w:rPr>
              <w:t xml:space="preserve">El Reino Unido presentará informes quincenales de capturas de atún rojo del este de conformidad con el párrafo 86 de la Recomendación 25-04. </w:t>
            </w:r>
          </w:p>
          <w:p w14:paraId="03E939F4" w14:textId="77777777" w:rsidR="009123AC" w:rsidRPr="00F0379B" w:rsidRDefault="009123AC" w:rsidP="009123AC">
            <w:pPr>
              <w:spacing w:line="240" w:lineRule="auto"/>
              <w:jc w:val="both"/>
              <w:rPr>
                <w:rFonts w:ascii="Cambria" w:eastAsia="Times New Roman" w:hAnsi="Cambria"/>
                <w:kern w:val="2"/>
                <w:sz w:val="16"/>
                <w:szCs w:val="16"/>
                <w:lang w:eastAsia="ja-JP"/>
                <w14:ligatures w14:val="standardContextual"/>
              </w:rPr>
            </w:pPr>
          </w:p>
          <w:p w14:paraId="2560FC6A" w14:textId="77777777" w:rsidR="009123AC" w:rsidRPr="00F0379B" w:rsidRDefault="009123AC" w:rsidP="009123AC">
            <w:pPr>
              <w:spacing w:line="240" w:lineRule="auto"/>
              <w:textAlignment w:val="baseline"/>
              <w:rPr>
                <w:rFonts w:ascii="Cambria" w:eastAsia="Times New Roman" w:hAnsi="Cambria" w:cs="Segoe UI"/>
                <w:i/>
                <w:iCs/>
                <w:kern w:val="2"/>
                <w:sz w:val="20"/>
                <w:szCs w:val="20"/>
                <w:lang w:eastAsia="en-GB"/>
                <w14:ligatures w14:val="standardContextual"/>
              </w:rPr>
            </w:pPr>
            <w:r w:rsidRPr="00F0379B">
              <w:rPr>
                <w:rFonts w:ascii="Cambria" w:eastAsia="Times New Roman" w:hAnsi="Cambria"/>
                <w:i/>
                <w:kern w:val="2"/>
                <w:sz w:val="20"/>
                <w:lang w:eastAsia="en-GB"/>
                <w14:ligatures w14:val="standardContextual"/>
              </w:rPr>
              <w:t>Programa de marcado de captura y liberación (CHART) y programas científicos </w:t>
            </w:r>
          </w:p>
          <w:p w14:paraId="14C03FE2" w14:textId="77777777" w:rsidR="009123AC" w:rsidRPr="00F0379B" w:rsidRDefault="009123AC" w:rsidP="009123AC">
            <w:pPr>
              <w:spacing w:line="240" w:lineRule="auto"/>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Los patrones que participen en los programas científicos tendrán que consignar datos de captura y pesca específicos por medios electrónicos o impresos en las 24 h posteriores a la captura. Los datos incluirán (entre otras cosas) la fecha, hora, ubicación del esfuerzo y la captura, el número de atunes rojos capturados y marcados y sus tallas junto con cualquier muerte incidental.   </w:t>
            </w:r>
          </w:p>
          <w:p w14:paraId="2E5F7E9E" w14:textId="77777777" w:rsidR="009123AC" w:rsidRPr="00F0379B" w:rsidRDefault="009123AC" w:rsidP="009123AC">
            <w:pPr>
              <w:spacing w:line="240" w:lineRule="auto"/>
              <w:jc w:val="both"/>
              <w:rPr>
                <w:rFonts w:eastAsia="Times New Roman" w:cs="Segoe UI"/>
                <w:kern w:val="2"/>
                <w:sz w:val="16"/>
                <w:szCs w:val="16"/>
                <w:lang w:eastAsia="en-GB"/>
                <w14:ligatures w14:val="standardContextual"/>
              </w:rPr>
            </w:pPr>
          </w:p>
          <w:p w14:paraId="2089521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Será requisito alertar sobre cualquier mortalidad incidental de atún rojo del este a las autoridades pertinentes cuatro horas antes de la llegada a puerto o lo antes posible para gestionar su recogida o retirada. Cualquier mortalidad incidental de atún rojo del este que se produzca se descontará de la cuota de atún rojo del este de 2026 del Reino Unido. </w:t>
            </w:r>
          </w:p>
        </w:tc>
        <w:tc>
          <w:tcPr>
            <w:tcW w:w="1952" w:type="dxa"/>
          </w:tcPr>
          <w:p w14:paraId="4F1FC66D"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hd w:val="clear" w:color="auto" w:fill="FFFFFF"/>
                <w:lang w:eastAsia="ja-JP"/>
                <w14:ligatures w14:val="standardContextual"/>
              </w:rPr>
              <w:t>Reglamentos mantenidos 1224/2009, 404/2011 y 2016/1627 </w:t>
            </w:r>
          </w:p>
        </w:tc>
        <w:tc>
          <w:tcPr>
            <w:tcW w:w="2107" w:type="dxa"/>
          </w:tcPr>
          <w:p w14:paraId="110C1DAA"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368CDDF9" w14:textId="77777777" w:rsidTr="00CA749B">
        <w:tc>
          <w:tcPr>
            <w:tcW w:w="465" w:type="dxa"/>
          </w:tcPr>
          <w:p w14:paraId="1B76977C"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2</w:t>
            </w:r>
          </w:p>
        </w:tc>
        <w:tc>
          <w:tcPr>
            <w:tcW w:w="2082" w:type="dxa"/>
          </w:tcPr>
          <w:p w14:paraId="2F9E3F66"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Temporadas de pesca abiertas </w:t>
            </w:r>
          </w:p>
          <w:p w14:paraId="64F2ED3E"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28-32)</w:t>
            </w:r>
          </w:p>
        </w:tc>
        <w:tc>
          <w:tcPr>
            <w:tcW w:w="2454" w:type="dxa"/>
          </w:tcPr>
          <w:p w14:paraId="56843E69" w14:textId="77777777" w:rsidR="009123AC" w:rsidRPr="00F0379B" w:rsidRDefault="009123AC" w:rsidP="009123AC">
            <w:pPr>
              <w:spacing w:line="240" w:lineRule="auto"/>
              <w:jc w:val="both"/>
              <w:textAlignment w:val="baseline"/>
              <w:rPr>
                <w:rFonts w:ascii="Cambria" w:eastAsia="Times New Roman" w:hAnsi="Cambria"/>
                <w:i/>
                <w:kern w:val="2"/>
                <w:sz w:val="20"/>
                <w:szCs w:val="20"/>
                <w:lang w:eastAsia="en-GB"/>
                <w14:ligatures w14:val="standardContextual"/>
              </w:rPr>
            </w:pPr>
            <w:r w:rsidRPr="00F0379B">
              <w:rPr>
                <w:rFonts w:ascii="Cambria" w:eastAsia="Times New Roman" w:hAnsi="Cambria"/>
                <w:i/>
                <w:kern w:val="2"/>
                <w:sz w:val="20"/>
                <w:lang w:eastAsia="en-GB"/>
                <w14:ligatures w14:val="standardContextual"/>
              </w:rPr>
              <w:t>Captura fortuita comercial </w:t>
            </w:r>
          </w:p>
          <w:p w14:paraId="2A5B28A6" w14:textId="77777777" w:rsidR="009123AC" w:rsidRPr="00F0379B" w:rsidRDefault="009123AC" w:rsidP="009123AC">
            <w:pPr>
              <w:spacing w:line="240" w:lineRule="auto"/>
              <w:jc w:val="both"/>
              <w:rPr>
                <w:rFonts w:eastAsia="Times New Roman" w:cs="Segoe UI"/>
                <w:kern w:val="2"/>
                <w:lang w:eastAsia="en-GB"/>
                <w14:ligatures w14:val="standardContextual"/>
              </w:rPr>
            </w:pPr>
            <w:r w:rsidRPr="00F0379B">
              <w:rPr>
                <w:rFonts w:ascii="Cambria" w:eastAsia="Times New Roman" w:hAnsi="Cambria"/>
                <w:kern w:val="2"/>
                <w:sz w:val="20"/>
                <w:lang w:eastAsia="en-GB"/>
                <w14:ligatures w14:val="standardContextual"/>
              </w:rPr>
              <w:t xml:space="preserve">La captura fortuita comercial se contabilizará dentro de la cuota de atún rojo del este de 2026 del Reino Unido. </w:t>
            </w:r>
          </w:p>
          <w:p w14:paraId="06332E5E" w14:textId="77777777" w:rsidR="009123AC" w:rsidRPr="00F0379B" w:rsidRDefault="009123AC" w:rsidP="009123AC">
            <w:pPr>
              <w:spacing w:line="240" w:lineRule="auto"/>
              <w:jc w:val="both"/>
              <w:textAlignment w:val="baseline"/>
              <w:rPr>
                <w:rFonts w:eastAsia="Times New Roman"/>
                <w:kern w:val="2"/>
                <w:lang w:eastAsia="en-GB"/>
                <w14:ligatures w14:val="standardContextual"/>
              </w:rPr>
            </w:pPr>
            <w:r w:rsidRPr="00F0379B">
              <w:rPr>
                <w:rFonts w:ascii="Cambria" w:eastAsia="Times New Roman" w:hAnsi="Cambria"/>
                <w:kern w:val="2"/>
                <w:sz w:val="20"/>
                <w:lang w:eastAsia="en-GB"/>
                <w14:ligatures w14:val="standardContextual"/>
              </w:rPr>
              <w:t> </w:t>
            </w:r>
          </w:p>
          <w:p w14:paraId="74867941" w14:textId="77777777" w:rsidR="009123AC" w:rsidRPr="00F0379B" w:rsidRDefault="009123AC" w:rsidP="009123AC">
            <w:pPr>
              <w:spacing w:line="240" w:lineRule="auto"/>
              <w:textAlignment w:val="baseline"/>
              <w:rPr>
                <w:rFonts w:ascii="Cambria" w:eastAsia="Times New Roman" w:hAnsi="Cambria"/>
                <w:i/>
                <w:kern w:val="2"/>
                <w:sz w:val="20"/>
                <w:szCs w:val="20"/>
                <w:lang w:eastAsia="en-GB"/>
                <w14:ligatures w14:val="standardContextual"/>
              </w:rPr>
            </w:pPr>
            <w:r w:rsidRPr="00F0379B">
              <w:rPr>
                <w:rFonts w:ascii="Cambria" w:eastAsia="Times New Roman" w:hAnsi="Cambria"/>
                <w:i/>
                <w:kern w:val="2"/>
                <w:sz w:val="20"/>
                <w:lang w:eastAsia="en-GB"/>
                <w14:ligatures w14:val="standardContextual"/>
              </w:rPr>
              <w:t>Programa de marcado de captura y liberación (CHART) y programas científicos</w:t>
            </w:r>
          </w:p>
          <w:p w14:paraId="65E699CA" w14:textId="77777777" w:rsidR="009123AC" w:rsidRPr="00F0379B" w:rsidRDefault="009123AC" w:rsidP="009123AC">
            <w:pPr>
              <w:spacing w:line="240" w:lineRule="auto"/>
              <w:textAlignment w:val="baseline"/>
              <w:rPr>
                <w:rFonts w:ascii="Cambria" w:eastAsia="Times New Roman" w:hAnsi="Cambria" w:cs="Segoe UI"/>
                <w:kern w:val="2"/>
                <w:sz w:val="20"/>
                <w:szCs w:val="20"/>
                <w:lang w:eastAsia="en-GB"/>
                <w14:ligatures w14:val="standardContextual"/>
              </w:rPr>
            </w:pPr>
            <w:r w:rsidRPr="00F0379B">
              <w:rPr>
                <w:rFonts w:ascii="Cambria" w:eastAsia="Times New Roman" w:hAnsi="Cambria"/>
                <w:kern w:val="2"/>
                <w:sz w:val="20"/>
                <w:lang w:eastAsia="en-GB"/>
                <w14:ligatures w14:val="standardContextual"/>
              </w:rPr>
              <w:t>Está previsto que el programa CHART esté abierto entre agosto y finales de diciembre de 2026. Todas las mortalidades de los programas científicos se descontarán de la cuota de atún rojo del este de 2026 del Reino Unido.</w:t>
            </w:r>
          </w:p>
          <w:p w14:paraId="5AA6B8DE"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490EF85C" w14:textId="77777777" w:rsidR="009123AC" w:rsidRPr="00F0379B" w:rsidRDefault="009123AC" w:rsidP="009123AC">
            <w:pPr>
              <w:widowControl w:val="0"/>
              <w:spacing w:line="240" w:lineRule="auto"/>
              <w:jc w:val="both"/>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 xml:space="preserve">Pesquería comercial </w:t>
            </w:r>
          </w:p>
          <w:p w14:paraId="5E5AC7D9"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La pesquería comercial con caña y carrete estará abierta entre el 13 de julio y el 31 de diciembre de 2026. Toda la actividad se desarrollará en aguas del Reino Unido. Una vez agotada la cuota, se cerrará esta pesquería.</w:t>
            </w:r>
          </w:p>
        </w:tc>
        <w:tc>
          <w:tcPr>
            <w:tcW w:w="1952" w:type="dxa"/>
          </w:tcPr>
          <w:p w14:paraId="5BB1B549"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107" w:type="dxa"/>
          </w:tcPr>
          <w:p w14:paraId="4B84891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1EE96047" w14:textId="77777777" w:rsidTr="00CA749B">
        <w:tc>
          <w:tcPr>
            <w:tcW w:w="465" w:type="dxa"/>
          </w:tcPr>
          <w:p w14:paraId="552C7B63"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3</w:t>
            </w:r>
          </w:p>
        </w:tc>
        <w:tc>
          <w:tcPr>
            <w:tcW w:w="2082" w:type="dxa"/>
          </w:tcPr>
          <w:p w14:paraId="26866E51"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Talla mínima</w:t>
            </w:r>
          </w:p>
          <w:p w14:paraId="0E42DBBE"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33-35)</w:t>
            </w:r>
          </w:p>
        </w:tc>
        <w:tc>
          <w:tcPr>
            <w:tcW w:w="2454" w:type="dxa"/>
          </w:tcPr>
          <w:p w14:paraId="35F4B1FC" w14:textId="77777777" w:rsidR="009123AC" w:rsidRPr="00F0379B" w:rsidRDefault="009123AC" w:rsidP="009123AC">
            <w:pPr>
              <w:spacing w:line="240" w:lineRule="auto"/>
              <w:jc w:val="both"/>
              <w:textAlignment w:val="baseline"/>
              <w:rPr>
                <w:rFonts w:ascii="Cambria" w:eastAsia="Times New Roman" w:hAnsi="Cambria"/>
                <w:i/>
                <w:kern w:val="2"/>
                <w:sz w:val="20"/>
                <w:szCs w:val="20"/>
                <w:lang w:eastAsia="en-GB"/>
                <w14:ligatures w14:val="standardContextual"/>
              </w:rPr>
            </w:pPr>
            <w:r w:rsidRPr="00F0379B">
              <w:rPr>
                <w:rFonts w:ascii="Cambria" w:eastAsia="Times New Roman" w:hAnsi="Cambria"/>
                <w:i/>
                <w:kern w:val="2"/>
                <w:sz w:val="20"/>
                <w:lang w:eastAsia="en-GB"/>
                <w14:ligatures w14:val="standardContextual"/>
              </w:rPr>
              <w:t>Pesquería comercial y captura fortuita </w:t>
            </w:r>
          </w:p>
          <w:p w14:paraId="075CDF9A" w14:textId="77777777" w:rsidR="009123AC" w:rsidRPr="00F0379B" w:rsidRDefault="009123AC" w:rsidP="009123AC">
            <w:pPr>
              <w:spacing w:line="240" w:lineRule="auto"/>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A los buques de pesca comercial del Reino Unido se les requerirá que liberen cualquier atún rojo del este capturado incidentalmente de talla inferior a la regulada (es decir, aquellos con un peso inferior a 30 kg o con una longitud a la horquilla inferior a 115 cm).  </w:t>
            </w:r>
          </w:p>
          <w:p w14:paraId="10FABC43" w14:textId="77777777" w:rsidR="009123AC" w:rsidRPr="00F0379B" w:rsidRDefault="009123AC" w:rsidP="009123AC">
            <w:pPr>
              <w:spacing w:line="240" w:lineRule="auto"/>
              <w:jc w:val="both"/>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 </w:t>
            </w:r>
          </w:p>
          <w:p w14:paraId="7E151B58" w14:textId="77777777" w:rsidR="009123AC" w:rsidRPr="00F0379B" w:rsidRDefault="009123AC" w:rsidP="009123AC">
            <w:pPr>
              <w:spacing w:line="240" w:lineRule="auto"/>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No se permitirá la retención ni comercialización de peces de talla inferior a la regulada. Todas las capturas retenidas de atún rojo del este y los descartes muertos se deducirán de la cuota de atún rojo del este de 2026 del Reino Unido y se comunicarán a ICCAT.  </w:t>
            </w:r>
          </w:p>
          <w:p w14:paraId="0AC70A57" w14:textId="77777777" w:rsidR="009123AC" w:rsidRPr="00F0379B" w:rsidRDefault="009123AC" w:rsidP="009123AC">
            <w:pPr>
              <w:spacing w:line="240" w:lineRule="auto"/>
              <w:jc w:val="both"/>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 </w:t>
            </w:r>
          </w:p>
          <w:p w14:paraId="10E45964" w14:textId="77777777" w:rsidR="009123AC" w:rsidRPr="00F0379B" w:rsidRDefault="009123AC" w:rsidP="009123AC">
            <w:pPr>
              <w:spacing w:line="240" w:lineRule="auto"/>
              <w:jc w:val="both"/>
              <w:textAlignment w:val="baseline"/>
              <w:rPr>
                <w:rFonts w:ascii="Cambria" w:eastAsia="Times New Roman" w:hAnsi="Cambria"/>
                <w:i/>
                <w:kern w:val="2"/>
                <w:sz w:val="20"/>
                <w:szCs w:val="20"/>
                <w:lang w:eastAsia="en-GB"/>
                <w14:ligatures w14:val="standardContextual"/>
              </w:rPr>
            </w:pPr>
            <w:r w:rsidRPr="00F0379B">
              <w:rPr>
                <w:rFonts w:ascii="Cambria" w:eastAsia="Times New Roman" w:hAnsi="Cambria"/>
                <w:i/>
                <w:kern w:val="2"/>
                <w:sz w:val="20"/>
                <w:lang w:eastAsia="en-GB"/>
                <w14:ligatures w14:val="standardContextual"/>
              </w:rPr>
              <w:t>Programa de marcado de captura y liberación (CHART) y programas científicos</w:t>
            </w:r>
          </w:p>
          <w:p w14:paraId="23460422" w14:textId="77777777" w:rsidR="009123AC" w:rsidRPr="00F0379B" w:rsidRDefault="009123AC" w:rsidP="009123AC">
            <w:pPr>
              <w:widowControl w:val="0"/>
              <w:spacing w:line="240" w:lineRule="auto"/>
              <w:rPr>
                <w:rFonts w:ascii="Cambria" w:eastAsiaTheme="minorEastAsia" w:hAnsi="Cambria" w:cs="Segoe UI"/>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Dado que ningún atún rojo del este va a ser desembarcado en el marco del programa CHART, no se han establecido tallas mínimas para el programa.  </w:t>
            </w:r>
          </w:p>
          <w:p w14:paraId="501945A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p w14:paraId="7492AF99"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Todos los programas de investigación previstos cumplirán los requisitos de talla mínima de la Rec. 24-05.</w:t>
            </w:r>
          </w:p>
        </w:tc>
        <w:tc>
          <w:tcPr>
            <w:tcW w:w="1952" w:type="dxa"/>
          </w:tcPr>
          <w:p w14:paraId="3A6771CD" w14:textId="77777777" w:rsidR="009123AC" w:rsidRPr="00F0379B" w:rsidRDefault="009123AC" w:rsidP="009123AC">
            <w:pPr>
              <w:spacing w:line="240" w:lineRule="auto"/>
              <w:jc w:val="both"/>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Reglamento retenido n.º 2016/1627 </w:t>
            </w:r>
          </w:p>
          <w:p w14:paraId="2D858AA2" w14:textId="77777777" w:rsidR="009123AC" w:rsidRPr="00F0379B" w:rsidRDefault="009123AC" w:rsidP="009123AC">
            <w:pPr>
              <w:spacing w:line="240" w:lineRule="auto"/>
              <w:jc w:val="both"/>
              <w:textAlignment w:val="baseline"/>
              <w:rPr>
                <w:rFonts w:ascii="Cambria" w:eastAsia="Times New Roman" w:hAnsi="Cambria" w:cs="Segoe UI"/>
                <w:kern w:val="2"/>
                <w:sz w:val="20"/>
                <w:szCs w:val="20"/>
                <w:lang w:eastAsia="en-GB"/>
                <w14:ligatures w14:val="standardContextual"/>
              </w:rPr>
            </w:pPr>
            <w:r w:rsidRPr="00F0379B">
              <w:rPr>
                <w:rFonts w:ascii="Cambria" w:eastAsia="Times New Roman" w:hAnsi="Cambria"/>
                <w:kern w:val="2"/>
                <w:sz w:val="20"/>
                <w:lang w:eastAsia="en-GB"/>
                <w14:ligatures w14:val="standardContextual"/>
              </w:rPr>
              <w:t>Reglamento de obligación de desembarque 2013/1380. Artículo 15. </w:t>
            </w:r>
          </w:p>
          <w:p w14:paraId="7724356D"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107" w:type="dxa"/>
          </w:tcPr>
          <w:p w14:paraId="432288DD"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5253512D" w14:textId="77777777" w:rsidTr="00CA749B">
        <w:tc>
          <w:tcPr>
            <w:tcW w:w="465" w:type="dxa"/>
          </w:tcPr>
          <w:p w14:paraId="7A1F3D09"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4</w:t>
            </w:r>
          </w:p>
        </w:tc>
        <w:tc>
          <w:tcPr>
            <w:tcW w:w="2082" w:type="dxa"/>
          </w:tcPr>
          <w:p w14:paraId="1B7579C8"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Capturas fortuitas </w:t>
            </w:r>
          </w:p>
          <w:p w14:paraId="04CDBCB6"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(párr. 37) </w:t>
            </w:r>
          </w:p>
        </w:tc>
        <w:tc>
          <w:tcPr>
            <w:tcW w:w="2454" w:type="dxa"/>
          </w:tcPr>
          <w:p w14:paraId="63CD376E" w14:textId="77777777" w:rsidR="009123AC" w:rsidRPr="00F0379B" w:rsidRDefault="009123AC" w:rsidP="009123AC">
            <w:pPr>
              <w:spacing w:line="240" w:lineRule="auto"/>
              <w:jc w:val="both"/>
              <w:textAlignment w:val="baseline"/>
              <w:rPr>
                <w:rFonts w:ascii="Cambria" w:eastAsia="Times New Roman" w:hAnsi="Cambria" w:cs="Segoe UI"/>
                <w:i/>
                <w:kern w:val="2"/>
                <w:sz w:val="20"/>
                <w:szCs w:val="20"/>
                <w:lang w:eastAsia="en-GB"/>
                <w14:ligatures w14:val="standardContextual"/>
              </w:rPr>
            </w:pPr>
            <w:r w:rsidRPr="00F0379B">
              <w:rPr>
                <w:rFonts w:ascii="Cambria" w:eastAsia="Times New Roman" w:hAnsi="Cambria"/>
                <w:i/>
                <w:kern w:val="2"/>
                <w:sz w:val="20"/>
                <w:lang w:eastAsia="en-GB"/>
                <w14:ligatures w14:val="standardContextual"/>
              </w:rPr>
              <w:t>Pesquerías comerciales de otras especies</w:t>
            </w:r>
            <w:r w:rsidRPr="00F0379B">
              <w:rPr>
                <w:rFonts w:ascii="Cambria" w:eastAsia="Times New Roman" w:hAnsi="Cambria"/>
                <w:b/>
                <w:i/>
                <w:kern w:val="2"/>
                <w:sz w:val="20"/>
                <w:lang w:eastAsia="en-GB"/>
                <w14:ligatures w14:val="standardContextual"/>
              </w:rPr>
              <w:t> </w:t>
            </w:r>
            <w:r w:rsidRPr="00F0379B">
              <w:rPr>
                <w:rFonts w:ascii="Cambria" w:eastAsia="Times New Roman" w:hAnsi="Cambria"/>
                <w:i/>
                <w:kern w:val="2"/>
                <w:sz w:val="20"/>
                <w:lang w:eastAsia="en-GB"/>
                <w14:ligatures w14:val="standardContextual"/>
              </w:rPr>
              <w:t> </w:t>
            </w:r>
          </w:p>
          <w:p w14:paraId="52D46255" w14:textId="77777777" w:rsidR="009123AC" w:rsidRPr="00F0379B" w:rsidRDefault="009123AC" w:rsidP="009123AC">
            <w:pPr>
              <w:spacing w:line="240" w:lineRule="auto"/>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Todos los desembarques de atún rojo del este del Reino Unido se deducirán de la cuota de atún rojo del este de 2026 del Reino Unido.  </w:t>
            </w:r>
          </w:p>
          <w:p w14:paraId="38CD3BE2" w14:textId="77777777" w:rsidR="009123AC" w:rsidRPr="00F0379B" w:rsidRDefault="009123AC" w:rsidP="009123AC">
            <w:pPr>
              <w:spacing w:line="240" w:lineRule="auto"/>
              <w:jc w:val="both"/>
              <w:textAlignment w:val="baseline"/>
              <w:rPr>
                <w:rFonts w:ascii="Cambria" w:eastAsia="Times New Roman" w:hAnsi="Cambria" w:cs="Segoe UI"/>
                <w:kern w:val="2"/>
                <w:lang w:eastAsia="en-GB"/>
                <w14:ligatures w14:val="standardContextual"/>
              </w:rPr>
            </w:pPr>
          </w:p>
          <w:p w14:paraId="347F213F" w14:textId="77777777" w:rsidR="009123AC" w:rsidRPr="00F0379B" w:rsidRDefault="009123AC" w:rsidP="009123AC">
            <w:pPr>
              <w:spacing w:line="240" w:lineRule="auto"/>
              <w:textAlignment w:val="baseline"/>
              <w:rPr>
                <w:rFonts w:ascii="Cambria" w:eastAsia="Times New Roman" w:hAnsi="Cambria"/>
                <w:kern w:val="2"/>
                <w:lang w:eastAsia="en-GB"/>
                <w14:ligatures w14:val="standardContextual"/>
              </w:rPr>
            </w:pPr>
            <w:r w:rsidRPr="00F0379B">
              <w:rPr>
                <w:rFonts w:ascii="Cambria" w:eastAsia="Times New Roman" w:hAnsi="Cambria"/>
                <w:kern w:val="2"/>
                <w:sz w:val="20"/>
                <w:lang w:eastAsia="en-GB"/>
                <w14:ligatures w14:val="standardContextual"/>
              </w:rPr>
              <w:t>10 t de la cuota del Reino Unido se reservarán para tener en cuenta cualquier captura fortuita de los buques de pesca comerciales que se dirigen a otras especies. Esto equivale al 4,34 % de la cuota inicial del Reino Unido. En 2025, se capturaron 3,31 t de atún rojo del este de forma fortuita en pesquerías del Reino Unido cuyo objetivo eran otras especies.  </w:t>
            </w:r>
          </w:p>
          <w:p w14:paraId="0C2B470E" w14:textId="77777777" w:rsidR="009123AC" w:rsidRPr="00F0379B" w:rsidRDefault="009123AC" w:rsidP="009123AC">
            <w:pPr>
              <w:spacing w:line="240" w:lineRule="auto"/>
              <w:jc w:val="both"/>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 </w:t>
            </w:r>
          </w:p>
          <w:p w14:paraId="73519D67" w14:textId="77777777" w:rsidR="009123AC" w:rsidRPr="00F0379B" w:rsidRDefault="009123AC" w:rsidP="009123AC">
            <w:pPr>
              <w:spacing w:line="240" w:lineRule="auto"/>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Los cálculos de la captura fortuita se basarán en la proporción de atún rojo del este en comparación con el peso vivo de todas las demás especies a bordo. </w:t>
            </w:r>
          </w:p>
          <w:p w14:paraId="1D1076E6" w14:textId="77777777" w:rsidR="009123AC" w:rsidRPr="00F0379B" w:rsidRDefault="009123AC" w:rsidP="009123AC">
            <w:pPr>
              <w:spacing w:line="240" w:lineRule="auto"/>
              <w:jc w:val="both"/>
              <w:textAlignment w:val="baseline"/>
              <w:rPr>
                <w:rFonts w:ascii="Cambria" w:eastAsia="Times New Roman" w:hAnsi="Cambria" w:cs="Segoe UI"/>
                <w:kern w:val="2"/>
                <w:sz w:val="20"/>
                <w:szCs w:val="20"/>
                <w:lang w:eastAsia="en-GB"/>
                <w14:ligatures w14:val="standardContextual"/>
              </w:rPr>
            </w:pPr>
            <w:r w:rsidRPr="00F0379B">
              <w:rPr>
                <w:rFonts w:ascii="Cambria" w:eastAsia="Times New Roman" w:hAnsi="Cambria"/>
                <w:kern w:val="2"/>
                <w:sz w:val="20"/>
                <w:lang w:eastAsia="en-GB"/>
                <w14:ligatures w14:val="standardContextual"/>
              </w:rPr>
              <w:t> </w:t>
            </w:r>
          </w:p>
          <w:p w14:paraId="1BAE2069" w14:textId="77777777" w:rsidR="009123AC" w:rsidRPr="00F0379B" w:rsidRDefault="009123AC" w:rsidP="009123AC">
            <w:pPr>
              <w:spacing w:line="240" w:lineRule="auto"/>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Cualquier atún rojo del este capturado de forma fortuita retenido para su comercialización estará sujeto a los requisitos del eBCD.  </w:t>
            </w:r>
          </w:p>
          <w:p w14:paraId="021E213C" w14:textId="77777777" w:rsidR="009123AC" w:rsidRPr="00F0379B" w:rsidRDefault="009123AC" w:rsidP="009123AC">
            <w:pPr>
              <w:spacing w:line="240" w:lineRule="auto"/>
              <w:jc w:val="both"/>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 </w:t>
            </w:r>
          </w:p>
          <w:p w14:paraId="58ED9A0A" w14:textId="77777777" w:rsidR="009123AC" w:rsidRPr="00F0379B" w:rsidRDefault="009123AC" w:rsidP="009123AC">
            <w:pPr>
              <w:spacing w:line="240" w:lineRule="auto"/>
              <w:textAlignment w:val="baseline"/>
              <w:rPr>
                <w:rFonts w:ascii="Cambria" w:eastAsia="Times New Roman" w:hAnsi="Cambria" w:cs="Segoe UI"/>
                <w:kern w:val="2"/>
                <w:lang w:eastAsia="en-GB"/>
                <w14:ligatures w14:val="standardContextual"/>
              </w:rPr>
            </w:pPr>
            <w:r w:rsidRPr="00F0379B">
              <w:rPr>
                <w:rFonts w:ascii="Cambria" w:eastAsia="Times New Roman" w:hAnsi="Cambria"/>
                <w:kern w:val="2"/>
                <w:sz w:val="20"/>
                <w:lang w:eastAsia="en-GB"/>
                <w14:ligatures w14:val="standardContextual"/>
              </w:rPr>
              <w:t>Sólo los buques de pesca comercial con licencia para pescar otras especies y que puedan interactuar con el atún rojo del este estarán autorizados a vender captura fortuita de atún rojo del este. La venta se limitará a un máximo de un atún rojo del este por marea.   </w:t>
            </w:r>
          </w:p>
          <w:p w14:paraId="2E3B6806" w14:textId="77777777" w:rsidR="009123AC" w:rsidRPr="00F0379B" w:rsidRDefault="009123AC" w:rsidP="009123AC">
            <w:pPr>
              <w:spacing w:line="240" w:lineRule="auto"/>
              <w:jc w:val="both"/>
              <w:textAlignment w:val="baseline"/>
              <w:rPr>
                <w:rFonts w:ascii="Cambria" w:eastAsia="Times New Roman" w:hAnsi="Cambria"/>
                <w:kern w:val="2"/>
                <w:lang w:eastAsia="en-GB"/>
                <w14:ligatures w14:val="standardContextual"/>
              </w:rPr>
            </w:pPr>
          </w:p>
          <w:p w14:paraId="3812785C" w14:textId="77777777" w:rsidR="009123AC" w:rsidRPr="00F0379B" w:rsidRDefault="009123AC" w:rsidP="009123AC">
            <w:pPr>
              <w:spacing w:line="240" w:lineRule="auto"/>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Si se captura más de un ejemplar, los peces adicionales se liberarán si están vivos. Si están muertos, el ejemplar se retendrá pero no estará permitida su venta. Todos los peces retenidos se descontarán de la cuota del Reino Unido. </w:t>
            </w:r>
          </w:p>
          <w:p w14:paraId="37A03485" w14:textId="77777777" w:rsidR="009123AC" w:rsidRPr="00F0379B" w:rsidRDefault="009123AC" w:rsidP="009123AC">
            <w:pPr>
              <w:spacing w:line="240" w:lineRule="auto"/>
              <w:jc w:val="both"/>
              <w:textAlignment w:val="baseline"/>
              <w:rPr>
                <w:rFonts w:ascii="Cambria" w:eastAsia="Times New Roman" w:hAnsi="Cambria"/>
                <w:kern w:val="2"/>
                <w:sz w:val="16"/>
                <w:szCs w:val="16"/>
                <w:lang w:eastAsia="en-GB"/>
                <w14:ligatures w14:val="standardContextual"/>
              </w:rPr>
            </w:pPr>
            <w:r w:rsidRPr="00F0379B">
              <w:rPr>
                <w:rFonts w:ascii="Cambria" w:eastAsia="Times New Roman" w:hAnsi="Cambria"/>
                <w:kern w:val="2"/>
                <w:sz w:val="20"/>
                <w:lang w:eastAsia="en-GB"/>
                <w14:ligatures w14:val="standardContextual"/>
              </w:rPr>
              <w:t> </w:t>
            </w:r>
          </w:p>
          <w:p w14:paraId="180B96A7" w14:textId="77777777" w:rsidR="009123AC" w:rsidRPr="00F0379B" w:rsidRDefault="009123AC" w:rsidP="009123AC">
            <w:pPr>
              <w:spacing w:line="240" w:lineRule="auto"/>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Si la cuota del Reino Unido se agota, se requerirá a los buques que sigan reteniendo el atún rojo del este muerto que supere la talla mínima de referencia a efectos de conservación. Estos peces no pueden venderse, pero pueden enviarse para muestreo.  </w:t>
            </w:r>
          </w:p>
          <w:p w14:paraId="0F9F5153" w14:textId="77777777" w:rsidR="009123AC" w:rsidRPr="00F0379B" w:rsidRDefault="009123AC" w:rsidP="009123AC">
            <w:pPr>
              <w:spacing w:line="240" w:lineRule="auto"/>
              <w:jc w:val="both"/>
              <w:textAlignment w:val="baseline"/>
              <w:rPr>
                <w:rFonts w:ascii="Cambria" w:eastAsia="Times New Roman" w:hAnsi="Cambria"/>
                <w:kern w:val="2"/>
                <w:sz w:val="16"/>
                <w:szCs w:val="16"/>
                <w:lang w:eastAsia="en-GB"/>
                <w14:ligatures w14:val="standardContextual"/>
              </w:rPr>
            </w:pPr>
            <w:r w:rsidRPr="00F0379B">
              <w:rPr>
                <w:rFonts w:ascii="Cambria" w:eastAsia="Times New Roman" w:hAnsi="Cambria"/>
                <w:kern w:val="2"/>
                <w:sz w:val="20"/>
                <w:lang w:eastAsia="en-GB"/>
                <w14:ligatures w14:val="standardContextual"/>
              </w:rPr>
              <w:t> </w:t>
            </w:r>
          </w:p>
          <w:p w14:paraId="6DFF89A8" w14:textId="77777777" w:rsidR="009123AC" w:rsidRPr="00F0379B" w:rsidRDefault="009123AC" w:rsidP="009123AC">
            <w:pPr>
              <w:spacing w:line="240" w:lineRule="auto"/>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Todos los datos de la captura se facilitarán a ICCAT.  </w:t>
            </w:r>
          </w:p>
          <w:p w14:paraId="7F50EE2F" w14:textId="77777777" w:rsidR="009123AC" w:rsidRPr="00F0379B" w:rsidRDefault="009123AC" w:rsidP="009123AC">
            <w:pPr>
              <w:spacing w:line="240" w:lineRule="auto"/>
              <w:jc w:val="both"/>
              <w:textAlignment w:val="baseline"/>
              <w:rPr>
                <w:rFonts w:ascii="Cambria" w:eastAsia="Times New Roman" w:hAnsi="Cambria" w:cs="Segoe UI"/>
                <w:kern w:val="2"/>
                <w:sz w:val="20"/>
                <w:szCs w:val="20"/>
                <w:lang w:eastAsia="en-GB"/>
                <w14:ligatures w14:val="standardContextual"/>
              </w:rPr>
            </w:pPr>
            <w:r w:rsidRPr="00F0379B">
              <w:rPr>
                <w:rFonts w:ascii="Cambria" w:eastAsia="Times New Roman" w:hAnsi="Cambria"/>
                <w:kern w:val="2"/>
                <w:sz w:val="20"/>
                <w:lang w:eastAsia="en-GB"/>
                <w14:ligatures w14:val="standardContextual"/>
              </w:rPr>
              <w:t> </w:t>
            </w:r>
          </w:p>
          <w:p w14:paraId="5ECE8087" w14:textId="77777777" w:rsidR="009123AC" w:rsidRPr="00F0379B" w:rsidRDefault="009123AC" w:rsidP="009123AC">
            <w:pPr>
              <w:spacing w:line="240" w:lineRule="auto"/>
              <w:textAlignment w:val="baseline"/>
              <w:rPr>
                <w:rFonts w:ascii="Cambria" w:eastAsia="Times New Roman" w:hAnsi="Cambria"/>
                <w:i/>
                <w:kern w:val="2"/>
                <w:sz w:val="20"/>
                <w:szCs w:val="20"/>
                <w:lang w:eastAsia="en-GB"/>
                <w14:ligatures w14:val="standardContextual"/>
              </w:rPr>
            </w:pPr>
            <w:r w:rsidRPr="00F0379B">
              <w:rPr>
                <w:rFonts w:ascii="Cambria" w:eastAsia="Times New Roman" w:hAnsi="Cambria"/>
                <w:i/>
                <w:kern w:val="2"/>
                <w:sz w:val="20"/>
                <w:szCs w:val="20"/>
                <w:lang w:eastAsia="en-GB"/>
                <w14:ligatures w14:val="standardContextual"/>
              </w:rPr>
              <w:t>Programa de marcado de captura y liberación (CHART) y programas científicos previstos</w:t>
            </w:r>
          </w:p>
          <w:p w14:paraId="332593D6"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zCs w:val="20"/>
                <w:lang w:eastAsia="ja-JP"/>
                <w14:ligatures w14:val="standardContextual"/>
              </w:rPr>
              <w:t>Se asignarán 5 t para cubrir la mortalidad incidental en los programas de investigación.</w:t>
            </w:r>
          </w:p>
        </w:tc>
        <w:tc>
          <w:tcPr>
            <w:tcW w:w="1952" w:type="dxa"/>
          </w:tcPr>
          <w:p w14:paraId="43A53596"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hd w:val="clear" w:color="auto" w:fill="FFFFFF"/>
                <w:lang w:eastAsia="ja-JP"/>
                <w14:ligatures w14:val="standardContextual"/>
              </w:rPr>
              <w:t>Ley de pesca 2020, párr. 23 </w:t>
            </w:r>
          </w:p>
        </w:tc>
        <w:tc>
          <w:tcPr>
            <w:tcW w:w="2107" w:type="dxa"/>
          </w:tcPr>
          <w:p w14:paraId="340581DA"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60A01890" w14:textId="77777777" w:rsidTr="00CA749B">
        <w:tc>
          <w:tcPr>
            <w:tcW w:w="465" w:type="dxa"/>
          </w:tcPr>
          <w:p w14:paraId="615E020A"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5</w:t>
            </w:r>
          </w:p>
        </w:tc>
        <w:tc>
          <w:tcPr>
            <w:tcW w:w="2082" w:type="dxa"/>
          </w:tcPr>
          <w:p w14:paraId="6E81198A"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Pesquerías deportivas y de recreo </w:t>
            </w:r>
          </w:p>
          <w:p w14:paraId="69BDB027"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38-46)</w:t>
            </w:r>
          </w:p>
        </w:tc>
        <w:tc>
          <w:tcPr>
            <w:tcW w:w="2454" w:type="dxa"/>
          </w:tcPr>
          <w:p w14:paraId="2D1BAD19" w14:textId="77777777" w:rsidR="009123AC" w:rsidRPr="00F0379B" w:rsidRDefault="009123AC" w:rsidP="009123AC">
            <w:pPr>
              <w:spacing w:line="240" w:lineRule="auto"/>
              <w:textAlignment w:val="baseline"/>
              <w:rPr>
                <w:rFonts w:ascii="Cambria" w:eastAsiaTheme="minorEastAsia" w:hAnsi="Cambria" w:cs="Segoe UI"/>
                <w:i/>
                <w:kern w:val="2"/>
                <w:sz w:val="20"/>
                <w:szCs w:val="20"/>
                <w:lang w:eastAsia="en-GB"/>
                <w14:ligatures w14:val="standardContextual"/>
              </w:rPr>
            </w:pPr>
            <w:r w:rsidRPr="00F0379B">
              <w:rPr>
                <w:rFonts w:ascii="Cambria" w:eastAsia="Times New Roman" w:hAnsi="Cambria"/>
                <w:i/>
                <w:kern w:val="2"/>
                <w:sz w:val="20"/>
                <w:lang w:eastAsia="en-GB"/>
                <w14:ligatures w14:val="standardContextual"/>
              </w:rPr>
              <w:t>Pesca deportiva y de recreo no relacionada con el marcado </w:t>
            </w:r>
          </w:p>
          <w:p w14:paraId="19CC6543" w14:textId="77777777" w:rsidR="009123AC" w:rsidRPr="00F0379B" w:rsidRDefault="009123AC" w:rsidP="009123AC">
            <w:pPr>
              <w:spacing w:line="240" w:lineRule="auto"/>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 xml:space="preserve">El Reino Unido ha establecido una legislación que permita a sus autoridades pesqueras expedir a los buques autorizaciones para la pesca de recreo de atún rojo del este. El Reino Unido prevé actualmente expedir un máximo de 230 autorizaciones en 2026. No obstante, mantendremos esta cuestión bajo revisión y se informará a ICCAT según corresponda. </w:t>
            </w:r>
          </w:p>
          <w:p w14:paraId="51557243" w14:textId="77777777" w:rsidR="009123AC" w:rsidRPr="00F0379B" w:rsidRDefault="009123AC" w:rsidP="009123AC">
            <w:pPr>
              <w:spacing w:line="240" w:lineRule="auto"/>
              <w:jc w:val="both"/>
              <w:textAlignment w:val="baseline"/>
              <w:rPr>
                <w:rFonts w:ascii="Cambria" w:eastAsia="Times New Roman" w:hAnsi="Cambria"/>
                <w:kern w:val="2"/>
                <w:sz w:val="16"/>
                <w:szCs w:val="16"/>
                <w:lang w:eastAsia="en-GB"/>
                <w14:ligatures w14:val="standardContextual"/>
              </w:rPr>
            </w:pPr>
          </w:p>
          <w:p w14:paraId="560D53A6" w14:textId="77777777" w:rsidR="009123AC" w:rsidRPr="00F0379B" w:rsidRDefault="009123AC" w:rsidP="009123AC">
            <w:pPr>
              <w:spacing w:line="240" w:lineRule="auto"/>
              <w:textAlignment w:val="baseline"/>
              <w:rPr>
                <w:rFonts w:ascii="Cambria" w:eastAsia="Times New Roman" w:hAnsi="Cambria" w:cs="Segoe UI"/>
                <w:i/>
                <w:kern w:val="2"/>
                <w:sz w:val="20"/>
                <w:szCs w:val="20"/>
                <w:lang w:eastAsia="en-GB"/>
                <w14:ligatures w14:val="standardContextual"/>
              </w:rPr>
            </w:pPr>
            <w:r w:rsidRPr="00F0379B">
              <w:rPr>
                <w:rFonts w:ascii="Cambria" w:eastAsia="Times New Roman" w:hAnsi="Cambria"/>
                <w:i/>
                <w:kern w:val="2"/>
                <w:sz w:val="20"/>
                <w:lang w:eastAsia="en-GB"/>
                <w14:ligatures w14:val="standardContextual"/>
              </w:rPr>
              <w:t>Programa de marcado de captura y liberación (CHART) y programas de investigación</w:t>
            </w:r>
          </w:p>
          <w:p w14:paraId="584EE2F1" w14:textId="77777777" w:rsidR="009123AC" w:rsidRPr="00F0379B" w:rsidRDefault="009123AC" w:rsidP="009123AC">
            <w:pPr>
              <w:spacing w:line="240" w:lineRule="auto"/>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Algunas administraciones pesqueras del Reino Unido llevarán a cabo un programa CHART dirigido al atún rojo del este en aguas del Reino Unido en 2026. Se llevará a cabo de conformidad con el párrafo 44 de la Recomendación 25-04. Estas actividades serán supervisadas por las autoridades competentes de las administraciones pesqueras del Reino Unido.</w:t>
            </w:r>
          </w:p>
          <w:p w14:paraId="65651702" w14:textId="77777777" w:rsidR="009123AC" w:rsidRPr="00F0379B" w:rsidRDefault="009123AC" w:rsidP="009123AC">
            <w:pPr>
              <w:spacing w:line="240" w:lineRule="auto"/>
              <w:jc w:val="both"/>
              <w:rPr>
                <w:rFonts w:eastAsia="Times New Roman" w:cs="Segoe UI"/>
                <w:kern w:val="2"/>
                <w:sz w:val="12"/>
                <w:szCs w:val="12"/>
                <w:lang w:eastAsia="en-GB"/>
                <w14:ligatures w14:val="standardContextual"/>
              </w:rPr>
            </w:pPr>
          </w:p>
          <w:p w14:paraId="7230914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Se autorizará a un máximo de 25 barcos participar en el programa CHART. Cualquier muerte incidental que se produzca como resultado de la actividad del programa CHART en 2026 se deducirá de la cuota de 5 t asignada a actividades científicas. Se deberán cumplir todas las obligaciones establecidas en el párrafo 44 de la Rec. 25-04 de ICCAT.</w:t>
            </w:r>
          </w:p>
          <w:p w14:paraId="4C430E30"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952" w:type="dxa"/>
          </w:tcPr>
          <w:p w14:paraId="438431C3" w14:textId="77777777" w:rsidR="009123AC" w:rsidRPr="00F0379B" w:rsidRDefault="009123AC" w:rsidP="009123AC">
            <w:pPr>
              <w:widowControl w:val="0"/>
              <w:spacing w:line="240" w:lineRule="auto"/>
              <w:rPr>
                <w:rFonts w:ascii="Cambria" w:eastAsia="Cambria" w:hAnsi="Cambria" w:cs="Cambria"/>
                <w:kern w:val="2"/>
                <w:sz w:val="20"/>
                <w:szCs w:val="20"/>
                <w:lang w:eastAsia="ja-JP"/>
                <w14:ligatures w14:val="standardContextual"/>
              </w:rPr>
            </w:pPr>
            <w:hyperlink r:id="rId235" w:history="1">
              <w:r w:rsidRPr="00F0379B">
                <w:rPr>
                  <w:rFonts w:ascii="Cambria" w:eastAsiaTheme="minorEastAsia" w:hAnsi="Cambria"/>
                  <w:kern w:val="2"/>
                  <w:sz w:val="20"/>
                  <w:lang w:eastAsia="ja-JP"/>
                  <w14:ligatures w14:val="standardContextual"/>
                </w:rPr>
                <w:t>Reglamento de Pesca Marítima (Comisión Internacional para la Conservación del Atún Atlántico) (Modificación) (N.º 2) de 2024</w:t>
              </w:r>
            </w:hyperlink>
          </w:p>
        </w:tc>
        <w:tc>
          <w:tcPr>
            <w:tcW w:w="2107" w:type="dxa"/>
          </w:tcPr>
          <w:p w14:paraId="4175D603"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751A164A" w14:textId="77777777" w:rsidTr="00CA749B">
        <w:tc>
          <w:tcPr>
            <w:tcW w:w="465" w:type="dxa"/>
          </w:tcPr>
          <w:p w14:paraId="78DB4698"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6</w:t>
            </w:r>
          </w:p>
        </w:tc>
        <w:tc>
          <w:tcPr>
            <w:tcW w:w="2082" w:type="dxa"/>
          </w:tcPr>
          <w:p w14:paraId="0F301FD8"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Transbordo</w:t>
            </w:r>
          </w:p>
          <w:p w14:paraId="4442673A"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(párrs. 89-94) </w:t>
            </w:r>
          </w:p>
        </w:tc>
        <w:tc>
          <w:tcPr>
            <w:tcW w:w="2454" w:type="dxa"/>
          </w:tcPr>
          <w:p w14:paraId="427EFA08"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hd w:val="clear" w:color="auto" w:fill="FFFFFF"/>
                <w:lang w:eastAsia="ja-JP"/>
                <w14:ligatures w14:val="standardContextual"/>
              </w:rPr>
              <w:t>Los buques del Reino Unido tienen prohibido transbordar en el mar. </w:t>
            </w:r>
          </w:p>
          <w:p w14:paraId="1C4AD635"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Además, el Reino Unido no permite el transbordo en puerto.</w:t>
            </w:r>
          </w:p>
        </w:tc>
        <w:tc>
          <w:tcPr>
            <w:tcW w:w="1952" w:type="dxa"/>
          </w:tcPr>
          <w:p w14:paraId="7E0865C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hd w:val="clear" w:color="auto" w:fill="FFFFFF"/>
                <w:lang w:eastAsia="ja-JP"/>
                <w14:ligatures w14:val="standardContextual"/>
              </w:rPr>
              <w:t>Artículo 20 del Reglamento retenido 1224/2009 (buques comerciales) </w:t>
            </w:r>
          </w:p>
        </w:tc>
        <w:tc>
          <w:tcPr>
            <w:tcW w:w="2107" w:type="dxa"/>
          </w:tcPr>
          <w:p w14:paraId="23364C4E"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1EC670F2" w14:textId="77777777" w:rsidTr="00CA749B">
        <w:tc>
          <w:tcPr>
            <w:tcW w:w="465" w:type="dxa"/>
          </w:tcPr>
          <w:p w14:paraId="04D5F971"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7</w:t>
            </w:r>
          </w:p>
        </w:tc>
        <w:tc>
          <w:tcPr>
            <w:tcW w:w="2082" w:type="dxa"/>
          </w:tcPr>
          <w:p w14:paraId="1FCF0E8A"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VMS </w:t>
            </w:r>
          </w:p>
          <w:p w14:paraId="656D773B"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222-228)</w:t>
            </w:r>
          </w:p>
        </w:tc>
        <w:tc>
          <w:tcPr>
            <w:tcW w:w="2454" w:type="dxa"/>
          </w:tcPr>
          <w:p w14:paraId="33840DFE" w14:textId="77777777" w:rsidR="009123AC" w:rsidRPr="00F0379B" w:rsidRDefault="009123AC" w:rsidP="009123AC">
            <w:pPr>
              <w:spacing w:line="240" w:lineRule="auto"/>
              <w:jc w:val="both"/>
              <w:textAlignment w:val="baseline"/>
              <w:rPr>
                <w:rFonts w:eastAsia="Times New Roman"/>
                <w:kern w:val="2"/>
                <w:lang w:eastAsia="en-GB"/>
                <w14:ligatures w14:val="standardContextual"/>
              </w:rPr>
            </w:pPr>
            <w:r w:rsidRPr="00F0379B">
              <w:rPr>
                <w:rFonts w:ascii="Cambria" w:eastAsia="Times New Roman" w:hAnsi="Cambria"/>
                <w:i/>
                <w:kern w:val="2"/>
                <w:sz w:val="20"/>
                <w:lang w:eastAsia="en-GB"/>
                <w14:ligatures w14:val="standardContextual"/>
              </w:rPr>
              <w:t>Pesquerías comerciales</w:t>
            </w:r>
          </w:p>
          <w:p w14:paraId="6C1990E7" w14:textId="77777777" w:rsidR="009123AC" w:rsidRPr="00F0379B" w:rsidRDefault="009123AC" w:rsidP="009123AC">
            <w:pPr>
              <w:spacing w:line="240" w:lineRule="auto"/>
              <w:textAlignment w:val="baseline"/>
              <w:rPr>
                <w:rFonts w:ascii="Cambria" w:eastAsia="Times New Roman" w:hAnsi="Cambria"/>
                <w:kern w:val="2"/>
                <w:sz w:val="20"/>
                <w:szCs w:val="20"/>
                <w:lang w:eastAsia="en-GB"/>
                <w14:ligatures w14:val="standardContextual"/>
              </w:rPr>
            </w:pPr>
            <w:r w:rsidRPr="00F0379B">
              <w:rPr>
                <w:rFonts w:ascii="Cambria" w:eastAsia="Times New Roman" w:hAnsi="Cambria"/>
                <w:kern w:val="2"/>
                <w:sz w:val="20"/>
                <w:lang w:eastAsia="en-GB"/>
                <w14:ligatures w14:val="standardContextual"/>
              </w:rPr>
              <w:t>Los buques de pesca comercial del Reino Unido de 12 m de eslora o superior deben contar con un sistema de seguimiento de buques (VMS) operativo para operar en aguas del Reino Unido, en aguas de un tercer país y/o en aguas internacionales. Los sistemas VMS de los buques deben informar de su posición cada dos horas.</w:t>
            </w:r>
            <w:r w:rsidRPr="00F0379B">
              <w:rPr>
                <w:rFonts w:eastAsia="Times New Roman"/>
                <w:kern w:val="2"/>
                <w:lang w:eastAsia="en-GB"/>
                <w14:ligatures w14:val="standardContextual"/>
              </w:rPr>
              <w:t xml:space="preserve"> </w:t>
            </w:r>
          </w:p>
          <w:p w14:paraId="2BD8E0A2" w14:textId="77777777" w:rsidR="009123AC" w:rsidRPr="00F0379B" w:rsidRDefault="009123AC" w:rsidP="009123AC">
            <w:pPr>
              <w:spacing w:line="240" w:lineRule="auto"/>
              <w:jc w:val="both"/>
              <w:textAlignment w:val="baseline"/>
              <w:rPr>
                <w:rFonts w:ascii="Cambria" w:eastAsia="Times New Roman" w:hAnsi="Cambria"/>
                <w:kern w:val="2"/>
                <w:sz w:val="6"/>
                <w:szCs w:val="6"/>
                <w:lang w:eastAsia="ja-JP"/>
                <w14:ligatures w14:val="standardContextual"/>
              </w:rPr>
            </w:pPr>
          </w:p>
          <w:p w14:paraId="3A2E844A" w14:textId="77777777" w:rsidR="009123AC" w:rsidRPr="00F0379B" w:rsidRDefault="009123AC" w:rsidP="009123AC">
            <w:pPr>
              <w:spacing w:line="240" w:lineRule="auto"/>
              <w:rPr>
                <w:rFonts w:ascii="Cambria" w:eastAsia="Times New Roman" w:hAnsi="Cambria" w:cs="Segoe UI"/>
                <w:kern w:val="2"/>
                <w:sz w:val="20"/>
                <w:szCs w:val="20"/>
                <w:lang w:eastAsia="en-GB"/>
                <w14:ligatures w14:val="standardContextual"/>
              </w:rPr>
            </w:pPr>
            <w:r w:rsidRPr="00F0379B">
              <w:rPr>
                <w:rFonts w:ascii="Cambria" w:eastAsia="Times New Roman" w:hAnsi="Cambria"/>
                <w:kern w:val="2"/>
                <w:sz w:val="20"/>
                <w:lang w:eastAsia="en-GB"/>
                <w14:ligatures w14:val="standardContextual"/>
              </w:rPr>
              <w:t xml:space="preserve">Inglaterra tiene previsto introducir la obligación de que todos los buques de pesca comercial de menos de 12 m, independientemente de su nacionalidad, dispongan de un VMS operativo cuando faenen en aguas inglesas. Esta medida ya se aplica en aguas galesas y de Jersey.  </w:t>
            </w:r>
          </w:p>
          <w:p w14:paraId="2595D1C4" w14:textId="77777777" w:rsidR="009123AC" w:rsidRPr="00F0379B" w:rsidRDefault="009123AC" w:rsidP="009123AC">
            <w:pPr>
              <w:spacing w:line="240" w:lineRule="auto"/>
              <w:jc w:val="both"/>
              <w:textAlignment w:val="baseline"/>
              <w:rPr>
                <w:rFonts w:ascii="Cambria" w:eastAsia="Times New Roman" w:hAnsi="Cambria" w:cs="Segoe UI"/>
                <w:kern w:val="2"/>
                <w:sz w:val="20"/>
                <w:szCs w:val="20"/>
                <w:lang w:eastAsia="ja-JP"/>
                <w14:ligatures w14:val="standardContextual"/>
              </w:rPr>
            </w:pPr>
          </w:p>
          <w:p w14:paraId="7F9D1F98" w14:textId="77777777" w:rsidR="009123AC" w:rsidRPr="00F0379B" w:rsidRDefault="009123AC" w:rsidP="009123AC">
            <w:pPr>
              <w:spacing w:line="240" w:lineRule="auto"/>
              <w:textAlignment w:val="baseline"/>
              <w:rPr>
                <w:rFonts w:eastAsia="Times New Roman"/>
                <w:kern w:val="2"/>
                <w:sz w:val="20"/>
                <w:szCs w:val="20"/>
                <w:lang w:eastAsia="en-GB"/>
                <w14:ligatures w14:val="standardContextual"/>
              </w:rPr>
            </w:pPr>
            <w:r w:rsidRPr="00F0379B">
              <w:rPr>
                <w:rFonts w:ascii="Cambria" w:eastAsia="Times New Roman" w:hAnsi="Cambria"/>
                <w:i/>
                <w:kern w:val="2"/>
                <w:sz w:val="20"/>
                <w:lang w:eastAsia="en-GB"/>
                <w14:ligatures w14:val="standardContextual"/>
              </w:rPr>
              <w:t>Programa de marcado de captura y liberación (CHART) y programas de investigación </w:t>
            </w:r>
          </w:p>
          <w:p w14:paraId="49D210CA"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Se requerirá a los barcos que mantengan un registro de su actividad de cada día de pesca de túnidos y lo envíen a las autoridades pesqueras pertinentes o a los organismos científicos designados responsables del programa de investigación, por ejemplo, para el programa CHART en Irlanda del Norte el Instituto de Agroalimentación y Biociencias (AFBI) y en Escocia la Asociación Escocesa de Ciencias Marinas (SAMS) y la Universidad de Exeter, y en Jersey Recursos Marinos y Pesquerías.</w:t>
            </w:r>
          </w:p>
        </w:tc>
        <w:tc>
          <w:tcPr>
            <w:tcW w:w="1952" w:type="dxa"/>
          </w:tcPr>
          <w:p w14:paraId="1ADAF7EB"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hd w:val="clear" w:color="auto" w:fill="FFFFFF"/>
                <w:lang w:eastAsia="ja-JP"/>
                <w14:ligatures w14:val="standardContextual"/>
              </w:rPr>
              <w:t>Artículo 9 del Reglamento retenido 1224/2009 </w:t>
            </w:r>
          </w:p>
        </w:tc>
        <w:tc>
          <w:tcPr>
            <w:tcW w:w="2107" w:type="dxa"/>
          </w:tcPr>
          <w:p w14:paraId="5D65A060"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612B838F" w14:textId="77777777" w:rsidTr="00CA749B">
        <w:tc>
          <w:tcPr>
            <w:tcW w:w="465" w:type="dxa"/>
          </w:tcPr>
          <w:p w14:paraId="3DE7C73C"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8</w:t>
            </w:r>
          </w:p>
        </w:tc>
        <w:tc>
          <w:tcPr>
            <w:tcW w:w="2082" w:type="dxa"/>
          </w:tcPr>
          <w:p w14:paraId="7FD32208"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Programa de observadores de las CPC </w:t>
            </w:r>
          </w:p>
          <w:p w14:paraId="61CD99EB"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95-100)</w:t>
            </w:r>
          </w:p>
        </w:tc>
        <w:tc>
          <w:tcPr>
            <w:tcW w:w="2454" w:type="dxa"/>
          </w:tcPr>
          <w:p w14:paraId="2796C6E1" w14:textId="77777777" w:rsidR="009123AC" w:rsidRPr="00F0379B" w:rsidRDefault="009123AC" w:rsidP="009123AC">
            <w:pPr>
              <w:spacing w:line="240" w:lineRule="auto"/>
              <w:textAlignment w:val="baseline"/>
              <w:rPr>
                <w:rFonts w:ascii="Cambria" w:eastAsia="Times New Roman" w:hAnsi="Cambria" w:cs="Segoe UI"/>
                <w:i/>
                <w:kern w:val="2"/>
                <w:sz w:val="20"/>
                <w:szCs w:val="20"/>
                <w:lang w:eastAsia="en-GB"/>
                <w14:ligatures w14:val="standardContextual"/>
              </w:rPr>
            </w:pPr>
            <w:r w:rsidRPr="00F0379B">
              <w:rPr>
                <w:rFonts w:ascii="Cambria" w:eastAsia="Times New Roman" w:hAnsi="Cambria"/>
                <w:i/>
                <w:kern w:val="2"/>
                <w:sz w:val="20"/>
                <w:lang w:eastAsia="en-GB"/>
                <w14:ligatures w14:val="standardContextual"/>
              </w:rPr>
              <w:t xml:space="preserve">Programa de marcado de captura y </w:t>
            </w:r>
            <w:proofErr w:type="gramStart"/>
            <w:r w:rsidRPr="00F0379B">
              <w:rPr>
                <w:rFonts w:ascii="Cambria" w:eastAsia="Times New Roman" w:hAnsi="Cambria"/>
                <w:i/>
                <w:kern w:val="2"/>
                <w:sz w:val="20"/>
                <w:lang w:eastAsia="en-GB"/>
                <w14:ligatures w14:val="standardContextual"/>
              </w:rPr>
              <w:t>liberación(</w:t>
            </w:r>
            <w:proofErr w:type="gramEnd"/>
            <w:r w:rsidRPr="00F0379B">
              <w:rPr>
                <w:rFonts w:ascii="Cambria" w:eastAsia="Times New Roman" w:hAnsi="Cambria"/>
                <w:i/>
                <w:kern w:val="2"/>
                <w:sz w:val="20"/>
                <w:lang w:eastAsia="en-GB"/>
                <w14:ligatures w14:val="standardContextual"/>
              </w:rPr>
              <w:t>CHART)</w:t>
            </w:r>
          </w:p>
          <w:p w14:paraId="5E587EE7" w14:textId="77777777" w:rsidR="009123AC" w:rsidRPr="00F0379B" w:rsidRDefault="009123AC" w:rsidP="009123AC">
            <w:pPr>
              <w:spacing w:line="240" w:lineRule="auto"/>
              <w:textAlignment w:val="baseline"/>
              <w:rPr>
                <w:rFonts w:ascii="Cambria" w:eastAsia="Times New Roman" w:hAnsi="Cambria" w:cs="Segoe UI"/>
                <w:kern w:val="2"/>
                <w:sz w:val="20"/>
                <w:szCs w:val="20"/>
                <w:lang w:eastAsia="en-GB"/>
                <w14:ligatures w14:val="standardContextual"/>
              </w:rPr>
            </w:pPr>
            <w:r w:rsidRPr="00F0379B">
              <w:rPr>
                <w:rFonts w:ascii="Cambria" w:eastAsia="Times New Roman" w:hAnsi="Cambria"/>
                <w:kern w:val="2"/>
                <w:sz w:val="20"/>
                <w:lang w:eastAsia="en-GB"/>
                <w14:ligatures w14:val="standardContextual"/>
              </w:rPr>
              <w:t>El programa CHART tiene el objetivo de implementar una cobertura de observadores de hasta el 5 % de las actividades de marcado para garantizar que se aplican las mejores prácticas en los protocolos de captura, de marcado y de liberación.</w:t>
            </w:r>
          </w:p>
          <w:p w14:paraId="0409439B"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7273430F" w14:textId="77777777" w:rsidR="009123AC" w:rsidRPr="00F0379B" w:rsidRDefault="009123AC" w:rsidP="009123AC">
            <w:pPr>
              <w:widowControl w:val="0"/>
              <w:spacing w:line="240" w:lineRule="auto"/>
              <w:jc w:val="both"/>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Pesquerías comerciales</w:t>
            </w:r>
          </w:p>
          <w:p w14:paraId="4AE087AA" w14:textId="77777777" w:rsidR="009123AC" w:rsidRPr="00F0379B" w:rsidRDefault="009123AC" w:rsidP="009123AC">
            <w:pPr>
              <w:widowControl w:val="0"/>
              <w:spacing w:line="240" w:lineRule="auto"/>
              <w:rPr>
                <w:rFonts w:ascii="Cambria" w:eastAsiaTheme="minorEastAsia" w:hAnsi="Cambria" w:cs="Segoe UI"/>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La pesquería comercial de atún rojo del este en el Reino Unido se limitará a los buques de menos de 12 m que utilicen cañas y carretes. No se les permitirá cebar carnada.</w:t>
            </w:r>
          </w:p>
          <w:p w14:paraId="22C17048" w14:textId="77777777" w:rsidR="009123AC" w:rsidRPr="00F0379B" w:rsidRDefault="009123AC" w:rsidP="009123AC">
            <w:pPr>
              <w:widowControl w:val="0"/>
              <w:spacing w:line="240" w:lineRule="auto"/>
              <w:jc w:val="both"/>
              <w:rPr>
                <w:rFonts w:ascii="Cambria" w:eastAsiaTheme="minorEastAsia" w:hAnsi="Cambria" w:cs="Segoe UI"/>
                <w:kern w:val="2"/>
                <w:sz w:val="20"/>
                <w:szCs w:val="20"/>
                <w:lang w:eastAsia="ja-JP"/>
                <w14:ligatures w14:val="standardContextual"/>
              </w:rPr>
            </w:pPr>
          </w:p>
          <w:p w14:paraId="71FD46BB"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El párrafo 95 de la Recomendación 25-04 de ICCAT no requiere que los buques de menos de 15 m desplieguen observadores. No obstante, la actividad de los buques del Reino Unido se supervisa de cerca.</w:t>
            </w:r>
          </w:p>
        </w:tc>
        <w:tc>
          <w:tcPr>
            <w:tcW w:w="1952" w:type="dxa"/>
          </w:tcPr>
          <w:p w14:paraId="1C8F663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107" w:type="dxa"/>
          </w:tcPr>
          <w:p w14:paraId="44508C84"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3A8A2723" w14:textId="77777777" w:rsidTr="00CA749B">
        <w:tc>
          <w:tcPr>
            <w:tcW w:w="465" w:type="dxa"/>
          </w:tcPr>
          <w:p w14:paraId="5D62FC75"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9</w:t>
            </w:r>
          </w:p>
        </w:tc>
        <w:tc>
          <w:tcPr>
            <w:tcW w:w="2082" w:type="dxa"/>
          </w:tcPr>
          <w:p w14:paraId="397C09D8" w14:textId="77777777" w:rsidR="009123AC" w:rsidRPr="00F0379B" w:rsidRDefault="009123AC" w:rsidP="009123AC">
            <w:pPr>
              <w:widowControl w:val="0"/>
              <w:spacing w:line="240" w:lineRule="auto"/>
              <w:rPr>
                <w:rFonts w:ascii="Cambria" w:eastAsiaTheme="minorEastAsia" w:hAnsi="Cambria"/>
                <w:b/>
                <w:kern w:val="2"/>
                <w:sz w:val="20"/>
                <w:szCs w:val="20"/>
                <w:lang w:val="pt-BR" w:eastAsia="ja-JP"/>
                <w14:ligatures w14:val="standardContextual"/>
              </w:rPr>
            </w:pPr>
            <w:r w:rsidRPr="00F0379B">
              <w:rPr>
                <w:rFonts w:ascii="Cambria" w:eastAsiaTheme="minorEastAsia" w:hAnsi="Cambria"/>
                <w:b/>
                <w:kern w:val="2"/>
                <w:sz w:val="20"/>
                <w:lang w:val="pt-BR" w:eastAsia="ja-JP"/>
                <w14:ligatures w14:val="standardContextual"/>
              </w:rPr>
              <w:t xml:space="preserve">Programa regional de observadores </w:t>
            </w:r>
          </w:p>
          <w:p w14:paraId="6692682D"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val="pt-BR" w:eastAsia="ja-JP"/>
                <w14:ligatures w14:val="standardContextual"/>
              </w:rPr>
              <w:t xml:space="preserve">(párrs. </w:t>
            </w:r>
            <w:r w:rsidRPr="00F0379B">
              <w:rPr>
                <w:rFonts w:ascii="Cambria" w:eastAsiaTheme="minorEastAsia" w:hAnsi="Cambria"/>
                <w:b/>
                <w:kern w:val="2"/>
                <w:sz w:val="20"/>
                <w:lang w:eastAsia="ja-JP"/>
                <w14:ligatures w14:val="standardContextual"/>
              </w:rPr>
              <w:t>101-107)</w:t>
            </w:r>
          </w:p>
        </w:tc>
        <w:tc>
          <w:tcPr>
            <w:tcW w:w="2454" w:type="dxa"/>
          </w:tcPr>
          <w:p w14:paraId="19B375D8"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shd w:val="clear" w:color="auto" w:fill="FFFFFF"/>
                <w:lang w:eastAsia="ja-JP"/>
                <w14:ligatures w14:val="standardContextual"/>
              </w:rPr>
              <w:t>N/A - El Reino Unido no tiene intención de permitir que ningún cerquero pesque atún rojo. El Reino Unido tampoco permitirá ningún tipo de actividad con almadrabas, de introducción en jaulas, de transferencia de una jaula a otra o de cría de atún rojo del este.</w:t>
            </w:r>
          </w:p>
        </w:tc>
        <w:tc>
          <w:tcPr>
            <w:tcW w:w="1952" w:type="dxa"/>
          </w:tcPr>
          <w:p w14:paraId="14BC9DBD"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107" w:type="dxa"/>
          </w:tcPr>
          <w:p w14:paraId="22FC0CF7"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912AA" w14:paraId="71A656D6" w14:textId="77777777" w:rsidTr="00CA749B">
        <w:tc>
          <w:tcPr>
            <w:tcW w:w="465" w:type="dxa"/>
          </w:tcPr>
          <w:p w14:paraId="610C4786"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10</w:t>
            </w:r>
          </w:p>
        </w:tc>
        <w:tc>
          <w:tcPr>
            <w:tcW w:w="2082" w:type="dxa"/>
          </w:tcPr>
          <w:p w14:paraId="2F20C968"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Legislación nacional</w:t>
            </w:r>
          </w:p>
        </w:tc>
        <w:tc>
          <w:tcPr>
            <w:tcW w:w="2454" w:type="dxa"/>
          </w:tcPr>
          <w:p w14:paraId="17DB5993"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Reino Unido tiene en vigor el Reglamento retenido de la UE: Reglamento (UE) 2016/1627 del Parlamento Europeo y del Consejo, de 14 de septiembre de 2016, relativo a un plan de recuperación plurianual para el atún rojo del Atlántico este y el Mediterráneo.</w:t>
            </w:r>
          </w:p>
          <w:p w14:paraId="5508181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32922E2F"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2D02A182"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El Reino Unido ha completado el proceso de actualización de la legislación interna y en 2024 adoptó: el Reglamento de Pesca Marítima (Comisión Internacional para la Conservación del Atún Atlántico) (enmienda) n.º 439 de 2024 para hacer obligatorio el uso de documentos electrónicos de captura en la pesquería de atún rojo del Atlántico oriental y actualizar elementos de la legislación comunitaria retenida pertinentes para la implementación de las medidas de ICCAT. Estas enmiendas adicionales incluyen la prohibición de la cría de atún rojo y del uso de almadrabas de atún rojo en aguas de RU Met. o por buques de RU Met. en la zona del Convenio.</w:t>
            </w:r>
          </w:p>
          <w:p w14:paraId="58FAC94C"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p>
          <w:p w14:paraId="280956FB"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El Reino Unido también adoptó el Reglamento de Pesca Marítima (Comisión Internacional para la Conservación del Atún Atlántico) (enmienda) (n.º 2) de 2024 n.º 655 para facilitar el inicio de una pesquería de recreo de atún rojo del este. </w:t>
            </w:r>
          </w:p>
        </w:tc>
        <w:tc>
          <w:tcPr>
            <w:tcW w:w="1952" w:type="dxa"/>
          </w:tcPr>
          <w:p w14:paraId="095AA404" w14:textId="77777777" w:rsidR="009123AC" w:rsidRPr="00F0379B" w:rsidRDefault="009123AC" w:rsidP="009123AC">
            <w:pPr>
              <w:widowControl w:val="0"/>
              <w:spacing w:line="240" w:lineRule="auto"/>
              <w:rPr>
                <w:rFonts w:ascii="Cambria" w:eastAsiaTheme="minorEastAsia" w:hAnsi="Cambria"/>
                <w:kern w:val="2"/>
                <w:sz w:val="20"/>
                <w:szCs w:val="20"/>
                <w:lang w:val="it-IT" w:eastAsia="ja-JP"/>
                <w14:ligatures w14:val="standardContextual"/>
              </w:rPr>
            </w:pPr>
            <w:r w:rsidRPr="00F0379B">
              <w:rPr>
                <w:rFonts w:ascii="Cambria" w:eastAsiaTheme="minorEastAsia" w:hAnsi="Cambria"/>
                <w:kern w:val="2"/>
                <w:sz w:val="20"/>
                <w:lang w:val="it-IT" w:eastAsia="ja-JP"/>
                <w14:ligatures w14:val="standardContextual"/>
              </w:rPr>
              <w:t xml:space="preserve">UK SI </w:t>
            </w:r>
            <w:proofErr w:type="gramStart"/>
            <w:r w:rsidRPr="00F0379B">
              <w:rPr>
                <w:rFonts w:ascii="Cambria" w:eastAsiaTheme="minorEastAsia" w:hAnsi="Cambria"/>
                <w:kern w:val="2"/>
                <w:sz w:val="20"/>
                <w:lang w:val="it-IT" w:eastAsia="ja-JP"/>
                <w14:ligatures w14:val="standardContextual"/>
              </w:rPr>
              <w:t>N.º</w:t>
            </w:r>
            <w:proofErr w:type="gramEnd"/>
            <w:r w:rsidRPr="00F0379B">
              <w:rPr>
                <w:rFonts w:ascii="Cambria" w:eastAsiaTheme="minorEastAsia" w:hAnsi="Cambria"/>
                <w:kern w:val="2"/>
                <w:sz w:val="20"/>
                <w:lang w:val="it-IT" w:eastAsia="ja-JP"/>
                <w14:ligatures w14:val="standardContextual"/>
              </w:rPr>
              <w:t> 439</w:t>
            </w:r>
          </w:p>
          <w:p w14:paraId="7552F635" w14:textId="77777777" w:rsidR="009123AC" w:rsidRPr="00F0379B" w:rsidRDefault="009123AC" w:rsidP="009123AC">
            <w:pPr>
              <w:widowControl w:val="0"/>
              <w:spacing w:line="240" w:lineRule="auto"/>
              <w:rPr>
                <w:rFonts w:ascii="Cambria" w:eastAsiaTheme="minorEastAsia" w:hAnsi="Cambria"/>
                <w:kern w:val="2"/>
                <w:sz w:val="20"/>
                <w:szCs w:val="20"/>
                <w:lang w:val="it-IT" w:eastAsia="ja-JP"/>
                <w14:ligatures w14:val="standardContextual"/>
              </w:rPr>
            </w:pPr>
            <w:r w:rsidRPr="00F0379B">
              <w:rPr>
                <w:rFonts w:ascii="Cambria" w:eastAsiaTheme="minorEastAsia" w:hAnsi="Cambria"/>
                <w:kern w:val="2"/>
                <w:sz w:val="20"/>
                <w:lang w:val="it-IT" w:eastAsia="ja-JP"/>
                <w14:ligatures w14:val="standardContextual"/>
              </w:rPr>
              <w:t xml:space="preserve">UK SI </w:t>
            </w:r>
            <w:proofErr w:type="gramStart"/>
            <w:r w:rsidRPr="00F0379B">
              <w:rPr>
                <w:rFonts w:ascii="Cambria" w:eastAsiaTheme="minorEastAsia" w:hAnsi="Cambria"/>
                <w:kern w:val="2"/>
                <w:sz w:val="20"/>
                <w:lang w:val="it-IT" w:eastAsia="ja-JP"/>
                <w14:ligatures w14:val="standardContextual"/>
              </w:rPr>
              <w:t>N.º</w:t>
            </w:r>
            <w:proofErr w:type="gramEnd"/>
            <w:r w:rsidRPr="00F0379B">
              <w:rPr>
                <w:rFonts w:ascii="Cambria" w:eastAsiaTheme="minorEastAsia" w:hAnsi="Cambria"/>
                <w:kern w:val="2"/>
                <w:sz w:val="20"/>
                <w:lang w:val="it-IT" w:eastAsia="ja-JP"/>
                <w14:ligatures w14:val="standardContextual"/>
              </w:rPr>
              <w:t> 655</w:t>
            </w:r>
          </w:p>
        </w:tc>
        <w:tc>
          <w:tcPr>
            <w:tcW w:w="2107" w:type="dxa"/>
          </w:tcPr>
          <w:p w14:paraId="0ABC3768" w14:textId="77777777" w:rsidR="009123AC" w:rsidRPr="00F0379B" w:rsidRDefault="009123AC" w:rsidP="009123AC">
            <w:pPr>
              <w:widowControl w:val="0"/>
              <w:spacing w:line="240" w:lineRule="auto"/>
              <w:rPr>
                <w:rFonts w:ascii="Cambria" w:eastAsiaTheme="minorEastAsia" w:hAnsi="Cambria"/>
                <w:kern w:val="2"/>
                <w:sz w:val="20"/>
                <w:szCs w:val="20"/>
                <w:lang w:val="it-IT" w:eastAsia="ja-JP"/>
                <w14:ligatures w14:val="standardContextual"/>
              </w:rPr>
            </w:pPr>
          </w:p>
        </w:tc>
      </w:tr>
      <w:tr w:rsidR="009123AC" w:rsidRPr="00F0379B" w14:paraId="57585800" w14:textId="77777777" w:rsidTr="00CA749B">
        <w:tc>
          <w:tcPr>
            <w:tcW w:w="465" w:type="dxa"/>
          </w:tcPr>
          <w:p w14:paraId="155E4994" w14:textId="77777777" w:rsidR="009123AC" w:rsidRPr="00F0379B" w:rsidRDefault="009123AC" w:rsidP="009123AC">
            <w:pPr>
              <w:widowControl w:val="0"/>
              <w:spacing w:line="240" w:lineRule="auto"/>
              <w:rPr>
                <w:rFonts w:ascii="Cambria" w:eastAsiaTheme="minorEastAsia" w:hAnsi="Cambria"/>
                <w:i/>
                <w:kern w:val="2"/>
                <w:sz w:val="20"/>
                <w:szCs w:val="20"/>
                <w:lang w:val="it-IT" w:eastAsia="ja-JP"/>
                <w14:ligatures w14:val="standardContextual"/>
              </w:rPr>
            </w:pPr>
          </w:p>
        </w:tc>
        <w:tc>
          <w:tcPr>
            <w:tcW w:w="2082" w:type="dxa"/>
          </w:tcPr>
          <w:p w14:paraId="5D3973BA"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Otros requisitos, como:</w:t>
            </w:r>
          </w:p>
          <w:p w14:paraId="001992EC"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 xml:space="preserve">programa de marcado </w:t>
            </w:r>
          </w:p>
          <w:p w14:paraId="70260DDF"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(párr. 44), etc.</w:t>
            </w:r>
          </w:p>
        </w:tc>
        <w:tc>
          <w:tcPr>
            <w:tcW w:w="2454" w:type="dxa"/>
          </w:tcPr>
          <w:p w14:paraId="7EEF0F4F" w14:textId="77777777" w:rsidR="009123AC" w:rsidRPr="00F0379B" w:rsidRDefault="009123AC" w:rsidP="009123AC">
            <w:pPr>
              <w:widowControl w:val="0"/>
              <w:spacing w:line="240" w:lineRule="auto"/>
              <w:jc w:val="both"/>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Programa de marcado de captura y liberación (CHART)</w:t>
            </w:r>
          </w:p>
          <w:p w14:paraId="342B3586" w14:textId="77777777" w:rsidR="009123AC" w:rsidRPr="00F0379B" w:rsidRDefault="009123AC" w:rsidP="009123AC">
            <w:pPr>
              <w:widowControl w:val="0"/>
              <w:spacing w:line="240" w:lineRule="auto"/>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En el programa CHART, patrones adecuadamente formados llevarán a cabo marcado convencional con marcas Floy y marcado por satélite. </w:t>
            </w:r>
          </w:p>
        </w:tc>
        <w:tc>
          <w:tcPr>
            <w:tcW w:w="1952" w:type="dxa"/>
          </w:tcPr>
          <w:p w14:paraId="78B117D7"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107" w:type="dxa"/>
          </w:tcPr>
          <w:p w14:paraId="3CEC7BDB"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bl>
    <w:p w14:paraId="7334D0DD" w14:textId="77777777" w:rsidR="009123AC" w:rsidRPr="00F0379B" w:rsidRDefault="009123AC" w:rsidP="009123AC">
      <w:pPr>
        <w:widowControl w:val="0"/>
        <w:spacing w:after="0" w:line="240" w:lineRule="auto"/>
        <w:rPr>
          <w:rFonts w:ascii="Cambria" w:eastAsia="MS Gothic" w:hAnsi="Cambria" w:cs="Times New Roman"/>
          <w:color w:val="000000"/>
          <w:sz w:val="20"/>
          <w:szCs w:val="20"/>
          <w:lang w:eastAsia="fr-FR" w:bidi="fr-FR"/>
        </w:rPr>
      </w:pPr>
    </w:p>
    <w:p w14:paraId="4C3D9875" w14:textId="77777777" w:rsidR="009123AC" w:rsidRPr="00F0379B" w:rsidRDefault="009123AC" w:rsidP="009123AC">
      <w:pPr>
        <w:spacing w:after="0" w:line="240" w:lineRule="auto"/>
        <w:rPr>
          <w:rFonts w:ascii="Cambria" w:eastAsia="MS Gothic" w:hAnsi="Cambria" w:cs="Times New Roman"/>
          <w:b/>
          <w:i/>
          <w:color w:val="000000"/>
          <w:sz w:val="20"/>
          <w:szCs w:val="24"/>
          <w:lang w:eastAsia="fr-FR" w:bidi="fr-FR"/>
        </w:rPr>
      </w:pPr>
      <w:r w:rsidRPr="00F0379B">
        <w:rPr>
          <w:rFonts w:ascii="Cambria" w:eastAsia="MS Gothic" w:hAnsi="Cambria" w:cs="Times New Roman"/>
          <w:b/>
          <w:i/>
          <w:color w:val="000000"/>
          <w:sz w:val="20"/>
          <w:szCs w:val="24"/>
          <w:lang w:eastAsia="fr-FR" w:bidi="fr-FR"/>
        </w:rPr>
        <w:br w:type="page"/>
      </w:r>
    </w:p>
    <w:p w14:paraId="720EA92D" w14:textId="77777777" w:rsidR="009123AC" w:rsidRPr="00F0379B" w:rsidRDefault="009123AC" w:rsidP="009123AC">
      <w:pPr>
        <w:widowControl w:val="0"/>
        <w:spacing w:after="0" w:line="240" w:lineRule="auto"/>
        <w:rPr>
          <w:rFonts w:ascii="Cambria" w:eastAsia="MS Gothic" w:hAnsi="Cambria" w:cs="Times New Roman"/>
          <w:b/>
          <w:i/>
          <w:color w:val="000000"/>
          <w:sz w:val="20"/>
          <w:szCs w:val="20"/>
          <w:lang w:eastAsia="fr-FR" w:bidi="fr-FR"/>
        </w:rPr>
      </w:pPr>
      <w:r w:rsidRPr="00F0379B">
        <w:rPr>
          <w:rFonts w:ascii="Cambria" w:eastAsia="MS Gothic" w:hAnsi="Cambria" w:cs="Times New Roman"/>
          <w:b/>
          <w:i/>
          <w:color w:val="000000"/>
          <w:sz w:val="20"/>
          <w:szCs w:val="24"/>
          <w:lang w:eastAsia="fr-FR" w:bidi="fr-FR"/>
        </w:rPr>
        <w:t xml:space="preserve">1 e) Puertos designados (párr. 80) </w:t>
      </w:r>
    </w:p>
    <w:p w14:paraId="377D1A09" w14:textId="77777777" w:rsidR="009123AC" w:rsidRPr="00F0379B" w:rsidRDefault="009123AC" w:rsidP="009123AC">
      <w:pPr>
        <w:widowControl w:val="0"/>
        <w:spacing w:after="0" w:line="240" w:lineRule="auto"/>
        <w:rPr>
          <w:rFonts w:ascii="Cambria" w:eastAsia="MS Gothic" w:hAnsi="Cambria" w:cs="Times New Roman"/>
          <w:color w:val="000000"/>
          <w:sz w:val="20"/>
          <w:szCs w:val="20"/>
          <w:lang w:eastAsia="ja-JP" w:bidi="fr-FR"/>
        </w:rPr>
      </w:pPr>
    </w:p>
    <w:p w14:paraId="555C9A51" w14:textId="77777777" w:rsidR="009123AC" w:rsidRPr="00F0379B" w:rsidRDefault="009123AC" w:rsidP="009123AC">
      <w:pPr>
        <w:widowControl w:val="0"/>
        <w:spacing w:after="0" w:line="240" w:lineRule="auto"/>
        <w:rPr>
          <w:rFonts w:ascii="Times New Roman" w:eastAsia="MS Gothic" w:hAnsi="Times New Roman" w:cs="Times New Roman"/>
          <w:color w:val="000000"/>
          <w:sz w:val="24"/>
          <w:szCs w:val="24"/>
          <w:lang w:eastAsia="fr-FR" w:bidi="fr-FR"/>
        </w:rPr>
      </w:pPr>
      <w:r w:rsidRPr="00F0379B">
        <w:rPr>
          <w:rFonts w:ascii="Cambria" w:eastAsia="MS Gothic" w:hAnsi="Cambria" w:cs="Times New Roman"/>
          <w:color w:val="000000"/>
          <w:sz w:val="20"/>
          <w:szCs w:val="24"/>
          <w:lang w:eastAsia="fr-FR" w:bidi="fr-FR"/>
        </w:rPr>
        <w:t xml:space="preserve">La lista de puertos designados por el Reino Unido figura en el </w:t>
      </w:r>
      <w:r w:rsidRPr="00F0379B">
        <w:rPr>
          <w:rFonts w:ascii="Cambria" w:eastAsia="MS Gothic" w:hAnsi="Cambria" w:cs="Times New Roman"/>
          <w:b/>
          <w:bCs/>
          <w:color w:val="000000"/>
          <w:sz w:val="20"/>
          <w:szCs w:val="24"/>
          <w:lang w:eastAsia="fr-FR" w:bidi="fr-FR"/>
        </w:rPr>
        <w:t>Anexo 1</w:t>
      </w:r>
      <w:r w:rsidRPr="00F0379B">
        <w:rPr>
          <w:rFonts w:ascii="Cambria" w:eastAsia="MS Gothic" w:hAnsi="Cambria" w:cs="Times New Roman"/>
          <w:color w:val="000000"/>
          <w:sz w:val="20"/>
          <w:szCs w:val="24"/>
          <w:lang w:eastAsia="fr-FR" w:bidi="fr-FR"/>
        </w:rPr>
        <w:t xml:space="preserve">. Los buques del Reino Unido no podrán desembarcar atún rojo en puertos extranjeros.  </w:t>
      </w:r>
    </w:p>
    <w:p w14:paraId="5C990777" w14:textId="77777777" w:rsidR="009123AC" w:rsidRPr="00F0379B" w:rsidRDefault="009123AC" w:rsidP="009123AC">
      <w:pPr>
        <w:widowControl w:val="0"/>
        <w:spacing w:after="0" w:line="240" w:lineRule="auto"/>
        <w:rPr>
          <w:rFonts w:ascii="Cambria" w:eastAsia="MS Gothic" w:hAnsi="Cambria" w:cs="Times New Roman"/>
          <w:color w:val="000000"/>
          <w:sz w:val="20"/>
          <w:szCs w:val="20"/>
          <w:lang w:eastAsia="fr-FR" w:bidi="fr-FR"/>
        </w:rPr>
      </w:pPr>
    </w:p>
    <w:p w14:paraId="75C04B9A" w14:textId="77777777" w:rsidR="009123AC" w:rsidRPr="00F0379B" w:rsidRDefault="009123AC" w:rsidP="009123AC">
      <w:pPr>
        <w:widowControl w:val="0"/>
        <w:spacing w:after="0" w:line="240" w:lineRule="auto"/>
        <w:rPr>
          <w:rFonts w:ascii="Cambria" w:eastAsia="MS Gothic" w:hAnsi="Cambria" w:cs="Times New Roman"/>
          <w:color w:val="000000"/>
          <w:sz w:val="20"/>
          <w:szCs w:val="20"/>
          <w:lang w:eastAsia="fr-FR" w:bidi="fr-FR"/>
        </w:rPr>
      </w:pPr>
    </w:p>
    <w:p w14:paraId="6D2137F2" w14:textId="77777777" w:rsidR="009123AC" w:rsidRPr="00F0379B" w:rsidRDefault="009123AC" w:rsidP="009123AC">
      <w:pPr>
        <w:widowControl w:val="0"/>
        <w:tabs>
          <w:tab w:val="left" w:pos="426"/>
        </w:tabs>
        <w:spacing w:after="0" w:line="240" w:lineRule="auto"/>
        <w:ind w:left="426" w:hanging="426"/>
        <w:jc w:val="both"/>
        <w:rPr>
          <w:rFonts w:ascii="Cambria" w:eastAsia="MS Gothic" w:hAnsi="Cambria" w:cs="Times New Roman"/>
          <w:b/>
          <w:color w:val="000000"/>
          <w:sz w:val="20"/>
          <w:szCs w:val="20"/>
          <w:lang w:eastAsia="fr-FR" w:bidi="fr-FR"/>
        </w:rPr>
      </w:pPr>
      <w:r w:rsidRPr="00F0379B">
        <w:rPr>
          <w:rFonts w:ascii="Cambria" w:eastAsia="MS Gothic" w:hAnsi="Cambria" w:cs="Times New Roman"/>
          <w:b/>
          <w:color w:val="000000"/>
          <w:sz w:val="20"/>
          <w:szCs w:val="24"/>
          <w:lang w:eastAsia="fr-FR" w:bidi="fr-FR"/>
        </w:rPr>
        <w:t>2.</w:t>
      </w:r>
      <w:r w:rsidRPr="00F0379B">
        <w:rPr>
          <w:rFonts w:ascii="Cambria" w:eastAsia="MS Gothic" w:hAnsi="Cambria" w:cs="Times New Roman"/>
          <w:b/>
          <w:color w:val="000000"/>
          <w:sz w:val="20"/>
          <w:szCs w:val="24"/>
          <w:lang w:eastAsia="fr-FR" w:bidi="fr-FR"/>
        </w:rPr>
        <w:tab/>
        <w:t>Plan anual de ordenación de la capacidad pesquera (párrs. 14-21)</w:t>
      </w:r>
    </w:p>
    <w:p w14:paraId="2E6C396C" w14:textId="77777777" w:rsidR="009123AC" w:rsidRPr="00F0379B" w:rsidRDefault="009123AC" w:rsidP="009123AC">
      <w:pPr>
        <w:widowControl w:val="0"/>
        <w:spacing w:after="0" w:line="240" w:lineRule="auto"/>
        <w:rPr>
          <w:rFonts w:ascii="Cambria" w:eastAsia="MS Gothic" w:hAnsi="Cambria" w:cs="Times New Roman"/>
          <w:b/>
          <w:color w:val="000000"/>
          <w:sz w:val="20"/>
          <w:szCs w:val="20"/>
          <w:lang w:eastAsia="fr-FR" w:bidi="fr-FR"/>
        </w:rPr>
      </w:pPr>
    </w:p>
    <w:p w14:paraId="08E3BD7A"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4"/>
          <w:lang w:eastAsia="fr-FR" w:bidi="fr-FR"/>
        </w:rPr>
      </w:pPr>
      <w:r w:rsidRPr="00F0379B">
        <w:rPr>
          <w:rFonts w:ascii="Cambria" w:eastAsia="MS Gothic" w:hAnsi="Cambria" w:cs="Times New Roman"/>
          <w:color w:val="000000"/>
          <w:sz w:val="20"/>
          <w:szCs w:val="24"/>
          <w:lang w:eastAsia="fr-FR" w:bidi="fr-FR"/>
        </w:rPr>
        <w:t xml:space="preserve">El Reino Unido concederá licencias a un máximo de 30 buques de menos de 12 m para participar en la pesquería comercial en 2026. Los detalles figuran en la Tabla de capacidad. El aumento de la capacidad refleja el desarrollo y la ampliación de la pesca comercial de atún rojo del este en el Reino Unido, tal y como se describe en el punto </w:t>
      </w:r>
      <w:r w:rsidRPr="00F0379B">
        <w:rPr>
          <w:rFonts w:ascii="Cambria" w:eastAsia="MS Gothic" w:hAnsi="Cambria" w:cs="Times New Roman"/>
          <w:i/>
          <w:iCs/>
          <w:color w:val="000000"/>
          <w:sz w:val="20"/>
          <w:szCs w:val="24"/>
          <w:lang w:eastAsia="fr-FR" w:bidi="fr-FR"/>
        </w:rPr>
        <w:t>1.</w:t>
      </w:r>
      <w:r w:rsidRPr="00F0379B">
        <w:rPr>
          <w:rFonts w:ascii="Cambria" w:eastAsia="MS Gothic" w:hAnsi="Cambria" w:cs="Times New Roman"/>
          <w:i/>
          <w:color w:val="000000"/>
          <w:sz w:val="20"/>
          <w:szCs w:val="24"/>
          <w:lang w:eastAsia="fr-FR" w:bidi="fr-FR"/>
        </w:rPr>
        <w:t xml:space="preserve"> </w:t>
      </w:r>
      <w:r w:rsidRPr="00F0379B">
        <w:rPr>
          <w:rFonts w:ascii="Cambria" w:eastAsia="MS Gothic" w:hAnsi="Cambria" w:cs="Times New Roman"/>
          <w:i/>
          <w:iCs/>
          <w:color w:val="000000"/>
          <w:sz w:val="20"/>
          <w:szCs w:val="24"/>
          <w:lang w:eastAsia="fr-FR" w:bidi="fr-FR"/>
        </w:rPr>
        <w:t xml:space="preserve">Detalles del plan anual de pesca para los buques de captura y las almadrabas, </w:t>
      </w:r>
      <w:r w:rsidRPr="00F0379B">
        <w:rPr>
          <w:rFonts w:ascii="Cambria" w:eastAsia="MS Gothic" w:hAnsi="Cambria" w:cs="Times New Roman"/>
          <w:color w:val="000000"/>
          <w:sz w:val="20"/>
          <w:szCs w:val="24"/>
          <w:lang w:eastAsia="fr-FR" w:bidi="fr-FR"/>
        </w:rPr>
        <w:t xml:space="preserve">anterior. </w:t>
      </w:r>
    </w:p>
    <w:p w14:paraId="23E8B19C" w14:textId="77777777" w:rsidR="009123AC" w:rsidRPr="00F0379B" w:rsidRDefault="009123AC" w:rsidP="009123AC">
      <w:pPr>
        <w:widowControl w:val="0"/>
        <w:spacing w:after="0" w:line="240" w:lineRule="auto"/>
        <w:jc w:val="both"/>
        <w:rPr>
          <w:rFonts w:ascii="Cambria" w:eastAsia="MS Gothic" w:hAnsi="Cambria" w:cs="Times New Roman"/>
          <w:i/>
          <w:color w:val="000000"/>
          <w:sz w:val="20"/>
          <w:szCs w:val="20"/>
          <w:lang w:eastAsia="ja-JP" w:bidi="fr-FR"/>
        </w:rPr>
      </w:pPr>
    </w:p>
    <w:p w14:paraId="30F281AB" w14:textId="77777777" w:rsidR="009123AC" w:rsidRPr="00F0379B" w:rsidRDefault="009123AC" w:rsidP="009123AC">
      <w:pPr>
        <w:widowControl w:val="0"/>
        <w:spacing w:after="0" w:line="240" w:lineRule="auto"/>
        <w:jc w:val="both"/>
        <w:rPr>
          <w:rFonts w:ascii="Cambria" w:eastAsia="MS Gothic" w:hAnsi="Cambria" w:cs="Times New Roman"/>
          <w:i/>
          <w:color w:val="000000"/>
          <w:sz w:val="20"/>
          <w:szCs w:val="20"/>
          <w:lang w:eastAsia="ja-JP" w:bidi="fr-FR"/>
        </w:rPr>
      </w:pPr>
    </w:p>
    <w:p w14:paraId="62654859" w14:textId="77777777" w:rsidR="009123AC" w:rsidRPr="00F0379B" w:rsidRDefault="009123AC" w:rsidP="009123AC">
      <w:pPr>
        <w:widowControl w:val="0"/>
        <w:tabs>
          <w:tab w:val="left" w:pos="426"/>
        </w:tabs>
        <w:spacing w:after="0" w:line="240" w:lineRule="auto"/>
        <w:ind w:left="426" w:hanging="426"/>
        <w:jc w:val="both"/>
        <w:rPr>
          <w:rFonts w:ascii="Cambria" w:eastAsia="MS Gothic" w:hAnsi="Cambria" w:cs="Times New Roman"/>
          <w:b/>
          <w:color w:val="000000"/>
          <w:sz w:val="20"/>
          <w:szCs w:val="20"/>
          <w:lang w:eastAsia="fr-FR" w:bidi="fr-FR"/>
        </w:rPr>
      </w:pPr>
      <w:r w:rsidRPr="00F0379B">
        <w:rPr>
          <w:rFonts w:ascii="Cambria" w:eastAsia="MS Gothic" w:hAnsi="Cambria" w:cs="Times New Roman"/>
          <w:b/>
          <w:color w:val="000000"/>
          <w:sz w:val="20"/>
          <w:szCs w:val="24"/>
          <w:lang w:eastAsia="fr-FR" w:bidi="fr-FR"/>
        </w:rPr>
        <w:t xml:space="preserve">3.  </w:t>
      </w:r>
      <w:r w:rsidRPr="00F0379B">
        <w:rPr>
          <w:rFonts w:ascii="Cambria" w:eastAsia="MS Gothic" w:hAnsi="Cambria" w:cs="Times New Roman"/>
          <w:b/>
          <w:color w:val="000000"/>
          <w:sz w:val="20"/>
          <w:szCs w:val="24"/>
          <w:lang w:eastAsia="fr-FR" w:bidi="fr-FR"/>
        </w:rPr>
        <w:tab/>
        <w:t>Plan anual de ordenación de la cría (párrs. 22-23), si es aplicable</w:t>
      </w:r>
    </w:p>
    <w:p w14:paraId="62956641" w14:textId="77777777" w:rsidR="009123AC" w:rsidRPr="00F0379B" w:rsidRDefault="009123AC" w:rsidP="009123AC">
      <w:pPr>
        <w:widowControl w:val="0"/>
        <w:spacing w:after="0" w:line="240" w:lineRule="auto"/>
        <w:jc w:val="both"/>
        <w:rPr>
          <w:rFonts w:ascii="Cambria" w:eastAsia="MS Gothic" w:hAnsi="Cambria" w:cs="Times New Roman"/>
          <w:b/>
          <w:color w:val="000000"/>
          <w:sz w:val="20"/>
          <w:szCs w:val="20"/>
          <w:lang w:eastAsia="fr-FR" w:bidi="fr-FR"/>
        </w:rPr>
      </w:pPr>
    </w:p>
    <w:p w14:paraId="1880C958"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4"/>
          <w:lang w:eastAsia="fr-FR" w:bidi="fr-FR"/>
        </w:rPr>
      </w:pPr>
      <w:r w:rsidRPr="00F0379B">
        <w:rPr>
          <w:rFonts w:ascii="Cambria" w:eastAsia="MS Gothic" w:hAnsi="Cambria" w:cs="Times New Roman"/>
          <w:color w:val="000000"/>
          <w:sz w:val="20"/>
          <w:szCs w:val="24"/>
          <w:lang w:eastAsia="fr-FR" w:bidi="fr-FR"/>
        </w:rPr>
        <w:t>No aplicable, el Reino Unido no practica la cría de atún rojo del este.</w:t>
      </w:r>
    </w:p>
    <w:p w14:paraId="1FB906DE"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18493A95"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4C5927FE" w14:textId="77777777" w:rsidR="009123AC" w:rsidRPr="00F0379B" w:rsidRDefault="009123AC" w:rsidP="00CE0EC8">
      <w:pPr>
        <w:widowControl w:val="0"/>
        <w:numPr>
          <w:ilvl w:val="0"/>
          <w:numId w:val="88"/>
        </w:numPr>
        <w:tabs>
          <w:tab w:val="left" w:pos="426"/>
          <w:tab w:val="num" w:pos="993"/>
        </w:tabs>
        <w:spacing w:after="0" w:line="240" w:lineRule="auto"/>
        <w:ind w:left="426" w:hanging="426"/>
        <w:contextualSpacing/>
        <w:jc w:val="both"/>
        <w:rPr>
          <w:rFonts w:ascii="Cambria" w:eastAsia="MS Gothic" w:hAnsi="Cambria" w:cs="Times New Roman"/>
          <w:b/>
          <w:bCs/>
          <w:sz w:val="20"/>
          <w:szCs w:val="24"/>
          <w:lang w:eastAsia="fr-FR" w:bidi="fr-FR"/>
        </w:rPr>
      </w:pPr>
      <w:r w:rsidRPr="00F0379B">
        <w:rPr>
          <w:rFonts w:ascii="Cambria" w:eastAsia="MS Gothic" w:hAnsi="Cambria" w:cs="Times New Roman"/>
          <w:b/>
          <w:bCs/>
          <w:sz w:val="20"/>
          <w:szCs w:val="24"/>
          <w:lang w:eastAsia="fr-FR" w:bidi="fr-FR"/>
        </w:rPr>
        <w:t xml:space="preserve">Plan de acuicultura anual (párr. 10 e de la </w:t>
      </w:r>
      <w:hyperlink r:id="rId236" w:history="1">
        <w:r w:rsidRPr="00F0379B">
          <w:rPr>
            <w:rFonts w:ascii="Cambria" w:eastAsia="MS Gothic" w:hAnsi="Cambria" w:cs="Times New Roman"/>
            <w:b/>
            <w:bCs/>
            <w:color w:val="0563C1"/>
            <w:sz w:val="20"/>
            <w:szCs w:val="24"/>
            <w:lang w:eastAsia="fr-FR" w:bidi="fr-FR"/>
          </w:rPr>
          <w:t xml:space="preserve">Rec. 25-04 </w:t>
        </w:r>
      </w:hyperlink>
      <w:r w:rsidRPr="00F0379B">
        <w:rPr>
          <w:rFonts w:ascii="Cambria" w:eastAsia="MS Gothic" w:hAnsi="Cambria" w:cs="Times New Roman"/>
          <w:b/>
          <w:bCs/>
          <w:sz w:val="20"/>
          <w:szCs w:val="24"/>
          <w:lang w:eastAsia="fr-FR" w:bidi="fr-FR"/>
        </w:rPr>
        <w:t xml:space="preserve">de conformidad con la </w:t>
      </w:r>
      <w:hyperlink r:id="rId237" w:history="1">
        <w:r w:rsidRPr="00F0379B">
          <w:rPr>
            <w:rFonts w:ascii="Cambria" w:eastAsia="MS Gothic" w:hAnsi="Cambria" w:cs="Times New Roman"/>
            <w:b/>
            <w:bCs/>
            <w:color w:val="0563C1"/>
            <w:sz w:val="20"/>
            <w:szCs w:val="24"/>
            <w:lang w:eastAsia="fr-FR" w:bidi="fr-FR"/>
          </w:rPr>
          <w:t>Rec. 24-07</w:t>
        </w:r>
      </w:hyperlink>
      <w:r w:rsidRPr="00F0379B">
        <w:rPr>
          <w:rFonts w:ascii="Cambria" w:eastAsia="MS Gothic" w:hAnsi="Cambria" w:cs="Times New Roman"/>
          <w:b/>
          <w:bCs/>
          <w:sz w:val="20"/>
          <w:szCs w:val="24"/>
          <w:lang w:eastAsia="fr-FR" w:bidi="fr-FR"/>
        </w:rPr>
        <w:t>), si es aplicable</w:t>
      </w:r>
    </w:p>
    <w:p w14:paraId="13600827" w14:textId="77777777" w:rsidR="009123AC" w:rsidRPr="00F0379B" w:rsidRDefault="009123AC" w:rsidP="009123AC">
      <w:pPr>
        <w:widowControl w:val="0"/>
        <w:tabs>
          <w:tab w:val="left" w:pos="426"/>
        </w:tabs>
        <w:spacing w:after="0" w:line="240" w:lineRule="auto"/>
        <w:jc w:val="both"/>
        <w:rPr>
          <w:rFonts w:ascii="Cambria" w:eastAsia="MS Gothic" w:hAnsi="Cambria" w:cs="Times New Roman"/>
          <w:b/>
          <w:color w:val="000000"/>
          <w:sz w:val="20"/>
          <w:szCs w:val="20"/>
          <w:lang w:eastAsia="fr-FR" w:bidi="fr-FR"/>
        </w:rPr>
      </w:pPr>
    </w:p>
    <w:p w14:paraId="66258194" w14:textId="77777777" w:rsidR="009123AC" w:rsidRPr="00F0379B" w:rsidRDefault="009123AC" w:rsidP="009123AC">
      <w:pPr>
        <w:widowControl w:val="0"/>
        <w:tabs>
          <w:tab w:val="left" w:pos="426"/>
        </w:tabs>
        <w:spacing w:after="0" w:line="240" w:lineRule="auto"/>
        <w:jc w:val="both"/>
        <w:rPr>
          <w:rFonts w:ascii="Cambria" w:eastAsia="MS Gothic" w:hAnsi="Cambria" w:cs="Times New Roman"/>
          <w:b/>
          <w:color w:val="000000"/>
          <w:sz w:val="20"/>
          <w:szCs w:val="20"/>
          <w:lang w:eastAsia="fr-FR" w:bidi="fr-FR"/>
        </w:rPr>
      </w:pPr>
    </w:p>
    <w:p w14:paraId="47E8FA8F" w14:textId="77777777" w:rsidR="009123AC" w:rsidRPr="00F0379B" w:rsidRDefault="009123AC" w:rsidP="009123AC">
      <w:pPr>
        <w:widowControl w:val="0"/>
        <w:spacing w:after="0" w:line="240" w:lineRule="auto"/>
        <w:jc w:val="both"/>
        <w:rPr>
          <w:rFonts w:ascii="Cambria" w:eastAsia="Cambria" w:hAnsi="Cambria" w:cs="Cambria"/>
          <w:color w:val="000000"/>
          <w:sz w:val="20"/>
          <w:szCs w:val="20"/>
          <w:lang w:eastAsia="fr-FR" w:bidi="fr-FR"/>
        </w:rPr>
      </w:pPr>
      <w:r w:rsidRPr="00F0379B">
        <w:rPr>
          <w:rFonts w:ascii="Cambria" w:eastAsia="MS Gothic" w:hAnsi="Cambria" w:cs="Times New Roman"/>
          <w:color w:val="000000"/>
          <w:sz w:val="20"/>
          <w:szCs w:val="24"/>
          <w:lang w:eastAsia="fr-FR" w:bidi="fr-FR"/>
        </w:rPr>
        <w:t>No aplicable, el Reino Unido no practica la acuicultura de atún rojo del este.</w:t>
      </w:r>
    </w:p>
    <w:p w14:paraId="4FE11A16" w14:textId="77777777" w:rsidR="009123AC" w:rsidRPr="00F0379B" w:rsidRDefault="009123AC" w:rsidP="009123AC">
      <w:pPr>
        <w:widowControl w:val="0"/>
        <w:spacing w:after="0" w:line="240" w:lineRule="auto"/>
        <w:jc w:val="both"/>
        <w:rPr>
          <w:rFonts w:ascii="Cambria" w:eastAsia="Cambria" w:hAnsi="Cambria" w:cs="Cambria"/>
          <w:color w:val="000000"/>
          <w:sz w:val="20"/>
          <w:szCs w:val="20"/>
          <w:lang w:eastAsia="fr-FR" w:bidi="fr-FR"/>
        </w:rPr>
      </w:pPr>
    </w:p>
    <w:p w14:paraId="09B2AB8A" w14:textId="77777777" w:rsidR="009123AC" w:rsidRPr="00F0379B" w:rsidRDefault="009123AC" w:rsidP="009123AC">
      <w:pPr>
        <w:widowControl w:val="0"/>
        <w:spacing w:after="0" w:line="240" w:lineRule="auto"/>
        <w:jc w:val="both"/>
        <w:rPr>
          <w:rFonts w:ascii="Cambria" w:eastAsia="MS Gothic" w:hAnsi="Cambria" w:cs="Times New Roman"/>
          <w:i/>
          <w:color w:val="000000"/>
          <w:sz w:val="20"/>
          <w:szCs w:val="20"/>
          <w:lang w:eastAsia="fr-FR" w:bidi="fr-FR"/>
        </w:rPr>
      </w:pPr>
    </w:p>
    <w:p w14:paraId="266B960A" w14:textId="77777777" w:rsidR="009123AC" w:rsidRPr="00F0379B" w:rsidRDefault="009123AC" w:rsidP="009123AC">
      <w:pPr>
        <w:widowControl w:val="0"/>
        <w:tabs>
          <w:tab w:val="left" w:pos="426"/>
        </w:tabs>
        <w:spacing w:after="0" w:line="240" w:lineRule="auto"/>
        <w:rPr>
          <w:rFonts w:ascii="Cambria" w:eastAsia="MS Gothic" w:hAnsi="Cambria" w:cs="Times New Roman"/>
          <w:b/>
          <w:color w:val="000000"/>
          <w:sz w:val="20"/>
          <w:szCs w:val="20"/>
          <w:lang w:eastAsia="fr-FR" w:bidi="fr-FR"/>
        </w:rPr>
      </w:pPr>
      <w:r w:rsidRPr="00F0379B">
        <w:rPr>
          <w:rFonts w:ascii="Cambria" w:eastAsia="MS Gothic" w:hAnsi="Cambria" w:cs="Times New Roman"/>
          <w:b/>
          <w:color w:val="000000"/>
          <w:sz w:val="20"/>
          <w:szCs w:val="24"/>
          <w:lang w:eastAsia="fr-FR" w:bidi="fr-FR"/>
        </w:rPr>
        <w:t xml:space="preserve">5. </w:t>
      </w:r>
      <w:r w:rsidRPr="00F0379B">
        <w:rPr>
          <w:rFonts w:ascii="Cambria" w:eastAsia="MS Gothic" w:hAnsi="Cambria" w:cs="Times New Roman"/>
          <w:b/>
          <w:color w:val="000000"/>
          <w:sz w:val="20"/>
          <w:szCs w:val="24"/>
          <w:lang w:eastAsia="fr-FR" w:bidi="fr-FR"/>
        </w:rPr>
        <w:tab/>
        <w:t>Plan de inspección, control y seguimiento</w:t>
      </w:r>
    </w:p>
    <w:p w14:paraId="0867CD5C" w14:textId="77777777" w:rsidR="009123AC" w:rsidRPr="00F0379B" w:rsidRDefault="009123AC" w:rsidP="009123AC">
      <w:pPr>
        <w:widowControl w:val="0"/>
        <w:spacing w:after="0" w:line="240" w:lineRule="auto"/>
        <w:rPr>
          <w:rFonts w:ascii="Cambria" w:eastAsia="MS Gothic" w:hAnsi="Cambria" w:cs="Times New Roman"/>
          <w:b/>
          <w:color w:val="000000"/>
          <w:sz w:val="20"/>
          <w:szCs w:val="20"/>
          <w:lang w:eastAsia="fr-FR" w:bidi="fr-FR"/>
        </w:rPr>
      </w:pPr>
    </w:p>
    <w:p w14:paraId="113E0017" w14:textId="77777777" w:rsidR="009123AC" w:rsidRPr="00F0379B" w:rsidRDefault="009123AC" w:rsidP="009123AC">
      <w:pPr>
        <w:widowControl w:val="0"/>
        <w:spacing w:after="0" w:line="240" w:lineRule="auto"/>
        <w:rPr>
          <w:rFonts w:ascii="Cambria" w:eastAsia="MS Gothic" w:hAnsi="Cambria" w:cs="Times New Roman"/>
          <w:b/>
          <w:i/>
          <w:color w:val="000000"/>
          <w:sz w:val="20"/>
          <w:szCs w:val="20"/>
          <w:lang w:eastAsia="fr-FR" w:bidi="fr-FR"/>
        </w:rPr>
      </w:pPr>
      <w:r w:rsidRPr="00F0379B">
        <w:rPr>
          <w:rFonts w:ascii="Cambria" w:eastAsia="MS Gothic" w:hAnsi="Cambria" w:cs="Times New Roman"/>
          <w:b/>
          <w:i/>
          <w:color w:val="000000"/>
          <w:sz w:val="20"/>
          <w:szCs w:val="24"/>
          <w:lang w:eastAsia="fr-FR" w:bidi="fr-FR"/>
        </w:rPr>
        <w:t>5 a) Inspección, control y seguimiento de la CPC (párr. 10c)</w:t>
      </w:r>
    </w:p>
    <w:p w14:paraId="129638A4" w14:textId="77777777" w:rsidR="009123AC" w:rsidRPr="00F0379B" w:rsidRDefault="009123AC" w:rsidP="009123AC">
      <w:pPr>
        <w:widowControl w:val="0"/>
        <w:spacing w:after="0" w:line="240" w:lineRule="auto"/>
        <w:rPr>
          <w:rFonts w:ascii="Cambria" w:eastAsia="MS Gothic" w:hAnsi="Cambria" w:cs="Times New Roman"/>
          <w:color w:val="000000"/>
          <w:sz w:val="20"/>
          <w:szCs w:val="20"/>
          <w:lang w:eastAsia="fr-FR" w:bidi="fr-FR"/>
        </w:rPr>
      </w:pPr>
    </w:p>
    <w:p w14:paraId="2807AD97" w14:textId="77777777" w:rsidR="009123AC" w:rsidRPr="00F0379B" w:rsidRDefault="009123AC" w:rsidP="009123AC">
      <w:pPr>
        <w:widowControl w:val="0"/>
        <w:spacing w:after="0" w:line="240" w:lineRule="auto"/>
        <w:jc w:val="both"/>
        <w:rPr>
          <w:rFonts w:ascii="Cambria" w:eastAsia="Cambria" w:hAnsi="Cambria" w:cs="Cambria"/>
          <w:color w:val="000000"/>
          <w:sz w:val="20"/>
          <w:szCs w:val="20"/>
          <w:lang w:eastAsia="fr-FR" w:bidi="fr-FR"/>
        </w:rPr>
      </w:pPr>
      <w:r w:rsidRPr="00F0379B">
        <w:rPr>
          <w:rFonts w:ascii="Cambria" w:eastAsia="MS Gothic" w:hAnsi="Cambria" w:cs="Times New Roman"/>
          <w:color w:val="000000"/>
          <w:sz w:val="20"/>
          <w:szCs w:val="24"/>
          <w:lang w:eastAsia="fr-FR" w:bidi="fr-FR"/>
        </w:rPr>
        <w:t xml:space="preserve">Las autoridades del Reino Unido de ejecución de pesquerías —la Organización de Ordenación Marina (MMO) para Inglaterra, la Dirección de Marina del Gobierno escocés, la Inspección Pesquera del Mar del Norte de Irlanda del Norte y el equipo de Control y Cumplimiento del Gobierno de Gales— centran sus actividades de inspección en los desembarques de atún rojo del este en los puertos designados para ello y realiza un seguimiento de cualquier desembarque de captura fortuita en otros puertos comerciales. Cada autoridad también tiene presencia para hacer cumplir la normativa en el mar. Cabe señalar que el Reino Unido no permite el transbordo de atún rojo del este. Se puede contactar con las autoridades competentes enviando un correo electrónico a </w:t>
      </w:r>
      <w:hyperlink r:id="rId238">
        <w:r w:rsidRPr="00F0379B">
          <w:rPr>
            <w:rFonts w:ascii="Cambria" w:eastAsia="MS Gothic" w:hAnsi="Cambria" w:cs="Times New Roman"/>
            <w:color w:val="000000"/>
            <w:sz w:val="20"/>
            <w:szCs w:val="24"/>
            <w:lang w:eastAsia="fr-FR" w:bidi="fr-FR"/>
          </w:rPr>
          <w:t>MCS@defra.gov.uk</w:t>
        </w:r>
      </w:hyperlink>
      <w:r w:rsidRPr="00F0379B">
        <w:rPr>
          <w:rFonts w:ascii="Cambria" w:eastAsia="MS Gothic" w:hAnsi="Cambria" w:cs="Times New Roman"/>
          <w:color w:val="000000"/>
          <w:sz w:val="20"/>
          <w:szCs w:val="24"/>
          <w:lang w:eastAsia="fr-FR" w:bidi="fr-FR"/>
        </w:rPr>
        <w:t>.</w:t>
      </w:r>
    </w:p>
    <w:p w14:paraId="499B54AB" w14:textId="77777777" w:rsidR="009123AC" w:rsidRPr="00F0379B" w:rsidRDefault="009123AC" w:rsidP="009123AC">
      <w:pPr>
        <w:widowControl w:val="0"/>
        <w:spacing w:after="0" w:line="240" w:lineRule="auto"/>
        <w:jc w:val="both"/>
        <w:rPr>
          <w:rFonts w:ascii="Cambria" w:eastAsia="Cambria" w:hAnsi="Cambria" w:cs="Cambria"/>
          <w:color w:val="000000"/>
          <w:sz w:val="12"/>
          <w:szCs w:val="12"/>
          <w:lang w:eastAsia="fr-FR" w:bidi="fr-FR"/>
        </w:rPr>
      </w:pPr>
      <w:r w:rsidRPr="00F0379B">
        <w:rPr>
          <w:rFonts w:ascii="Cambria" w:eastAsia="MS Gothic" w:hAnsi="Cambria" w:cs="Times New Roman"/>
          <w:color w:val="000000"/>
          <w:sz w:val="12"/>
          <w:szCs w:val="24"/>
          <w:lang w:eastAsia="fr-FR" w:bidi="fr-FR"/>
        </w:rPr>
        <w:t xml:space="preserve"> </w:t>
      </w:r>
    </w:p>
    <w:p w14:paraId="670C03A7" w14:textId="77777777" w:rsidR="009123AC" w:rsidRPr="00F0379B" w:rsidRDefault="009123AC" w:rsidP="009123AC">
      <w:pPr>
        <w:widowControl w:val="0"/>
        <w:spacing w:after="0" w:line="240" w:lineRule="auto"/>
        <w:jc w:val="both"/>
        <w:rPr>
          <w:rFonts w:ascii="Cambria" w:eastAsia="Cambria" w:hAnsi="Cambria" w:cs="Cambria"/>
          <w:color w:val="000000"/>
          <w:sz w:val="20"/>
          <w:szCs w:val="20"/>
          <w:lang w:eastAsia="fr-FR" w:bidi="fr-FR"/>
        </w:rPr>
      </w:pPr>
      <w:r w:rsidRPr="00F0379B">
        <w:rPr>
          <w:rFonts w:ascii="Cambria" w:eastAsia="MS Gothic" w:hAnsi="Cambria" w:cs="Times New Roman"/>
          <w:color w:val="000000"/>
          <w:sz w:val="20"/>
          <w:szCs w:val="24"/>
          <w:lang w:eastAsia="fr-FR" w:bidi="fr-FR"/>
        </w:rPr>
        <w:t>Las inspecciones se basan en el riesgo, son dirigidas por la inteligencia y las tasas de objetivos anuales se revisan regularmente.  Las actividades de seguimiento, control y vigilancia abarcan la actividad de pesca comercial y de recreo, así como la actividad comercial derivada, garantizando que no se produzca ninguna comercialización no autorizada y que las capturas estén debidamente documentadas. Los funcionarios de pesca centran sus esfuerzos en el desembarque conforme a la normativa y la trazabilidad del pescado.</w:t>
      </w:r>
    </w:p>
    <w:p w14:paraId="52F50E36" w14:textId="77777777" w:rsidR="009123AC" w:rsidRPr="00F0379B" w:rsidRDefault="009123AC" w:rsidP="009123AC">
      <w:pPr>
        <w:widowControl w:val="0"/>
        <w:spacing w:after="0" w:line="240" w:lineRule="auto"/>
        <w:jc w:val="both"/>
        <w:rPr>
          <w:rFonts w:ascii="Cambria" w:eastAsia="Cambria" w:hAnsi="Cambria" w:cs="Cambria"/>
          <w:color w:val="000000"/>
          <w:sz w:val="20"/>
          <w:szCs w:val="20"/>
          <w:lang w:eastAsia="fr-FR" w:bidi="fr-FR"/>
        </w:rPr>
      </w:pPr>
    </w:p>
    <w:p w14:paraId="1E2F00B7" w14:textId="77777777" w:rsidR="009123AC" w:rsidRPr="00F0379B" w:rsidRDefault="009123AC" w:rsidP="009123AC">
      <w:pPr>
        <w:widowControl w:val="0"/>
        <w:spacing w:after="0" w:line="240" w:lineRule="auto"/>
        <w:jc w:val="both"/>
        <w:rPr>
          <w:rFonts w:ascii="Cambria" w:eastAsia="Cambria" w:hAnsi="Cambria" w:cs="Cambria"/>
          <w:color w:val="000000"/>
          <w:sz w:val="20"/>
          <w:szCs w:val="20"/>
          <w:lang w:eastAsia="fr-FR" w:bidi="fr-FR"/>
        </w:rPr>
      </w:pPr>
      <w:r w:rsidRPr="00F0379B">
        <w:rPr>
          <w:rFonts w:ascii="Cambria" w:eastAsia="MS Gothic" w:hAnsi="Cambria" w:cs="Times New Roman"/>
          <w:color w:val="000000"/>
          <w:sz w:val="20"/>
          <w:szCs w:val="24"/>
          <w:lang w:eastAsia="fr-FR" w:bidi="fr-FR"/>
        </w:rPr>
        <w:t>Se imparte formación obligatoria a todos los operadores de buques comerciales de atún rojo del este. Esta formación abarca los requisitos de comunicación de información, incluidos los requisitos de comunicación de capturas (eBCD), las tallas mínimas de los peces, los requisitos relativos a los artes y la venta exclusiva a compradores registrados. Los patrones de los buques también reciben una tarjeta de instrucciones de la cabina de mando, con todos los requisitos pertinentes sobre comunicación de la información, así como los datos de contacto de la administración pesquera para notificar los desembarques.</w:t>
      </w:r>
    </w:p>
    <w:p w14:paraId="0C3B30D2" w14:textId="77777777" w:rsidR="009123AC" w:rsidRPr="00F0379B" w:rsidRDefault="009123AC" w:rsidP="009123AC">
      <w:pPr>
        <w:widowControl w:val="0"/>
        <w:spacing w:after="0" w:line="240" w:lineRule="auto"/>
        <w:jc w:val="both"/>
        <w:rPr>
          <w:rFonts w:ascii="Cambria" w:eastAsia="Cambria" w:hAnsi="Cambria" w:cs="Cambria"/>
          <w:color w:val="000000"/>
          <w:sz w:val="20"/>
          <w:szCs w:val="20"/>
          <w:lang w:eastAsia="fr-FR" w:bidi="fr-FR"/>
        </w:rPr>
      </w:pPr>
    </w:p>
    <w:p w14:paraId="55CC8E94" w14:textId="77777777" w:rsidR="009123AC" w:rsidRPr="00F0379B" w:rsidRDefault="009123AC" w:rsidP="009123AC">
      <w:pPr>
        <w:widowControl w:val="0"/>
        <w:spacing w:after="0" w:line="240" w:lineRule="auto"/>
        <w:jc w:val="both"/>
        <w:rPr>
          <w:rFonts w:ascii="Cambria" w:eastAsia="Cambria" w:hAnsi="Cambria" w:cs="Cambria"/>
          <w:color w:val="000000"/>
          <w:sz w:val="20"/>
          <w:szCs w:val="20"/>
          <w:lang w:eastAsia="fr-FR" w:bidi="fr-FR"/>
        </w:rPr>
      </w:pPr>
      <w:r w:rsidRPr="00F0379B">
        <w:rPr>
          <w:rFonts w:ascii="Cambria" w:eastAsia="MS Gothic" w:hAnsi="Cambria" w:cs="Times New Roman"/>
          <w:color w:val="000000"/>
          <w:sz w:val="20"/>
          <w:szCs w:val="24"/>
          <w:lang w:eastAsia="fr-FR" w:bidi="fr-FR"/>
        </w:rPr>
        <w:t>Los pescadores de recreo en Inglaterra están sujetos a la obligación de informar sobre los horarios de actividad, las ubicaciones y el número de peces capturados, incluyendo su talla y el tiempo de lucha. También se recomienda encarecidamente a los pescadores de recreo que cumplan el Código de Conducta del Atún Rojo (https://ukbfta.co.uk/), que establece las mejores prácticas para la pesquería; este código abarca la manipulación de los peces para garantizar la máxima supervivencia de los que se liberan. El Código de Conducta del Atún Rojo del este se ha desarrollado gracias a la estrecha colaboración entre el Gobierno del Reino Unido, el Cefas, Natural England y los representantes de las partes interesadas. Se está desarrollando una formación sobre el código de conducta y la intención es que sea obligatoria para todos los pescadores de recreo de Inglaterra en 2026. Otras administraciones del Reino Unido también están considerando la posibilidad de introducir una formación obligatoria para los pescadores de recreo.</w:t>
      </w:r>
    </w:p>
    <w:p w14:paraId="238696A3" w14:textId="77777777" w:rsidR="009123AC" w:rsidRPr="00F0379B" w:rsidRDefault="009123AC" w:rsidP="009123AC">
      <w:pPr>
        <w:widowControl w:val="0"/>
        <w:spacing w:after="0" w:line="240" w:lineRule="auto"/>
        <w:jc w:val="both"/>
        <w:rPr>
          <w:rFonts w:ascii="Cambria" w:eastAsia="Cambria" w:hAnsi="Cambria" w:cs="Cambria"/>
          <w:color w:val="000000"/>
          <w:sz w:val="12"/>
          <w:szCs w:val="12"/>
          <w:lang w:eastAsia="fr-FR" w:bidi="fr-FR"/>
        </w:rPr>
      </w:pPr>
      <w:r w:rsidRPr="00F0379B">
        <w:rPr>
          <w:rFonts w:ascii="Cambria" w:eastAsia="MS Gothic" w:hAnsi="Cambria" w:cs="Times New Roman"/>
          <w:color w:val="000000"/>
          <w:sz w:val="12"/>
          <w:szCs w:val="24"/>
          <w:lang w:eastAsia="fr-FR" w:bidi="fr-FR"/>
        </w:rPr>
        <w:t xml:space="preserve"> </w:t>
      </w:r>
    </w:p>
    <w:p w14:paraId="7D4DC101" w14:textId="77777777" w:rsidR="009123AC" w:rsidRPr="00F0379B" w:rsidRDefault="009123AC" w:rsidP="009123AC">
      <w:pPr>
        <w:widowControl w:val="0"/>
        <w:spacing w:after="0" w:line="240" w:lineRule="auto"/>
        <w:jc w:val="both"/>
        <w:rPr>
          <w:rFonts w:ascii="Cambria" w:eastAsia="Cambria" w:hAnsi="Cambria" w:cs="Cambria"/>
          <w:color w:val="000000"/>
          <w:sz w:val="20"/>
          <w:szCs w:val="20"/>
          <w:lang w:eastAsia="fr-FR" w:bidi="fr-FR"/>
        </w:rPr>
      </w:pPr>
      <w:r w:rsidRPr="00F0379B">
        <w:rPr>
          <w:rFonts w:ascii="Cambria" w:eastAsia="MS Gothic" w:hAnsi="Cambria" w:cs="Times New Roman"/>
          <w:color w:val="000000"/>
          <w:sz w:val="20"/>
          <w:szCs w:val="24"/>
          <w:lang w:eastAsia="fr-FR" w:bidi="fr-FR"/>
        </w:rPr>
        <w:t>Cualquier mortalidad incidental asociada con el programa CHART será notificada a la Administración pesquera pertinente del Reino Unido inmediatamente y cualquier atún rojo del este muerto será llevado a la costa para realizar un muestreo biológico en apoyo de la investigación. No estará permitido ofrecer dichos peces para la venta. Como parte del programa, se aplicarán una serie de medidas de seguimiento, entre las que se incluyen el objetivo de una cobertura de observadores de hasta el 5 % y, cuando sea posible, la grabación en vídeo de la captura. Se implementarán mecanismos para detener, perfeccionar y, en caso necesario, cerrar el programa si existe el riesgo de que la mortalidad accidental supere la cuota asignada. Los datos del programa CHART se comunicarán en las 24 h posteriores para que las capturas y las muertes incidentales puedan ser evaluadas casi en tiempo real.</w:t>
      </w:r>
    </w:p>
    <w:p w14:paraId="2AF242BE" w14:textId="77777777" w:rsidR="009123AC" w:rsidRPr="00F0379B" w:rsidRDefault="009123AC" w:rsidP="009123AC">
      <w:pPr>
        <w:widowControl w:val="0"/>
        <w:spacing w:after="0" w:line="240" w:lineRule="auto"/>
        <w:jc w:val="both"/>
        <w:rPr>
          <w:rFonts w:ascii="Cambria" w:eastAsia="Cambria" w:hAnsi="Cambria" w:cs="Cambria"/>
          <w:color w:val="000000"/>
          <w:sz w:val="20"/>
          <w:szCs w:val="20"/>
          <w:lang w:eastAsia="fr-FR" w:bidi="fr-FR"/>
        </w:rPr>
      </w:pPr>
    </w:p>
    <w:p w14:paraId="2AF744C6" w14:textId="77777777" w:rsidR="009123AC" w:rsidRPr="00F0379B" w:rsidRDefault="009123AC" w:rsidP="009123AC">
      <w:pPr>
        <w:widowControl w:val="0"/>
        <w:spacing w:after="0" w:line="240" w:lineRule="auto"/>
        <w:ind w:left="426" w:hanging="426"/>
        <w:rPr>
          <w:rFonts w:ascii="Cambria" w:eastAsia="MS Gothic" w:hAnsi="Cambria" w:cs="Times New Roman"/>
          <w:b/>
          <w:i/>
          <w:color w:val="000000"/>
          <w:sz w:val="20"/>
          <w:szCs w:val="20"/>
          <w:lang w:eastAsia="fr-FR" w:bidi="fr-FR"/>
        </w:rPr>
      </w:pPr>
      <w:r w:rsidRPr="00F0379B">
        <w:rPr>
          <w:rFonts w:ascii="Cambria" w:eastAsia="MS Gothic" w:hAnsi="Cambria" w:cs="Times New Roman"/>
          <w:b/>
          <w:i/>
          <w:color w:val="000000"/>
          <w:sz w:val="20"/>
          <w:szCs w:val="24"/>
          <w:lang w:eastAsia="fr-FR" w:bidi="fr-FR"/>
        </w:rPr>
        <w:t>5 b) Programa conjunto de Inspección internacional (párrs. 232-235)</w:t>
      </w:r>
    </w:p>
    <w:p w14:paraId="6B1619EC" w14:textId="77777777" w:rsidR="009123AC" w:rsidRPr="00F0379B" w:rsidRDefault="009123AC" w:rsidP="009123AC">
      <w:pPr>
        <w:widowControl w:val="0"/>
        <w:spacing w:after="0" w:line="240" w:lineRule="auto"/>
        <w:rPr>
          <w:rFonts w:ascii="Cambria" w:eastAsia="MS Gothic" w:hAnsi="Cambria" w:cs="Times New Roman"/>
          <w:b/>
          <w:i/>
          <w:color w:val="000000"/>
          <w:sz w:val="20"/>
          <w:szCs w:val="20"/>
          <w:lang w:eastAsia="fr-FR" w:bidi="fr-FR"/>
        </w:rPr>
      </w:pPr>
    </w:p>
    <w:p w14:paraId="49ED6334"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El Reino Unido no participa en el programa de inspección conjunta. Las autoridades del Reino Unido encargadas de controlar el cumplimiento de la normativa han llevado a cabo una evaluación de riesgos y han concluido que el riesgo de incumplimiento en alta mar por parte de los buques de pesca de atún rojo del este del Reino Unido es nulo. Esto se debe a que todos los buques comerciales de atún rojo del este del Reino Unido realizan mareas diarias y, por lo tanto, operan habitualmente dentro de las aguas territoriales del Reino Unido (a menos de 12 millas náuticas de la costa); no hay actividad fuera de la ZEE del Reino Unido. Nuestra actividad de control del cumplimiento de la normativa se centra en las aguas en las que operan los buques de atún rojo del este del Reino Unido y en los puertos en los que desembarcan.</w:t>
      </w:r>
    </w:p>
    <w:p w14:paraId="33038E18"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2A6EFE25"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4"/>
          <w:lang w:eastAsia="fr-FR" w:bidi="fr-FR"/>
        </w:rPr>
      </w:pPr>
      <w:r w:rsidRPr="00F0379B">
        <w:rPr>
          <w:rFonts w:ascii="Cambria" w:eastAsia="MS Gothic" w:hAnsi="Cambria" w:cs="Times New Roman"/>
          <w:color w:val="000000"/>
          <w:sz w:val="20"/>
          <w:szCs w:val="24"/>
          <w:lang w:eastAsia="fr-FR" w:bidi="fr-FR"/>
        </w:rPr>
        <w:t xml:space="preserve">Como se detalla anteriormente en el plan de seguimiento, control e inspección del Reino Unido, este país cuenta con una sólida presencia de inspección en sus pesquerías de atún rojo del este. En el primer y segundo año de la pesquería comercial de atún rojo del este del Reino Unido, 2023 y 2024, las tasas de inspección de los desembarques de atún rojo del este en Inglaterra fueron del 30 % y del 15 %, respectivamente. Las tasas de inspección de peces individuales en 2023 fueron del 19 % y en 2024 del 34 %. Estas cifras demuestran que el Reino Unido está comprometido con una ordenación cuidadosa, ya que las tasas de inspección de los desembarques de atún rojo del este en Inglaterra han disminuido debido al aumento del número de desembarques de peces, al mayor cumplimiento de la normativa por parte de la industria y al despliegue de recursos para hacer cumplir la normativa, en consonancia con un enfoque basado en el riesgo, a medida que se ha ido desarrollando la pesquería en el Reino Unido. </w:t>
      </w:r>
    </w:p>
    <w:p w14:paraId="7F189998"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p>
    <w:p w14:paraId="6DC95959" w14:textId="77777777" w:rsidR="009123AC" w:rsidRPr="00F0379B" w:rsidRDefault="009123AC" w:rsidP="009123AC">
      <w:pPr>
        <w:widowControl w:val="0"/>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4"/>
          <w:lang w:eastAsia="fr-FR" w:bidi="fr-FR"/>
        </w:rPr>
        <w:t>En 2025, la tasa de inspección de los desembarques de atún rojo del este en Inglaterra fue del 32 %, y la tasa de inspección de peces individuales fue del 34 %. Además, en 2025 se realizaron cinco inspecciones en el mar de embarcaciones de recreo y dos inspecciones en el mar de embarcaciones comerciales, sin que se detectaran infracciones. En 2026, el Reino Unido tiene previsto desplegar recursos para el control del cumplimiento de la normativa de conformidad con un enfoque basado en el riesgo a medida que crezca la pesquería, con una cobertura de inspección similar a la alcanzada en los últimos tres años.</w:t>
      </w:r>
    </w:p>
    <w:p w14:paraId="6075925B" w14:textId="77777777" w:rsidR="009123AC" w:rsidRPr="00F0379B" w:rsidRDefault="009123AC" w:rsidP="009123AC">
      <w:pPr>
        <w:widowControl w:val="0"/>
        <w:spacing w:after="0" w:line="240" w:lineRule="auto"/>
        <w:jc w:val="both"/>
        <w:rPr>
          <w:rFonts w:ascii="Cambria" w:eastAsia="MS Gothic" w:hAnsi="Cambria" w:cs="Times New Roman"/>
          <w:i/>
          <w:color w:val="000000"/>
          <w:sz w:val="20"/>
          <w:szCs w:val="20"/>
          <w:lang w:eastAsia="fr-FR" w:bidi="fr-FR"/>
        </w:rPr>
      </w:pPr>
    </w:p>
    <w:p w14:paraId="197CA3F9" w14:textId="77777777" w:rsidR="009123AC" w:rsidRPr="00F0379B" w:rsidRDefault="009123AC" w:rsidP="009123AC">
      <w:pPr>
        <w:widowControl w:val="0"/>
        <w:spacing w:after="0" w:line="240" w:lineRule="auto"/>
        <w:jc w:val="both"/>
        <w:rPr>
          <w:rFonts w:ascii="Cambria" w:eastAsia="MS Gothic" w:hAnsi="Cambria" w:cs="Times New Roman"/>
          <w:i/>
          <w:color w:val="000000"/>
          <w:sz w:val="20"/>
          <w:szCs w:val="20"/>
          <w:lang w:eastAsia="fr-FR" w:bidi="fr-FR"/>
        </w:rPr>
      </w:pPr>
    </w:p>
    <w:p w14:paraId="5DAB450C" w14:textId="77777777" w:rsidR="009123AC" w:rsidRPr="00F0379B" w:rsidRDefault="009123AC" w:rsidP="009123AC">
      <w:pPr>
        <w:widowControl w:val="0"/>
        <w:tabs>
          <w:tab w:val="left" w:pos="426"/>
        </w:tabs>
        <w:spacing w:after="0" w:line="240" w:lineRule="auto"/>
        <w:jc w:val="both"/>
        <w:rPr>
          <w:rFonts w:ascii="Cambria" w:eastAsia="MS Gothic" w:hAnsi="Cambria" w:cs="Times New Roman"/>
          <w:b/>
          <w:color w:val="000000"/>
          <w:sz w:val="20"/>
          <w:szCs w:val="20"/>
          <w:lang w:eastAsia="fr-FR" w:bidi="fr-FR"/>
        </w:rPr>
      </w:pPr>
      <w:r w:rsidRPr="00F0379B">
        <w:rPr>
          <w:rFonts w:ascii="Cambria" w:eastAsia="MS Gothic" w:hAnsi="Cambria" w:cs="Times New Roman"/>
          <w:b/>
          <w:color w:val="000000"/>
          <w:sz w:val="20"/>
          <w:szCs w:val="24"/>
          <w:lang w:eastAsia="fr-FR" w:bidi="fr-FR"/>
        </w:rPr>
        <w:t xml:space="preserve">6. </w:t>
      </w:r>
      <w:r w:rsidRPr="00F0379B">
        <w:rPr>
          <w:rFonts w:ascii="Cambria" w:eastAsia="MS Gothic" w:hAnsi="Cambria" w:cs="Times New Roman"/>
          <w:b/>
          <w:color w:val="000000"/>
          <w:sz w:val="20"/>
          <w:szCs w:val="24"/>
          <w:lang w:eastAsia="fr-FR" w:bidi="fr-FR"/>
        </w:rPr>
        <w:tab/>
        <w:t>Otros</w:t>
      </w:r>
    </w:p>
    <w:p w14:paraId="0E84C30A" w14:textId="77777777" w:rsidR="009123AC" w:rsidRPr="00F0379B" w:rsidRDefault="009123AC" w:rsidP="009123AC">
      <w:pPr>
        <w:widowControl w:val="0"/>
        <w:spacing w:after="0" w:line="240" w:lineRule="auto"/>
        <w:jc w:val="both"/>
        <w:rPr>
          <w:rFonts w:ascii="Cambria" w:eastAsia="MS Gothic" w:hAnsi="Cambria" w:cs="Times New Roman"/>
          <w:b/>
          <w:color w:val="000000"/>
          <w:sz w:val="20"/>
          <w:szCs w:val="20"/>
          <w:lang w:eastAsia="fr-FR" w:bidi="fr-FR"/>
        </w:rPr>
      </w:pPr>
    </w:p>
    <w:p w14:paraId="163B1CC5" w14:textId="77777777" w:rsidR="009123AC" w:rsidRPr="00F0379B" w:rsidRDefault="009123AC" w:rsidP="009123AC">
      <w:pPr>
        <w:spacing w:after="0" w:line="240" w:lineRule="auto"/>
        <w:jc w:val="both"/>
        <w:rPr>
          <w:rFonts w:ascii="Times New Roman" w:eastAsia="MS Gothic" w:hAnsi="Times New Roman" w:cs="Times New Roman"/>
          <w:color w:val="000000"/>
          <w:sz w:val="24"/>
          <w:szCs w:val="24"/>
          <w:lang w:eastAsia="fr-FR" w:bidi="fr-FR"/>
        </w:rPr>
      </w:pPr>
      <w:r w:rsidRPr="00F0379B">
        <w:rPr>
          <w:rFonts w:ascii="Cambria" w:eastAsia="MS Gothic" w:hAnsi="Cambria" w:cs="Times New Roman"/>
          <w:color w:val="000000"/>
          <w:sz w:val="20"/>
          <w:szCs w:val="24"/>
          <w:lang w:eastAsia="fr-FR" w:bidi="fr-FR"/>
        </w:rPr>
        <w:t>El Reino Unido está valorando su capacidad para continuar las investigaciones que generen información y conocimientos sobre la residencia, las migraciones y el comportamiento del atún rojo que se encuentra en aguas británicas. Todos los trabajos de marcado y muestreo de este programa se realizarán de acuerdo y en coherencia con los protocolos y técnicas del GBYP, y contribuyen a los objetivos de investigación del GBYP. El Reino Unido solicitará cobertura de la tolerancia de mortalidad para la investigación (RMA) de ICCAT para tener en cuenta cualquier mortalidad asociada a esta investigación.</w:t>
      </w:r>
    </w:p>
    <w:p w14:paraId="74CB65A4" w14:textId="77777777" w:rsidR="009123AC" w:rsidRPr="00F0379B" w:rsidRDefault="009123AC" w:rsidP="009123AC">
      <w:pPr>
        <w:spacing w:after="0" w:line="240" w:lineRule="auto"/>
        <w:jc w:val="both"/>
        <w:rPr>
          <w:rFonts w:ascii="Cambria" w:eastAsia="Cambria" w:hAnsi="Cambria" w:cs="Cambria"/>
          <w:color w:val="000000"/>
          <w:sz w:val="20"/>
          <w:szCs w:val="20"/>
          <w:lang w:eastAsia="fr-FR" w:bidi="fr-FR"/>
        </w:rPr>
      </w:pPr>
    </w:p>
    <w:p w14:paraId="3A0727A2" w14:textId="77777777" w:rsidR="009123AC" w:rsidRPr="00F0379B" w:rsidRDefault="009123AC" w:rsidP="009123AC">
      <w:pPr>
        <w:spacing w:after="0" w:line="240" w:lineRule="auto"/>
        <w:rPr>
          <w:rFonts w:ascii="Cambria" w:eastAsia="MS Gothic" w:hAnsi="Cambria" w:cs="Times New Roman"/>
          <w:i/>
          <w:color w:val="000000"/>
          <w:sz w:val="20"/>
          <w:szCs w:val="20"/>
          <w:lang w:eastAsia="fr-FR" w:bidi="fr-FR"/>
        </w:rPr>
        <w:sectPr w:rsidR="009123AC" w:rsidRPr="00F0379B" w:rsidSect="009123AC">
          <w:headerReference w:type="default" r:id="rId239"/>
          <w:footerReference w:type="default" r:id="rId240"/>
          <w:pgSz w:w="11906" w:h="16838" w:code="9"/>
          <w:pgMar w:top="1418" w:right="1418" w:bottom="1418" w:left="1418" w:header="851" w:footer="1134" w:gutter="0"/>
          <w:cols w:space="425"/>
          <w:docGrid w:linePitch="360"/>
        </w:sectPr>
      </w:pPr>
    </w:p>
    <w:p w14:paraId="3F8850C9" w14:textId="77777777" w:rsidR="009123AC" w:rsidRPr="00F0379B" w:rsidRDefault="009123AC" w:rsidP="009123AC">
      <w:pPr>
        <w:spacing w:after="0" w:line="240" w:lineRule="auto"/>
        <w:rPr>
          <w:rFonts w:ascii="Cambria" w:eastAsia="MS Gothic" w:hAnsi="Cambria" w:cs="Times New Roman"/>
          <w:b/>
          <w:color w:val="000000"/>
          <w:sz w:val="20"/>
          <w:szCs w:val="20"/>
          <w:lang w:eastAsia="fr-FR" w:bidi="fr-FR"/>
        </w:rPr>
      </w:pPr>
      <w:r w:rsidRPr="00F0379B">
        <w:rPr>
          <w:rFonts w:ascii="Cambria" w:eastAsia="MS Gothic" w:hAnsi="Cambria" w:cs="Times New Roman"/>
          <w:b/>
          <w:color w:val="000000"/>
          <w:sz w:val="20"/>
          <w:szCs w:val="24"/>
          <w:lang w:eastAsia="fr-FR" w:bidi="fr-FR"/>
        </w:rPr>
        <w:t>Tabla de capacidad</w:t>
      </w:r>
    </w:p>
    <w:tbl>
      <w:tblPr>
        <w:tblW w:w="15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692"/>
        <w:gridCol w:w="615"/>
        <w:gridCol w:w="615"/>
        <w:gridCol w:w="615"/>
        <w:gridCol w:w="615"/>
        <w:gridCol w:w="615"/>
        <w:gridCol w:w="615"/>
        <w:gridCol w:w="615"/>
        <w:gridCol w:w="256"/>
        <w:gridCol w:w="615"/>
        <w:gridCol w:w="615"/>
        <w:gridCol w:w="653"/>
        <w:gridCol w:w="851"/>
        <w:gridCol w:w="1201"/>
        <w:gridCol w:w="888"/>
        <w:gridCol w:w="951"/>
      </w:tblGrid>
      <w:tr w:rsidR="009123AC" w:rsidRPr="00F0379B" w14:paraId="51826DCA" w14:textId="77777777" w:rsidTr="00CA749B">
        <w:trPr>
          <w:trHeight w:val="20"/>
        </w:trPr>
        <w:tc>
          <w:tcPr>
            <w:tcW w:w="3256" w:type="dxa"/>
            <w:noWrap/>
            <w:vAlign w:val="center"/>
            <w:hideMark/>
          </w:tcPr>
          <w:p w14:paraId="6B900E2D" w14:textId="77777777" w:rsidR="009123AC" w:rsidRPr="00F0379B" w:rsidRDefault="009123AC" w:rsidP="009123AC">
            <w:pPr>
              <w:widowControl w:val="0"/>
              <w:spacing w:after="0" w:line="240" w:lineRule="auto"/>
              <w:jc w:val="center"/>
              <w:rPr>
                <w:rFonts w:ascii="Cambria" w:eastAsia="MS Gothic" w:hAnsi="Cambria" w:cs="Times New Roman"/>
                <w:i/>
                <w:color w:val="000000"/>
                <w:sz w:val="18"/>
                <w:szCs w:val="18"/>
                <w:lang w:eastAsia="fr-FR" w:bidi="fr-FR"/>
              </w:rPr>
            </w:pPr>
            <w:r w:rsidRPr="00F0379B">
              <w:rPr>
                <w:rFonts w:ascii="Cambria" w:eastAsia="MS Gothic" w:hAnsi="Cambria" w:cs="Times New Roman"/>
                <w:i/>
                <w:color w:val="000000"/>
                <w:sz w:val="18"/>
                <w:szCs w:val="24"/>
                <w:lang w:eastAsia="fr-FR" w:bidi="fr-FR"/>
              </w:rPr>
              <w:t>Tipo de buque atunero</w:t>
            </w:r>
          </w:p>
        </w:tc>
        <w:tc>
          <w:tcPr>
            <w:tcW w:w="1692" w:type="dxa"/>
            <w:noWrap/>
            <w:vAlign w:val="center"/>
            <w:hideMark/>
          </w:tcPr>
          <w:p w14:paraId="107CC86A"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1845" w:type="dxa"/>
            <w:gridSpan w:val="3"/>
          </w:tcPr>
          <w:p w14:paraId="1E214BEC" w14:textId="77777777" w:rsidR="009123AC" w:rsidRPr="00F0379B" w:rsidRDefault="009123AC" w:rsidP="009123AC">
            <w:pPr>
              <w:widowControl w:val="0"/>
              <w:spacing w:after="0" w:line="240" w:lineRule="auto"/>
              <w:jc w:val="center"/>
              <w:rPr>
                <w:rFonts w:ascii="Cambria" w:eastAsia="MS Gothic" w:hAnsi="Cambria" w:cs="Times New Roman"/>
                <w:i/>
                <w:color w:val="000000"/>
                <w:sz w:val="18"/>
                <w:szCs w:val="18"/>
                <w:lang w:eastAsia="fr-FR" w:bidi="fr-FR"/>
              </w:rPr>
            </w:pPr>
            <w:r w:rsidRPr="00F0379B">
              <w:rPr>
                <w:rFonts w:ascii="Cambria" w:eastAsia="MS Gothic" w:hAnsi="Cambria" w:cs="Times New Roman"/>
                <w:i/>
                <w:color w:val="000000"/>
                <w:sz w:val="18"/>
                <w:szCs w:val="24"/>
                <w:lang w:eastAsia="fr-FR" w:bidi="fr-FR"/>
              </w:rPr>
              <w:t>Años de referencia</w:t>
            </w:r>
          </w:p>
        </w:tc>
        <w:tc>
          <w:tcPr>
            <w:tcW w:w="2460" w:type="dxa"/>
            <w:gridSpan w:val="4"/>
            <w:vAlign w:val="center"/>
          </w:tcPr>
          <w:p w14:paraId="7E6A6629"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i/>
                <w:color w:val="000000"/>
                <w:sz w:val="18"/>
                <w:szCs w:val="24"/>
                <w:lang w:eastAsia="fr-FR" w:bidi="fr-FR"/>
              </w:rPr>
              <w:t>N.º de buques</w:t>
            </w:r>
          </w:p>
        </w:tc>
        <w:tc>
          <w:tcPr>
            <w:tcW w:w="256" w:type="dxa"/>
            <w:shd w:val="clear" w:color="auto" w:fill="D9D9D9"/>
            <w:vAlign w:val="center"/>
            <w:hideMark/>
          </w:tcPr>
          <w:p w14:paraId="52DE3365"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1883" w:type="dxa"/>
            <w:gridSpan w:val="3"/>
          </w:tcPr>
          <w:p w14:paraId="31669750" w14:textId="77777777" w:rsidR="009123AC" w:rsidRPr="00F0379B" w:rsidRDefault="009123AC" w:rsidP="009123AC">
            <w:pPr>
              <w:widowControl w:val="0"/>
              <w:spacing w:after="0" w:line="240" w:lineRule="auto"/>
              <w:jc w:val="center"/>
              <w:rPr>
                <w:rFonts w:ascii="Cambria" w:eastAsia="MS Gothic" w:hAnsi="Cambria" w:cs="Times New Roman"/>
                <w:i/>
                <w:color w:val="000000"/>
                <w:sz w:val="18"/>
                <w:szCs w:val="18"/>
                <w:lang w:eastAsia="fr-FR" w:bidi="fr-FR"/>
              </w:rPr>
            </w:pPr>
            <w:r w:rsidRPr="00F0379B">
              <w:rPr>
                <w:rFonts w:ascii="Cambria" w:eastAsia="MS Gothic" w:hAnsi="Cambria" w:cs="Times New Roman"/>
                <w:i/>
                <w:color w:val="000000"/>
                <w:sz w:val="18"/>
                <w:szCs w:val="24"/>
                <w:lang w:eastAsia="fr-FR" w:bidi="fr-FR"/>
              </w:rPr>
              <w:t>Años de referencia</w:t>
            </w:r>
          </w:p>
        </w:tc>
        <w:tc>
          <w:tcPr>
            <w:tcW w:w="3891" w:type="dxa"/>
            <w:gridSpan w:val="4"/>
          </w:tcPr>
          <w:p w14:paraId="47C7A7F0" w14:textId="77777777" w:rsidR="009123AC" w:rsidRPr="00F0379B" w:rsidRDefault="009123AC" w:rsidP="009123AC">
            <w:pPr>
              <w:widowControl w:val="0"/>
              <w:spacing w:after="0" w:line="240" w:lineRule="auto"/>
              <w:jc w:val="center"/>
              <w:rPr>
                <w:rFonts w:ascii="Cambria" w:eastAsia="MS Gothic" w:hAnsi="Cambria" w:cs="Times New Roman"/>
                <w:i/>
                <w:color w:val="000000"/>
                <w:sz w:val="18"/>
                <w:szCs w:val="18"/>
                <w:lang w:eastAsia="fr-FR" w:bidi="fr-FR"/>
              </w:rPr>
            </w:pPr>
            <w:r w:rsidRPr="00F0379B">
              <w:rPr>
                <w:rFonts w:ascii="Cambria" w:eastAsia="MS Gothic" w:hAnsi="Cambria" w:cs="Times New Roman"/>
                <w:i/>
                <w:color w:val="000000"/>
                <w:sz w:val="18"/>
                <w:szCs w:val="24"/>
                <w:lang w:eastAsia="fr-FR" w:bidi="fr-FR"/>
              </w:rPr>
              <w:t>Capacidad de pesca</w:t>
            </w:r>
          </w:p>
        </w:tc>
      </w:tr>
      <w:tr w:rsidR="009123AC" w:rsidRPr="00F0379B" w14:paraId="505B28CC" w14:textId="77777777" w:rsidTr="00CA749B">
        <w:trPr>
          <w:trHeight w:val="20"/>
        </w:trPr>
        <w:tc>
          <w:tcPr>
            <w:tcW w:w="3256" w:type="dxa"/>
            <w:noWrap/>
            <w:vAlign w:val="center"/>
            <w:hideMark/>
          </w:tcPr>
          <w:p w14:paraId="13BAC2CA"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Tipo</w:t>
            </w:r>
          </w:p>
        </w:tc>
        <w:tc>
          <w:tcPr>
            <w:tcW w:w="1692" w:type="dxa"/>
            <w:vAlign w:val="center"/>
            <w:hideMark/>
          </w:tcPr>
          <w:p w14:paraId="7ECF822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xml:space="preserve">Mejores tasas de captura definidas por el SCRS en 2009 (t) </w:t>
            </w:r>
          </w:p>
          <w:p w14:paraId="79C0993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xml:space="preserve"> </w:t>
            </w:r>
          </w:p>
          <w:p w14:paraId="6CC28973"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7E200313"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2006</w:t>
            </w:r>
          </w:p>
        </w:tc>
        <w:tc>
          <w:tcPr>
            <w:tcW w:w="615" w:type="dxa"/>
            <w:noWrap/>
            <w:vAlign w:val="center"/>
            <w:hideMark/>
          </w:tcPr>
          <w:p w14:paraId="2D22EB50"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2008</w:t>
            </w:r>
          </w:p>
        </w:tc>
        <w:tc>
          <w:tcPr>
            <w:tcW w:w="615" w:type="dxa"/>
            <w:vAlign w:val="center"/>
            <w:hideMark/>
          </w:tcPr>
          <w:p w14:paraId="2FAA15D5"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2018</w:t>
            </w:r>
          </w:p>
        </w:tc>
        <w:tc>
          <w:tcPr>
            <w:tcW w:w="615" w:type="dxa"/>
            <w:vAlign w:val="center"/>
            <w:hideMark/>
          </w:tcPr>
          <w:p w14:paraId="2B1467F1"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2023</w:t>
            </w:r>
          </w:p>
        </w:tc>
        <w:tc>
          <w:tcPr>
            <w:tcW w:w="615" w:type="dxa"/>
            <w:vAlign w:val="center"/>
            <w:hideMark/>
          </w:tcPr>
          <w:p w14:paraId="48E4610A"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2024</w:t>
            </w:r>
          </w:p>
        </w:tc>
        <w:tc>
          <w:tcPr>
            <w:tcW w:w="615" w:type="dxa"/>
            <w:vAlign w:val="center"/>
          </w:tcPr>
          <w:p w14:paraId="7C6BAA53"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2025</w:t>
            </w:r>
          </w:p>
        </w:tc>
        <w:tc>
          <w:tcPr>
            <w:tcW w:w="615" w:type="dxa"/>
            <w:vAlign w:val="center"/>
          </w:tcPr>
          <w:p w14:paraId="49722F5B"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2026</w:t>
            </w:r>
          </w:p>
        </w:tc>
        <w:tc>
          <w:tcPr>
            <w:tcW w:w="256" w:type="dxa"/>
            <w:shd w:val="clear" w:color="000000" w:fill="D9D9D9"/>
            <w:vAlign w:val="center"/>
            <w:hideMark/>
          </w:tcPr>
          <w:p w14:paraId="3C8FA3FB"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6D929991"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2006</w:t>
            </w:r>
          </w:p>
        </w:tc>
        <w:tc>
          <w:tcPr>
            <w:tcW w:w="615" w:type="dxa"/>
            <w:vAlign w:val="center"/>
            <w:hideMark/>
          </w:tcPr>
          <w:p w14:paraId="2C1A3129"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2008</w:t>
            </w:r>
          </w:p>
        </w:tc>
        <w:tc>
          <w:tcPr>
            <w:tcW w:w="653" w:type="dxa"/>
            <w:vAlign w:val="center"/>
            <w:hideMark/>
          </w:tcPr>
          <w:p w14:paraId="03DCB183"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2018</w:t>
            </w:r>
          </w:p>
        </w:tc>
        <w:tc>
          <w:tcPr>
            <w:tcW w:w="851" w:type="dxa"/>
            <w:vAlign w:val="center"/>
            <w:hideMark/>
          </w:tcPr>
          <w:p w14:paraId="4492AA3C"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2023</w:t>
            </w:r>
          </w:p>
        </w:tc>
        <w:tc>
          <w:tcPr>
            <w:tcW w:w="1201" w:type="dxa"/>
            <w:vAlign w:val="center"/>
            <w:hideMark/>
          </w:tcPr>
          <w:p w14:paraId="499989C0"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2024</w:t>
            </w:r>
          </w:p>
        </w:tc>
        <w:tc>
          <w:tcPr>
            <w:tcW w:w="888" w:type="dxa"/>
            <w:vAlign w:val="center"/>
            <w:hideMark/>
          </w:tcPr>
          <w:p w14:paraId="22466F4E"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2025</w:t>
            </w:r>
          </w:p>
        </w:tc>
        <w:tc>
          <w:tcPr>
            <w:tcW w:w="951" w:type="dxa"/>
            <w:vAlign w:val="center"/>
          </w:tcPr>
          <w:p w14:paraId="0328D40A"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2026</w:t>
            </w:r>
          </w:p>
        </w:tc>
      </w:tr>
      <w:tr w:rsidR="009123AC" w:rsidRPr="00F0379B" w14:paraId="3A8FEA86" w14:textId="77777777" w:rsidTr="00CA749B">
        <w:trPr>
          <w:trHeight w:val="20"/>
        </w:trPr>
        <w:tc>
          <w:tcPr>
            <w:tcW w:w="3256" w:type="dxa"/>
            <w:noWrap/>
            <w:vAlign w:val="center"/>
            <w:hideMark/>
          </w:tcPr>
          <w:p w14:paraId="5438F78C"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sz w:val="18"/>
                <w:szCs w:val="18"/>
                <w:lang w:eastAsia="fr-FR" w:bidi="fr-FR"/>
              </w:rPr>
              <w:t>Cerqueros de más de 40 m</w:t>
            </w:r>
          </w:p>
        </w:tc>
        <w:tc>
          <w:tcPr>
            <w:tcW w:w="1692" w:type="dxa"/>
            <w:noWrap/>
            <w:vAlign w:val="center"/>
            <w:hideMark/>
          </w:tcPr>
          <w:p w14:paraId="287D93BF"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18"/>
                <w:lang w:eastAsia="fr-FR" w:bidi="fr-FR"/>
              </w:rPr>
              <w:t>70,66</w:t>
            </w:r>
          </w:p>
        </w:tc>
        <w:tc>
          <w:tcPr>
            <w:tcW w:w="615" w:type="dxa"/>
          </w:tcPr>
          <w:p w14:paraId="7499D0B6"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noWrap/>
            <w:vAlign w:val="center"/>
            <w:hideMark/>
          </w:tcPr>
          <w:p w14:paraId="4BE8DD83"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3F86CD1F"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3177F2A2"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61A3F88E"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tcPr>
          <w:p w14:paraId="6A835944"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tcPr>
          <w:p w14:paraId="4C04854E"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647AE7FC"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tcPr>
          <w:p w14:paraId="5A22A8E7"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vAlign w:val="center"/>
            <w:hideMark/>
          </w:tcPr>
          <w:p w14:paraId="7EB69781"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53" w:type="dxa"/>
            <w:vAlign w:val="center"/>
            <w:hideMark/>
          </w:tcPr>
          <w:p w14:paraId="3DDF3E27"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851" w:type="dxa"/>
            <w:vAlign w:val="center"/>
            <w:hideMark/>
          </w:tcPr>
          <w:p w14:paraId="3860359C"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1201" w:type="dxa"/>
            <w:vAlign w:val="center"/>
            <w:hideMark/>
          </w:tcPr>
          <w:p w14:paraId="5DF57A89"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888" w:type="dxa"/>
            <w:vAlign w:val="center"/>
            <w:hideMark/>
          </w:tcPr>
          <w:p w14:paraId="2D6AC3F2"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951" w:type="dxa"/>
          </w:tcPr>
          <w:p w14:paraId="73EBDD26"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r>
      <w:tr w:rsidR="009123AC" w:rsidRPr="00F0379B" w14:paraId="5133D9AB" w14:textId="77777777" w:rsidTr="00CA749B">
        <w:trPr>
          <w:trHeight w:val="20"/>
        </w:trPr>
        <w:tc>
          <w:tcPr>
            <w:tcW w:w="3256" w:type="dxa"/>
            <w:noWrap/>
            <w:vAlign w:val="center"/>
            <w:hideMark/>
          </w:tcPr>
          <w:p w14:paraId="3E24E9ED"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sz w:val="18"/>
                <w:szCs w:val="18"/>
                <w:lang w:eastAsia="fr-FR" w:bidi="fr-FR"/>
              </w:rPr>
              <w:t>Cerqueros entre 24 y 40 m</w:t>
            </w:r>
          </w:p>
        </w:tc>
        <w:tc>
          <w:tcPr>
            <w:tcW w:w="1692" w:type="dxa"/>
            <w:noWrap/>
            <w:vAlign w:val="center"/>
            <w:hideMark/>
          </w:tcPr>
          <w:p w14:paraId="292EFB5F"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18"/>
                <w:lang w:eastAsia="fr-FR" w:bidi="fr-FR"/>
              </w:rPr>
              <w:t>49,78</w:t>
            </w:r>
          </w:p>
        </w:tc>
        <w:tc>
          <w:tcPr>
            <w:tcW w:w="615" w:type="dxa"/>
          </w:tcPr>
          <w:p w14:paraId="0A6E2FED"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noWrap/>
            <w:vAlign w:val="center"/>
            <w:hideMark/>
          </w:tcPr>
          <w:p w14:paraId="4031445B"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3D1825CF"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626F4C5D"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62D187A4"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tcPr>
          <w:p w14:paraId="1B4D8216"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tcPr>
          <w:p w14:paraId="078441DD"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77DF73C7"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tcPr>
          <w:p w14:paraId="526997D9"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vAlign w:val="center"/>
            <w:hideMark/>
          </w:tcPr>
          <w:p w14:paraId="37F331BB"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53" w:type="dxa"/>
            <w:vAlign w:val="center"/>
            <w:hideMark/>
          </w:tcPr>
          <w:p w14:paraId="07C79ADE"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851" w:type="dxa"/>
            <w:vAlign w:val="center"/>
            <w:hideMark/>
          </w:tcPr>
          <w:p w14:paraId="0F8CF884"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1201" w:type="dxa"/>
            <w:vAlign w:val="center"/>
            <w:hideMark/>
          </w:tcPr>
          <w:p w14:paraId="2E268678"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888" w:type="dxa"/>
            <w:vAlign w:val="center"/>
            <w:hideMark/>
          </w:tcPr>
          <w:p w14:paraId="17016B02"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951" w:type="dxa"/>
          </w:tcPr>
          <w:p w14:paraId="2C72F528"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r>
      <w:tr w:rsidR="009123AC" w:rsidRPr="00F0379B" w14:paraId="30CAB050" w14:textId="77777777" w:rsidTr="00CA749B">
        <w:trPr>
          <w:trHeight w:val="20"/>
        </w:trPr>
        <w:tc>
          <w:tcPr>
            <w:tcW w:w="3256" w:type="dxa"/>
            <w:noWrap/>
            <w:vAlign w:val="center"/>
            <w:hideMark/>
          </w:tcPr>
          <w:p w14:paraId="4D3262AA"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sz w:val="18"/>
                <w:szCs w:val="18"/>
                <w:lang w:eastAsia="fr-FR" w:bidi="fr-FR"/>
              </w:rPr>
              <w:t>Cerqueros de menos de 24 m</w:t>
            </w:r>
          </w:p>
        </w:tc>
        <w:tc>
          <w:tcPr>
            <w:tcW w:w="1692" w:type="dxa"/>
            <w:noWrap/>
            <w:vAlign w:val="center"/>
            <w:hideMark/>
          </w:tcPr>
          <w:p w14:paraId="21000307"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18"/>
                <w:lang w:eastAsia="fr-FR" w:bidi="fr-FR"/>
              </w:rPr>
              <w:t>33,68</w:t>
            </w:r>
          </w:p>
        </w:tc>
        <w:tc>
          <w:tcPr>
            <w:tcW w:w="615" w:type="dxa"/>
          </w:tcPr>
          <w:p w14:paraId="1880F345"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noWrap/>
            <w:vAlign w:val="center"/>
            <w:hideMark/>
          </w:tcPr>
          <w:p w14:paraId="26015BBC"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1D290195"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492E7324"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160406E5"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tcPr>
          <w:p w14:paraId="3389385D"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tcPr>
          <w:p w14:paraId="324411F7"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787203D3"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tcPr>
          <w:p w14:paraId="4909A05A"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vAlign w:val="center"/>
            <w:hideMark/>
          </w:tcPr>
          <w:p w14:paraId="1159695A"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53" w:type="dxa"/>
            <w:vAlign w:val="center"/>
            <w:hideMark/>
          </w:tcPr>
          <w:p w14:paraId="2E2B4E34"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851" w:type="dxa"/>
            <w:vAlign w:val="center"/>
            <w:hideMark/>
          </w:tcPr>
          <w:p w14:paraId="4E63F6AF"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1201" w:type="dxa"/>
            <w:vAlign w:val="center"/>
            <w:hideMark/>
          </w:tcPr>
          <w:p w14:paraId="6BFB7096"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888" w:type="dxa"/>
            <w:vAlign w:val="center"/>
            <w:hideMark/>
          </w:tcPr>
          <w:p w14:paraId="281B229B"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951" w:type="dxa"/>
          </w:tcPr>
          <w:p w14:paraId="340B4E61"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r>
      <w:tr w:rsidR="009123AC" w:rsidRPr="00F0379B" w14:paraId="3909B62C" w14:textId="77777777" w:rsidTr="00CA749B">
        <w:trPr>
          <w:trHeight w:val="20"/>
        </w:trPr>
        <w:tc>
          <w:tcPr>
            <w:tcW w:w="3256" w:type="dxa"/>
            <w:noWrap/>
            <w:vAlign w:val="center"/>
            <w:hideMark/>
          </w:tcPr>
          <w:p w14:paraId="6ADAB511"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sz w:val="18"/>
                <w:szCs w:val="18"/>
                <w:lang w:eastAsia="fr-FR" w:bidi="fr-FR"/>
              </w:rPr>
              <w:t>Total flota de cerco</w:t>
            </w:r>
          </w:p>
        </w:tc>
        <w:tc>
          <w:tcPr>
            <w:tcW w:w="1692" w:type="dxa"/>
            <w:noWrap/>
            <w:vAlign w:val="center"/>
            <w:hideMark/>
          </w:tcPr>
          <w:p w14:paraId="63613C5E"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18"/>
                <w:lang w:eastAsia="fr-FR" w:bidi="fr-FR"/>
              </w:rPr>
              <w:t> </w:t>
            </w:r>
          </w:p>
        </w:tc>
        <w:tc>
          <w:tcPr>
            <w:tcW w:w="615" w:type="dxa"/>
          </w:tcPr>
          <w:p w14:paraId="2455D145"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noWrap/>
            <w:vAlign w:val="center"/>
            <w:hideMark/>
          </w:tcPr>
          <w:p w14:paraId="0B4A05DB"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vAlign w:val="center"/>
            <w:hideMark/>
          </w:tcPr>
          <w:p w14:paraId="31CF6878"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vAlign w:val="center"/>
            <w:hideMark/>
          </w:tcPr>
          <w:p w14:paraId="7CE78920"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vAlign w:val="center"/>
            <w:hideMark/>
          </w:tcPr>
          <w:p w14:paraId="5984800B"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tcPr>
          <w:p w14:paraId="4B3103BB"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tcPr>
          <w:p w14:paraId="3268FFB1"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0125EC37"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tcPr>
          <w:p w14:paraId="26E3B553"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vAlign w:val="center"/>
            <w:hideMark/>
          </w:tcPr>
          <w:p w14:paraId="08B0059A"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53" w:type="dxa"/>
            <w:vAlign w:val="center"/>
            <w:hideMark/>
          </w:tcPr>
          <w:p w14:paraId="63D398C2"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851" w:type="dxa"/>
            <w:vAlign w:val="center"/>
            <w:hideMark/>
          </w:tcPr>
          <w:p w14:paraId="47982853"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1201" w:type="dxa"/>
            <w:vAlign w:val="center"/>
            <w:hideMark/>
          </w:tcPr>
          <w:p w14:paraId="334FD238"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888" w:type="dxa"/>
            <w:vAlign w:val="center"/>
            <w:hideMark/>
          </w:tcPr>
          <w:p w14:paraId="18406E8F"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951" w:type="dxa"/>
          </w:tcPr>
          <w:p w14:paraId="7ADE30F9"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r>
      <w:tr w:rsidR="009123AC" w:rsidRPr="00F0379B" w14:paraId="17AAE552" w14:textId="77777777" w:rsidTr="00CA749B">
        <w:trPr>
          <w:trHeight w:val="20"/>
        </w:trPr>
        <w:tc>
          <w:tcPr>
            <w:tcW w:w="3256" w:type="dxa"/>
            <w:noWrap/>
            <w:vAlign w:val="center"/>
            <w:hideMark/>
          </w:tcPr>
          <w:p w14:paraId="449E773F"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sz w:val="18"/>
                <w:szCs w:val="18"/>
                <w:lang w:eastAsia="fr-FR" w:bidi="fr-FR"/>
              </w:rPr>
              <w:t>Palangreros de más de 40 m</w:t>
            </w:r>
          </w:p>
        </w:tc>
        <w:tc>
          <w:tcPr>
            <w:tcW w:w="1692" w:type="dxa"/>
            <w:noWrap/>
            <w:vAlign w:val="center"/>
            <w:hideMark/>
          </w:tcPr>
          <w:p w14:paraId="0E518DBF"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18"/>
                <w:lang w:eastAsia="fr-FR" w:bidi="fr-FR"/>
              </w:rPr>
              <w:t>25</w:t>
            </w:r>
          </w:p>
        </w:tc>
        <w:tc>
          <w:tcPr>
            <w:tcW w:w="615" w:type="dxa"/>
          </w:tcPr>
          <w:p w14:paraId="69B79467"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noWrap/>
            <w:vAlign w:val="center"/>
            <w:hideMark/>
          </w:tcPr>
          <w:p w14:paraId="42C52037"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1F71ADEE"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672A5608"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5E335130"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tcPr>
          <w:p w14:paraId="71BE87EF"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tcPr>
          <w:p w14:paraId="3571D270"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6AA2DAD7"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tcPr>
          <w:p w14:paraId="04B2673D"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vAlign w:val="center"/>
            <w:hideMark/>
          </w:tcPr>
          <w:p w14:paraId="4B2F4FAC"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53" w:type="dxa"/>
            <w:vAlign w:val="center"/>
            <w:hideMark/>
          </w:tcPr>
          <w:p w14:paraId="71106262"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851" w:type="dxa"/>
            <w:vAlign w:val="center"/>
            <w:hideMark/>
          </w:tcPr>
          <w:p w14:paraId="1C9B2ED5"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1201" w:type="dxa"/>
            <w:vAlign w:val="center"/>
            <w:hideMark/>
          </w:tcPr>
          <w:p w14:paraId="08606425"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888" w:type="dxa"/>
            <w:vAlign w:val="center"/>
            <w:hideMark/>
          </w:tcPr>
          <w:p w14:paraId="74EE8CD8"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951" w:type="dxa"/>
          </w:tcPr>
          <w:p w14:paraId="7E9E3D84"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r>
      <w:tr w:rsidR="009123AC" w:rsidRPr="00F0379B" w14:paraId="4185E2BD" w14:textId="77777777" w:rsidTr="00CA749B">
        <w:trPr>
          <w:trHeight w:val="20"/>
        </w:trPr>
        <w:tc>
          <w:tcPr>
            <w:tcW w:w="3256" w:type="dxa"/>
            <w:noWrap/>
            <w:vAlign w:val="center"/>
            <w:hideMark/>
          </w:tcPr>
          <w:p w14:paraId="122C31B7"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sz w:val="18"/>
                <w:szCs w:val="18"/>
                <w:lang w:eastAsia="fr-FR" w:bidi="fr-FR"/>
              </w:rPr>
              <w:t>Palangreros entre 24 y 40 m</w:t>
            </w:r>
          </w:p>
        </w:tc>
        <w:tc>
          <w:tcPr>
            <w:tcW w:w="1692" w:type="dxa"/>
            <w:noWrap/>
            <w:vAlign w:val="center"/>
            <w:hideMark/>
          </w:tcPr>
          <w:p w14:paraId="447BF26D"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18"/>
                <w:lang w:eastAsia="fr-FR" w:bidi="fr-FR"/>
              </w:rPr>
              <w:t>5,68</w:t>
            </w:r>
          </w:p>
        </w:tc>
        <w:tc>
          <w:tcPr>
            <w:tcW w:w="615" w:type="dxa"/>
          </w:tcPr>
          <w:p w14:paraId="62101B3C"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noWrap/>
            <w:vAlign w:val="center"/>
            <w:hideMark/>
          </w:tcPr>
          <w:p w14:paraId="1EF1AC42"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386A2330"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5AD4BFA7"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2EC953FE"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7CA80771"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553287E4"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0E9409D3"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6049AEE1"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05C6D5AB"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53" w:type="dxa"/>
            <w:vAlign w:val="center"/>
            <w:hideMark/>
          </w:tcPr>
          <w:p w14:paraId="37FFB220"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851" w:type="dxa"/>
            <w:vAlign w:val="center"/>
            <w:hideMark/>
          </w:tcPr>
          <w:p w14:paraId="67614785"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1201" w:type="dxa"/>
            <w:vAlign w:val="center"/>
            <w:hideMark/>
          </w:tcPr>
          <w:p w14:paraId="1A01A79D"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888" w:type="dxa"/>
            <w:vAlign w:val="center"/>
            <w:hideMark/>
          </w:tcPr>
          <w:p w14:paraId="4C87F3E6"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951" w:type="dxa"/>
            <w:vAlign w:val="center"/>
          </w:tcPr>
          <w:p w14:paraId="16A48B6F"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r>
      <w:tr w:rsidR="009123AC" w:rsidRPr="00F0379B" w14:paraId="34CFF171" w14:textId="77777777" w:rsidTr="00CA749B">
        <w:trPr>
          <w:trHeight w:val="20"/>
        </w:trPr>
        <w:tc>
          <w:tcPr>
            <w:tcW w:w="3256" w:type="dxa"/>
            <w:noWrap/>
            <w:vAlign w:val="center"/>
            <w:hideMark/>
          </w:tcPr>
          <w:p w14:paraId="48583617"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sz w:val="18"/>
                <w:szCs w:val="18"/>
                <w:lang w:eastAsia="fr-FR" w:bidi="fr-FR"/>
              </w:rPr>
              <w:t>Palangreros de menos de 24 m</w:t>
            </w:r>
          </w:p>
        </w:tc>
        <w:tc>
          <w:tcPr>
            <w:tcW w:w="1692" w:type="dxa"/>
            <w:noWrap/>
            <w:vAlign w:val="center"/>
            <w:hideMark/>
          </w:tcPr>
          <w:p w14:paraId="7B1FEA7E"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18"/>
                <w:lang w:eastAsia="fr-FR" w:bidi="fr-FR"/>
              </w:rPr>
              <w:t>5</w:t>
            </w:r>
          </w:p>
        </w:tc>
        <w:tc>
          <w:tcPr>
            <w:tcW w:w="615" w:type="dxa"/>
          </w:tcPr>
          <w:p w14:paraId="1273D152"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noWrap/>
            <w:vAlign w:val="center"/>
            <w:hideMark/>
          </w:tcPr>
          <w:p w14:paraId="0031FFD9"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1930DF22"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02ECD0C8"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521237B1"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1FEF65B1"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3E1CF292"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77929883"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4DF1D2C0"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512EDEA6"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53" w:type="dxa"/>
            <w:vAlign w:val="center"/>
            <w:hideMark/>
          </w:tcPr>
          <w:p w14:paraId="0E206A6A"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851" w:type="dxa"/>
            <w:vAlign w:val="center"/>
            <w:hideMark/>
          </w:tcPr>
          <w:p w14:paraId="0C9F0B66"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1201" w:type="dxa"/>
            <w:vAlign w:val="center"/>
            <w:hideMark/>
          </w:tcPr>
          <w:p w14:paraId="4C8505F2"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888" w:type="dxa"/>
            <w:vAlign w:val="center"/>
            <w:hideMark/>
          </w:tcPr>
          <w:p w14:paraId="2641F01B"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951" w:type="dxa"/>
            <w:vAlign w:val="center"/>
          </w:tcPr>
          <w:p w14:paraId="4AA4F175"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r>
      <w:tr w:rsidR="009123AC" w:rsidRPr="00F0379B" w14:paraId="2F96031E" w14:textId="77777777" w:rsidTr="00CA749B">
        <w:trPr>
          <w:trHeight w:val="20"/>
        </w:trPr>
        <w:tc>
          <w:tcPr>
            <w:tcW w:w="3256" w:type="dxa"/>
            <w:noWrap/>
            <w:vAlign w:val="center"/>
            <w:hideMark/>
          </w:tcPr>
          <w:p w14:paraId="286E5105"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sz w:val="18"/>
                <w:szCs w:val="18"/>
                <w:lang w:eastAsia="fr-FR" w:bidi="fr-FR"/>
              </w:rPr>
              <w:t>Total flota de palangre</w:t>
            </w:r>
          </w:p>
        </w:tc>
        <w:tc>
          <w:tcPr>
            <w:tcW w:w="1692" w:type="dxa"/>
            <w:noWrap/>
            <w:vAlign w:val="center"/>
            <w:hideMark/>
          </w:tcPr>
          <w:p w14:paraId="2B2705E8"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18"/>
                <w:lang w:eastAsia="fr-FR" w:bidi="fr-FR"/>
              </w:rPr>
              <w:t> </w:t>
            </w:r>
          </w:p>
        </w:tc>
        <w:tc>
          <w:tcPr>
            <w:tcW w:w="615" w:type="dxa"/>
          </w:tcPr>
          <w:p w14:paraId="131A6E00"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noWrap/>
            <w:vAlign w:val="center"/>
            <w:hideMark/>
          </w:tcPr>
          <w:p w14:paraId="77FAABDF"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vAlign w:val="center"/>
            <w:hideMark/>
          </w:tcPr>
          <w:p w14:paraId="66A07ADA"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vAlign w:val="center"/>
            <w:hideMark/>
          </w:tcPr>
          <w:p w14:paraId="3595EC51"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5397A136"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7B1080E3"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432D705D"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413C68D7"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458EDDC4"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14DE83FE"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hideMark/>
          </w:tcPr>
          <w:p w14:paraId="377A6E4E"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851" w:type="dxa"/>
            <w:vAlign w:val="center"/>
            <w:hideMark/>
          </w:tcPr>
          <w:p w14:paraId="6EE687AA"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1201" w:type="dxa"/>
            <w:vAlign w:val="center"/>
            <w:hideMark/>
          </w:tcPr>
          <w:p w14:paraId="1CEF8317"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888" w:type="dxa"/>
            <w:vAlign w:val="center"/>
            <w:hideMark/>
          </w:tcPr>
          <w:p w14:paraId="2B84C66C"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951" w:type="dxa"/>
            <w:vAlign w:val="center"/>
          </w:tcPr>
          <w:p w14:paraId="1FBCF880"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r>
      <w:tr w:rsidR="009123AC" w:rsidRPr="00F0379B" w14:paraId="761DD551" w14:textId="77777777" w:rsidTr="00CA749B">
        <w:trPr>
          <w:trHeight w:val="20"/>
        </w:trPr>
        <w:tc>
          <w:tcPr>
            <w:tcW w:w="3256" w:type="dxa"/>
            <w:noWrap/>
            <w:vAlign w:val="center"/>
            <w:hideMark/>
          </w:tcPr>
          <w:p w14:paraId="29026DB7"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sz w:val="18"/>
                <w:szCs w:val="18"/>
                <w:lang w:eastAsia="fr-FR" w:bidi="fr-FR"/>
              </w:rPr>
              <w:t>Cebo vivo</w:t>
            </w:r>
          </w:p>
        </w:tc>
        <w:tc>
          <w:tcPr>
            <w:tcW w:w="1692" w:type="dxa"/>
            <w:noWrap/>
            <w:vAlign w:val="center"/>
            <w:hideMark/>
          </w:tcPr>
          <w:p w14:paraId="5D37DAD3"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18"/>
                <w:lang w:eastAsia="fr-FR" w:bidi="fr-FR"/>
              </w:rPr>
              <w:t>19,75</w:t>
            </w:r>
          </w:p>
        </w:tc>
        <w:tc>
          <w:tcPr>
            <w:tcW w:w="615" w:type="dxa"/>
          </w:tcPr>
          <w:p w14:paraId="42D2A638"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noWrap/>
            <w:vAlign w:val="center"/>
            <w:hideMark/>
          </w:tcPr>
          <w:p w14:paraId="263F9CD2"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vAlign w:val="center"/>
            <w:hideMark/>
          </w:tcPr>
          <w:p w14:paraId="716FDC08"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vAlign w:val="center"/>
            <w:hideMark/>
          </w:tcPr>
          <w:p w14:paraId="6B592480"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55DA3D9B"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307A4DEF"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5F0C8F82"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7FEA4537"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596E4AC3"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7736F760"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hideMark/>
          </w:tcPr>
          <w:p w14:paraId="12BD043B"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851" w:type="dxa"/>
            <w:vAlign w:val="center"/>
            <w:hideMark/>
          </w:tcPr>
          <w:p w14:paraId="785803B4"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1201" w:type="dxa"/>
            <w:vAlign w:val="center"/>
            <w:hideMark/>
          </w:tcPr>
          <w:p w14:paraId="6392FA0A"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888" w:type="dxa"/>
            <w:vAlign w:val="center"/>
            <w:hideMark/>
          </w:tcPr>
          <w:p w14:paraId="188F2FF8"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951" w:type="dxa"/>
            <w:vAlign w:val="center"/>
          </w:tcPr>
          <w:p w14:paraId="48300ADF"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r>
      <w:tr w:rsidR="009123AC" w:rsidRPr="00F0379B" w14:paraId="44BD7811" w14:textId="77777777" w:rsidTr="00CA749B">
        <w:trPr>
          <w:trHeight w:val="20"/>
        </w:trPr>
        <w:tc>
          <w:tcPr>
            <w:tcW w:w="3256" w:type="dxa"/>
            <w:noWrap/>
            <w:vAlign w:val="center"/>
            <w:hideMark/>
          </w:tcPr>
          <w:p w14:paraId="718D6920"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sz w:val="18"/>
                <w:szCs w:val="18"/>
                <w:lang w:eastAsia="fr-FR" w:bidi="fr-FR"/>
              </w:rPr>
              <w:t>Liña de mano</w:t>
            </w:r>
          </w:p>
        </w:tc>
        <w:tc>
          <w:tcPr>
            <w:tcW w:w="1692" w:type="dxa"/>
            <w:noWrap/>
            <w:vAlign w:val="center"/>
            <w:hideMark/>
          </w:tcPr>
          <w:p w14:paraId="5906F59F"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18"/>
                <w:lang w:eastAsia="fr-FR" w:bidi="fr-FR"/>
              </w:rPr>
              <w:t>5</w:t>
            </w:r>
          </w:p>
        </w:tc>
        <w:tc>
          <w:tcPr>
            <w:tcW w:w="615" w:type="dxa"/>
          </w:tcPr>
          <w:p w14:paraId="7B09BE7B"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noWrap/>
            <w:vAlign w:val="center"/>
            <w:hideMark/>
          </w:tcPr>
          <w:p w14:paraId="3FDD8033"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2F8C06C2"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29EC1F56"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627AFE6E"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237FBA26"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761504C4"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1F64BF8D"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771550DF"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07CC7440"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53" w:type="dxa"/>
            <w:vAlign w:val="center"/>
            <w:hideMark/>
          </w:tcPr>
          <w:p w14:paraId="49946AD4"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851" w:type="dxa"/>
            <w:vAlign w:val="center"/>
            <w:hideMark/>
          </w:tcPr>
          <w:p w14:paraId="5DD32DF7"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1201" w:type="dxa"/>
            <w:vAlign w:val="center"/>
            <w:hideMark/>
          </w:tcPr>
          <w:p w14:paraId="09974C9A"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888" w:type="dxa"/>
            <w:vAlign w:val="center"/>
            <w:hideMark/>
          </w:tcPr>
          <w:p w14:paraId="0C626AB1"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951" w:type="dxa"/>
            <w:vAlign w:val="center"/>
          </w:tcPr>
          <w:p w14:paraId="36A3CB5D"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r>
      <w:tr w:rsidR="009123AC" w:rsidRPr="00F0379B" w14:paraId="264A7A6F" w14:textId="77777777" w:rsidTr="00CA749B">
        <w:trPr>
          <w:trHeight w:val="20"/>
        </w:trPr>
        <w:tc>
          <w:tcPr>
            <w:tcW w:w="3256" w:type="dxa"/>
            <w:noWrap/>
            <w:vAlign w:val="center"/>
            <w:hideMark/>
          </w:tcPr>
          <w:p w14:paraId="33B3F061"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sz w:val="18"/>
                <w:szCs w:val="18"/>
                <w:lang w:eastAsia="fr-FR" w:bidi="fr-FR"/>
              </w:rPr>
              <w:t>Arrastreros</w:t>
            </w:r>
          </w:p>
        </w:tc>
        <w:tc>
          <w:tcPr>
            <w:tcW w:w="1692" w:type="dxa"/>
            <w:noWrap/>
            <w:vAlign w:val="center"/>
            <w:hideMark/>
          </w:tcPr>
          <w:p w14:paraId="191988AA"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18"/>
                <w:lang w:eastAsia="fr-FR" w:bidi="fr-FR"/>
              </w:rPr>
              <w:t>10</w:t>
            </w:r>
          </w:p>
        </w:tc>
        <w:tc>
          <w:tcPr>
            <w:tcW w:w="615" w:type="dxa"/>
          </w:tcPr>
          <w:p w14:paraId="039CA9EB"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noWrap/>
            <w:vAlign w:val="center"/>
            <w:hideMark/>
          </w:tcPr>
          <w:p w14:paraId="2C2F4CC7"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2DA12ECF"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1B8D7DBD"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1E1D7A87"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6BF24FBA"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49E985BC"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1EBC5E2E"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3B75DF3B"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3401B014"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53" w:type="dxa"/>
            <w:vAlign w:val="center"/>
            <w:hideMark/>
          </w:tcPr>
          <w:p w14:paraId="3FCCBA58"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851" w:type="dxa"/>
            <w:vAlign w:val="center"/>
            <w:hideMark/>
          </w:tcPr>
          <w:p w14:paraId="2C159BF6"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1201" w:type="dxa"/>
            <w:vAlign w:val="center"/>
            <w:hideMark/>
          </w:tcPr>
          <w:p w14:paraId="540CE59D"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888" w:type="dxa"/>
            <w:vAlign w:val="center"/>
            <w:hideMark/>
          </w:tcPr>
          <w:p w14:paraId="0DD18930"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951" w:type="dxa"/>
            <w:vAlign w:val="center"/>
          </w:tcPr>
          <w:p w14:paraId="3A889F0D"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r>
      <w:tr w:rsidR="009123AC" w:rsidRPr="00F0379B" w14:paraId="4657551F" w14:textId="77777777" w:rsidTr="00CA749B">
        <w:trPr>
          <w:trHeight w:val="20"/>
        </w:trPr>
        <w:tc>
          <w:tcPr>
            <w:tcW w:w="3256" w:type="dxa"/>
            <w:noWrap/>
            <w:vAlign w:val="center"/>
            <w:hideMark/>
          </w:tcPr>
          <w:p w14:paraId="1247BD75"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sz w:val="18"/>
                <w:szCs w:val="18"/>
                <w:lang w:eastAsia="fr-FR" w:bidi="fr-FR"/>
              </w:rPr>
              <w:t>Almadrabas</w:t>
            </w:r>
          </w:p>
        </w:tc>
        <w:tc>
          <w:tcPr>
            <w:tcW w:w="1692" w:type="dxa"/>
            <w:noWrap/>
            <w:vAlign w:val="center"/>
            <w:hideMark/>
          </w:tcPr>
          <w:p w14:paraId="653BEFC4"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18"/>
                <w:lang w:eastAsia="fr-FR" w:bidi="fr-FR"/>
              </w:rPr>
              <w:t>130</w:t>
            </w:r>
          </w:p>
        </w:tc>
        <w:tc>
          <w:tcPr>
            <w:tcW w:w="615" w:type="dxa"/>
          </w:tcPr>
          <w:p w14:paraId="476A303B"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noWrap/>
            <w:vAlign w:val="center"/>
            <w:hideMark/>
          </w:tcPr>
          <w:p w14:paraId="4FC93534"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vAlign w:val="center"/>
            <w:hideMark/>
          </w:tcPr>
          <w:p w14:paraId="750AE9B3"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vAlign w:val="center"/>
            <w:hideMark/>
          </w:tcPr>
          <w:p w14:paraId="3EB461C0"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2916E7FB"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6ECE4ADE"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7B1B19CF"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59BA2172"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54A1E702"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62281456"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hideMark/>
          </w:tcPr>
          <w:p w14:paraId="36A11490"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851" w:type="dxa"/>
            <w:vAlign w:val="center"/>
            <w:hideMark/>
          </w:tcPr>
          <w:p w14:paraId="5C9EB2AD"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1201" w:type="dxa"/>
            <w:vAlign w:val="center"/>
            <w:hideMark/>
          </w:tcPr>
          <w:p w14:paraId="4F3972EF"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888" w:type="dxa"/>
            <w:vAlign w:val="center"/>
            <w:hideMark/>
          </w:tcPr>
          <w:p w14:paraId="69FB1DBA"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951" w:type="dxa"/>
            <w:vAlign w:val="center"/>
          </w:tcPr>
          <w:p w14:paraId="61B05FC8"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r>
      <w:tr w:rsidR="009123AC" w:rsidRPr="00F0379B" w14:paraId="33D05963" w14:textId="77777777" w:rsidTr="00CA749B">
        <w:trPr>
          <w:trHeight w:val="20"/>
        </w:trPr>
        <w:tc>
          <w:tcPr>
            <w:tcW w:w="3256" w:type="dxa"/>
            <w:vAlign w:val="center"/>
            <w:hideMark/>
          </w:tcPr>
          <w:p w14:paraId="1F695B75"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sz w:val="18"/>
                <w:szCs w:val="18"/>
                <w:lang w:eastAsia="fr-FR" w:bidi="fr-FR"/>
              </w:rPr>
              <w:t>Pequeños barcos costeros</w:t>
            </w:r>
          </w:p>
        </w:tc>
        <w:tc>
          <w:tcPr>
            <w:tcW w:w="1692" w:type="dxa"/>
            <w:noWrap/>
            <w:vAlign w:val="center"/>
            <w:hideMark/>
          </w:tcPr>
          <w:p w14:paraId="27E65F23"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18"/>
                <w:lang w:eastAsia="fr-FR" w:bidi="fr-FR"/>
              </w:rPr>
              <w:t>No aplicable</w:t>
            </w:r>
          </w:p>
        </w:tc>
        <w:tc>
          <w:tcPr>
            <w:tcW w:w="615" w:type="dxa"/>
          </w:tcPr>
          <w:p w14:paraId="4BDC8E11"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noWrap/>
            <w:vAlign w:val="center"/>
            <w:hideMark/>
          </w:tcPr>
          <w:p w14:paraId="6742FF89"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vAlign w:val="center"/>
            <w:hideMark/>
          </w:tcPr>
          <w:p w14:paraId="1052110D"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vAlign w:val="center"/>
            <w:hideMark/>
          </w:tcPr>
          <w:p w14:paraId="3764D0E0"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10</w:t>
            </w:r>
          </w:p>
        </w:tc>
        <w:tc>
          <w:tcPr>
            <w:tcW w:w="615" w:type="dxa"/>
            <w:vAlign w:val="center"/>
            <w:hideMark/>
          </w:tcPr>
          <w:p w14:paraId="31AE0136"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13</w:t>
            </w:r>
          </w:p>
        </w:tc>
        <w:tc>
          <w:tcPr>
            <w:tcW w:w="615" w:type="dxa"/>
            <w:vAlign w:val="center"/>
          </w:tcPr>
          <w:p w14:paraId="7B71344E"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15</w:t>
            </w:r>
          </w:p>
        </w:tc>
        <w:tc>
          <w:tcPr>
            <w:tcW w:w="615" w:type="dxa"/>
            <w:vAlign w:val="center"/>
          </w:tcPr>
          <w:p w14:paraId="40F07D50"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30</w:t>
            </w:r>
          </w:p>
        </w:tc>
        <w:tc>
          <w:tcPr>
            <w:tcW w:w="256" w:type="dxa"/>
            <w:shd w:val="clear" w:color="000000" w:fill="D9D9D9"/>
            <w:vAlign w:val="center"/>
            <w:hideMark/>
          </w:tcPr>
          <w:p w14:paraId="65042BF8"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6C17B4FD"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64873D54"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hideMark/>
          </w:tcPr>
          <w:p w14:paraId="33489D41"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851" w:type="dxa"/>
            <w:vAlign w:val="center"/>
            <w:hideMark/>
          </w:tcPr>
          <w:p w14:paraId="03C58302"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39 t</w:t>
            </w:r>
          </w:p>
        </w:tc>
        <w:tc>
          <w:tcPr>
            <w:tcW w:w="1201" w:type="dxa"/>
            <w:vAlign w:val="center"/>
            <w:hideMark/>
          </w:tcPr>
          <w:p w14:paraId="4B3FA6A3"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39 t</w:t>
            </w:r>
          </w:p>
        </w:tc>
        <w:tc>
          <w:tcPr>
            <w:tcW w:w="888" w:type="dxa"/>
            <w:vAlign w:val="center"/>
            <w:hideMark/>
          </w:tcPr>
          <w:p w14:paraId="63E89CEB"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45 t</w:t>
            </w:r>
          </w:p>
        </w:tc>
        <w:tc>
          <w:tcPr>
            <w:tcW w:w="951" w:type="dxa"/>
            <w:vAlign w:val="center"/>
          </w:tcPr>
          <w:p w14:paraId="6DD8DE2D"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120 t</w:t>
            </w:r>
          </w:p>
        </w:tc>
      </w:tr>
      <w:tr w:rsidR="009123AC" w:rsidRPr="00F0379B" w14:paraId="06088112" w14:textId="77777777" w:rsidTr="00CA749B">
        <w:trPr>
          <w:trHeight w:val="20"/>
        </w:trPr>
        <w:tc>
          <w:tcPr>
            <w:tcW w:w="3256" w:type="dxa"/>
            <w:vAlign w:val="center"/>
            <w:hideMark/>
          </w:tcPr>
          <w:p w14:paraId="5B01FA50"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sz w:val="18"/>
                <w:szCs w:val="18"/>
                <w:lang w:eastAsia="fr-FR" w:bidi="fr-FR"/>
              </w:rPr>
              <w:t>Otros (especificar)</w:t>
            </w:r>
          </w:p>
        </w:tc>
        <w:tc>
          <w:tcPr>
            <w:tcW w:w="1692" w:type="dxa"/>
            <w:noWrap/>
            <w:vAlign w:val="center"/>
            <w:hideMark/>
          </w:tcPr>
          <w:p w14:paraId="75ECB69C"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18"/>
                <w:lang w:eastAsia="fr-FR" w:bidi="fr-FR"/>
              </w:rPr>
              <w:t>5</w:t>
            </w:r>
          </w:p>
        </w:tc>
        <w:tc>
          <w:tcPr>
            <w:tcW w:w="615" w:type="dxa"/>
          </w:tcPr>
          <w:p w14:paraId="15267FED"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noWrap/>
            <w:vAlign w:val="center"/>
            <w:hideMark/>
          </w:tcPr>
          <w:p w14:paraId="01066751"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vAlign w:val="center"/>
            <w:hideMark/>
          </w:tcPr>
          <w:p w14:paraId="6DB63516"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vAlign w:val="center"/>
            <w:hideMark/>
          </w:tcPr>
          <w:p w14:paraId="021F82B6"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0DE6268F"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5161F665"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3636653F"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5FD6F295"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54253005"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31B00D41"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hideMark/>
          </w:tcPr>
          <w:p w14:paraId="49F93D7F"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851" w:type="dxa"/>
            <w:vAlign w:val="center"/>
            <w:hideMark/>
          </w:tcPr>
          <w:p w14:paraId="79B90487"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1201" w:type="dxa"/>
            <w:vAlign w:val="center"/>
            <w:hideMark/>
          </w:tcPr>
          <w:p w14:paraId="49EFB59D" w14:textId="77777777" w:rsidR="009123AC" w:rsidRPr="00F0379B" w:rsidRDefault="009123AC" w:rsidP="009123AC">
            <w:pPr>
              <w:widowControl w:val="0"/>
              <w:spacing w:after="0" w:line="240" w:lineRule="auto"/>
              <w:jc w:val="center"/>
              <w:rPr>
                <w:rFonts w:ascii="Cambria" w:eastAsia="MS Gothic" w:hAnsi="Cambria" w:cs="Times New Roman"/>
                <w:bCs/>
                <w:color w:val="000000"/>
                <w:sz w:val="18"/>
                <w:szCs w:val="18"/>
                <w:lang w:eastAsia="fr-FR" w:bidi="fr-FR"/>
              </w:rPr>
            </w:pPr>
            <w:r w:rsidRPr="00F0379B">
              <w:rPr>
                <w:rFonts w:ascii="Cambria" w:eastAsia="MS Gothic" w:hAnsi="Cambria" w:cs="Times New Roman"/>
                <w:color w:val="000000"/>
                <w:sz w:val="18"/>
                <w:szCs w:val="24"/>
                <w:lang w:eastAsia="fr-FR" w:bidi="fr-FR"/>
              </w:rPr>
              <w:t>1 t para actividad de marcado no relacionada con el programa CHART</w:t>
            </w:r>
          </w:p>
        </w:tc>
        <w:tc>
          <w:tcPr>
            <w:tcW w:w="888" w:type="dxa"/>
            <w:vAlign w:val="center"/>
            <w:hideMark/>
          </w:tcPr>
          <w:p w14:paraId="0C172A92"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951" w:type="dxa"/>
            <w:vAlign w:val="center"/>
          </w:tcPr>
          <w:p w14:paraId="6FC8D10B"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r>
      <w:tr w:rsidR="009123AC" w:rsidRPr="00F0379B" w14:paraId="526C424E" w14:textId="77777777" w:rsidTr="00CA749B">
        <w:trPr>
          <w:trHeight w:val="20"/>
        </w:trPr>
        <w:tc>
          <w:tcPr>
            <w:tcW w:w="3256" w:type="dxa"/>
            <w:noWrap/>
            <w:vAlign w:val="center"/>
            <w:hideMark/>
          </w:tcPr>
          <w:p w14:paraId="0F4C3C93"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sz w:val="18"/>
                <w:szCs w:val="18"/>
                <w:lang w:eastAsia="fr-FR" w:bidi="fr-FR"/>
              </w:rPr>
              <w:t>Capacidad pesquera/flota total</w:t>
            </w:r>
          </w:p>
        </w:tc>
        <w:tc>
          <w:tcPr>
            <w:tcW w:w="1692" w:type="dxa"/>
            <w:noWrap/>
            <w:vAlign w:val="center"/>
            <w:hideMark/>
          </w:tcPr>
          <w:p w14:paraId="7ABC8D3E"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18"/>
                <w:lang w:eastAsia="fr-FR" w:bidi="fr-FR"/>
              </w:rPr>
              <w:t> </w:t>
            </w:r>
          </w:p>
        </w:tc>
        <w:tc>
          <w:tcPr>
            <w:tcW w:w="615" w:type="dxa"/>
          </w:tcPr>
          <w:p w14:paraId="2E838C6B"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noWrap/>
            <w:vAlign w:val="center"/>
            <w:hideMark/>
          </w:tcPr>
          <w:p w14:paraId="07AEB952"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vAlign w:val="center"/>
            <w:hideMark/>
          </w:tcPr>
          <w:p w14:paraId="55082719"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 </w:t>
            </w:r>
          </w:p>
        </w:tc>
        <w:tc>
          <w:tcPr>
            <w:tcW w:w="615" w:type="dxa"/>
            <w:vAlign w:val="center"/>
            <w:hideMark/>
          </w:tcPr>
          <w:p w14:paraId="34D0DFA5"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4C20968E"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193CA8B8"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47215A3C"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658F7CE5"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4CB759DF"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30FFA371"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hideMark/>
          </w:tcPr>
          <w:p w14:paraId="5A2E0150"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851" w:type="dxa"/>
            <w:noWrap/>
            <w:vAlign w:val="center"/>
            <w:hideMark/>
          </w:tcPr>
          <w:p w14:paraId="31F53D0B"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1201" w:type="dxa"/>
            <w:noWrap/>
            <w:vAlign w:val="center"/>
            <w:hideMark/>
          </w:tcPr>
          <w:p w14:paraId="2833A6D0"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888" w:type="dxa"/>
            <w:noWrap/>
            <w:vAlign w:val="center"/>
            <w:hideMark/>
          </w:tcPr>
          <w:p w14:paraId="60934EE7"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951" w:type="dxa"/>
            <w:vAlign w:val="center"/>
          </w:tcPr>
          <w:p w14:paraId="0E46EFDA"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r>
      <w:tr w:rsidR="009123AC" w:rsidRPr="00F0379B" w14:paraId="1D6359D9" w14:textId="77777777" w:rsidTr="00CA749B">
        <w:trPr>
          <w:trHeight w:val="20"/>
        </w:trPr>
        <w:tc>
          <w:tcPr>
            <w:tcW w:w="3256" w:type="dxa"/>
            <w:shd w:val="clear" w:color="auto" w:fill="D9D9D9"/>
            <w:noWrap/>
            <w:vAlign w:val="center"/>
            <w:hideMark/>
          </w:tcPr>
          <w:p w14:paraId="1E388873"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sz w:val="18"/>
                <w:szCs w:val="18"/>
                <w:lang w:eastAsia="fr-FR" w:bidi="fr-FR"/>
              </w:rPr>
              <w:t>Cuota inicial</w:t>
            </w:r>
          </w:p>
        </w:tc>
        <w:tc>
          <w:tcPr>
            <w:tcW w:w="1692" w:type="dxa"/>
            <w:shd w:val="clear" w:color="auto" w:fill="D9D9D9"/>
            <w:noWrap/>
            <w:vAlign w:val="center"/>
            <w:hideMark/>
          </w:tcPr>
          <w:p w14:paraId="79D75CA5" w14:textId="77777777" w:rsidR="009123AC" w:rsidRPr="00F0379B" w:rsidRDefault="009123AC" w:rsidP="009123AC">
            <w:pPr>
              <w:widowControl w:val="0"/>
              <w:spacing w:after="0" w:line="240" w:lineRule="auto"/>
              <w:jc w:val="right"/>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18"/>
                <w:lang w:eastAsia="fr-FR" w:bidi="fr-FR"/>
              </w:rPr>
              <w:t> </w:t>
            </w:r>
          </w:p>
        </w:tc>
        <w:tc>
          <w:tcPr>
            <w:tcW w:w="615" w:type="dxa"/>
            <w:shd w:val="clear" w:color="auto" w:fill="D9D9D9"/>
          </w:tcPr>
          <w:p w14:paraId="560A20F9"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615" w:type="dxa"/>
            <w:shd w:val="clear" w:color="auto" w:fill="D9D9D9"/>
            <w:noWrap/>
            <w:vAlign w:val="center"/>
            <w:hideMark/>
          </w:tcPr>
          <w:p w14:paraId="5D9FD42F"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shd w:val="clear" w:color="auto" w:fill="D9D9D9"/>
            <w:vAlign w:val="center"/>
            <w:hideMark/>
          </w:tcPr>
          <w:p w14:paraId="579C0636"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shd w:val="clear" w:color="auto" w:fill="D9D9D9"/>
            <w:vAlign w:val="center"/>
            <w:hideMark/>
          </w:tcPr>
          <w:p w14:paraId="17A7181E"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615" w:type="dxa"/>
            <w:shd w:val="clear" w:color="auto" w:fill="D9D9D9"/>
            <w:vAlign w:val="center"/>
            <w:hideMark/>
          </w:tcPr>
          <w:p w14:paraId="0054E9DB"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615" w:type="dxa"/>
            <w:shd w:val="clear" w:color="auto" w:fill="D9D9D9"/>
            <w:vAlign w:val="center"/>
          </w:tcPr>
          <w:p w14:paraId="549C177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vAlign w:val="center"/>
          </w:tcPr>
          <w:p w14:paraId="033C8D0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256" w:type="dxa"/>
            <w:shd w:val="clear" w:color="auto" w:fill="D9D9D9"/>
            <w:vAlign w:val="center"/>
            <w:hideMark/>
          </w:tcPr>
          <w:p w14:paraId="44FAAC7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615" w:type="dxa"/>
            <w:shd w:val="clear" w:color="auto" w:fill="D9D9D9"/>
            <w:vAlign w:val="center"/>
          </w:tcPr>
          <w:p w14:paraId="5FB64AA9"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vAlign w:val="center"/>
            <w:hideMark/>
          </w:tcPr>
          <w:p w14:paraId="6F5B1D8B"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653" w:type="dxa"/>
            <w:shd w:val="clear" w:color="auto" w:fill="D9D9D9"/>
            <w:vAlign w:val="center"/>
            <w:hideMark/>
          </w:tcPr>
          <w:p w14:paraId="158949C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48,4 t</w:t>
            </w:r>
          </w:p>
        </w:tc>
        <w:tc>
          <w:tcPr>
            <w:tcW w:w="851" w:type="dxa"/>
            <w:shd w:val="clear" w:color="auto" w:fill="D9D9D9"/>
            <w:vAlign w:val="center"/>
            <w:hideMark/>
          </w:tcPr>
          <w:p w14:paraId="4EDFD02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63 t</w:t>
            </w:r>
          </w:p>
        </w:tc>
        <w:tc>
          <w:tcPr>
            <w:tcW w:w="1201" w:type="dxa"/>
            <w:shd w:val="clear" w:color="auto" w:fill="D9D9D9"/>
            <w:vAlign w:val="center"/>
            <w:hideMark/>
          </w:tcPr>
          <w:p w14:paraId="7B421E5E"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63 t</w:t>
            </w:r>
          </w:p>
        </w:tc>
        <w:tc>
          <w:tcPr>
            <w:tcW w:w="888" w:type="dxa"/>
            <w:shd w:val="clear" w:color="auto" w:fill="D9D9D9"/>
            <w:vAlign w:val="center"/>
            <w:hideMark/>
          </w:tcPr>
          <w:p w14:paraId="3293FC0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63 t</w:t>
            </w:r>
          </w:p>
        </w:tc>
        <w:tc>
          <w:tcPr>
            <w:tcW w:w="951" w:type="dxa"/>
            <w:shd w:val="clear" w:color="auto" w:fill="D9D9D9"/>
            <w:vAlign w:val="center"/>
          </w:tcPr>
          <w:p w14:paraId="72395AF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230,56 t</w:t>
            </w:r>
          </w:p>
        </w:tc>
      </w:tr>
      <w:tr w:rsidR="009123AC" w:rsidRPr="00F0379B" w14:paraId="70B7FF1E" w14:textId="77777777" w:rsidTr="00CA749B">
        <w:trPr>
          <w:trHeight w:val="20"/>
        </w:trPr>
        <w:tc>
          <w:tcPr>
            <w:tcW w:w="3256" w:type="dxa"/>
            <w:shd w:val="clear" w:color="auto" w:fill="D9D9D9"/>
            <w:noWrap/>
            <w:vAlign w:val="center"/>
          </w:tcPr>
          <w:p w14:paraId="077AA297"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sz w:val="18"/>
                <w:szCs w:val="18"/>
                <w:lang w:eastAsia="fr-FR" w:bidi="fr-FR"/>
              </w:rPr>
              <w:t>Cuota ajustada (si procede)</w:t>
            </w:r>
          </w:p>
        </w:tc>
        <w:tc>
          <w:tcPr>
            <w:tcW w:w="1692" w:type="dxa"/>
            <w:shd w:val="clear" w:color="auto" w:fill="D9D9D9"/>
            <w:noWrap/>
            <w:vAlign w:val="center"/>
          </w:tcPr>
          <w:p w14:paraId="06BC3CA5"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18"/>
                <w:lang w:eastAsia="fr-FR" w:bidi="fr-FR"/>
              </w:rPr>
            </w:pPr>
          </w:p>
        </w:tc>
        <w:tc>
          <w:tcPr>
            <w:tcW w:w="615" w:type="dxa"/>
            <w:shd w:val="clear" w:color="auto" w:fill="D9D9D9"/>
          </w:tcPr>
          <w:p w14:paraId="7E6F4BD9"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shd w:val="clear" w:color="auto" w:fill="D9D9D9"/>
            <w:noWrap/>
            <w:vAlign w:val="center"/>
          </w:tcPr>
          <w:p w14:paraId="0EBDAFBB"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shd w:val="clear" w:color="auto" w:fill="D9D9D9"/>
            <w:vAlign w:val="center"/>
          </w:tcPr>
          <w:p w14:paraId="1E0B61FE"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shd w:val="clear" w:color="auto" w:fill="D9D9D9"/>
            <w:vAlign w:val="center"/>
          </w:tcPr>
          <w:p w14:paraId="35BB0492"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shd w:val="clear" w:color="auto" w:fill="D9D9D9"/>
            <w:vAlign w:val="center"/>
          </w:tcPr>
          <w:p w14:paraId="62AB30D3"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shd w:val="clear" w:color="auto" w:fill="D9D9D9"/>
            <w:vAlign w:val="center"/>
          </w:tcPr>
          <w:p w14:paraId="5C7CFC0C"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shd w:val="clear" w:color="auto" w:fill="D9D9D9"/>
            <w:vAlign w:val="center"/>
          </w:tcPr>
          <w:p w14:paraId="41DE39B1"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auto" w:fill="D9D9D9"/>
            <w:vAlign w:val="center"/>
          </w:tcPr>
          <w:p w14:paraId="05581345"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shd w:val="clear" w:color="auto" w:fill="D9D9D9"/>
            <w:vAlign w:val="center"/>
          </w:tcPr>
          <w:p w14:paraId="1EE7FAFC"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shd w:val="clear" w:color="auto" w:fill="D9D9D9"/>
            <w:vAlign w:val="center"/>
          </w:tcPr>
          <w:p w14:paraId="449462DF"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53" w:type="dxa"/>
            <w:shd w:val="clear" w:color="auto" w:fill="D9D9D9"/>
            <w:vAlign w:val="center"/>
          </w:tcPr>
          <w:p w14:paraId="0BA1F03D"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851" w:type="dxa"/>
            <w:shd w:val="clear" w:color="auto" w:fill="D9D9D9"/>
            <w:vAlign w:val="center"/>
          </w:tcPr>
          <w:p w14:paraId="5E8A04DD"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66,42 t</w:t>
            </w:r>
          </w:p>
        </w:tc>
        <w:tc>
          <w:tcPr>
            <w:tcW w:w="1201" w:type="dxa"/>
            <w:shd w:val="clear" w:color="auto" w:fill="D9D9D9"/>
            <w:vAlign w:val="center"/>
          </w:tcPr>
          <w:p w14:paraId="6FE96EAB"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66,15 t</w:t>
            </w:r>
          </w:p>
        </w:tc>
        <w:tc>
          <w:tcPr>
            <w:tcW w:w="888" w:type="dxa"/>
            <w:shd w:val="clear" w:color="auto" w:fill="D9D9D9"/>
            <w:vAlign w:val="center"/>
          </w:tcPr>
          <w:p w14:paraId="694794E6"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66,15 t</w:t>
            </w:r>
          </w:p>
        </w:tc>
        <w:tc>
          <w:tcPr>
            <w:tcW w:w="951" w:type="dxa"/>
            <w:shd w:val="clear" w:color="auto" w:fill="D9D9D9"/>
            <w:vAlign w:val="center"/>
          </w:tcPr>
          <w:p w14:paraId="7A282247"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243,16 t</w:t>
            </w:r>
          </w:p>
        </w:tc>
      </w:tr>
      <w:tr w:rsidR="009123AC" w:rsidRPr="00F0379B" w14:paraId="73B60D4F" w14:textId="77777777" w:rsidTr="00CA749B">
        <w:trPr>
          <w:trHeight w:val="20"/>
        </w:trPr>
        <w:tc>
          <w:tcPr>
            <w:tcW w:w="3256" w:type="dxa"/>
            <w:noWrap/>
            <w:vAlign w:val="center"/>
            <w:hideMark/>
          </w:tcPr>
          <w:p w14:paraId="5DC30F84"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sz w:val="18"/>
                <w:szCs w:val="18"/>
                <w:lang w:eastAsia="fr-FR" w:bidi="fr-FR"/>
              </w:rPr>
              <w:t>Porcentaje asignado a captura fortuita</w:t>
            </w:r>
          </w:p>
        </w:tc>
        <w:tc>
          <w:tcPr>
            <w:tcW w:w="1692" w:type="dxa"/>
            <w:noWrap/>
            <w:vAlign w:val="center"/>
            <w:hideMark/>
          </w:tcPr>
          <w:p w14:paraId="1F373144" w14:textId="77777777" w:rsidR="009123AC" w:rsidRPr="00F0379B" w:rsidRDefault="009123AC" w:rsidP="009123AC">
            <w:pPr>
              <w:widowControl w:val="0"/>
              <w:spacing w:after="0" w:line="240" w:lineRule="auto"/>
              <w:jc w:val="right"/>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18"/>
                <w:lang w:eastAsia="fr-FR" w:bidi="fr-FR"/>
              </w:rPr>
              <w:t> </w:t>
            </w:r>
          </w:p>
        </w:tc>
        <w:tc>
          <w:tcPr>
            <w:tcW w:w="615" w:type="dxa"/>
          </w:tcPr>
          <w:p w14:paraId="2369D047"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p>
        </w:tc>
        <w:tc>
          <w:tcPr>
            <w:tcW w:w="615" w:type="dxa"/>
            <w:noWrap/>
            <w:vAlign w:val="center"/>
            <w:hideMark/>
          </w:tcPr>
          <w:p w14:paraId="2D67EDB7"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0717489F" w14:textId="77777777" w:rsidR="009123AC" w:rsidRPr="00F0379B" w:rsidRDefault="009123AC" w:rsidP="009123AC">
            <w:pPr>
              <w:widowControl w:val="0"/>
              <w:spacing w:after="0" w:line="240" w:lineRule="auto"/>
              <w:jc w:val="both"/>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vAlign w:val="center"/>
            <w:hideMark/>
          </w:tcPr>
          <w:p w14:paraId="2349A5A6"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5B649962"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3D5D3AC4"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3CA435D7"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02B23B45"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0A988875"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18B7A170"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653" w:type="dxa"/>
            <w:vAlign w:val="center"/>
            <w:hideMark/>
          </w:tcPr>
          <w:p w14:paraId="57B9013F"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41 %</w:t>
            </w:r>
          </w:p>
        </w:tc>
        <w:tc>
          <w:tcPr>
            <w:tcW w:w="851" w:type="dxa"/>
            <w:vAlign w:val="center"/>
            <w:hideMark/>
          </w:tcPr>
          <w:p w14:paraId="6F71A7FC"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23 %</w:t>
            </w:r>
          </w:p>
        </w:tc>
        <w:tc>
          <w:tcPr>
            <w:tcW w:w="1201" w:type="dxa"/>
            <w:vAlign w:val="center"/>
            <w:hideMark/>
          </w:tcPr>
          <w:p w14:paraId="76466BD3"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15 %</w:t>
            </w:r>
          </w:p>
        </w:tc>
        <w:tc>
          <w:tcPr>
            <w:tcW w:w="888" w:type="dxa"/>
            <w:vAlign w:val="center"/>
            <w:hideMark/>
          </w:tcPr>
          <w:p w14:paraId="06A37278"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11 %</w:t>
            </w:r>
          </w:p>
        </w:tc>
        <w:tc>
          <w:tcPr>
            <w:tcW w:w="951" w:type="dxa"/>
            <w:vAlign w:val="center"/>
          </w:tcPr>
          <w:p w14:paraId="476B1FF6"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r w:rsidRPr="00F0379B">
              <w:rPr>
                <w:rFonts w:ascii="Cambria" w:eastAsia="MS Gothic" w:hAnsi="Cambria" w:cs="Times New Roman"/>
                <w:color w:val="000000"/>
                <w:sz w:val="18"/>
                <w:szCs w:val="24"/>
                <w:lang w:eastAsia="fr-FR" w:bidi="fr-FR"/>
              </w:rPr>
              <w:t>4,34 %</w:t>
            </w:r>
          </w:p>
        </w:tc>
      </w:tr>
      <w:tr w:rsidR="009123AC" w:rsidRPr="00F0379B" w14:paraId="56C1CE83" w14:textId="77777777" w:rsidTr="00CA749B">
        <w:trPr>
          <w:trHeight w:val="20"/>
        </w:trPr>
        <w:tc>
          <w:tcPr>
            <w:tcW w:w="3256" w:type="dxa"/>
            <w:noWrap/>
            <w:vAlign w:val="center"/>
          </w:tcPr>
          <w:p w14:paraId="2A2993F3"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sz w:val="18"/>
                <w:szCs w:val="18"/>
                <w:lang w:eastAsia="fr-FR" w:bidi="fr-FR"/>
              </w:rPr>
              <w:t>Asignación a la captura fortuita</w:t>
            </w:r>
            <w:r w:rsidRPr="00F0379B">
              <w:rPr>
                <w:rFonts w:ascii="Cambria" w:eastAsia="MS Gothic" w:hAnsi="Cambria" w:cs="Times New Roman"/>
                <w:b/>
                <w:sz w:val="18"/>
                <w:szCs w:val="18"/>
                <w:vertAlign w:val="superscript"/>
                <w:lang w:eastAsia="fr-FR" w:bidi="fr-FR"/>
              </w:rPr>
              <w:t>*</w:t>
            </w:r>
          </w:p>
        </w:tc>
        <w:tc>
          <w:tcPr>
            <w:tcW w:w="1692" w:type="dxa"/>
            <w:noWrap/>
            <w:vAlign w:val="center"/>
          </w:tcPr>
          <w:p w14:paraId="181D9BAF" w14:textId="77777777" w:rsidR="009123AC" w:rsidRPr="00F0379B" w:rsidRDefault="009123AC" w:rsidP="009123AC">
            <w:pPr>
              <w:widowControl w:val="0"/>
              <w:spacing w:after="0" w:line="240" w:lineRule="auto"/>
              <w:jc w:val="right"/>
              <w:rPr>
                <w:rFonts w:ascii="Cambria" w:eastAsia="Times New Roman" w:hAnsi="Cambria" w:cs="Calibri"/>
                <w:color w:val="000000"/>
                <w:sz w:val="18"/>
                <w:szCs w:val="18"/>
                <w:lang w:eastAsia="ja-JP" w:bidi="fr-FR"/>
              </w:rPr>
            </w:pPr>
          </w:p>
        </w:tc>
        <w:tc>
          <w:tcPr>
            <w:tcW w:w="615" w:type="dxa"/>
          </w:tcPr>
          <w:p w14:paraId="42EA4A36"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615" w:type="dxa"/>
            <w:noWrap/>
            <w:vAlign w:val="center"/>
          </w:tcPr>
          <w:p w14:paraId="312DD7F4"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615" w:type="dxa"/>
            <w:vAlign w:val="center"/>
          </w:tcPr>
          <w:p w14:paraId="46C2796B"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615" w:type="dxa"/>
            <w:vAlign w:val="center"/>
          </w:tcPr>
          <w:p w14:paraId="2DB8C62E"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615" w:type="dxa"/>
            <w:vAlign w:val="center"/>
          </w:tcPr>
          <w:p w14:paraId="2497910E"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615" w:type="dxa"/>
            <w:vAlign w:val="center"/>
          </w:tcPr>
          <w:p w14:paraId="65A47E5B"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615" w:type="dxa"/>
            <w:vAlign w:val="center"/>
          </w:tcPr>
          <w:p w14:paraId="729052B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256" w:type="dxa"/>
            <w:shd w:val="clear" w:color="000000" w:fill="D9D9D9"/>
            <w:vAlign w:val="center"/>
          </w:tcPr>
          <w:p w14:paraId="25C1C7F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615" w:type="dxa"/>
            <w:vAlign w:val="center"/>
          </w:tcPr>
          <w:p w14:paraId="1620287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615" w:type="dxa"/>
            <w:vAlign w:val="center"/>
          </w:tcPr>
          <w:p w14:paraId="6ABD34BF"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653" w:type="dxa"/>
            <w:vAlign w:val="center"/>
          </w:tcPr>
          <w:p w14:paraId="779D633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851" w:type="dxa"/>
            <w:vAlign w:val="center"/>
          </w:tcPr>
          <w:p w14:paraId="6BF4416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14 t</w:t>
            </w:r>
          </w:p>
        </w:tc>
        <w:tc>
          <w:tcPr>
            <w:tcW w:w="1201" w:type="dxa"/>
            <w:vAlign w:val="center"/>
          </w:tcPr>
          <w:p w14:paraId="147DA8D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9,15 t</w:t>
            </w:r>
          </w:p>
        </w:tc>
        <w:tc>
          <w:tcPr>
            <w:tcW w:w="888" w:type="dxa"/>
            <w:vAlign w:val="center"/>
          </w:tcPr>
          <w:p w14:paraId="33C22DC6"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7,15 t</w:t>
            </w:r>
          </w:p>
        </w:tc>
        <w:tc>
          <w:tcPr>
            <w:tcW w:w="951" w:type="dxa"/>
            <w:vAlign w:val="center"/>
          </w:tcPr>
          <w:p w14:paraId="3B62C239"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10 t</w:t>
            </w:r>
          </w:p>
        </w:tc>
      </w:tr>
      <w:tr w:rsidR="009123AC" w:rsidRPr="00F0379B" w14:paraId="04E3ECA2" w14:textId="77777777" w:rsidTr="00CA749B">
        <w:trPr>
          <w:trHeight w:val="20"/>
        </w:trPr>
        <w:tc>
          <w:tcPr>
            <w:tcW w:w="3256" w:type="dxa"/>
            <w:vAlign w:val="center"/>
          </w:tcPr>
          <w:p w14:paraId="641C4E34"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sz w:val="18"/>
                <w:szCs w:val="18"/>
                <w:lang w:eastAsia="fr-FR" w:bidi="fr-FR"/>
              </w:rPr>
              <w:t>Cuota para investigación científica (si procede)</w:t>
            </w:r>
          </w:p>
        </w:tc>
        <w:tc>
          <w:tcPr>
            <w:tcW w:w="1692" w:type="dxa"/>
            <w:noWrap/>
            <w:vAlign w:val="center"/>
          </w:tcPr>
          <w:p w14:paraId="2CF12032" w14:textId="77777777" w:rsidR="009123AC" w:rsidRPr="00F0379B" w:rsidRDefault="009123AC" w:rsidP="009123AC">
            <w:pPr>
              <w:widowControl w:val="0"/>
              <w:spacing w:after="0" w:line="240" w:lineRule="auto"/>
              <w:jc w:val="right"/>
              <w:rPr>
                <w:rFonts w:ascii="Cambria" w:eastAsia="MS Gothic" w:hAnsi="Cambria" w:cs="Times New Roman"/>
                <w:b/>
                <w:color w:val="000000"/>
                <w:sz w:val="18"/>
                <w:szCs w:val="18"/>
                <w:lang w:eastAsia="fr-FR" w:bidi="fr-FR"/>
              </w:rPr>
            </w:pPr>
          </w:p>
        </w:tc>
        <w:tc>
          <w:tcPr>
            <w:tcW w:w="615" w:type="dxa"/>
          </w:tcPr>
          <w:p w14:paraId="396CE8F1"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noWrap/>
            <w:vAlign w:val="center"/>
          </w:tcPr>
          <w:p w14:paraId="22314A08"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vAlign w:val="center"/>
          </w:tcPr>
          <w:p w14:paraId="57F1DEA2"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vAlign w:val="center"/>
          </w:tcPr>
          <w:p w14:paraId="74F6E2DC"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3E6A1559"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06C1C1E4"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5237F10A"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tcPr>
          <w:p w14:paraId="4726E2BA"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39D4C819"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330D2858"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tcPr>
          <w:p w14:paraId="1AD199D4"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851" w:type="dxa"/>
            <w:noWrap/>
            <w:vAlign w:val="center"/>
          </w:tcPr>
          <w:p w14:paraId="76071608"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10 t</w:t>
            </w:r>
          </w:p>
        </w:tc>
        <w:tc>
          <w:tcPr>
            <w:tcW w:w="1201" w:type="dxa"/>
            <w:noWrap/>
            <w:vAlign w:val="center"/>
          </w:tcPr>
          <w:p w14:paraId="08E51DB5"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1 t</w:t>
            </w:r>
          </w:p>
        </w:tc>
        <w:tc>
          <w:tcPr>
            <w:tcW w:w="888" w:type="dxa"/>
            <w:noWrap/>
            <w:vAlign w:val="center"/>
          </w:tcPr>
          <w:p w14:paraId="58B15257"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1 t</w:t>
            </w:r>
          </w:p>
        </w:tc>
        <w:tc>
          <w:tcPr>
            <w:tcW w:w="951" w:type="dxa"/>
            <w:vAlign w:val="center"/>
          </w:tcPr>
          <w:p w14:paraId="25B0A62E"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5 t</w:t>
            </w:r>
          </w:p>
        </w:tc>
      </w:tr>
      <w:tr w:rsidR="009123AC" w:rsidRPr="00F0379B" w14:paraId="76DF2773" w14:textId="77777777" w:rsidTr="00CA749B">
        <w:trPr>
          <w:trHeight w:val="20"/>
        </w:trPr>
        <w:tc>
          <w:tcPr>
            <w:tcW w:w="3256" w:type="dxa"/>
            <w:vAlign w:val="center"/>
          </w:tcPr>
          <w:p w14:paraId="36F9C5FD"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sz w:val="18"/>
                <w:szCs w:val="18"/>
                <w:lang w:eastAsia="fr-FR" w:bidi="fr-FR"/>
              </w:rPr>
              <w:t>Tolerancia para pesca deportiva/de recreo (si procede)</w:t>
            </w:r>
          </w:p>
        </w:tc>
        <w:tc>
          <w:tcPr>
            <w:tcW w:w="1692" w:type="dxa"/>
            <w:noWrap/>
            <w:vAlign w:val="center"/>
          </w:tcPr>
          <w:p w14:paraId="272D4B29" w14:textId="77777777" w:rsidR="009123AC" w:rsidRPr="00F0379B" w:rsidRDefault="009123AC" w:rsidP="009123AC">
            <w:pPr>
              <w:widowControl w:val="0"/>
              <w:spacing w:after="0" w:line="240" w:lineRule="auto"/>
              <w:jc w:val="right"/>
              <w:rPr>
                <w:rFonts w:ascii="Cambria" w:eastAsia="MS Gothic" w:hAnsi="Cambria" w:cs="Times New Roman"/>
                <w:b/>
                <w:color w:val="000000"/>
                <w:sz w:val="18"/>
                <w:szCs w:val="18"/>
                <w:lang w:eastAsia="fr-FR" w:bidi="fr-FR"/>
              </w:rPr>
            </w:pPr>
          </w:p>
        </w:tc>
        <w:tc>
          <w:tcPr>
            <w:tcW w:w="615" w:type="dxa"/>
          </w:tcPr>
          <w:p w14:paraId="0FA92BFB"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noWrap/>
            <w:vAlign w:val="center"/>
          </w:tcPr>
          <w:p w14:paraId="6808E59E"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vAlign w:val="center"/>
          </w:tcPr>
          <w:p w14:paraId="385DC966"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vAlign w:val="center"/>
          </w:tcPr>
          <w:p w14:paraId="01041038"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13EEF6BC"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517C3B3A"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25F8F681"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tcPr>
          <w:p w14:paraId="5B156729"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5F2387DA"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711FAEFA"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tcPr>
          <w:p w14:paraId="6788A587"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10 t</w:t>
            </w:r>
          </w:p>
        </w:tc>
        <w:tc>
          <w:tcPr>
            <w:tcW w:w="851" w:type="dxa"/>
            <w:noWrap/>
            <w:vAlign w:val="center"/>
          </w:tcPr>
          <w:p w14:paraId="00431DDD"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10 t</w:t>
            </w:r>
          </w:p>
        </w:tc>
        <w:tc>
          <w:tcPr>
            <w:tcW w:w="1201" w:type="dxa"/>
            <w:noWrap/>
            <w:vAlign w:val="center"/>
          </w:tcPr>
          <w:p w14:paraId="29DD5764"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16 t</w:t>
            </w:r>
          </w:p>
        </w:tc>
        <w:tc>
          <w:tcPr>
            <w:tcW w:w="888" w:type="dxa"/>
            <w:noWrap/>
            <w:vAlign w:val="center"/>
          </w:tcPr>
          <w:p w14:paraId="2B6E6256"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13 t</w:t>
            </w:r>
          </w:p>
        </w:tc>
        <w:tc>
          <w:tcPr>
            <w:tcW w:w="951" w:type="dxa"/>
            <w:vAlign w:val="center"/>
          </w:tcPr>
          <w:p w14:paraId="44BF3849"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20 t</w:t>
            </w:r>
          </w:p>
        </w:tc>
      </w:tr>
      <w:tr w:rsidR="009123AC" w:rsidRPr="00F0379B" w14:paraId="7E026592" w14:textId="77777777" w:rsidTr="00CA749B">
        <w:trPr>
          <w:trHeight w:val="20"/>
        </w:trPr>
        <w:tc>
          <w:tcPr>
            <w:tcW w:w="3256" w:type="dxa"/>
            <w:vAlign w:val="center"/>
          </w:tcPr>
          <w:p w14:paraId="69F96C4C"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r w:rsidRPr="00F0379B">
              <w:rPr>
                <w:rFonts w:ascii="Cambria" w:eastAsia="MS Gothic" w:hAnsi="Cambria" w:cs="Times New Roman"/>
                <w:b/>
                <w:sz w:val="18"/>
                <w:szCs w:val="18"/>
                <w:lang w:eastAsia="fr-FR" w:bidi="fr-FR"/>
              </w:rPr>
              <w:t>Cuota disponible</w:t>
            </w:r>
          </w:p>
        </w:tc>
        <w:tc>
          <w:tcPr>
            <w:tcW w:w="1692" w:type="dxa"/>
            <w:noWrap/>
            <w:vAlign w:val="center"/>
          </w:tcPr>
          <w:p w14:paraId="20BC93D3" w14:textId="77777777" w:rsidR="009123AC" w:rsidRPr="00F0379B" w:rsidRDefault="009123AC" w:rsidP="009123AC">
            <w:pPr>
              <w:widowControl w:val="0"/>
              <w:spacing w:after="0" w:line="240" w:lineRule="auto"/>
              <w:jc w:val="right"/>
              <w:rPr>
                <w:rFonts w:ascii="Cambria" w:eastAsia="MS Gothic" w:hAnsi="Cambria" w:cs="Times New Roman"/>
                <w:b/>
                <w:color w:val="000000"/>
                <w:sz w:val="18"/>
                <w:szCs w:val="18"/>
                <w:lang w:eastAsia="fr-FR" w:bidi="fr-FR"/>
              </w:rPr>
            </w:pPr>
          </w:p>
        </w:tc>
        <w:tc>
          <w:tcPr>
            <w:tcW w:w="615" w:type="dxa"/>
          </w:tcPr>
          <w:p w14:paraId="7D7FD4EC"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noWrap/>
            <w:vAlign w:val="center"/>
          </w:tcPr>
          <w:p w14:paraId="2C1868AF"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vAlign w:val="center"/>
          </w:tcPr>
          <w:p w14:paraId="3F74BA4C" w14:textId="77777777" w:rsidR="009123AC" w:rsidRPr="00F0379B" w:rsidRDefault="009123AC" w:rsidP="009123AC">
            <w:pPr>
              <w:widowControl w:val="0"/>
              <w:spacing w:after="0" w:line="240" w:lineRule="auto"/>
              <w:jc w:val="both"/>
              <w:rPr>
                <w:rFonts w:ascii="Cambria" w:eastAsia="MS Gothic" w:hAnsi="Cambria" w:cs="Times New Roman"/>
                <w:b/>
                <w:color w:val="000000"/>
                <w:sz w:val="18"/>
                <w:szCs w:val="18"/>
                <w:lang w:eastAsia="fr-FR" w:bidi="fr-FR"/>
              </w:rPr>
            </w:pPr>
          </w:p>
        </w:tc>
        <w:tc>
          <w:tcPr>
            <w:tcW w:w="615" w:type="dxa"/>
            <w:vAlign w:val="center"/>
          </w:tcPr>
          <w:p w14:paraId="7C1BBC57"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4F15416D"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7D7BDB1F"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13921D04" w14:textId="77777777" w:rsidR="009123AC" w:rsidRPr="00F0379B" w:rsidRDefault="009123AC" w:rsidP="009123AC">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tcPr>
          <w:p w14:paraId="676FD387"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4812E145"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1758FE3E"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tcPr>
          <w:p w14:paraId="4C1E52C2"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p>
        </w:tc>
        <w:tc>
          <w:tcPr>
            <w:tcW w:w="851" w:type="dxa"/>
            <w:noWrap/>
            <w:vAlign w:val="center"/>
          </w:tcPr>
          <w:p w14:paraId="4259CC32"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46,42</w:t>
            </w:r>
          </w:p>
        </w:tc>
        <w:tc>
          <w:tcPr>
            <w:tcW w:w="1201" w:type="dxa"/>
            <w:noWrap/>
            <w:vAlign w:val="center"/>
          </w:tcPr>
          <w:p w14:paraId="09FB6D57"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40 t</w:t>
            </w:r>
          </w:p>
        </w:tc>
        <w:tc>
          <w:tcPr>
            <w:tcW w:w="888" w:type="dxa"/>
            <w:noWrap/>
            <w:vAlign w:val="center"/>
          </w:tcPr>
          <w:p w14:paraId="0D9E478C"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45 t</w:t>
            </w:r>
          </w:p>
        </w:tc>
        <w:tc>
          <w:tcPr>
            <w:tcW w:w="951" w:type="dxa"/>
            <w:vAlign w:val="center"/>
          </w:tcPr>
          <w:p w14:paraId="0C2B8E65" w14:textId="77777777" w:rsidR="009123AC" w:rsidRPr="00F0379B" w:rsidRDefault="009123AC" w:rsidP="009123AC">
            <w:pPr>
              <w:widowControl w:val="0"/>
              <w:spacing w:after="0" w:line="240" w:lineRule="auto"/>
              <w:jc w:val="center"/>
              <w:rPr>
                <w:rFonts w:ascii="Cambria" w:eastAsia="MS Gothic" w:hAnsi="Cambria" w:cs="Times New Roman"/>
                <w:b/>
                <w:color w:val="000000"/>
                <w:sz w:val="18"/>
                <w:szCs w:val="18"/>
                <w:lang w:eastAsia="fr-FR" w:bidi="fr-FR"/>
              </w:rPr>
            </w:pPr>
            <w:r w:rsidRPr="00F0379B">
              <w:rPr>
                <w:rFonts w:ascii="Cambria" w:eastAsia="MS Gothic" w:hAnsi="Cambria" w:cs="Times New Roman"/>
                <w:b/>
                <w:color w:val="000000"/>
                <w:sz w:val="18"/>
                <w:szCs w:val="24"/>
                <w:lang w:eastAsia="fr-FR" w:bidi="fr-FR"/>
              </w:rPr>
              <w:t>208,16 t</w:t>
            </w:r>
          </w:p>
        </w:tc>
      </w:tr>
      <w:tr w:rsidR="009123AC" w:rsidRPr="00F0379B" w14:paraId="4F5B6899" w14:textId="77777777" w:rsidTr="00CA749B">
        <w:trPr>
          <w:trHeight w:val="20"/>
        </w:trPr>
        <w:tc>
          <w:tcPr>
            <w:tcW w:w="3256" w:type="dxa"/>
            <w:shd w:val="clear" w:color="auto" w:fill="D9D9D9"/>
            <w:noWrap/>
            <w:vAlign w:val="center"/>
            <w:hideMark/>
          </w:tcPr>
          <w:p w14:paraId="3CFF8AAD" w14:textId="77777777" w:rsidR="009123AC" w:rsidRPr="00F0379B" w:rsidRDefault="009123AC" w:rsidP="009123AC">
            <w:pPr>
              <w:widowControl w:val="0"/>
              <w:spacing w:after="0" w:line="240" w:lineRule="auto"/>
              <w:rPr>
                <w:rFonts w:ascii="Cambria" w:eastAsia="Times New Roman" w:hAnsi="Cambria" w:cs="Calibri"/>
                <w:b/>
                <w:bCs/>
                <w:color w:val="000000"/>
                <w:sz w:val="18"/>
                <w:szCs w:val="18"/>
                <w:lang w:eastAsia="fr-FR" w:bidi="fr-FR"/>
              </w:rPr>
            </w:pPr>
            <w:proofErr w:type="spellStart"/>
            <w:r w:rsidRPr="00F0379B">
              <w:rPr>
                <w:rFonts w:ascii="Cambria" w:eastAsia="MS Gothic" w:hAnsi="Cambria" w:cs="Times New Roman"/>
                <w:b/>
                <w:sz w:val="18"/>
                <w:szCs w:val="18"/>
                <w:lang w:eastAsia="fr-FR" w:bidi="fr-FR"/>
              </w:rPr>
              <w:t>Subcapacidad</w:t>
            </w:r>
            <w:proofErr w:type="spellEnd"/>
            <w:r w:rsidRPr="00F0379B">
              <w:rPr>
                <w:rFonts w:ascii="Cambria" w:eastAsia="MS Gothic" w:hAnsi="Cambria" w:cs="Times New Roman"/>
                <w:b/>
                <w:sz w:val="18"/>
                <w:szCs w:val="18"/>
                <w:lang w:eastAsia="fr-FR" w:bidi="fr-FR"/>
              </w:rPr>
              <w:t>/exceso de capacidad</w:t>
            </w:r>
          </w:p>
        </w:tc>
        <w:tc>
          <w:tcPr>
            <w:tcW w:w="1692" w:type="dxa"/>
            <w:shd w:val="clear" w:color="auto" w:fill="D9D9D9"/>
            <w:noWrap/>
            <w:vAlign w:val="center"/>
            <w:hideMark/>
          </w:tcPr>
          <w:p w14:paraId="3277D368" w14:textId="77777777" w:rsidR="009123AC" w:rsidRPr="00F0379B" w:rsidRDefault="009123AC" w:rsidP="009123AC">
            <w:pPr>
              <w:widowControl w:val="0"/>
              <w:spacing w:after="0" w:line="240" w:lineRule="auto"/>
              <w:jc w:val="right"/>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shd w:val="clear" w:color="auto" w:fill="D9D9D9"/>
          </w:tcPr>
          <w:p w14:paraId="39F61E57"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615" w:type="dxa"/>
            <w:shd w:val="clear" w:color="auto" w:fill="D9D9D9"/>
            <w:noWrap/>
            <w:vAlign w:val="center"/>
            <w:hideMark/>
          </w:tcPr>
          <w:p w14:paraId="31F6B61D"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shd w:val="clear" w:color="auto" w:fill="D9D9D9"/>
            <w:vAlign w:val="center"/>
            <w:hideMark/>
          </w:tcPr>
          <w:p w14:paraId="60B54D73"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615" w:type="dxa"/>
            <w:shd w:val="clear" w:color="auto" w:fill="D9D9D9"/>
            <w:vAlign w:val="center"/>
            <w:hideMark/>
          </w:tcPr>
          <w:p w14:paraId="2669299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615" w:type="dxa"/>
            <w:shd w:val="clear" w:color="auto" w:fill="D9D9D9"/>
            <w:vAlign w:val="center"/>
            <w:hideMark/>
          </w:tcPr>
          <w:p w14:paraId="2B6D668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615" w:type="dxa"/>
            <w:shd w:val="clear" w:color="auto" w:fill="D9D9D9"/>
            <w:vAlign w:val="center"/>
          </w:tcPr>
          <w:p w14:paraId="1F02959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vAlign w:val="center"/>
          </w:tcPr>
          <w:p w14:paraId="4130BDAF"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256" w:type="dxa"/>
            <w:shd w:val="clear" w:color="auto" w:fill="D9D9D9"/>
            <w:vAlign w:val="center"/>
            <w:hideMark/>
          </w:tcPr>
          <w:p w14:paraId="05E9AC8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615" w:type="dxa"/>
            <w:shd w:val="clear" w:color="auto" w:fill="D9D9D9"/>
            <w:vAlign w:val="center"/>
          </w:tcPr>
          <w:p w14:paraId="708C9B9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vAlign w:val="center"/>
            <w:hideMark/>
          </w:tcPr>
          <w:p w14:paraId="5D3A0D47"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653" w:type="dxa"/>
            <w:shd w:val="clear" w:color="auto" w:fill="D9D9D9"/>
            <w:vAlign w:val="center"/>
            <w:hideMark/>
          </w:tcPr>
          <w:p w14:paraId="171C4EC3"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851" w:type="dxa"/>
            <w:shd w:val="clear" w:color="auto" w:fill="D9D9D9"/>
            <w:vAlign w:val="center"/>
            <w:hideMark/>
          </w:tcPr>
          <w:p w14:paraId="34064CE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1201" w:type="dxa"/>
            <w:shd w:val="clear" w:color="auto" w:fill="D9D9D9"/>
            <w:vAlign w:val="center"/>
            <w:hideMark/>
          </w:tcPr>
          <w:p w14:paraId="70C03CD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888" w:type="dxa"/>
            <w:shd w:val="clear" w:color="auto" w:fill="D9D9D9"/>
            <w:vAlign w:val="center"/>
            <w:hideMark/>
          </w:tcPr>
          <w:p w14:paraId="19EBBE0F"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951" w:type="dxa"/>
            <w:shd w:val="clear" w:color="auto" w:fill="D9D9D9"/>
            <w:vAlign w:val="center"/>
          </w:tcPr>
          <w:p w14:paraId="03E6FBE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r>
    </w:tbl>
    <w:p w14:paraId="00C88396" w14:textId="77777777" w:rsidR="009123AC" w:rsidRPr="00F0379B" w:rsidRDefault="009123AC" w:rsidP="009123AC">
      <w:pPr>
        <w:spacing w:after="0" w:line="240" w:lineRule="auto"/>
        <w:rPr>
          <w:rFonts w:ascii="Cambria" w:eastAsia="MS Gothic" w:hAnsi="Cambria" w:cs="Times New Roman"/>
          <w:i/>
          <w:color w:val="000000"/>
          <w:sz w:val="20"/>
          <w:szCs w:val="20"/>
          <w:lang w:eastAsia="fr-FR" w:bidi="fr-FR"/>
        </w:rPr>
      </w:pPr>
    </w:p>
    <w:p w14:paraId="276CC857" w14:textId="77777777" w:rsidR="009123AC" w:rsidRPr="00F0379B" w:rsidRDefault="009123AC" w:rsidP="009123AC">
      <w:pPr>
        <w:tabs>
          <w:tab w:val="left" w:pos="142"/>
        </w:tabs>
        <w:spacing w:after="0" w:line="240" w:lineRule="auto"/>
        <w:rPr>
          <w:rFonts w:ascii="Cambria" w:eastAsia="MS Gothic" w:hAnsi="Cambria" w:cs="Times New Roman"/>
          <w:color w:val="000000"/>
          <w:sz w:val="20"/>
          <w:szCs w:val="20"/>
          <w:lang w:eastAsia="fr-FR" w:bidi="fr-FR"/>
        </w:rPr>
        <w:sectPr w:rsidR="009123AC" w:rsidRPr="00F0379B" w:rsidSect="009123AC">
          <w:headerReference w:type="default" r:id="rId241"/>
          <w:footerReference w:type="default" r:id="rId242"/>
          <w:pgSz w:w="16838" w:h="11906" w:orient="landscape" w:code="9"/>
          <w:pgMar w:top="720" w:right="720" w:bottom="720" w:left="720" w:header="851" w:footer="1134" w:gutter="0"/>
          <w:cols w:space="425"/>
          <w:docGrid w:linePitch="360"/>
        </w:sectPr>
      </w:pPr>
    </w:p>
    <w:p w14:paraId="134E89F3" w14:textId="77777777" w:rsidR="009123AC" w:rsidRPr="00F0379B" w:rsidRDefault="009123AC" w:rsidP="009123AC">
      <w:pPr>
        <w:spacing w:after="0" w:line="240" w:lineRule="auto"/>
        <w:ind w:left="7920"/>
        <w:contextualSpacing/>
        <w:rPr>
          <w:rFonts w:ascii="Cambria" w:eastAsia="MS Gothic" w:hAnsi="Cambria" w:cs="Times New Roman"/>
          <w:b/>
          <w:color w:val="000000"/>
          <w:sz w:val="20"/>
          <w:szCs w:val="20"/>
          <w:lang w:eastAsia="fr-FR" w:bidi="fr-FR"/>
        </w:rPr>
      </w:pPr>
      <w:r w:rsidRPr="00F0379B">
        <w:rPr>
          <w:rFonts w:ascii="Cambria" w:eastAsia="MS Gothic" w:hAnsi="Cambria" w:cs="Times New Roman"/>
          <w:b/>
          <w:color w:val="000000"/>
          <w:sz w:val="20"/>
          <w:szCs w:val="24"/>
          <w:lang w:eastAsia="fr-FR" w:bidi="fr-FR"/>
        </w:rPr>
        <w:t>Anexo 1</w:t>
      </w:r>
    </w:p>
    <w:p w14:paraId="470EF42C" w14:textId="77777777" w:rsidR="009123AC" w:rsidRPr="00F0379B" w:rsidRDefault="009123AC" w:rsidP="009123AC">
      <w:pPr>
        <w:spacing w:after="0" w:line="240" w:lineRule="auto"/>
        <w:jc w:val="center"/>
        <w:rPr>
          <w:rFonts w:ascii="Cambria" w:eastAsia="MS Gothic" w:hAnsi="Cambria" w:cs="Times New Roman"/>
          <w:b/>
          <w:color w:val="000000"/>
          <w:sz w:val="20"/>
          <w:szCs w:val="20"/>
          <w:lang w:eastAsia="fr-FR" w:bidi="fr-FR"/>
        </w:rPr>
      </w:pPr>
      <w:r w:rsidRPr="00F0379B">
        <w:rPr>
          <w:rFonts w:ascii="Cambria" w:eastAsia="MS Gothic" w:hAnsi="Cambria" w:cs="Times New Roman"/>
          <w:b/>
          <w:color w:val="000000"/>
          <w:sz w:val="20"/>
          <w:szCs w:val="24"/>
          <w:lang w:eastAsia="fr-FR" w:bidi="fr-FR"/>
        </w:rPr>
        <w:t>Puertos designados del Reino Unido</w:t>
      </w:r>
    </w:p>
    <w:p w14:paraId="23BA29B8" w14:textId="77777777" w:rsidR="009123AC" w:rsidRPr="00F0379B" w:rsidRDefault="009123AC" w:rsidP="009123AC">
      <w:pPr>
        <w:spacing w:after="0" w:line="240" w:lineRule="auto"/>
        <w:jc w:val="both"/>
        <w:rPr>
          <w:rFonts w:ascii="Cambria" w:eastAsia="MS Gothic" w:hAnsi="Cambria" w:cs="Times New Roman"/>
          <w:b/>
          <w:color w:val="000000"/>
          <w:sz w:val="20"/>
          <w:szCs w:val="20"/>
          <w:lang w:eastAsia="fr-FR" w:bidi="fr-FR"/>
        </w:rPr>
      </w:pPr>
    </w:p>
    <w:tbl>
      <w:tblPr>
        <w:tblW w:w="7723" w:type="dxa"/>
        <w:jc w:val="center"/>
        <w:tblLook w:val="04A0" w:firstRow="1" w:lastRow="0" w:firstColumn="1" w:lastColumn="0" w:noHBand="0" w:noVBand="1"/>
      </w:tblPr>
      <w:tblGrid>
        <w:gridCol w:w="2568"/>
        <w:gridCol w:w="971"/>
        <w:gridCol w:w="2201"/>
        <w:gridCol w:w="884"/>
        <w:gridCol w:w="39"/>
        <w:gridCol w:w="1060"/>
      </w:tblGrid>
      <w:tr w:rsidR="009123AC" w:rsidRPr="00F0379B" w14:paraId="1F920451" w14:textId="77777777" w:rsidTr="00937163">
        <w:trPr>
          <w:trHeight w:val="219"/>
          <w:tblHeader/>
          <w:jc w:val="center"/>
        </w:trPr>
        <w:tc>
          <w:tcPr>
            <w:tcW w:w="2568" w:type="dxa"/>
            <w:tcBorders>
              <w:top w:val="single" w:sz="4" w:space="0" w:color="000000"/>
              <w:left w:val="single" w:sz="4" w:space="0" w:color="auto"/>
              <w:bottom w:val="single" w:sz="4" w:space="0" w:color="000000"/>
              <w:right w:val="nil"/>
            </w:tcBorders>
            <w:noWrap/>
            <w:hideMark/>
          </w:tcPr>
          <w:p w14:paraId="37DF3F07" w14:textId="77777777" w:rsidR="009123AC" w:rsidRPr="00F0379B" w:rsidRDefault="009123AC" w:rsidP="009123AC">
            <w:pPr>
              <w:spacing w:after="0" w:line="240" w:lineRule="auto"/>
              <w:rPr>
                <w:rFonts w:ascii="Cambria" w:eastAsia="Times New Roman" w:hAnsi="Cambria" w:cs="Calibri"/>
                <w:i/>
                <w:color w:val="000000"/>
                <w:sz w:val="20"/>
                <w:szCs w:val="20"/>
                <w:lang w:eastAsia="fr-FR" w:bidi="fr-FR"/>
              </w:rPr>
            </w:pPr>
            <w:r w:rsidRPr="00F0379B">
              <w:rPr>
                <w:rFonts w:ascii="Cambria" w:eastAsia="MS Gothic" w:hAnsi="Cambria" w:cs="Times New Roman"/>
                <w:i/>
                <w:color w:val="000000"/>
                <w:sz w:val="20"/>
                <w:szCs w:val="24"/>
                <w:lang w:eastAsia="fr-FR" w:bidi="fr-FR"/>
              </w:rPr>
              <w:t>Nombre del puerto</w:t>
            </w:r>
          </w:p>
        </w:tc>
        <w:tc>
          <w:tcPr>
            <w:tcW w:w="971" w:type="dxa"/>
            <w:tcBorders>
              <w:top w:val="single" w:sz="4" w:space="0" w:color="000000"/>
              <w:left w:val="nil"/>
              <w:bottom w:val="single" w:sz="4" w:space="0" w:color="000000"/>
              <w:right w:val="nil"/>
            </w:tcBorders>
            <w:hideMark/>
          </w:tcPr>
          <w:p w14:paraId="0A81B874" w14:textId="77777777" w:rsidR="009123AC" w:rsidRPr="00F0379B" w:rsidRDefault="009123AC" w:rsidP="009123AC">
            <w:pPr>
              <w:spacing w:after="0" w:line="240" w:lineRule="auto"/>
              <w:rPr>
                <w:rFonts w:ascii="Cambria" w:eastAsia="Times New Roman" w:hAnsi="Cambria" w:cs="Calibri"/>
                <w:i/>
                <w:color w:val="000000"/>
                <w:sz w:val="20"/>
                <w:szCs w:val="20"/>
                <w:lang w:eastAsia="fr-FR" w:bidi="fr-FR"/>
              </w:rPr>
            </w:pPr>
            <w:r w:rsidRPr="00F0379B">
              <w:rPr>
                <w:rFonts w:ascii="Cambria" w:eastAsia="MS Gothic" w:hAnsi="Cambria" w:cs="Times New Roman"/>
                <w:i/>
                <w:color w:val="000000"/>
                <w:sz w:val="20"/>
                <w:szCs w:val="24"/>
                <w:lang w:eastAsia="fr-FR" w:bidi="fr-FR"/>
              </w:rPr>
              <w:t>País</w:t>
            </w:r>
          </w:p>
        </w:tc>
        <w:tc>
          <w:tcPr>
            <w:tcW w:w="2201" w:type="dxa"/>
            <w:tcBorders>
              <w:top w:val="single" w:sz="4" w:space="0" w:color="000000"/>
              <w:left w:val="nil"/>
              <w:bottom w:val="single" w:sz="4" w:space="0" w:color="000000"/>
              <w:right w:val="nil"/>
            </w:tcBorders>
            <w:hideMark/>
          </w:tcPr>
          <w:p w14:paraId="2D8DE381" w14:textId="77777777" w:rsidR="009123AC" w:rsidRPr="00F0379B" w:rsidRDefault="009123AC" w:rsidP="009123AC">
            <w:pPr>
              <w:spacing w:after="0" w:line="240" w:lineRule="auto"/>
              <w:rPr>
                <w:rFonts w:ascii="Cambria" w:eastAsia="Times New Roman" w:hAnsi="Cambria" w:cs="Calibri"/>
                <w:i/>
                <w:color w:val="000000"/>
                <w:sz w:val="20"/>
                <w:szCs w:val="20"/>
                <w:lang w:eastAsia="fr-FR" w:bidi="fr-FR"/>
              </w:rPr>
            </w:pPr>
            <w:r w:rsidRPr="00F0379B">
              <w:rPr>
                <w:rFonts w:ascii="Cambria" w:eastAsia="MS Gothic" w:hAnsi="Cambria" w:cs="Times New Roman"/>
                <w:i/>
                <w:color w:val="000000"/>
                <w:sz w:val="20"/>
                <w:szCs w:val="24"/>
                <w:lang w:eastAsia="fr-FR" w:bidi="fr-FR"/>
              </w:rPr>
              <w:t>Código del puerto</w:t>
            </w:r>
          </w:p>
        </w:tc>
        <w:tc>
          <w:tcPr>
            <w:tcW w:w="923" w:type="dxa"/>
            <w:gridSpan w:val="2"/>
            <w:tcBorders>
              <w:top w:val="single" w:sz="4" w:space="0" w:color="000000"/>
              <w:left w:val="nil"/>
              <w:bottom w:val="single" w:sz="4" w:space="0" w:color="000000"/>
              <w:right w:val="nil"/>
            </w:tcBorders>
            <w:hideMark/>
          </w:tcPr>
          <w:p w14:paraId="375D8988" w14:textId="77777777" w:rsidR="009123AC" w:rsidRPr="00F0379B" w:rsidRDefault="009123AC" w:rsidP="009123AC">
            <w:pPr>
              <w:spacing w:after="0" w:line="240" w:lineRule="auto"/>
              <w:rPr>
                <w:rFonts w:ascii="Cambria" w:eastAsia="Times New Roman" w:hAnsi="Cambria" w:cs="Calibri"/>
                <w:i/>
                <w:color w:val="000000"/>
                <w:sz w:val="20"/>
                <w:szCs w:val="20"/>
                <w:lang w:eastAsia="fr-FR" w:bidi="fr-FR"/>
              </w:rPr>
            </w:pPr>
            <w:r w:rsidRPr="00F0379B">
              <w:rPr>
                <w:rFonts w:ascii="Cambria" w:eastAsia="MS Gothic" w:hAnsi="Cambria" w:cs="Times New Roman"/>
                <w:i/>
                <w:color w:val="000000"/>
                <w:sz w:val="20"/>
                <w:szCs w:val="24"/>
                <w:lang w:eastAsia="fr-FR" w:bidi="fr-FR"/>
              </w:rPr>
              <w:t>Latitud</w:t>
            </w:r>
          </w:p>
        </w:tc>
        <w:tc>
          <w:tcPr>
            <w:tcW w:w="1060" w:type="dxa"/>
            <w:tcBorders>
              <w:top w:val="single" w:sz="4" w:space="0" w:color="000000"/>
              <w:left w:val="nil"/>
              <w:bottom w:val="single" w:sz="4" w:space="0" w:color="000000"/>
              <w:right w:val="single" w:sz="4" w:space="0" w:color="auto"/>
            </w:tcBorders>
            <w:hideMark/>
          </w:tcPr>
          <w:p w14:paraId="1A71ECB1" w14:textId="77777777" w:rsidR="009123AC" w:rsidRPr="00F0379B" w:rsidRDefault="009123AC" w:rsidP="009123AC">
            <w:pPr>
              <w:spacing w:after="0" w:line="240" w:lineRule="auto"/>
              <w:rPr>
                <w:rFonts w:ascii="Cambria" w:eastAsia="Times New Roman" w:hAnsi="Cambria" w:cs="Calibri"/>
                <w:i/>
                <w:color w:val="000000"/>
                <w:sz w:val="20"/>
                <w:szCs w:val="20"/>
                <w:lang w:eastAsia="fr-FR" w:bidi="fr-FR"/>
              </w:rPr>
            </w:pPr>
            <w:r w:rsidRPr="00F0379B">
              <w:rPr>
                <w:rFonts w:ascii="Cambria" w:eastAsia="MS Gothic" w:hAnsi="Cambria" w:cs="Times New Roman"/>
                <w:i/>
                <w:color w:val="000000"/>
                <w:sz w:val="20"/>
                <w:szCs w:val="24"/>
                <w:lang w:eastAsia="fr-FR" w:bidi="fr-FR"/>
              </w:rPr>
              <w:t>Longitud</w:t>
            </w:r>
          </w:p>
        </w:tc>
      </w:tr>
      <w:tr w:rsidR="009123AC" w:rsidRPr="00F0379B" w14:paraId="62E256A4"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3FBC4BE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Brixham</w:t>
            </w:r>
            <w:proofErr w:type="spellEnd"/>
          </w:p>
        </w:tc>
        <w:tc>
          <w:tcPr>
            <w:tcW w:w="971" w:type="dxa"/>
            <w:tcBorders>
              <w:top w:val="single" w:sz="4" w:space="0" w:color="000000"/>
              <w:left w:val="nil"/>
              <w:bottom w:val="single" w:sz="4" w:space="0" w:color="000000"/>
              <w:right w:val="nil"/>
            </w:tcBorders>
            <w:hideMark/>
          </w:tcPr>
          <w:p w14:paraId="35B7AFE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62E447D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GBBRX</w:t>
            </w:r>
          </w:p>
        </w:tc>
        <w:tc>
          <w:tcPr>
            <w:tcW w:w="923" w:type="dxa"/>
            <w:gridSpan w:val="2"/>
            <w:tcBorders>
              <w:top w:val="single" w:sz="4" w:space="0" w:color="000000"/>
              <w:left w:val="nil"/>
              <w:bottom w:val="single" w:sz="4" w:space="0" w:color="000000"/>
              <w:right w:val="nil"/>
            </w:tcBorders>
            <w:hideMark/>
          </w:tcPr>
          <w:p w14:paraId="6AA43CB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50,401</w:t>
            </w:r>
          </w:p>
        </w:tc>
        <w:tc>
          <w:tcPr>
            <w:tcW w:w="1060" w:type="dxa"/>
            <w:tcBorders>
              <w:top w:val="single" w:sz="4" w:space="0" w:color="000000"/>
              <w:left w:val="nil"/>
              <w:bottom w:val="single" w:sz="4" w:space="0" w:color="000000"/>
              <w:right w:val="single" w:sz="4" w:space="0" w:color="auto"/>
            </w:tcBorders>
            <w:hideMark/>
          </w:tcPr>
          <w:p w14:paraId="39BB5616"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-3,509</w:t>
            </w:r>
          </w:p>
        </w:tc>
      </w:tr>
      <w:tr w:rsidR="009123AC" w:rsidRPr="00F0379B" w14:paraId="4070BCDD"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2022CAD0" w14:textId="77777777" w:rsidR="009123AC" w:rsidRPr="00F0379B" w:rsidRDefault="009123AC" w:rsidP="009123AC">
            <w:pPr>
              <w:widowControl w:val="0"/>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Coverack</w:t>
            </w:r>
            <w:proofErr w:type="spellEnd"/>
          </w:p>
        </w:tc>
        <w:tc>
          <w:tcPr>
            <w:tcW w:w="971" w:type="dxa"/>
            <w:tcBorders>
              <w:top w:val="single" w:sz="4" w:space="0" w:color="000000"/>
              <w:left w:val="nil"/>
              <w:bottom w:val="single" w:sz="4" w:space="0" w:color="000000"/>
              <w:right w:val="nil"/>
            </w:tcBorders>
            <w:hideMark/>
          </w:tcPr>
          <w:p w14:paraId="71CB635A" w14:textId="77777777" w:rsidR="009123AC" w:rsidRPr="00F0379B" w:rsidRDefault="009123AC" w:rsidP="009123AC">
            <w:pPr>
              <w:widowControl w:val="0"/>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22AF7313" w14:textId="77777777" w:rsidR="009123AC" w:rsidRPr="00F0379B" w:rsidRDefault="009123AC" w:rsidP="009123AC">
            <w:pPr>
              <w:widowControl w:val="0"/>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GBCOV</w:t>
            </w:r>
          </w:p>
        </w:tc>
        <w:tc>
          <w:tcPr>
            <w:tcW w:w="923" w:type="dxa"/>
            <w:gridSpan w:val="2"/>
            <w:tcBorders>
              <w:top w:val="single" w:sz="4" w:space="0" w:color="000000"/>
              <w:left w:val="nil"/>
              <w:bottom w:val="single" w:sz="4" w:space="0" w:color="000000"/>
              <w:right w:val="nil"/>
            </w:tcBorders>
            <w:hideMark/>
          </w:tcPr>
          <w:p w14:paraId="3FDE71A6" w14:textId="77777777" w:rsidR="009123AC" w:rsidRPr="00F0379B" w:rsidRDefault="009123AC" w:rsidP="009123AC">
            <w:pPr>
              <w:widowControl w:val="0"/>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50,022</w:t>
            </w:r>
          </w:p>
        </w:tc>
        <w:tc>
          <w:tcPr>
            <w:tcW w:w="1060" w:type="dxa"/>
            <w:tcBorders>
              <w:top w:val="single" w:sz="4" w:space="0" w:color="000000"/>
              <w:left w:val="nil"/>
              <w:bottom w:val="single" w:sz="4" w:space="0" w:color="000000"/>
              <w:right w:val="single" w:sz="4" w:space="0" w:color="auto"/>
            </w:tcBorders>
            <w:hideMark/>
          </w:tcPr>
          <w:p w14:paraId="53BACDA9" w14:textId="77777777" w:rsidR="009123AC" w:rsidRPr="00F0379B" w:rsidRDefault="009123AC" w:rsidP="009123AC">
            <w:pPr>
              <w:widowControl w:val="0"/>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 xml:space="preserve">-5,093 </w:t>
            </w:r>
          </w:p>
        </w:tc>
      </w:tr>
      <w:tr w:rsidR="009123AC" w:rsidRPr="00F0379B" w14:paraId="5D8AB2C0"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400A366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Falmouth</w:t>
            </w:r>
          </w:p>
        </w:tc>
        <w:tc>
          <w:tcPr>
            <w:tcW w:w="971" w:type="dxa"/>
            <w:tcBorders>
              <w:top w:val="single" w:sz="4" w:space="0" w:color="000000"/>
              <w:left w:val="nil"/>
              <w:bottom w:val="single" w:sz="4" w:space="0" w:color="000000"/>
              <w:right w:val="nil"/>
            </w:tcBorders>
            <w:hideMark/>
          </w:tcPr>
          <w:p w14:paraId="62D648F6"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51B9F80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GBFAL</w:t>
            </w:r>
          </w:p>
        </w:tc>
        <w:tc>
          <w:tcPr>
            <w:tcW w:w="923" w:type="dxa"/>
            <w:gridSpan w:val="2"/>
            <w:tcBorders>
              <w:top w:val="single" w:sz="4" w:space="0" w:color="000000"/>
              <w:left w:val="nil"/>
              <w:bottom w:val="single" w:sz="4" w:space="0" w:color="000000"/>
              <w:right w:val="nil"/>
            </w:tcBorders>
            <w:hideMark/>
          </w:tcPr>
          <w:p w14:paraId="666C3B1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50,161</w:t>
            </w:r>
          </w:p>
        </w:tc>
        <w:tc>
          <w:tcPr>
            <w:tcW w:w="1060" w:type="dxa"/>
            <w:tcBorders>
              <w:top w:val="single" w:sz="4" w:space="0" w:color="000000"/>
              <w:left w:val="nil"/>
              <w:bottom w:val="single" w:sz="4" w:space="0" w:color="000000"/>
              <w:right w:val="single" w:sz="4" w:space="0" w:color="auto"/>
            </w:tcBorders>
            <w:hideMark/>
          </w:tcPr>
          <w:p w14:paraId="6124D84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-5,073</w:t>
            </w:r>
          </w:p>
        </w:tc>
      </w:tr>
      <w:tr w:rsidR="009123AC" w:rsidRPr="00F0379B" w14:paraId="1BA041EC"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2CF8531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Fleetwood</w:t>
            </w:r>
          </w:p>
        </w:tc>
        <w:tc>
          <w:tcPr>
            <w:tcW w:w="971" w:type="dxa"/>
            <w:tcBorders>
              <w:top w:val="single" w:sz="4" w:space="0" w:color="000000"/>
              <w:left w:val="nil"/>
              <w:bottom w:val="single" w:sz="4" w:space="0" w:color="000000"/>
              <w:right w:val="nil"/>
            </w:tcBorders>
            <w:hideMark/>
          </w:tcPr>
          <w:p w14:paraId="4D99071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02B2578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GBFLE</w:t>
            </w:r>
          </w:p>
        </w:tc>
        <w:tc>
          <w:tcPr>
            <w:tcW w:w="923" w:type="dxa"/>
            <w:gridSpan w:val="2"/>
            <w:tcBorders>
              <w:top w:val="single" w:sz="4" w:space="0" w:color="000000"/>
              <w:left w:val="nil"/>
              <w:bottom w:val="single" w:sz="4" w:space="0" w:color="000000"/>
              <w:right w:val="nil"/>
            </w:tcBorders>
            <w:hideMark/>
          </w:tcPr>
          <w:p w14:paraId="0ED56D4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53,922</w:t>
            </w:r>
          </w:p>
        </w:tc>
        <w:tc>
          <w:tcPr>
            <w:tcW w:w="1060" w:type="dxa"/>
            <w:tcBorders>
              <w:top w:val="single" w:sz="4" w:space="0" w:color="000000"/>
              <w:left w:val="nil"/>
              <w:bottom w:val="single" w:sz="4" w:space="0" w:color="000000"/>
              <w:right w:val="single" w:sz="4" w:space="0" w:color="auto"/>
            </w:tcBorders>
            <w:hideMark/>
          </w:tcPr>
          <w:p w14:paraId="2CCEFBD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-3,008</w:t>
            </w:r>
          </w:p>
        </w:tc>
      </w:tr>
      <w:tr w:rsidR="009123AC" w:rsidRPr="00F0379B" w14:paraId="6F9E624A"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6E0DB3E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Folkestone</w:t>
            </w:r>
          </w:p>
        </w:tc>
        <w:tc>
          <w:tcPr>
            <w:tcW w:w="971" w:type="dxa"/>
            <w:tcBorders>
              <w:top w:val="single" w:sz="4" w:space="0" w:color="000000"/>
              <w:left w:val="nil"/>
              <w:bottom w:val="single" w:sz="4" w:space="0" w:color="000000"/>
              <w:right w:val="nil"/>
            </w:tcBorders>
            <w:hideMark/>
          </w:tcPr>
          <w:p w14:paraId="1EBB9576"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1D61A31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GBFOL</w:t>
            </w:r>
          </w:p>
        </w:tc>
        <w:tc>
          <w:tcPr>
            <w:tcW w:w="923" w:type="dxa"/>
            <w:gridSpan w:val="2"/>
            <w:tcBorders>
              <w:top w:val="single" w:sz="4" w:space="0" w:color="000000"/>
              <w:left w:val="nil"/>
              <w:bottom w:val="single" w:sz="4" w:space="0" w:color="000000"/>
              <w:right w:val="nil"/>
            </w:tcBorders>
            <w:hideMark/>
          </w:tcPr>
          <w:p w14:paraId="45BB61C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51,078</w:t>
            </w:r>
          </w:p>
        </w:tc>
        <w:tc>
          <w:tcPr>
            <w:tcW w:w="1060" w:type="dxa"/>
            <w:tcBorders>
              <w:top w:val="single" w:sz="4" w:space="0" w:color="000000"/>
              <w:left w:val="nil"/>
              <w:bottom w:val="single" w:sz="4" w:space="0" w:color="000000"/>
              <w:right w:val="single" w:sz="4" w:space="0" w:color="auto"/>
            </w:tcBorders>
            <w:hideMark/>
          </w:tcPr>
          <w:p w14:paraId="40A4069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1,190</w:t>
            </w:r>
          </w:p>
        </w:tc>
      </w:tr>
      <w:tr w:rsidR="009123AC" w:rsidRPr="00F0379B" w14:paraId="162E1776"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2A2DA5F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Grimsby</w:t>
            </w:r>
          </w:p>
        </w:tc>
        <w:tc>
          <w:tcPr>
            <w:tcW w:w="971" w:type="dxa"/>
            <w:tcBorders>
              <w:top w:val="single" w:sz="4" w:space="0" w:color="000000"/>
              <w:left w:val="nil"/>
              <w:bottom w:val="single" w:sz="4" w:space="0" w:color="000000"/>
              <w:right w:val="nil"/>
            </w:tcBorders>
            <w:hideMark/>
          </w:tcPr>
          <w:p w14:paraId="3445FDE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7C297D3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GBGSY</w:t>
            </w:r>
          </w:p>
        </w:tc>
        <w:tc>
          <w:tcPr>
            <w:tcW w:w="923" w:type="dxa"/>
            <w:gridSpan w:val="2"/>
            <w:tcBorders>
              <w:top w:val="single" w:sz="4" w:space="0" w:color="000000"/>
              <w:left w:val="nil"/>
              <w:bottom w:val="single" w:sz="4" w:space="0" w:color="000000"/>
              <w:right w:val="nil"/>
            </w:tcBorders>
            <w:hideMark/>
          </w:tcPr>
          <w:p w14:paraId="5EB4ECE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53,579</w:t>
            </w:r>
          </w:p>
        </w:tc>
        <w:tc>
          <w:tcPr>
            <w:tcW w:w="1060" w:type="dxa"/>
            <w:tcBorders>
              <w:top w:val="single" w:sz="4" w:space="0" w:color="000000"/>
              <w:left w:val="nil"/>
              <w:bottom w:val="single" w:sz="4" w:space="0" w:color="000000"/>
              <w:right w:val="single" w:sz="4" w:space="0" w:color="auto"/>
            </w:tcBorders>
            <w:hideMark/>
          </w:tcPr>
          <w:p w14:paraId="5DF1895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-0,074</w:t>
            </w:r>
          </w:p>
        </w:tc>
      </w:tr>
      <w:tr w:rsidR="009123AC" w:rsidRPr="00F0379B" w14:paraId="67D99EA7"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0146C956"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Harwich</w:t>
            </w:r>
          </w:p>
        </w:tc>
        <w:tc>
          <w:tcPr>
            <w:tcW w:w="971" w:type="dxa"/>
            <w:tcBorders>
              <w:top w:val="single" w:sz="4" w:space="0" w:color="000000"/>
              <w:left w:val="nil"/>
              <w:bottom w:val="single" w:sz="4" w:space="0" w:color="000000"/>
              <w:right w:val="nil"/>
            </w:tcBorders>
            <w:hideMark/>
          </w:tcPr>
          <w:p w14:paraId="13A695F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78D35D7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GBHRW</w:t>
            </w:r>
          </w:p>
        </w:tc>
        <w:tc>
          <w:tcPr>
            <w:tcW w:w="923" w:type="dxa"/>
            <w:gridSpan w:val="2"/>
            <w:tcBorders>
              <w:top w:val="single" w:sz="4" w:space="0" w:color="000000"/>
              <w:left w:val="nil"/>
              <w:bottom w:val="single" w:sz="4" w:space="0" w:color="000000"/>
              <w:right w:val="nil"/>
            </w:tcBorders>
            <w:hideMark/>
          </w:tcPr>
          <w:p w14:paraId="5FB5DA4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51,945</w:t>
            </w:r>
          </w:p>
        </w:tc>
        <w:tc>
          <w:tcPr>
            <w:tcW w:w="1060" w:type="dxa"/>
            <w:tcBorders>
              <w:top w:val="single" w:sz="4" w:space="0" w:color="000000"/>
              <w:left w:val="nil"/>
              <w:bottom w:val="single" w:sz="4" w:space="0" w:color="000000"/>
              <w:right w:val="single" w:sz="4" w:space="0" w:color="auto"/>
            </w:tcBorders>
            <w:hideMark/>
          </w:tcPr>
          <w:p w14:paraId="5E8322C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1,280</w:t>
            </w:r>
          </w:p>
        </w:tc>
      </w:tr>
      <w:tr w:rsidR="009123AC" w:rsidRPr="00F0379B" w14:paraId="45D2AC43"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22A86AA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Hayle</w:t>
            </w:r>
          </w:p>
        </w:tc>
        <w:tc>
          <w:tcPr>
            <w:tcW w:w="971" w:type="dxa"/>
            <w:tcBorders>
              <w:top w:val="single" w:sz="4" w:space="0" w:color="000000"/>
              <w:left w:val="nil"/>
              <w:bottom w:val="single" w:sz="4" w:space="0" w:color="000000"/>
              <w:right w:val="nil"/>
            </w:tcBorders>
            <w:hideMark/>
          </w:tcPr>
          <w:p w14:paraId="320F3C9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0D93423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GBHAY</w:t>
            </w:r>
          </w:p>
        </w:tc>
        <w:tc>
          <w:tcPr>
            <w:tcW w:w="884" w:type="dxa"/>
            <w:tcBorders>
              <w:top w:val="single" w:sz="4" w:space="0" w:color="000000"/>
              <w:left w:val="nil"/>
              <w:bottom w:val="single" w:sz="4" w:space="0" w:color="000000"/>
              <w:right w:val="nil"/>
            </w:tcBorders>
            <w:hideMark/>
          </w:tcPr>
          <w:p w14:paraId="65612DDF" w14:textId="77777777" w:rsidR="009123AC" w:rsidRPr="00F0379B" w:rsidRDefault="009123AC" w:rsidP="009123AC">
            <w:pPr>
              <w:widowControl w:val="0"/>
              <w:spacing w:after="0" w:line="240" w:lineRule="auto"/>
              <w:rPr>
                <w:rFonts w:ascii="Cambria" w:eastAsia="MS Gothic" w:hAnsi="Cambria" w:cs="Times New Roman"/>
                <w:color w:val="000000"/>
                <w:sz w:val="20"/>
                <w:szCs w:val="24"/>
                <w:lang w:eastAsia="fr-FR" w:bidi="fr-FR"/>
              </w:rPr>
            </w:pPr>
            <w:r w:rsidRPr="00F0379B">
              <w:rPr>
                <w:rFonts w:ascii="Cambria" w:eastAsia="MS Gothic" w:hAnsi="Cambria" w:cs="Times New Roman"/>
                <w:color w:val="000000"/>
                <w:sz w:val="20"/>
                <w:szCs w:val="24"/>
                <w:lang w:eastAsia="fr-FR" w:bidi="fr-FR"/>
              </w:rPr>
              <w:t>50,190</w:t>
            </w:r>
          </w:p>
        </w:tc>
        <w:tc>
          <w:tcPr>
            <w:tcW w:w="1099" w:type="dxa"/>
            <w:gridSpan w:val="2"/>
            <w:tcBorders>
              <w:top w:val="single" w:sz="4" w:space="0" w:color="000000"/>
              <w:left w:val="nil"/>
              <w:bottom w:val="single" w:sz="4" w:space="0" w:color="000000"/>
              <w:right w:val="single" w:sz="4" w:space="0" w:color="auto"/>
            </w:tcBorders>
            <w:hideMark/>
          </w:tcPr>
          <w:p w14:paraId="5C29ACAF" w14:textId="77777777" w:rsidR="009123AC" w:rsidRPr="00F0379B" w:rsidRDefault="009123AC" w:rsidP="009123AC">
            <w:pPr>
              <w:widowControl w:val="0"/>
              <w:spacing w:after="0" w:line="240" w:lineRule="auto"/>
              <w:rPr>
                <w:rFonts w:ascii="Cambria" w:eastAsia="MS Gothic" w:hAnsi="Cambria" w:cs="Times New Roman"/>
                <w:color w:val="000000"/>
                <w:sz w:val="20"/>
                <w:szCs w:val="24"/>
                <w:lang w:eastAsia="fr-FR" w:bidi="fr-FR"/>
              </w:rPr>
            </w:pPr>
            <w:r w:rsidRPr="00F0379B">
              <w:rPr>
                <w:rFonts w:ascii="Cambria" w:eastAsia="MS Gothic" w:hAnsi="Cambria" w:cs="Times New Roman"/>
                <w:color w:val="000000"/>
                <w:sz w:val="20"/>
                <w:szCs w:val="24"/>
                <w:lang w:eastAsia="fr-FR" w:bidi="fr-FR"/>
              </w:rPr>
              <w:t>-5,4292</w:t>
            </w:r>
          </w:p>
        </w:tc>
      </w:tr>
      <w:tr w:rsidR="009123AC" w:rsidRPr="00F0379B" w14:paraId="26302511"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3E27556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Hull</w:t>
            </w:r>
          </w:p>
        </w:tc>
        <w:tc>
          <w:tcPr>
            <w:tcW w:w="971" w:type="dxa"/>
            <w:tcBorders>
              <w:top w:val="single" w:sz="4" w:space="0" w:color="000000"/>
              <w:left w:val="nil"/>
              <w:bottom w:val="single" w:sz="4" w:space="0" w:color="000000"/>
              <w:right w:val="nil"/>
            </w:tcBorders>
            <w:hideMark/>
          </w:tcPr>
          <w:p w14:paraId="0603A90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557776B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GBHUL</w:t>
            </w:r>
          </w:p>
        </w:tc>
        <w:tc>
          <w:tcPr>
            <w:tcW w:w="923" w:type="dxa"/>
            <w:gridSpan w:val="2"/>
            <w:tcBorders>
              <w:top w:val="single" w:sz="4" w:space="0" w:color="000000"/>
              <w:left w:val="nil"/>
              <w:bottom w:val="single" w:sz="4" w:space="0" w:color="000000"/>
              <w:right w:val="nil"/>
            </w:tcBorders>
            <w:hideMark/>
          </w:tcPr>
          <w:p w14:paraId="6312EF4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53,742</w:t>
            </w:r>
          </w:p>
        </w:tc>
        <w:tc>
          <w:tcPr>
            <w:tcW w:w="1060" w:type="dxa"/>
            <w:tcBorders>
              <w:top w:val="single" w:sz="4" w:space="0" w:color="000000"/>
              <w:left w:val="nil"/>
              <w:bottom w:val="single" w:sz="4" w:space="0" w:color="000000"/>
              <w:right w:val="single" w:sz="4" w:space="0" w:color="auto"/>
            </w:tcBorders>
            <w:hideMark/>
          </w:tcPr>
          <w:p w14:paraId="6873311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-0,280</w:t>
            </w:r>
          </w:p>
        </w:tc>
      </w:tr>
      <w:tr w:rsidR="009123AC" w:rsidRPr="00F0379B" w14:paraId="68A6864F"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200AB68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Immingham</w:t>
            </w:r>
          </w:p>
        </w:tc>
        <w:tc>
          <w:tcPr>
            <w:tcW w:w="971" w:type="dxa"/>
            <w:tcBorders>
              <w:top w:val="single" w:sz="4" w:space="0" w:color="000000"/>
              <w:left w:val="nil"/>
              <w:bottom w:val="single" w:sz="4" w:space="0" w:color="000000"/>
              <w:right w:val="nil"/>
            </w:tcBorders>
            <w:hideMark/>
          </w:tcPr>
          <w:p w14:paraId="5607FE4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0BB1CE7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GBIMM</w:t>
            </w:r>
          </w:p>
        </w:tc>
        <w:tc>
          <w:tcPr>
            <w:tcW w:w="923" w:type="dxa"/>
            <w:gridSpan w:val="2"/>
            <w:tcBorders>
              <w:top w:val="single" w:sz="4" w:space="0" w:color="000000"/>
              <w:left w:val="nil"/>
              <w:bottom w:val="single" w:sz="4" w:space="0" w:color="000000"/>
              <w:right w:val="nil"/>
            </w:tcBorders>
            <w:hideMark/>
          </w:tcPr>
          <w:p w14:paraId="3F4A96A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53,636</w:t>
            </w:r>
          </w:p>
        </w:tc>
        <w:tc>
          <w:tcPr>
            <w:tcW w:w="1060" w:type="dxa"/>
            <w:tcBorders>
              <w:top w:val="single" w:sz="4" w:space="0" w:color="000000"/>
              <w:left w:val="nil"/>
              <w:bottom w:val="single" w:sz="4" w:space="0" w:color="000000"/>
              <w:right w:val="single" w:sz="4" w:space="0" w:color="auto"/>
            </w:tcBorders>
            <w:hideMark/>
          </w:tcPr>
          <w:p w14:paraId="2B8356D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-0,185</w:t>
            </w:r>
          </w:p>
        </w:tc>
      </w:tr>
      <w:tr w:rsidR="009123AC" w:rsidRPr="00F0379B" w14:paraId="6AB8973B"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577B849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Ilfracombe</w:t>
            </w:r>
            <w:proofErr w:type="spellEnd"/>
          </w:p>
        </w:tc>
        <w:tc>
          <w:tcPr>
            <w:tcW w:w="971" w:type="dxa"/>
            <w:tcBorders>
              <w:top w:val="single" w:sz="4" w:space="0" w:color="000000"/>
              <w:left w:val="nil"/>
              <w:bottom w:val="single" w:sz="4" w:space="0" w:color="000000"/>
              <w:right w:val="nil"/>
            </w:tcBorders>
            <w:hideMark/>
          </w:tcPr>
          <w:p w14:paraId="389AE41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292DC9A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GBILF</w:t>
            </w:r>
          </w:p>
        </w:tc>
        <w:tc>
          <w:tcPr>
            <w:tcW w:w="923" w:type="dxa"/>
            <w:gridSpan w:val="2"/>
            <w:tcBorders>
              <w:top w:val="single" w:sz="4" w:space="0" w:color="000000"/>
              <w:left w:val="nil"/>
              <w:bottom w:val="single" w:sz="4" w:space="0" w:color="000000"/>
              <w:right w:val="nil"/>
            </w:tcBorders>
            <w:hideMark/>
          </w:tcPr>
          <w:p w14:paraId="5C9F0B4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51,210</w:t>
            </w:r>
          </w:p>
        </w:tc>
        <w:tc>
          <w:tcPr>
            <w:tcW w:w="1060" w:type="dxa"/>
            <w:tcBorders>
              <w:top w:val="single" w:sz="4" w:space="0" w:color="000000"/>
              <w:left w:val="nil"/>
              <w:bottom w:val="single" w:sz="4" w:space="0" w:color="000000"/>
              <w:right w:val="single" w:sz="4" w:space="0" w:color="auto"/>
            </w:tcBorders>
            <w:hideMark/>
          </w:tcPr>
          <w:p w14:paraId="5C8162C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-4,112</w:t>
            </w:r>
          </w:p>
        </w:tc>
      </w:tr>
      <w:tr w:rsidR="009123AC" w:rsidRPr="00F0379B" w14:paraId="0454C24F"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468EB23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Liverpool</w:t>
            </w:r>
          </w:p>
        </w:tc>
        <w:tc>
          <w:tcPr>
            <w:tcW w:w="971" w:type="dxa"/>
            <w:tcBorders>
              <w:top w:val="single" w:sz="4" w:space="0" w:color="000000"/>
              <w:left w:val="nil"/>
              <w:bottom w:val="single" w:sz="4" w:space="0" w:color="000000"/>
              <w:right w:val="nil"/>
            </w:tcBorders>
            <w:hideMark/>
          </w:tcPr>
          <w:p w14:paraId="6B56A9A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76B7AA8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GBLIV</w:t>
            </w:r>
          </w:p>
        </w:tc>
        <w:tc>
          <w:tcPr>
            <w:tcW w:w="923" w:type="dxa"/>
            <w:gridSpan w:val="2"/>
            <w:tcBorders>
              <w:top w:val="single" w:sz="4" w:space="0" w:color="000000"/>
              <w:left w:val="nil"/>
              <w:bottom w:val="single" w:sz="4" w:space="0" w:color="000000"/>
              <w:right w:val="nil"/>
            </w:tcBorders>
            <w:hideMark/>
          </w:tcPr>
          <w:p w14:paraId="7F152FA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53,422</w:t>
            </w:r>
          </w:p>
        </w:tc>
        <w:tc>
          <w:tcPr>
            <w:tcW w:w="1060" w:type="dxa"/>
            <w:tcBorders>
              <w:top w:val="single" w:sz="4" w:space="0" w:color="000000"/>
              <w:left w:val="nil"/>
              <w:bottom w:val="single" w:sz="4" w:space="0" w:color="000000"/>
              <w:right w:val="single" w:sz="4" w:space="0" w:color="auto"/>
            </w:tcBorders>
            <w:hideMark/>
          </w:tcPr>
          <w:p w14:paraId="6AD18E8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-3,008</w:t>
            </w:r>
          </w:p>
        </w:tc>
      </w:tr>
      <w:tr w:rsidR="009123AC" w:rsidRPr="00F0379B" w14:paraId="7F3EBBC9"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42AF034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Lowestoft</w:t>
            </w:r>
            <w:proofErr w:type="spellEnd"/>
          </w:p>
        </w:tc>
        <w:tc>
          <w:tcPr>
            <w:tcW w:w="971" w:type="dxa"/>
            <w:tcBorders>
              <w:top w:val="single" w:sz="4" w:space="0" w:color="000000"/>
              <w:left w:val="nil"/>
              <w:bottom w:val="single" w:sz="4" w:space="0" w:color="000000"/>
              <w:right w:val="nil"/>
            </w:tcBorders>
            <w:hideMark/>
          </w:tcPr>
          <w:p w14:paraId="4F1D859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3A9A168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GBLOW</w:t>
            </w:r>
          </w:p>
        </w:tc>
        <w:tc>
          <w:tcPr>
            <w:tcW w:w="923" w:type="dxa"/>
            <w:gridSpan w:val="2"/>
            <w:tcBorders>
              <w:top w:val="single" w:sz="4" w:space="0" w:color="000000"/>
              <w:left w:val="nil"/>
              <w:bottom w:val="single" w:sz="4" w:space="0" w:color="000000"/>
              <w:right w:val="nil"/>
            </w:tcBorders>
            <w:hideMark/>
          </w:tcPr>
          <w:p w14:paraId="445EB60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52,474</w:t>
            </w:r>
          </w:p>
        </w:tc>
        <w:tc>
          <w:tcPr>
            <w:tcW w:w="1060" w:type="dxa"/>
            <w:tcBorders>
              <w:top w:val="single" w:sz="4" w:space="0" w:color="000000"/>
              <w:left w:val="nil"/>
              <w:bottom w:val="single" w:sz="4" w:space="0" w:color="000000"/>
              <w:right w:val="single" w:sz="4" w:space="0" w:color="auto"/>
            </w:tcBorders>
            <w:hideMark/>
          </w:tcPr>
          <w:p w14:paraId="007ABA0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1,736</w:t>
            </w:r>
          </w:p>
        </w:tc>
      </w:tr>
      <w:tr w:rsidR="009123AC" w:rsidRPr="00F0379B" w14:paraId="2E1C8B3E"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24B6FEC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Looe</w:t>
            </w:r>
            <w:proofErr w:type="spellEnd"/>
          </w:p>
        </w:tc>
        <w:tc>
          <w:tcPr>
            <w:tcW w:w="971" w:type="dxa"/>
            <w:tcBorders>
              <w:top w:val="single" w:sz="4" w:space="0" w:color="000000"/>
              <w:left w:val="nil"/>
              <w:bottom w:val="single" w:sz="4" w:space="0" w:color="000000"/>
              <w:right w:val="nil"/>
            </w:tcBorders>
            <w:hideMark/>
          </w:tcPr>
          <w:p w14:paraId="1B5958A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4DAA231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GBLOE</w:t>
            </w:r>
          </w:p>
        </w:tc>
        <w:tc>
          <w:tcPr>
            <w:tcW w:w="923" w:type="dxa"/>
            <w:gridSpan w:val="2"/>
            <w:tcBorders>
              <w:top w:val="single" w:sz="4" w:space="0" w:color="000000"/>
              <w:left w:val="nil"/>
              <w:bottom w:val="single" w:sz="4" w:space="0" w:color="000000"/>
              <w:right w:val="nil"/>
            </w:tcBorders>
            <w:hideMark/>
          </w:tcPr>
          <w:p w14:paraId="13119E0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50,354</w:t>
            </w:r>
          </w:p>
        </w:tc>
        <w:tc>
          <w:tcPr>
            <w:tcW w:w="1060" w:type="dxa"/>
            <w:tcBorders>
              <w:top w:val="single" w:sz="4" w:space="0" w:color="000000"/>
              <w:left w:val="nil"/>
              <w:bottom w:val="single" w:sz="4" w:space="0" w:color="000000"/>
              <w:right w:val="single" w:sz="4" w:space="0" w:color="auto"/>
            </w:tcBorders>
            <w:hideMark/>
          </w:tcPr>
          <w:p w14:paraId="25E71BA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-4,455</w:t>
            </w:r>
          </w:p>
        </w:tc>
      </w:tr>
      <w:tr w:rsidR="009123AC" w:rsidRPr="00F0379B" w14:paraId="0E888130"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18169E7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Lyme Regis</w:t>
            </w:r>
          </w:p>
        </w:tc>
        <w:tc>
          <w:tcPr>
            <w:tcW w:w="971" w:type="dxa"/>
            <w:tcBorders>
              <w:top w:val="single" w:sz="4" w:space="0" w:color="000000"/>
              <w:left w:val="nil"/>
              <w:bottom w:val="single" w:sz="4" w:space="0" w:color="000000"/>
              <w:right w:val="nil"/>
            </w:tcBorders>
            <w:hideMark/>
          </w:tcPr>
          <w:p w14:paraId="36CB20D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29B8970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GBLYR</w:t>
            </w:r>
          </w:p>
        </w:tc>
        <w:tc>
          <w:tcPr>
            <w:tcW w:w="923" w:type="dxa"/>
            <w:gridSpan w:val="2"/>
            <w:tcBorders>
              <w:top w:val="single" w:sz="4" w:space="0" w:color="000000"/>
              <w:left w:val="nil"/>
              <w:bottom w:val="single" w:sz="4" w:space="0" w:color="000000"/>
              <w:right w:val="nil"/>
            </w:tcBorders>
            <w:hideMark/>
          </w:tcPr>
          <w:p w14:paraId="2985B73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50,720</w:t>
            </w:r>
          </w:p>
        </w:tc>
        <w:tc>
          <w:tcPr>
            <w:tcW w:w="1060" w:type="dxa"/>
            <w:tcBorders>
              <w:top w:val="single" w:sz="4" w:space="0" w:color="000000"/>
              <w:left w:val="nil"/>
              <w:bottom w:val="single" w:sz="4" w:space="0" w:color="000000"/>
              <w:right w:val="single" w:sz="4" w:space="0" w:color="auto"/>
            </w:tcBorders>
            <w:hideMark/>
          </w:tcPr>
          <w:p w14:paraId="09D369A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-2,934</w:t>
            </w:r>
          </w:p>
        </w:tc>
      </w:tr>
      <w:tr w:rsidR="009123AC" w:rsidRPr="00F0379B" w14:paraId="4F12A12B"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25D0C24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Mevagissey</w:t>
            </w:r>
            <w:proofErr w:type="spellEnd"/>
          </w:p>
        </w:tc>
        <w:tc>
          <w:tcPr>
            <w:tcW w:w="971" w:type="dxa"/>
            <w:tcBorders>
              <w:top w:val="single" w:sz="4" w:space="0" w:color="000000"/>
              <w:left w:val="nil"/>
              <w:bottom w:val="single" w:sz="4" w:space="0" w:color="000000"/>
              <w:right w:val="nil"/>
            </w:tcBorders>
            <w:hideMark/>
          </w:tcPr>
          <w:p w14:paraId="54BA5F0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0CDCA10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GBMVG</w:t>
            </w:r>
          </w:p>
        </w:tc>
        <w:tc>
          <w:tcPr>
            <w:tcW w:w="923" w:type="dxa"/>
            <w:gridSpan w:val="2"/>
            <w:tcBorders>
              <w:top w:val="single" w:sz="4" w:space="0" w:color="000000"/>
              <w:left w:val="nil"/>
              <w:bottom w:val="single" w:sz="4" w:space="0" w:color="000000"/>
              <w:right w:val="nil"/>
            </w:tcBorders>
            <w:hideMark/>
          </w:tcPr>
          <w:p w14:paraId="071B663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50,269</w:t>
            </w:r>
          </w:p>
        </w:tc>
        <w:tc>
          <w:tcPr>
            <w:tcW w:w="1060" w:type="dxa"/>
            <w:tcBorders>
              <w:top w:val="single" w:sz="4" w:space="0" w:color="000000"/>
              <w:left w:val="nil"/>
              <w:bottom w:val="single" w:sz="4" w:space="0" w:color="000000"/>
              <w:right w:val="single" w:sz="4" w:space="0" w:color="auto"/>
            </w:tcBorders>
            <w:hideMark/>
          </w:tcPr>
          <w:p w14:paraId="412BF99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-4,783</w:t>
            </w:r>
          </w:p>
        </w:tc>
      </w:tr>
      <w:tr w:rsidR="009123AC" w:rsidRPr="00F0379B" w14:paraId="49F46EC2"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tcPr>
          <w:p w14:paraId="18BDD8DF" w14:textId="77777777" w:rsidR="009123AC" w:rsidRPr="00F0379B" w:rsidRDefault="009123AC" w:rsidP="009123AC">
            <w:pPr>
              <w:spacing w:after="0" w:line="240" w:lineRule="auto"/>
              <w:rPr>
                <w:rFonts w:ascii="Cambria" w:eastAsia="MS Gothic" w:hAnsi="Cambria" w:cs="Times New Roman"/>
                <w:color w:val="000000"/>
                <w:sz w:val="20"/>
                <w:szCs w:val="24"/>
                <w:lang w:eastAsia="fr-FR" w:bidi="fr-FR"/>
              </w:rPr>
            </w:pPr>
            <w:proofErr w:type="spellStart"/>
            <w:r w:rsidRPr="00F0379B">
              <w:rPr>
                <w:rFonts w:ascii="Cambria" w:eastAsia="MS Gothic" w:hAnsi="Cambria" w:cs="Times New Roman"/>
                <w:color w:val="000000"/>
                <w:sz w:val="20"/>
                <w:szCs w:val="24"/>
                <w:lang w:eastAsia="fr-FR" w:bidi="fr-FR"/>
              </w:rPr>
              <w:t>Mylor</w:t>
            </w:r>
            <w:proofErr w:type="spellEnd"/>
          </w:p>
        </w:tc>
        <w:tc>
          <w:tcPr>
            <w:tcW w:w="971" w:type="dxa"/>
            <w:tcBorders>
              <w:top w:val="single" w:sz="4" w:space="0" w:color="000000"/>
              <w:left w:val="nil"/>
              <w:bottom w:val="single" w:sz="4" w:space="0" w:color="000000"/>
              <w:right w:val="nil"/>
            </w:tcBorders>
          </w:tcPr>
          <w:p w14:paraId="4635AC37" w14:textId="77777777" w:rsidR="009123AC" w:rsidRPr="00F0379B" w:rsidRDefault="009123AC" w:rsidP="009123AC">
            <w:pPr>
              <w:spacing w:after="0" w:line="240" w:lineRule="auto"/>
              <w:rPr>
                <w:rFonts w:ascii="Cambria" w:eastAsia="MS Gothic" w:hAnsi="Cambria" w:cs="Times New Roman"/>
                <w:color w:val="000000"/>
                <w:sz w:val="20"/>
                <w:szCs w:val="24"/>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tcPr>
          <w:p w14:paraId="141CA595" w14:textId="77777777" w:rsidR="009123AC" w:rsidRPr="00F0379B" w:rsidRDefault="009123AC" w:rsidP="009123AC">
            <w:pPr>
              <w:spacing w:after="0" w:line="240" w:lineRule="auto"/>
              <w:rPr>
                <w:rFonts w:ascii="Cambria" w:eastAsia="MS Gothic" w:hAnsi="Cambria" w:cs="Times New Roman"/>
                <w:color w:val="000000"/>
                <w:sz w:val="20"/>
                <w:szCs w:val="24"/>
                <w:lang w:eastAsia="fr-FR" w:bidi="fr-FR"/>
              </w:rPr>
            </w:pPr>
            <w:r w:rsidRPr="00F0379B">
              <w:rPr>
                <w:rFonts w:ascii="Cambria" w:eastAsia="MS Gothic" w:hAnsi="Cambria" w:cs="Times New Roman"/>
                <w:color w:val="000000"/>
                <w:sz w:val="20"/>
                <w:szCs w:val="24"/>
                <w:lang w:eastAsia="fr-FR" w:bidi="fr-FR"/>
              </w:rPr>
              <w:t>GBMYL</w:t>
            </w:r>
          </w:p>
        </w:tc>
        <w:tc>
          <w:tcPr>
            <w:tcW w:w="923" w:type="dxa"/>
            <w:gridSpan w:val="2"/>
            <w:tcBorders>
              <w:top w:val="single" w:sz="4" w:space="0" w:color="000000"/>
              <w:left w:val="nil"/>
              <w:bottom w:val="single" w:sz="4" w:space="0" w:color="000000"/>
              <w:right w:val="nil"/>
            </w:tcBorders>
          </w:tcPr>
          <w:p w14:paraId="2A08F250" w14:textId="77777777" w:rsidR="009123AC" w:rsidRPr="00F0379B" w:rsidRDefault="009123AC" w:rsidP="009123AC">
            <w:pPr>
              <w:spacing w:after="0" w:line="240" w:lineRule="auto"/>
              <w:rPr>
                <w:rFonts w:ascii="Cambria" w:eastAsia="MS Gothic" w:hAnsi="Cambria" w:cs="Times New Roman"/>
                <w:color w:val="000000"/>
                <w:sz w:val="20"/>
                <w:szCs w:val="24"/>
                <w:lang w:eastAsia="fr-FR" w:bidi="fr-FR"/>
              </w:rPr>
            </w:pPr>
            <w:r w:rsidRPr="00F0379B">
              <w:rPr>
                <w:rFonts w:ascii="Cambria" w:eastAsia="MS Gothic" w:hAnsi="Cambria" w:cs="Times New Roman"/>
                <w:color w:val="000000"/>
                <w:sz w:val="20"/>
                <w:szCs w:val="24"/>
                <w:lang w:eastAsia="fr-FR" w:bidi="fr-FR"/>
              </w:rPr>
              <w:t>50,177</w:t>
            </w:r>
          </w:p>
        </w:tc>
        <w:tc>
          <w:tcPr>
            <w:tcW w:w="1060" w:type="dxa"/>
            <w:tcBorders>
              <w:top w:val="single" w:sz="4" w:space="0" w:color="000000"/>
              <w:left w:val="nil"/>
              <w:bottom w:val="single" w:sz="4" w:space="0" w:color="000000"/>
              <w:right w:val="single" w:sz="4" w:space="0" w:color="auto"/>
            </w:tcBorders>
          </w:tcPr>
          <w:p w14:paraId="3444AED8" w14:textId="77777777" w:rsidR="009123AC" w:rsidRPr="00F0379B" w:rsidRDefault="009123AC" w:rsidP="009123AC">
            <w:pPr>
              <w:spacing w:after="0" w:line="240" w:lineRule="auto"/>
              <w:rPr>
                <w:rFonts w:ascii="Cambria" w:eastAsia="MS Gothic" w:hAnsi="Cambria" w:cs="Times New Roman"/>
                <w:color w:val="000000"/>
                <w:sz w:val="20"/>
                <w:szCs w:val="24"/>
                <w:lang w:eastAsia="fr-FR" w:bidi="fr-FR"/>
              </w:rPr>
            </w:pPr>
            <w:r w:rsidRPr="00F0379B">
              <w:rPr>
                <w:rFonts w:ascii="Cambria" w:eastAsia="MS Gothic" w:hAnsi="Cambria" w:cs="Times New Roman"/>
                <w:color w:val="000000"/>
                <w:sz w:val="20"/>
                <w:szCs w:val="24"/>
                <w:lang w:eastAsia="fr-FR" w:bidi="fr-FR"/>
              </w:rPr>
              <w:t>-5,054</w:t>
            </w:r>
          </w:p>
        </w:tc>
      </w:tr>
      <w:tr w:rsidR="009123AC" w:rsidRPr="00F0379B" w14:paraId="23DC5EC3"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4149DD9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Newhaven</w:t>
            </w:r>
            <w:proofErr w:type="spellEnd"/>
          </w:p>
        </w:tc>
        <w:tc>
          <w:tcPr>
            <w:tcW w:w="971" w:type="dxa"/>
            <w:tcBorders>
              <w:top w:val="single" w:sz="4" w:space="0" w:color="000000"/>
              <w:left w:val="nil"/>
              <w:bottom w:val="single" w:sz="4" w:space="0" w:color="000000"/>
              <w:right w:val="nil"/>
            </w:tcBorders>
            <w:hideMark/>
          </w:tcPr>
          <w:p w14:paraId="49C6F73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7107FC5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GBNHV</w:t>
            </w:r>
          </w:p>
        </w:tc>
        <w:tc>
          <w:tcPr>
            <w:tcW w:w="923" w:type="dxa"/>
            <w:gridSpan w:val="2"/>
            <w:tcBorders>
              <w:top w:val="single" w:sz="4" w:space="0" w:color="000000"/>
              <w:left w:val="nil"/>
              <w:bottom w:val="single" w:sz="4" w:space="0" w:color="000000"/>
              <w:right w:val="nil"/>
            </w:tcBorders>
            <w:hideMark/>
          </w:tcPr>
          <w:p w14:paraId="5A69326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50,786</w:t>
            </w:r>
          </w:p>
        </w:tc>
        <w:tc>
          <w:tcPr>
            <w:tcW w:w="1060" w:type="dxa"/>
            <w:tcBorders>
              <w:top w:val="single" w:sz="4" w:space="0" w:color="000000"/>
              <w:left w:val="nil"/>
              <w:bottom w:val="single" w:sz="4" w:space="0" w:color="000000"/>
              <w:right w:val="single" w:sz="4" w:space="0" w:color="auto"/>
            </w:tcBorders>
            <w:hideMark/>
          </w:tcPr>
          <w:p w14:paraId="10BFA9A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0,058</w:t>
            </w:r>
          </w:p>
        </w:tc>
      </w:tr>
      <w:tr w:rsidR="009123AC" w:rsidRPr="00F0379B" w14:paraId="5FAA65FE"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582C125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Newlyn</w:t>
            </w:r>
            <w:proofErr w:type="spellEnd"/>
          </w:p>
        </w:tc>
        <w:tc>
          <w:tcPr>
            <w:tcW w:w="971" w:type="dxa"/>
            <w:tcBorders>
              <w:top w:val="single" w:sz="4" w:space="0" w:color="000000"/>
              <w:left w:val="nil"/>
              <w:bottom w:val="single" w:sz="4" w:space="0" w:color="000000"/>
              <w:right w:val="nil"/>
            </w:tcBorders>
            <w:hideMark/>
          </w:tcPr>
          <w:p w14:paraId="2DC77F1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5963BB7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GBNYL</w:t>
            </w:r>
          </w:p>
        </w:tc>
        <w:tc>
          <w:tcPr>
            <w:tcW w:w="923" w:type="dxa"/>
            <w:gridSpan w:val="2"/>
            <w:tcBorders>
              <w:top w:val="single" w:sz="4" w:space="0" w:color="000000"/>
              <w:left w:val="nil"/>
              <w:bottom w:val="single" w:sz="4" w:space="0" w:color="000000"/>
              <w:right w:val="nil"/>
            </w:tcBorders>
            <w:hideMark/>
          </w:tcPr>
          <w:p w14:paraId="621BDF2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50,104</w:t>
            </w:r>
          </w:p>
        </w:tc>
        <w:tc>
          <w:tcPr>
            <w:tcW w:w="1060" w:type="dxa"/>
            <w:tcBorders>
              <w:top w:val="single" w:sz="4" w:space="0" w:color="000000"/>
              <w:left w:val="nil"/>
              <w:bottom w:val="single" w:sz="4" w:space="0" w:color="000000"/>
              <w:right w:val="single" w:sz="4" w:space="0" w:color="auto"/>
            </w:tcBorders>
            <w:hideMark/>
          </w:tcPr>
          <w:p w14:paraId="624DD9D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-5,547</w:t>
            </w:r>
          </w:p>
        </w:tc>
      </w:tr>
      <w:tr w:rsidR="009123AC" w:rsidRPr="00F0379B" w14:paraId="44626C22"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2717A22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Newquay</w:t>
            </w:r>
            <w:proofErr w:type="spellEnd"/>
          </w:p>
        </w:tc>
        <w:tc>
          <w:tcPr>
            <w:tcW w:w="971" w:type="dxa"/>
            <w:tcBorders>
              <w:top w:val="single" w:sz="4" w:space="0" w:color="000000"/>
              <w:left w:val="nil"/>
              <w:bottom w:val="single" w:sz="4" w:space="0" w:color="000000"/>
              <w:right w:val="nil"/>
            </w:tcBorders>
            <w:hideMark/>
          </w:tcPr>
          <w:p w14:paraId="50B4AD0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3E5FA15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GBNQY</w:t>
            </w:r>
          </w:p>
        </w:tc>
        <w:tc>
          <w:tcPr>
            <w:tcW w:w="923" w:type="dxa"/>
            <w:gridSpan w:val="2"/>
            <w:tcBorders>
              <w:top w:val="single" w:sz="4" w:space="0" w:color="000000"/>
              <w:left w:val="nil"/>
              <w:bottom w:val="single" w:sz="4" w:space="0" w:color="000000"/>
              <w:right w:val="nil"/>
            </w:tcBorders>
            <w:hideMark/>
          </w:tcPr>
          <w:p w14:paraId="75BE5E3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50,419</w:t>
            </w:r>
          </w:p>
        </w:tc>
        <w:tc>
          <w:tcPr>
            <w:tcW w:w="1060" w:type="dxa"/>
            <w:tcBorders>
              <w:top w:val="single" w:sz="4" w:space="0" w:color="000000"/>
              <w:left w:val="nil"/>
              <w:bottom w:val="single" w:sz="4" w:space="0" w:color="000000"/>
              <w:right w:val="single" w:sz="4" w:space="0" w:color="auto"/>
            </w:tcBorders>
            <w:hideMark/>
          </w:tcPr>
          <w:p w14:paraId="2331B11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-5,083</w:t>
            </w:r>
          </w:p>
        </w:tc>
      </w:tr>
      <w:tr w:rsidR="009123AC" w:rsidRPr="00F0379B" w14:paraId="694FB185"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0EDB2C7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North Shields</w:t>
            </w:r>
          </w:p>
        </w:tc>
        <w:tc>
          <w:tcPr>
            <w:tcW w:w="971" w:type="dxa"/>
            <w:tcBorders>
              <w:top w:val="single" w:sz="4" w:space="0" w:color="000000"/>
              <w:left w:val="nil"/>
              <w:bottom w:val="single" w:sz="4" w:space="0" w:color="000000"/>
              <w:right w:val="nil"/>
            </w:tcBorders>
            <w:hideMark/>
          </w:tcPr>
          <w:p w14:paraId="0945C27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54417AD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GBNSH</w:t>
            </w:r>
          </w:p>
        </w:tc>
        <w:tc>
          <w:tcPr>
            <w:tcW w:w="923" w:type="dxa"/>
            <w:gridSpan w:val="2"/>
            <w:tcBorders>
              <w:top w:val="single" w:sz="4" w:space="0" w:color="000000"/>
              <w:left w:val="nil"/>
              <w:bottom w:val="single" w:sz="4" w:space="0" w:color="000000"/>
              <w:right w:val="nil"/>
            </w:tcBorders>
            <w:hideMark/>
          </w:tcPr>
          <w:p w14:paraId="6F1335E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55,009</w:t>
            </w:r>
          </w:p>
        </w:tc>
        <w:tc>
          <w:tcPr>
            <w:tcW w:w="1060" w:type="dxa"/>
            <w:tcBorders>
              <w:top w:val="single" w:sz="4" w:space="0" w:color="000000"/>
              <w:left w:val="nil"/>
              <w:bottom w:val="single" w:sz="4" w:space="0" w:color="000000"/>
              <w:right w:val="single" w:sz="4" w:space="0" w:color="auto"/>
            </w:tcBorders>
            <w:hideMark/>
          </w:tcPr>
          <w:p w14:paraId="4F07623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-1,439</w:t>
            </w:r>
          </w:p>
        </w:tc>
      </w:tr>
      <w:tr w:rsidR="009123AC" w:rsidRPr="00F0379B" w14:paraId="02DD1C25"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315A177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Padstow</w:t>
            </w:r>
            <w:proofErr w:type="spellEnd"/>
          </w:p>
        </w:tc>
        <w:tc>
          <w:tcPr>
            <w:tcW w:w="971" w:type="dxa"/>
            <w:tcBorders>
              <w:top w:val="single" w:sz="4" w:space="0" w:color="000000"/>
              <w:left w:val="nil"/>
              <w:bottom w:val="single" w:sz="4" w:space="0" w:color="000000"/>
              <w:right w:val="nil"/>
            </w:tcBorders>
            <w:hideMark/>
          </w:tcPr>
          <w:p w14:paraId="68438D3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028C83E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GBPAD</w:t>
            </w:r>
          </w:p>
        </w:tc>
        <w:tc>
          <w:tcPr>
            <w:tcW w:w="923" w:type="dxa"/>
            <w:gridSpan w:val="2"/>
            <w:tcBorders>
              <w:top w:val="single" w:sz="4" w:space="0" w:color="000000"/>
              <w:left w:val="nil"/>
              <w:bottom w:val="single" w:sz="4" w:space="0" w:color="000000"/>
              <w:right w:val="nil"/>
            </w:tcBorders>
            <w:hideMark/>
          </w:tcPr>
          <w:p w14:paraId="63AC9BA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50,540</w:t>
            </w:r>
          </w:p>
        </w:tc>
        <w:tc>
          <w:tcPr>
            <w:tcW w:w="1060" w:type="dxa"/>
            <w:tcBorders>
              <w:top w:val="single" w:sz="4" w:space="0" w:color="000000"/>
              <w:left w:val="nil"/>
              <w:bottom w:val="single" w:sz="4" w:space="0" w:color="000000"/>
              <w:right w:val="single" w:sz="4" w:space="0" w:color="auto"/>
            </w:tcBorders>
            <w:hideMark/>
          </w:tcPr>
          <w:p w14:paraId="6FDCC0C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-4,936</w:t>
            </w:r>
          </w:p>
        </w:tc>
      </w:tr>
      <w:tr w:rsidR="009123AC" w:rsidRPr="00F0379B" w14:paraId="2616E0D7"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778D563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Plymouth</w:t>
            </w:r>
          </w:p>
        </w:tc>
        <w:tc>
          <w:tcPr>
            <w:tcW w:w="971" w:type="dxa"/>
            <w:tcBorders>
              <w:top w:val="single" w:sz="4" w:space="0" w:color="000000"/>
              <w:left w:val="nil"/>
              <w:bottom w:val="single" w:sz="4" w:space="0" w:color="000000"/>
              <w:right w:val="nil"/>
            </w:tcBorders>
            <w:hideMark/>
          </w:tcPr>
          <w:p w14:paraId="04322EB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1437EBA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GBPLY</w:t>
            </w:r>
          </w:p>
        </w:tc>
        <w:tc>
          <w:tcPr>
            <w:tcW w:w="923" w:type="dxa"/>
            <w:gridSpan w:val="2"/>
            <w:tcBorders>
              <w:top w:val="single" w:sz="4" w:space="0" w:color="000000"/>
              <w:left w:val="nil"/>
              <w:bottom w:val="single" w:sz="4" w:space="0" w:color="000000"/>
              <w:right w:val="nil"/>
            </w:tcBorders>
            <w:hideMark/>
          </w:tcPr>
          <w:p w14:paraId="4057CA6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50,372</w:t>
            </w:r>
          </w:p>
        </w:tc>
        <w:tc>
          <w:tcPr>
            <w:tcW w:w="1060" w:type="dxa"/>
            <w:tcBorders>
              <w:top w:val="single" w:sz="4" w:space="0" w:color="000000"/>
              <w:left w:val="nil"/>
              <w:bottom w:val="single" w:sz="4" w:space="0" w:color="000000"/>
              <w:right w:val="single" w:sz="4" w:space="0" w:color="auto"/>
            </w:tcBorders>
            <w:hideMark/>
          </w:tcPr>
          <w:p w14:paraId="02FC5A0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-4,150</w:t>
            </w:r>
          </w:p>
        </w:tc>
      </w:tr>
      <w:tr w:rsidR="009123AC" w:rsidRPr="00F0379B" w14:paraId="6105A575"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tcPr>
          <w:p w14:paraId="56BC5C3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Port Issac</w:t>
            </w:r>
          </w:p>
        </w:tc>
        <w:tc>
          <w:tcPr>
            <w:tcW w:w="971" w:type="dxa"/>
            <w:tcBorders>
              <w:top w:val="single" w:sz="4" w:space="0" w:color="000000"/>
              <w:left w:val="nil"/>
              <w:bottom w:val="single" w:sz="4" w:space="0" w:color="000000"/>
              <w:right w:val="nil"/>
            </w:tcBorders>
          </w:tcPr>
          <w:p w14:paraId="132A9F1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tcPr>
          <w:p w14:paraId="652631E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GBISA</w:t>
            </w:r>
          </w:p>
        </w:tc>
        <w:tc>
          <w:tcPr>
            <w:tcW w:w="923" w:type="dxa"/>
            <w:gridSpan w:val="2"/>
            <w:tcBorders>
              <w:top w:val="single" w:sz="4" w:space="0" w:color="000000"/>
              <w:left w:val="nil"/>
              <w:bottom w:val="single" w:sz="4" w:space="0" w:color="000000"/>
              <w:right w:val="nil"/>
            </w:tcBorders>
          </w:tcPr>
          <w:p w14:paraId="0554A6F6"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50,594</w:t>
            </w:r>
          </w:p>
        </w:tc>
        <w:tc>
          <w:tcPr>
            <w:tcW w:w="1060" w:type="dxa"/>
            <w:tcBorders>
              <w:top w:val="single" w:sz="4" w:space="0" w:color="000000"/>
              <w:left w:val="nil"/>
              <w:bottom w:val="single" w:sz="4" w:space="0" w:color="000000"/>
              <w:right w:val="single" w:sz="4" w:space="0" w:color="auto"/>
            </w:tcBorders>
          </w:tcPr>
          <w:p w14:paraId="1B95E88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-4,834</w:t>
            </w:r>
          </w:p>
        </w:tc>
      </w:tr>
      <w:tr w:rsidR="009123AC" w:rsidRPr="00F0379B" w14:paraId="33E64035"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tcPr>
          <w:p w14:paraId="30A9585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Port Navas (</w:t>
            </w:r>
            <w:proofErr w:type="spellStart"/>
            <w:r w:rsidRPr="00F0379B">
              <w:rPr>
                <w:rFonts w:ascii="Cambria" w:eastAsia="MS Gothic" w:hAnsi="Cambria" w:cs="Times New Roman"/>
                <w:color w:val="000000"/>
                <w:sz w:val="20"/>
                <w:szCs w:val="24"/>
                <w:lang w:eastAsia="fr-FR" w:bidi="fr-FR"/>
              </w:rPr>
              <w:t>Helford</w:t>
            </w:r>
            <w:proofErr w:type="spellEnd"/>
            <w:r w:rsidRPr="00F0379B">
              <w:rPr>
                <w:rFonts w:ascii="Cambria" w:eastAsia="MS Gothic" w:hAnsi="Cambria" w:cs="Times New Roman"/>
                <w:color w:val="000000"/>
                <w:sz w:val="20"/>
                <w:szCs w:val="24"/>
                <w:lang w:eastAsia="fr-FR" w:bidi="fr-FR"/>
              </w:rPr>
              <w:t xml:space="preserve"> River)</w:t>
            </w:r>
          </w:p>
        </w:tc>
        <w:tc>
          <w:tcPr>
            <w:tcW w:w="971" w:type="dxa"/>
            <w:tcBorders>
              <w:top w:val="single" w:sz="4" w:space="0" w:color="000000"/>
              <w:left w:val="nil"/>
              <w:bottom w:val="single" w:sz="4" w:space="0" w:color="000000"/>
              <w:right w:val="nil"/>
            </w:tcBorders>
          </w:tcPr>
          <w:p w14:paraId="6BAFBFF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tcPr>
          <w:p w14:paraId="5064ABA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GBHDR</w:t>
            </w:r>
          </w:p>
        </w:tc>
        <w:tc>
          <w:tcPr>
            <w:tcW w:w="923" w:type="dxa"/>
            <w:gridSpan w:val="2"/>
            <w:tcBorders>
              <w:top w:val="single" w:sz="4" w:space="0" w:color="000000"/>
              <w:left w:val="nil"/>
              <w:bottom w:val="single" w:sz="4" w:space="0" w:color="000000"/>
              <w:right w:val="nil"/>
            </w:tcBorders>
          </w:tcPr>
          <w:p w14:paraId="411999E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50,106</w:t>
            </w:r>
          </w:p>
        </w:tc>
        <w:tc>
          <w:tcPr>
            <w:tcW w:w="1060" w:type="dxa"/>
            <w:tcBorders>
              <w:top w:val="single" w:sz="4" w:space="0" w:color="000000"/>
              <w:left w:val="nil"/>
              <w:bottom w:val="single" w:sz="4" w:space="0" w:color="000000"/>
              <w:right w:val="single" w:sz="4" w:space="0" w:color="auto"/>
            </w:tcBorders>
          </w:tcPr>
          <w:p w14:paraId="0E321F4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-5,141</w:t>
            </w:r>
          </w:p>
        </w:tc>
      </w:tr>
      <w:tr w:rsidR="009123AC" w:rsidRPr="00F0379B" w14:paraId="56D2BB8A"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2339F63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Porthleven</w:t>
            </w:r>
            <w:proofErr w:type="spellEnd"/>
          </w:p>
        </w:tc>
        <w:tc>
          <w:tcPr>
            <w:tcW w:w="971" w:type="dxa"/>
            <w:tcBorders>
              <w:top w:val="single" w:sz="4" w:space="0" w:color="000000"/>
              <w:left w:val="nil"/>
              <w:bottom w:val="single" w:sz="4" w:space="0" w:color="000000"/>
              <w:right w:val="nil"/>
            </w:tcBorders>
            <w:hideMark/>
          </w:tcPr>
          <w:p w14:paraId="01A66D7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68C2933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GBPLV</w:t>
            </w:r>
          </w:p>
        </w:tc>
        <w:tc>
          <w:tcPr>
            <w:tcW w:w="923" w:type="dxa"/>
            <w:gridSpan w:val="2"/>
            <w:tcBorders>
              <w:top w:val="single" w:sz="4" w:space="0" w:color="000000"/>
              <w:left w:val="nil"/>
              <w:bottom w:val="single" w:sz="4" w:space="0" w:color="000000"/>
              <w:right w:val="nil"/>
            </w:tcBorders>
            <w:hideMark/>
          </w:tcPr>
          <w:p w14:paraId="0B96CA8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50,086</w:t>
            </w:r>
          </w:p>
        </w:tc>
        <w:tc>
          <w:tcPr>
            <w:tcW w:w="1060" w:type="dxa"/>
            <w:tcBorders>
              <w:top w:val="single" w:sz="4" w:space="0" w:color="000000"/>
              <w:left w:val="nil"/>
              <w:bottom w:val="single" w:sz="4" w:space="0" w:color="000000"/>
              <w:right w:val="single" w:sz="4" w:space="0" w:color="auto"/>
            </w:tcBorders>
            <w:hideMark/>
          </w:tcPr>
          <w:p w14:paraId="32E358C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-5,315</w:t>
            </w:r>
          </w:p>
        </w:tc>
      </w:tr>
      <w:tr w:rsidR="009123AC" w:rsidRPr="00F0379B" w14:paraId="392D4FF1"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6D717BC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Portsmouth</w:t>
            </w:r>
          </w:p>
        </w:tc>
        <w:tc>
          <w:tcPr>
            <w:tcW w:w="971" w:type="dxa"/>
            <w:tcBorders>
              <w:top w:val="single" w:sz="4" w:space="0" w:color="000000"/>
              <w:left w:val="nil"/>
              <w:bottom w:val="single" w:sz="4" w:space="0" w:color="000000"/>
              <w:right w:val="nil"/>
            </w:tcBorders>
            <w:hideMark/>
          </w:tcPr>
          <w:p w14:paraId="35A5F7D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3B22448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GBPME</w:t>
            </w:r>
          </w:p>
        </w:tc>
        <w:tc>
          <w:tcPr>
            <w:tcW w:w="923" w:type="dxa"/>
            <w:gridSpan w:val="2"/>
            <w:tcBorders>
              <w:top w:val="single" w:sz="4" w:space="0" w:color="000000"/>
              <w:left w:val="nil"/>
              <w:bottom w:val="single" w:sz="4" w:space="0" w:color="000000"/>
              <w:right w:val="nil"/>
            </w:tcBorders>
            <w:hideMark/>
          </w:tcPr>
          <w:p w14:paraId="2CABE32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50,803</w:t>
            </w:r>
          </w:p>
        </w:tc>
        <w:tc>
          <w:tcPr>
            <w:tcW w:w="1060" w:type="dxa"/>
            <w:tcBorders>
              <w:top w:val="single" w:sz="4" w:space="0" w:color="000000"/>
              <w:left w:val="nil"/>
              <w:bottom w:val="single" w:sz="4" w:space="0" w:color="000000"/>
              <w:right w:val="single" w:sz="4" w:space="0" w:color="auto"/>
            </w:tcBorders>
            <w:hideMark/>
          </w:tcPr>
          <w:p w14:paraId="59374A6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-1,102</w:t>
            </w:r>
          </w:p>
        </w:tc>
      </w:tr>
      <w:tr w:rsidR="009123AC" w:rsidRPr="00F0379B" w14:paraId="1383DD99"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1A60AF3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Rye</w:t>
            </w:r>
          </w:p>
        </w:tc>
        <w:tc>
          <w:tcPr>
            <w:tcW w:w="971" w:type="dxa"/>
            <w:tcBorders>
              <w:top w:val="single" w:sz="4" w:space="0" w:color="000000"/>
              <w:left w:val="nil"/>
              <w:bottom w:val="single" w:sz="4" w:space="0" w:color="000000"/>
              <w:right w:val="nil"/>
            </w:tcBorders>
            <w:hideMark/>
          </w:tcPr>
          <w:p w14:paraId="0A2D87B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0FBCA26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GBRYE</w:t>
            </w:r>
          </w:p>
        </w:tc>
        <w:tc>
          <w:tcPr>
            <w:tcW w:w="923" w:type="dxa"/>
            <w:gridSpan w:val="2"/>
            <w:tcBorders>
              <w:top w:val="single" w:sz="4" w:space="0" w:color="000000"/>
              <w:left w:val="nil"/>
              <w:bottom w:val="single" w:sz="4" w:space="0" w:color="000000"/>
              <w:right w:val="nil"/>
            </w:tcBorders>
            <w:hideMark/>
          </w:tcPr>
          <w:p w14:paraId="52AEBC8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50,945</w:t>
            </w:r>
          </w:p>
        </w:tc>
        <w:tc>
          <w:tcPr>
            <w:tcW w:w="1060" w:type="dxa"/>
            <w:tcBorders>
              <w:top w:val="single" w:sz="4" w:space="0" w:color="000000"/>
              <w:left w:val="nil"/>
              <w:bottom w:val="single" w:sz="4" w:space="0" w:color="000000"/>
              <w:right w:val="single" w:sz="4" w:space="0" w:color="auto"/>
            </w:tcBorders>
            <w:hideMark/>
          </w:tcPr>
          <w:p w14:paraId="14837DF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0,747</w:t>
            </w:r>
          </w:p>
        </w:tc>
      </w:tr>
      <w:tr w:rsidR="009123AC" w:rsidRPr="00F0379B" w14:paraId="7A5EF41B"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44D8F5E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Scarborough</w:t>
            </w:r>
          </w:p>
        </w:tc>
        <w:tc>
          <w:tcPr>
            <w:tcW w:w="971" w:type="dxa"/>
            <w:tcBorders>
              <w:top w:val="single" w:sz="4" w:space="0" w:color="000000"/>
              <w:left w:val="nil"/>
              <w:bottom w:val="single" w:sz="4" w:space="0" w:color="000000"/>
              <w:right w:val="nil"/>
            </w:tcBorders>
            <w:hideMark/>
          </w:tcPr>
          <w:p w14:paraId="525E3EB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0497C06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GBSCA</w:t>
            </w:r>
          </w:p>
        </w:tc>
        <w:tc>
          <w:tcPr>
            <w:tcW w:w="923" w:type="dxa"/>
            <w:gridSpan w:val="2"/>
            <w:tcBorders>
              <w:top w:val="single" w:sz="4" w:space="0" w:color="000000"/>
              <w:left w:val="nil"/>
              <w:bottom w:val="single" w:sz="4" w:space="0" w:color="000000"/>
              <w:right w:val="nil"/>
            </w:tcBorders>
            <w:hideMark/>
          </w:tcPr>
          <w:p w14:paraId="4CBC05E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54,283</w:t>
            </w:r>
          </w:p>
        </w:tc>
        <w:tc>
          <w:tcPr>
            <w:tcW w:w="1060" w:type="dxa"/>
            <w:tcBorders>
              <w:top w:val="single" w:sz="4" w:space="0" w:color="000000"/>
              <w:left w:val="nil"/>
              <w:bottom w:val="single" w:sz="4" w:space="0" w:color="000000"/>
              <w:right w:val="single" w:sz="4" w:space="0" w:color="auto"/>
            </w:tcBorders>
            <w:hideMark/>
          </w:tcPr>
          <w:p w14:paraId="643C5A3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-0,390</w:t>
            </w:r>
          </w:p>
        </w:tc>
      </w:tr>
      <w:tr w:rsidR="009123AC" w:rsidRPr="00F0379B" w14:paraId="0D643BE4"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27C7AC1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Shoreham</w:t>
            </w:r>
            <w:proofErr w:type="spellEnd"/>
          </w:p>
        </w:tc>
        <w:tc>
          <w:tcPr>
            <w:tcW w:w="971" w:type="dxa"/>
            <w:tcBorders>
              <w:top w:val="single" w:sz="4" w:space="0" w:color="000000"/>
              <w:left w:val="nil"/>
              <w:bottom w:val="single" w:sz="4" w:space="0" w:color="000000"/>
              <w:right w:val="nil"/>
            </w:tcBorders>
            <w:hideMark/>
          </w:tcPr>
          <w:p w14:paraId="3222BB9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798253C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GBSHO</w:t>
            </w:r>
          </w:p>
        </w:tc>
        <w:tc>
          <w:tcPr>
            <w:tcW w:w="923" w:type="dxa"/>
            <w:gridSpan w:val="2"/>
            <w:tcBorders>
              <w:top w:val="single" w:sz="4" w:space="0" w:color="000000"/>
              <w:left w:val="nil"/>
              <w:bottom w:val="single" w:sz="4" w:space="0" w:color="000000"/>
              <w:right w:val="nil"/>
            </w:tcBorders>
            <w:hideMark/>
          </w:tcPr>
          <w:p w14:paraId="17D5230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50,830</w:t>
            </w:r>
          </w:p>
        </w:tc>
        <w:tc>
          <w:tcPr>
            <w:tcW w:w="1060" w:type="dxa"/>
            <w:tcBorders>
              <w:top w:val="single" w:sz="4" w:space="0" w:color="000000"/>
              <w:left w:val="nil"/>
              <w:bottom w:val="single" w:sz="4" w:space="0" w:color="000000"/>
              <w:right w:val="single" w:sz="4" w:space="0" w:color="auto"/>
            </w:tcBorders>
            <w:hideMark/>
          </w:tcPr>
          <w:p w14:paraId="66ACC73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-0,233</w:t>
            </w:r>
          </w:p>
        </w:tc>
      </w:tr>
      <w:tr w:rsidR="009123AC" w:rsidRPr="00F0379B" w14:paraId="2E05381C"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tcPr>
          <w:p w14:paraId="595A4D4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St</w:t>
            </w:r>
            <w:proofErr w:type="spellEnd"/>
            <w:r w:rsidRPr="00F0379B">
              <w:rPr>
                <w:rFonts w:ascii="Cambria" w:eastAsia="MS Gothic" w:hAnsi="Cambria" w:cs="Times New Roman"/>
                <w:color w:val="000000"/>
                <w:sz w:val="20"/>
                <w:szCs w:val="24"/>
                <w:lang w:eastAsia="fr-FR" w:bidi="fr-FR"/>
              </w:rPr>
              <w:t xml:space="preserve"> Helier</w:t>
            </w:r>
          </w:p>
        </w:tc>
        <w:tc>
          <w:tcPr>
            <w:tcW w:w="971" w:type="dxa"/>
            <w:tcBorders>
              <w:top w:val="single" w:sz="4" w:space="0" w:color="000000"/>
              <w:left w:val="nil"/>
              <w:bottom w:val="single" w:sz="4" w:space="0" w:color="000000"/>
              <w:right w:val="nil"/>
            </w:tcBorders>
          </w:tcPr>
          <w:p w14:paraId="78547B0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tcPr>
          <w:p w14:paraId="5BFFD51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JESTH</w:t>
            </w:r>
          </w:p>
        </w:tc>
        <w:tc>
          <w:tcPr>
            <w:tcW w:w="923" w:type="dxa"/>
            <w:gridSpan w:val="2"/>
            <w:tcBorders>
              <w:top w:val="single" w:sz="4" w:space="0" w:color="000000"/>
              <w:left w:val="nil"/>
              <w:bottom w:val="single" w:sz="4" w:space="0" w:color="000000"/>
              <w:right w:val="nil"/>
            </w:tcBorders>
          </w:tcPr>
          <w:p w14:paraId="009FAE3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49,183</w:t>
            </w:r>
          </w:p>
        </w:tc>
        <w:tc>
          <w:tcPr>
            <w:tcW w:w="1060" w:type="dxa"/>
            <w:tcBorders>
              <w:top w:val="single" w:sz="4" w:space="0" w:color="000000"/>
              <w:left w:val="nil"/>
              <w:bottom w:val="single" w:sz="4" w:space="0" w:color="000000"/>
              <w:right w:val="single" w:sz="4" w:space="0" w:color="auto"/>
            </w:tcBorders>
          </w:tcPr>
          <w:p w14:paraId="08EAAD4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-2,117</w:t>
            </w:r>
          </w:p>
        </w:tc>
      </w:tr>
      <w:tr w:rsidR="009123AC" w:rsidRPr="00F0379B" w14:paraId="1736B89E"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1946509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St</w:t>
            </w:r>
            <w:proofErr w:type="spellEnd"/>
            <w:r w:rsidRPr="00F0379B">
              <w:rPr>
                <w:rFonts w:ascii="Cambria" w:eastAsia="MS Gothic" w:hAnsi="Cambria" w:cs="Times New Roman"/>
                <w:color w:val="000000"/>
                <w:sz w:val="20"/>
                <w:szCs w:val="24"/>
                <w:lang w:eastAsia="fr-FR" w:bidi="fr-FR"/>
              </w:rPr>
              <w:t xml:space="preserve"> Ives</w:t>
            </w:r>
          </w:p>
        </w:tc>
        <w:tc>
          <w:tcPr>
            <w:tcW w:w="971" w:type="dxa"/>
            <w:tcBorders>
              <w:top w:val="single" w:sz="4" w:space="0" w:color="000000"/>
              <w:left w:val="nil"/>
              <w:bottom w:val="single" w:sz="4" w:space="0" w:color="000000"/>
              <w:right w:val="nil"/>
            </w:tcBorders>
            <w:hideMark/>
          </w:tcPr>
          <w:p w14:paraId="398DAA5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0ACBF39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GBIVS</w:t>
            </w:r>
          </w:p>
        </w:tc>
        <w:tc>
          <w:tcPr>
            <w:tcW w:w="923" w:type="dxa"/>
            <w:gridSpan w:val="2"/>
            <w:tcBorders>
              <w:top w:val="single" w:sz="4" w:space="0" w:color="000000"/>
              <w:left w:val="nil"/>
              <w:bottom w:val="single" w:sz="4" w:space="0" w:color="000000"/>
              <w:right w:val="nil"/>
            </w:tcBorders>
            <w:hideMark/>
          </w:tcPr>
          <w:p w14:paraId="4D4D3B0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50,210</w:t>
            </w:r>
          </w:p>
        </w:tc>
        <w:tc>
          <w:tcPr>
            <w:tcW w:w="1060" w:type="dxa"/>
            <w:tcBorders>
              <w:top w:val="single" w:sz="4" w:space="0" w:color="000000"/>
              <w:left w:val="nil"/>
              <w:bottom w:val="single" w:sz="4" w:space="0" w:color="000000"/>
              <w:right w:val="single" w:sz="4" w:space="0" w:color="auto"/>
            </w:tcBorders>
            <w:hideMark/>
          </w:tcPr>
          <w:p w14:paraId="26DD69F6"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-5,476</w:t>
            </w:r>
          </w:p>
        </w:tc>
      </w:tr>
      <w:tr w:rsidR="009123AC" w:rsidRPr="00F0379B" w14:paraId="47221021"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tcPr>
          <w:p w14:paraId="29554C5B" w14:textId="77777777" w:rsidR="009123AC" w:rsidRPr="00F0379B" w:rsidRDefault="009123AC" w:rsidP="009123AC">
            <w:pPr>
              <w:spacing w:after="0" w:line="240" w:lineRule="auto"/>
              <w:rPr>
                <w:rFonts w:ascii="Cambria" w:eastAsia="Times New Roman" w:hAnsi="Cambria" w:cs="Calibri"/>
                <w:color w:val="000000"/>
                <w:sz w:val="20"/>
                <w:szCs w:val="20"/>
                <w:lang w:val="en-US" w:eastAsia="fr-FR" w:bidi="fr-FR"/>
              </w:rPr>
            </w:pPr>
            <w:r w:rsidRPr="00F0379B">
              <w:rPr>
                <w:rFonts w:ascii="Cambria" w:eastAsia="MS Gothic" w:hAnsi="Cambria" w:cs="Times New Roman"/>
                <w:color w:val="000000"/>
                <w:sz w:val="20"/>
                <w:szCs w:val="24"/>
                <w:lang w:val="en-US" w:eastAsia="fr-FR" w:bidi="fr-FR"/>
              </w:rPr>
              <w:t>St Mary’s (Isles of Scilly)</w:t>
            </w:r>
          </w:p>
        </w:tc>
        <w:tc>
          <w:tcPr>
            <w:tcW w:w="971" w:type="dxa"/>
            <w:tcBorders>
              <w:top w:val="single" w:sz="4" w:space="0" w:color="000000"/>
              <w:left w:val="nil"/>
              <w:bottom w:val="single" w:sz="4" w:space="0" w:color="000000"/>
              <w:right w:val="nil"/>
            </w:tcBorders>
          </w:tcPr>
          <w:p w14:paraId="485F196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tcPr>
          <w:p w14:paraId="035F205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GBISC</w:t>
            </w:r>
          </w:p>
        </w:tc>
        <w:tc>
          <w:tcPr>
            <w:tcW w:w="923" w:type="dxa"/>
            <w:gridSpan w:val="2"/>
            <w:tcBorders>
              <w:top w:val="single" w:sz="4" w:space="0" w:color="000000"/>
              <w:left w:val="nil"/>
              <w:bottom w:val="single" w:sz="4" w:space="0" w:color="000000"/>
              <w:right w:val="nil"/>
            </w:tcBorders>
          </w:tcPr>
          <w:p w14:paraId="7367CCB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49,918</w:t>
            </w:r>
          </w:p>
        </w:tc>
        <w:tc>
          <w:tcPr>
            <w:tcW w:w="1060" w:type="dxa"/>
            <w:tcBorders>
              <w:top w:val="single" w:sz="4" w:space="0" w:color="000000"/>
              <w:left w:val="nil"/>
              <w:bottom w:val="single" w:sz="4" w:space="0" w:color="000000"/>
              <w:right w:val="single" w:sz="4" w:space="0" w:color="auto"/>
            </w:tcBorders>
          </w:tcPr>
          <w:p w14:paraId="7024998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-6,317</w:t>
            </w:r>
          </w:p>
        </w:tc>
      </w:tr>
      <w:tr w:rsidR="009123AC" w:rsidRPr="00F0379B" w14:paraId="710E42D5"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tcPr>
          <w:p w14:paraId="00D19E3B" w14:textId="77777777" w:rsidR="009123AC" w:rsidRPr="00F0379B" w:rsidRDefault="009123AC" w:rsidP="009123AC">
            <w:pPr>
              <w:widowControl w:val="0"/>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St</w:t>
            </w:r>
            <w:proofErr w:type="spellEnd"/>
            <w:r w:rsidRPr="00F0379B">
              <w:rPr>
                <w:rFonts w:ascii="Cambria" w:eastAsia="MS Gothic" w:hAnsi="Cambria" w:cs="Times New Roman"/>
                <w:color w:val="000000"/>
                <w:sz w:val="20"/>
                <w:szCs w:val="24"/>
                <w:lang w:eastAsia="fr-FR" w:bidi="fr-FR"/>
              </w:rPr>
              <w:t xml:space="preserve"> Mawes</w:t>
            </w:r>
          </w:p>
        </w:tc>
        <w:tc>
          <w:tcPr>
            <w:tcW w:w="971" w:type="dxa"/>
            <w:tcBorders>
              <w:top w:val="single" w:sz="4" w:space="0" w:color="000000"/>
              <w:left w:val="nil"/>
              <w:bottom w:val="single" w:sz="4" w:space="0" w:color="000000"/>
              <w:right w:val="nil"/>
            </w:tcBorders>
          </w:tcPr>
          <w:p w14:paraId="04AFE18E" w14:textId="77777777" w:rsidR="009123AC" w:rsidRPr="00F0379B" w:rsidRDefault="009123AC" w:rsidP="009123AC">
            <w:pPr>
              <w:widowControl w:val="0"/>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tcPr>
          <w:p w14:paraId="6A6CA6D4" w14:textId="77777777" w:rsidR="009123AC" w:rsidRPr="00F0379B" w:rsidRDefault="009123AC" w:rsidP="009123AC">
            <w:pPr>
              <w:widowControl w:val="0"/>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GBSMV</w:t>
            </w:r>
          </w:p>
        </w:tc>
        <w:tc>
          <w:tcPr>
            <w:tcW w:w="923" w:type="dxa"/>
            <w:gridSpan w:val="2"/>
            <w:tcBorders>
              <w:top w:val="single" w:sz="4" w:space="0" w:color="000000"/>
              <w:left w:val="nil"/>
              <w:bottom w:val="single" w:sz="4" w:space="0" w:color="000000"/>
              <w:right w:val="nil"/>
            </w:tcBorders>
          </w:tcPr>
          <w:p w14:paraId="6548F8B9" w14:textId="77777777" w:rsidR="009123AC" w:rsidRPr="00F0379B" w:rsidRDefault="009123AC" w:rsidP="009123AC">
            <w:pPr>
              <w:widowControl w:val="0"/>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50,158</w:t>
            </w:r>
          </w:p>
        </w:tc>
        <w:tc>
          <w:tcPr>
            <w:tcW w:w="1060" w:type="dxa"/>
            <w:tcBorders>
              <w:top w:val="single" w:sz="4" w:space="0" w:color="000000"/>
              <w:left w:val="nil"/>
              <w:bottom w:val="single" w:sz="4" w:space="0" w:color="000000"/>
              <w:right w:val="single" w:sz="4" w:space="0" w:color="auto"/>
            </w:tcBorders>
          </w:tcPr>
          <w:p w14:paraId="3B7ACCC4" w14:textId="77777777" w:rsidR="009123AC" w:rsidRPr="00F0379B" w:rsidRDefault="009123AC" w:rsidP="009123AC">
            <w:pPr>
              <w:widowControl w:val="0"/>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-5,014</w:t>
            </w:r>
          </w:p>
        </w:tc>
      </w:tr>
      <w:tr w:rsidR="009123AC" w:rsidRPr="00F0379B" w14:paraId="7FF7B827"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4B26D81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Whitby</w:t>
            </w:r>
          </w:p>
        </w:tc>
        <w:tc>
          <w:tcPr>
            <w:tcW w:w="971" w:type="dxa"/>
            <w:tcBorders>
              <w:top w:val="single" w:sz="4" w:space="0" w:color="000000"/>
              <w:left w:val="nil"/>
              <w:bottom w:val="single" w:sz="4" w:space="0" w:color="000000"/>
              <w:right w:val="nil"/>
            </w:tcBorders>
            <w:hideMark/>
          </w:tcPr>
          <w:p w14:paraId="2C3CEE2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38893B6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GBWTB</w:t>
            </w:r>
          </w:p>
        </w:tc>
        <w:tc>
          <w:tcPr>
            <w:tcW w:w="923" w:type="dxa"/>
            <w:gridSpan w:val="2"/>
            <w:tcBorders>
              <w:top w:val="single" w:sz="4" w:space="0" w:color="000000"/>
              <w:left w:val="nil"/>
              <w:bottom w:val="single" w:sz="4" w:space="0" w:color="000000"/>
              <w:right w:val="nil"/>
            </w:tcBorders>
            <w:hideMark/>
          </w:tcPr>
          <w:p w14:paraId="03B924E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54,485</w:t>
            </w:r>
          </w:p>
        </w:tc>
        <w:tc>
          <w:tcPr>
            <w:tcW w:w="1060" w:type="dxa"/>
            <w:tcBorders>
              <w:top w:val="single" w:sz="4" w:space="0" w:color="000000"/>
              <w:left w:val="nil"/>
              <w:bottom w:val="single" w:sz="4" w:space="0" w:color="000000"/>
              <w:right w:val="single" w:sz="4" w:space="0" w:color="auto"/>
            </w:tcBorders>
            <w:hideMark/>
          </w:tcPr>
          <w:p w14:paraId="70C9922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-0,612</w:t>
            </w:r>
          </w:p>
        </w:tc>
      </w:tr>
      <w:tr w:rsidR="009123AC" w:rsidRPr="00F0379B" w14:paraId="7AD7E6ED"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5D60AAF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Whitehaven</w:t>
            </w:r>
            <w:proofErr w:type="spellEnd"/>
          </w:p>
        </w:tc>
        <w:tc>
          <w:tcPr>
            <w:tcW w:w="971" w:type="dxa"/>
            <w:tcBorders>
              <w:top w:val="single" w:sz="4" w:space="0" w:color="000000"/>
              <w:left w:val="nil"/>
              <w:bottom w:val="single" w:sz="4" w:space="0" w:color="000000"/>
              <w:right w:val="nil"/>
            </w:tcBorders>
            <w:hideMark/>
          </w:tcPr>
          <w:p w14:paraId="608C079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GB-ENG</w:t>
            </w:r>
          </w:p>
        </w:tc>
        <w:tc>
          <w:tcPr>
            <w:tcW w:w="2201" w:type="dxa"/>
            <w:tcBorders>
              <w:top w:val="single" w:sz="4" w:space="0" w:color="000000"/>
              <w:left w:val="nil"/>
              <w:bottom w:val="single" w:sz="4" w:space="0" w:color="000000"/>
              <w:right w:val="nil"/>
            </w:tcBorders>
            <w:hideMark/>
          </w:tcPr>
          <w:p w14:paraId="770B423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GBWHV</w:t>
            </w:r>
          </w:p>
        </w:tc>
        <w:tc>
          <w:tcPr>
            <w:tcW w:w="923" w:type="dxa"/>
            <w:gridSpan w:val="2"/>
            <w:tcBorders>
              <w:top w:val="single" w:sz="4" w:space="0" w:color="000000"/>
              <w:left w:val="nil"/>
              <w:bottom w:val="single" w:sz="4" w:space="0" w:color="000000"/>
              <w:right w:val="nil"/>
            </w:tcBorders>
            <w:hideMark/>
          </w:tcPr>
          <w:p w14:paraId="05F7C0C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54,551</w:t>
            </w:r>
          </w:p>
        </w:tc>
        <w:tc>
          <w:tcPr>
            <w:tcW w:w="1060" w:type="dxa"/>
            <w:tcBorders>
              <w:top w:val="single" w:sz="4" w:space="0" w:color="000000"/>
              <w:left w:val="nil"/>
              <w:bottom w:val="single" w:sz="4" w:space="0" w:color="000000"/>
              <w:right w:val="single" w:sz="4" w:space="0" w:color="auto"/>
            </w:tcBorders>
            <w:hideMark/>
          </w:tcPr>
          <w:p w14:paraId="0CAA42F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-3,594</w:t>
            </w:r>
          </w:p>
        </w:tc>
      </w:tr>
      <w:tr w:rsidR="009123AC" w:rsidRPr="00F0379B" w14:paraId="77266C88"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47C3133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Holyhead</w:t>
            </w:r>
            <w:proofErr w:type="spellEnd"/>
          </w:p>
        </w:tc>
        <w:tc>
          <w:tcPr>
            <w:tcW w:w="971" w:type="dxa"/>
            <w:tcBorders>
              <w:top w:val="single" w:sz="4" w:space="0" w:color="000000"/>
              <w:left w:val="nil"/>
              <w:bottom w:val="single" w:sz="4" w:space="0" w:color="000000"/>
              <w:right w:val="nil"/>
            </w:tcBorders>
            <w:hideMark/>
          </w:tcPr>
          <w:p w14:paraId="21C4642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GB-WLS</w:t>
            </w:r>
          </w:p>
        </w:tc>
        <w:tc>
          <w:tcPr>
            <w:tcW w:w="2201" w:type="dxa"/>
            <w:tcBorders>
              <w:top w:val="single" w:sz="4" w:space="0" w:color="000000"/>
              <w:left w:val="nil"/>
              <w:bottom w:val="single" w:sz="4" w:space="0" w:color="000000"/>
              <w:right w:val="nil"/>
            </w:tcBorders>
            <w:hideMark/>
          </w:tcPr>
          <w:p w14:paraId="06439AE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GBHLY</w:t>
            </w:r>
          </w:p>
        </w:tc>
        <w:tc>
          <w:tcPr>
            <w:tcW w:w="923" w:type="dxa"/>
            <w:gridSpan w:val="2"/>
            <w:tcBorders>
              <w:top w:val="single" w:sz="4" w:space="0" w:color="000000"/>
              <w:left w:val="nil"/>
              <w:bottom w:val="single" w:sz="4" w:space="0" w:color="000000"/>
              <w:right w:val="nil"/>
            </w:tcBorders>
            <w:hideMark/>
          </w:tcPr>
          <w:p w14:paraId="6A99EB6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53,318</w:t>
            </w:r>
          </w:p>
        </w:tc>
        <w:tc>
          <w:tcPr>
            <w:tcW w:w="1060" w:type="dxa"/>
            <w:tcBorders>
              <w:top w:val="single" w:sz="4" w:space="0" w:color="000000"/>
              <w:left w:val="nil"/>
              <w:bottom w:val="single" w:sz="4" w:space="0" w:color="000000"/>
              <w:right w:val="single" w:sz="4" w:space="0" w:color="auto"/>
            </w:tcBorders>
            <w:hideMark/>
          </w:tcPr>
          <w:p w14:paraId="2DE9A33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-4,629</w:t>
            </w:r>
          </w:p>
        </w:tc>
      </w:tr>
      <w:tr w:rsidR="009123AC" w:rsidRPr="00F0379B" w14:paraId="7AD20ACF"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181EA68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Milford Haven</w:t>
            </w:r>
          </w:p>
        </w:tc>
        <w:tc>
          <w:tcPr>
            <w:tcW w:w="971" w:type="dxa"/>
            <w:tcBorders>
              <w:top w:val="single" w:sz="4" w:space="0" w:color="000000"/>
              <w:left w:val="nil"/>
              <w:bottom w:val="single" w:sz="4" w:space="0" w:color="000000"/>
              <w:right w:val="nil"/>
            </w:tcBorders>
            <w:hideMark/>
          </w:tcPr>
          <w:p w14:paraId="6AE74C1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GB-WLS</w:t>
            </w:r>
          </w:p>
        </w:tc>
        <w:tc>
          <w:tcPr>
            <w:tcW w:w="2201" w:type="dxa"/>
            <w:tcBorders>
              <w:top w:val="single" w:sz="4" w:space="0" w:color="000000"/>
              <w:left w:val="nil"/>
              <w:bottom w:val="single" w:sz="4" w:space="0" w:color="000000"/>
              <w:right w:val="nil"/>
            </w:tcBorders>
            <w:hideMark/>
          </w:tcPr>
          <w:p w14:paraId="465F711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GBMLF</w:t>
            </w:r>
          </w:p>
        </w:tc>
        <w:tc>
          <w:tcPr>
            <w:tcW w:w="923" w:type="dxa"/>
            <w:gridSpan w:val="2"/>
            <w:tcBorders>
              <w:top w:val="single" w:sz="4" w:space="0" w:color="000000"/>
              <w:left w:val="nil"/>
              <w:bottom w:val="single" w:sz="4" w:space="0" w:color="000000"/>
              <w:right w:val="nil"/>
            </w:tcBorders>
            <w:hideMark/>
          </w:tcPr>
          <w:p w14:paraId="56824BB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51,700</w:t>
            </w:r>
          </w:p>
        </w:tc>
        <w:tc>
          <w:tcPr>
            <w:tcW w:w="1060" w:type="dxa"/>
            <w:tcBorders>
              <w:top w:val="single" w:sz="4" w:space="0" w:color="000000"/>
              <w:left w:val="nil"/>
              <w:bottom w:val="single" w:sz="4" w:space="0" w:color="000000"/>
              <w:right w:val="single" w:sz="4" w:space="0" w:color="auto"/>
            </w:tcBorders>
            <w:hideMark/>
          </w:tcPr>
          <w:p w14:paraId="5F9F3C1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-5,003</w:t>
            </w:r>
          </w:p>
        </w:tc>
      </w:tr>
      <w:tr w:rsidR="009123AC" w:rsidRPr="00F0379B" w14:paraId="1CE44D0B"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66F5A51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Ardglass</w:t>
            </w:r>
            <w:proofErr w:type="spellEnd"/>
          </w:p>
        </w:tc>
        <w:tc>
          <w:tcPr>
            <w:tcW w:w="971" w:type="dxa"/>
            <w:tcBorders>
              <w:top w:val="single" w:sz="4" w:space="0" w:color="000000"/>
              <w:left w:val="nil"/>
              <w:bottom w:val="single" w:sz="4" w:space="0" w:color="000000"/>
              <w:right w:val="nil"/>
            </w:tcBorders>
            <w:hideMark/>
          </w:tcPr>
          <w:p w14:paraId="78CAD01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GB-NIR</w:t>
            </w:r>
          </w:p>
        </w:tc>
        <w:tc>
          <w:tcPr>
            <w:tcW w:w="2201" w:type="dxa"/>
            <w:tcBorders>
              <w:top w:val="single" w:sz="4" w:space="0" w:color="000000"/>
              <w:left w:val="nil"/>
              <w:bottom w:val="single" w:sz="4" w:space="0" w:color="000000"/>
              <w:right w:val="nil"/>
            </w:tcBorders>
            <w:hideMark/>
          </w:tcPr>
          <w:p w14:paraId="179E352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GBAGL</w:t>
            </w:r>
          </w:p>
        </w:tc>
        <w:tc>
          <w:tcPr>
            <w:tcW w:w="923" w:type="dxa"/>
            <w:gridSpan w:val="2"/>
            <w:tcBorders>
              <w:top w:val="single" w:sz="4" w:space="0" w:color="000000"/>
              <w:left w:val="nil"/>
              <w:bottom w:val="single" w:sz="4" w:space="0" w:color="000000"/>
              <w:right w:val="nil"/>
            </w:tcBorders>
            <w:hideMark/>
          </w:tcPr>
          <w:p w14:paraId="2B69427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54,261</w:t>
            </w:r>
          </w:p>
        </w:tc>
        <w:tc>
          <w:tcPr>
            <w:tcW w:w="1060" w:type="dxa"/>
            <w:tcBorders>
              <w:top w:val="single" w:sz="4" w:space="0" w:color="000000"/>
              <w:left w:val="nil"/>
              <w:bottom w:val="single" w:sz="4" w:space="0" w:color="000000"/>
              <w:right w:val="single" w:sz="4" w:space="0" w:color="auto"/>
            </w:tcBorders>
            <w:hideMark/>
          </w:tcPr>
          <w:p w14:paraId="0028161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-5,605</w:t>
            </w:r>
          </w:p>
        </w:tc>
      </w:tr>
      <w:tr w:rsidR="009123AC" w:rsidRPr="00F0379B" w14:paraId="1F63440D"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7D6C6CE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Bangor</w:t>
            </w:r>
          </w:p>
        </w:tc>
        <w:tc>
          <w:tcPr>
            <w:tcW w:w="971" w:type="dxa"/>
            <w:tcBorders>
              <w:top w:val="single" w:sz="4" w:space="0" w:color="000000"/>
              <w:left w:val="nil"/>
              <w:bottom w:val="single" w:sz="4" w:space="0" w:color="000000"/>
              <w:right w:val="nil"/>
            </w:tcBorders>
            <w:hideMark/>
          </w:tcPr>
          <w:p w14:paraId="439B7E5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GB-NIR</w:t>
            </w:r>
          </w:p>
        </w:tc>
        <w:tc>
          <w:tcPr>
            <w:tcW w:w="2201" w:type="dxa"/>
            <w:tcBorders>
              <w:top w:val="single" w:sz="4" w:space="0" w:color="000000"/>
              <w:left w:val="nil"/>
              <w:bottom w:val="single" w:sz="4" w:space="0" w:color="000000"/>
              <w:right w:val="nil"/>
            </w:tcBorders>
            <w:hideMark/>
          </w:tcPr>
          <w:p w14:paraId="3F4B8D8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 xml:space="preserve">GBBNG </w:t>
            </w:r>
          </w:p>
        </w:tc>
        <w:tc>
          <w:tcPr>
            <w:tcW w:w="923" w:type="dxa"/>
            <w:gridSpan w:val="2"/>
            <w:tcBorders>
              <w:top w:val="single" w:sz="4" w:space="0" w:color="000000"/>
              <w:left w:val="nil"/>
              <w:bottom w:val="single" w:sz="4" w:space="0" w:color="000000"/>
              <w:right w:val="nil"/>
            </w:tcBorders>
            <w:hideMark/>
          </w:tcPr>
          <w:p w14:paraId="5081426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54,666</w:t>
            </w:r>
          </w:p>
        </w:tc>
        <w:tc>
          <w:tcPr>
            <w:tcW w:w="1060" w:type="dxa"/>
            <w:tcBorders>
              <w:top w:val="single" w:sz="4" w:space="0" w:color="000000"/>
              <w:left w:val="nil"/>
              <w:bottom w:val="single" w:sz="4" w:space="0" w:color="000000"/>
              <w:right w:val="single" w:sz="4" w:space="0" w:color="auto"/>
            </w:tcBorders>
            <w:hideMark/>
          </w:tcPr>
          <w:p w14:paraId="09DDDC9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-5,668</w:t>
            </w:r>
          </w:p>
        </w:tc>
      </w:tr>
      <w:tr w:rsidR="009123AC" w:rsidRPr="00F0379B" w14:paraId="0B20187E"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3E3661F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Belfast</w:t>
            </w:r>
          </w:p>
        </w:tc>
        <w:tc>
          <w:tcPr>
            <w:tcW w:w="971" w:type="dxa"/>
            <w:tcBorders>
              <w:top w:val="single" w:sz="4" w:space="0" w:color="000000"/>
              <w:left w:val="nil"/>
              <w:bottom w:val="single" w:sz="4" w:space="0" w:color="000000"/>
              <w:right w:val="nil"/>
            </w:tcBorders>
            <w:hideMark/>
          </w:tcPr>
          <w:p w14:paraId="475A1AC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GB-NIR</w:t>
            </w:r>
          </w:p>
        </w:tc>
        <w:tc>
          <w:tcPr>
            <w:tcW w:w="2201" w:type="dxa"/>
            <w:tcBorders>
              <w:top w:val="single" w:sz="4" w:space="0" w:color="000000"/>
              <w:left w:val="nil"/>
              <w:bottom w:val="single" w:sz="4" w:space="0" w:color="000000"/>
              <w:right w:val="nil"/>
            </w:tcBorders>
            <w:hideMark/>
          </w:tcPr>
          <w:p w14:paraId="66C10A8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GBBEL</w:t>
            </w:r>
          </w:p>
        </w:tc>
        <w:tc>
          <w:tcPr>
            <w:tcW w:w="923" w:type="dxa"/>
            <w:gridSpan w:val="2"/>
            <w:tcBorders>
              <w:top w:val="single" w:sz="4" w:space="0" w:color="000000"/>
              <w:left w:val="nil"/>
              <w:bottom w:val="single" w:sz="4" w:space="0" w:color="000000"/>
              <w:right w:val="nil"/>
            </w:tcBorders>
            <w:hideMark/>
          </w:tcPr>
          <w:p w14:paraId="16BE6BB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54,619</w:t>
            </w:r>
          </w:p>
        </w:tc>
        <w:tc>
          <w:tcPr>
            <w:tcW w:w="1060" w:type="dxa"/>
            <w:tcBorders>
              <w:top w:val="single" w:sz="4" w:space="0" w:color="000000"/>
              <w:left w:val="nil"/>
              <w:bottom w:val="single" w:sz="4" w:space="0" w:color="000000"/>
              <w:right w:val="single" w:sz="4" w:space="0" w:color="auto"/>
            </w:tcBorders>
            <w:hideMark/>
          </w:tcPr>
          <w:p w14:paraId="2235F5B6"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-5,898</w:t>
            </w:r>
          </w:p>
        </w:tc>
      </w:tr>
      <w:tr w:rsidR="009123AC" w:rsidRPr="00F0379B" w14:paraId="5223E89C"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6958574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Kilkeel</w:t>
            </w:r>
            <w:proofErr w:type="spellEnd"/>
          </w:p>
        </w:tc>
        <w:tc>
          <w:tcPr>
            <w:tcW w:w="971" w:type="dxa"/>
            <w:tcBorders>
              <w:top w:val="single" w:sz="4" w:space="0" w:color="000000"/>
              <w:left w:val="nil"/>
              <w:bottom w:val="single" w:sz="4" w:space="0" w:color="000000"/>
              <w:right w:val="nil"/>
            </w:tcBorders>
            <w:hideMark/>
          </w:tcPr>
          <w:p w14:paraId="7D19909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GB-NIR</w:t>
            </w:r>
          </w:p>
        </w:tc>
        <w:tc>
          <w:tcPr>
            <w:tcW w:w="2201" w:type="dxa"/>
            <w:tcBorders>
              <w:top w:val="single" w:sz="4" w:space="0" w:color="000000"/>
              <w:left w:val="nil"/>
              <w:bottom w:val="single" w:sz="4" w:space="0" w:color="000000"/>
              <w:right w:val="nil"/>
            </w:tcBorders>
            <w:hideMark/>
          </w:tcPr>
          <w:p w14:paraId="58CCE17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GBKLK</w:t>
            </w:r>
          </w:p>
        </w:tc>
        <w:tc>
          <w:tcPr>
            <w:tcW w:w="923" w:type="dxa"/>
            <w:gridSpan w:val="2"/>
            <w:tcBorders>
              <w:top w:val="single" w:sz="4" w:space="0" w:color="000000"/>
              <w:left w:val="nil"/>
              <w:bottom w:val="single" w:sz="4" w:space="0" w:color="000000"/>
              <w:right w:val="nil"/>
            </w:tcBorders>
            <w:hideMark/>
          </w:tcPr>
          <w:p w14:paraId="46F2B91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54,059</w:t>
            </w:r>
          </w:p>
        </w:tc>
        <w:tc>
          <w:tcPr>
            <w:tcW w:w="1060" w:type="dxa"/>
            <w:tcBorders>
              <w:top w:val="single" w:sz="4" w:space="0" w:color="000000"/>
              <w:left w:val="nil"/>
              <w:bottom w:val="single" w:sz="4" w:space="0" w:color="000000"/>
              <w:right w:val="single" w:sz="4" w:space="0" w:color="auto"/>
            </w:tcBorders>
            <w:hideMark/>
          </w:tcPr>
          <w:p w14:paraId="68B3BB4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-5,995</w:t>
            </w:r>
          </w:p>
        </w:tc>
      </w:tr>
      <w:tr w:rsidR="009123AC" w:rsidRPr="00F0379B" w14:paraId="098987B3"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469F786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Londonderry</w:t>
            </w:r>
          </w:p>
        </w:tc>
        <w:tc>
          <w:tcPr>
            <w:tcW w:w="971" w:type="dxa"/>
            <w:tcBorders>
              <w:top w:val="single" w:sz="4" w:space="0" w:color="000000"/>
              <w:left w:val="nil"/>
              <w:bottom w:val="single" w:sz="4" w:space="0" w:color="000000"/>
              <w:right w:val="nil"/>
            </w:tcBorders>
            <w:hideMark/>
          </w:tcPr>
          <w:p w14:paraId="6EDA9EB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GB-NIR</w:t>
            </w:r>
          </w:p>
        </w:tc>
        <w:tc>
          <w:tcPr>
            <w:tcW w:w="2201" w:type="dxa"/>
            <w:tcBorders>
              <w:top w:val="single" w:sz="4" w:space="0" w:color="000000"/>
              <w:left w:val="nil"/>
              <w:bottom w:val="single" w:sz="4" w:space="0" w:color="000000"/>
              <w:right w:val="nil"/>
            </w:tcBorders>
            <w:hideMark/>
          </w:tcPr>
          <w:p w14:paraId="5407E57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GBLDY</w:t>
            </w:r>
          </w:p>
        </w:tc>
        <w:tc>
          <w:tcPr>
            <w:tcW w:w="923" w:type="dxa"/>
            <w:gridSpan w:val="2"/>
            <w:tcBorders>
              <w:top w:val="single" w:sz="4" w:space="0" w:color="000000"/>
              <w:left w:val="nil"/>
              <w:bottom w:val="single" w:sz="4" w:space="0" w:color="000000"/>
              <w:right w:val="nil"/>
            </w:tcBorders>
            <w:hideMark/>
          </w:tcPr>
          <w:p w14:paraId="4DFBD4E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55,045</w:t>
            </w:r>
          </w:p>
        </w:tc>
        <w:tc>
          <w:tcPr>
            <w:tcW w:w="1060" w:type="dxa"/>
            <w:tcBorders>
              <w:top w:val="single" w:sz="4" w:space="0" w:color="000000"/>
              <w:left w:val="nil"/>
              <w:bottom w:val="single" w:sz="4" w:space="0" w:color="000000"/>
              <w:right w:val="single" w:sz="4" w:space="0" w:color="auto"/>
            </w:tcBorders>
            <w:hideMark/>
          </w:tcPr>
          <w:p w14:paraId="5124BD9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-7,254</w:t>
            </w:r>
          </w:p>
        </w:tc>
      </w:tr>
      <w:tr w:rsidR="009123AC" w:rsidRPr="00F0379B" w14:paraId="3F54B340"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7C27829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Portavogie</w:t>
            </w:r>
            <w:proofErr w:type="spellEnd"/>
          </w:p>
        </w:tc>
        <w:tc>
          <w:tcPr>
            <w:tcW w:w="971" w:type="dxa"/>
            <w:tcBorders>
              <w:top w:val="single" w:sz="4" w:space="0" w:color="000000"/>
              <w:left w:val="nil"/>
              <w:bottom w:val="single" w:sz="4" w:space="0" w:color="000000"/>
              <w:right w:val="nil"/>
            </w:tcBorders>
            <w:hideMark/>
          </w:tcPr>
          <w:p w14:paraId="12C9CD46"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GB-NIR</w:t>
            </w:r>
          </w:p>
        </w:tc>
        <w:tc>
          <w:tcPr>
            <w:tcW w:w="2201" w:type="dxa"/>
            <w:tcBorders>
              <w:top w:val="single" w:sz="4" w:space="0" w:color="000000"/>
              <w:left w:val="nil"/>
              <w:bottom w:val="single" w:sz="4" w:space="0" w:color="000000"/>
              <w:right w:val="nil"/>
            </w:tcBorders>
            <w:hideMark/>
          </w:tcPr>
          <w:p w14:paraId="62D4B7F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GBPVG</w:t>
            </w:r>
          </w:p>
        </w:tc>
        <w:tc>
          <w:tcPr>
            <w:tcW w:w="923" w:type="dxa"/>
            <w:gridSpan w:val="2"/>
            <w:tcBorders>
              <w:top w:val="single" w:sz="4" w:space="0" w:color="000000"/>
              <w:left w:val="nil"/>
              <w:bottom w:val="single" w:sz="4" w:space="0" w:color="000000"/>
              <w:right w:val="nil"/>
            </w:tcBorders>
            <w:hideMark/>
          </w:tcPr>
          <w:p w14:paraId="15A362A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54,458</w:t>
            </w:r>
          </w:p>
        </w:tc>
        <w:tc>
          <w:tcPr>
            <w:tcW w:w="1060" w:type="dxa"/>
            <w:tcBorders>
              <w:top w:val="single" w:sz="4" w:space="0" w:color="000000"/>
              <w:left w:val="nil"/>
              <w:bottom w:val="single" w:sz="4" w:space="0" w:color="000000"/>
              <w:right w:val="single" w:sz="4" w:space="0" w:color="auto"/>
            </w:tcBorders>
            <w:hideMark/>
          </w:tcPr>
          <w:p w14:paraId="380BFF7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-5,437</w:t>
            </w:r>
          </w:p>
        </w:tc>
      </w:tr>
      <w:tr w:rsidR="009123AC" w:rsidRPr="00F0379B" w14:paraId="6D393455"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2F6D867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Warrenpoint</w:t>
            </w:r>
            <w:proofErr w:type="spellEnd"/>
          </w:p>
        </w:tc>
        <w:tc>
          <w:tcPr>
            <w:tcW w:w="971" w:type="dxa"/>
            <w:tcBorders>
              <w:top w:val="single" w:sz="4" w:space="0" w:color="000000"/>
              <w:left w:val="nil"/>
              <w:bottom w:val="single" w:sz="4" w:space="0" w:color="000000"/>
              <w:right w:val="nil"/>
            </w:tcBorders>
            <w:hideMark/>
          </w:tcPr>
          <w:p w14:paraId="17CCC33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GB-NIR</w:t>
            </w:r>
          </w:p>
        </w:tc>
        <w:tc>
          <w:tcPr>
            <w:tcW w:w="2201" w:type="dxa"/>
            <w:tcBorders>
              <w:top w:val="single" w:sz="4" w:space="0" w:color="000000"/>
              <w:left w:val="nil"/>
              <w:bottom w:val="single" w:sz="4" w:space="0" w:color="000000"/>
              <w:right w:val="nil"/>
            </w:tcBorders>
            <w:hideMark/>
          </w:tcPr>
          <w:p w14:paraId="25693CF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GBWPT</w:t>
            </w:r>
          </w:p>
        </w:tc>
        <w:tc>
          <w:tcPr>
            <w:tcW w:w="923" w:type="dxa"/>
            <w:gridSpan w:val="2"/>
            <w:tcBorders>
              <w:top w:val="single" w:sz="4" w:space="0" w:color="000000"/>
              <w:left w:val="nil"/>
              <w:bottom w:val="single" w:sz="4" w:space="0" w:color="000000"/>
              <w:right w:val="nil"/>
            </w:tcBorders>
            <w:hideMark/>
          </w:tcPr>
          <w:p w14:paraId="5153B2F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54,100</w:t>
            </w:r>
          </w:p>
        </w:tc>
        <w:tc>
          <w:tcPr>
            <w:tcW w:w="1060" w:type="dxa"/>
            <w:tcBorders>
              <w:top w:val="single" w:sz="4" w:space="0" w:color="000000"/>
              <w:left w:val="nil"/>
              <w:bottom w:val="single" w:sz="4" w:space="0" w:color="000000"/>
              <w:right w:val="single" w:sz="4" w:space="0" w:color="auto"/>
            </w:tcBorders>
            <w:hideMark/>
          </w:tcPr>
          <w:p w14:paraId="1306215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-6,260</w:t>
            </w:r>
          </w:p>
        </w:tc>
      </w:tr>
      <w:tr w:rsidR="009123AC" w:rsidRPr="00F0379B" w14:paraId="798427D4"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46999026"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Aberdeen</w:t>
            </w:r>
          </w:p>
        </w:tc>
        <w:tc>
          <w:tcPr>
            <w:tcW w:w="971" w:type="dxa"/>
            <w:tcBorders>
              <w:top w:val="single" w:sz="4" w:space="0" w:color="000000"/>
              <w:left w:val="nil"/>
              <w:bottom w:val="single" w:sz="4" w:space="0" w:color="000000"/>
              <w:right w:val="nil"/>
            </w:tcBorders>
            <w:hideMark/>
          </w:tcPr>
          <w:p w14:paraId="0C3BD19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6DE4EBF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GBABD</w:t>
            </w:r>
          </w:p>
        </w:tc>
        <w:tc>
          <w:tcPr>
            <w:tcW w:w="923" w:type="dxa"/>
            <w:gridSpan w:val="2"/>
            <w:tcBorders>
              <w:top w:val="single" w:sz="4" w:space="0" w:color="000000"/>
              <w:left w:val="nil"/>
              <w:bottom w:val="single" w:sz="4" w:space="0" w:color="000000"/>
              <w:right w:val="nil"/>
            </w:tcBorders>
            <w:hideMark/>
          </w:tcPr>
          <w:p w14:paraId="023C651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57,143</w:t>
            </w:r>
          </w:p>
        </w:tc>
        <w:tc>
          <w:tcPr>
            <w:tcW w:w="1060" w:type="dxa"/>
            <w:tcBorders>
              <w:top w:val="single" w:sz="4" w:space="0" w:color="000000"/>
              <w:left w:val="nil"/>
              <w:bottom w:val="single" w:sz="4" w:space="0" w:color="000000"/>
              <w:right w:val="single" w:sz="4" w:space="0" w:color="auto"/>
            </w:tcBorders>
            <w:hideMark/>
          </w:tcPr>
          <w:p w14:paraId="61FE72B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-2,079</w:t>
            </w:r>
          </w:p>
        </w:tc>
      </w:tr>
      <w:tr w:rsidR="009123AC" w:rsidRPr="00F0379B" w14:paraId="287752E4"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5DF8F43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Buckie</w:t>
            </w:r>
          </w:p>
        </w:tc>
        <w:tc>
          <w:tcPr>
            <w:tcW w:w="971" w:type="dxa"/>
            <w:tcBorders>
              <w:top w:val="single" w:sz="4" w:space="0" w:color="000000"/>
              <w:left w:val="nil"/>
              <w:bottom w:val="single" w:sz="4" w:space="0" w:color="000000"/>
              <w:right w:val="nil"/>
            </w:tcBorders>
            <w:hideMark/>
          </w:tcPr>
          <w:p w14:paraId="32BCBF2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0DFE6D0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GBBUC</w:t>
            </w:r>
          </w:p>
        </w:tc>
        <w:tc>
          <w:tcPr>
            <w:tcW w:w="923" w:type="dxa"/>
            <w:gridSpan w:val="2"/>
            <w:tcBorders>
              <w:top w:val="single" w:sz="4" w:space="0" w:color="000000"/>
              <w:left w:val="nil"/>
              <w:bottom w:val="single" w:sz="4" w:space="0" w:color="000000"/>
              <w:right w:val="nil"/>
            </w:tcBorders>
            <w:hideMark/>
          </w:tcPr>
          <w:p w14:paraId="74AA477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57,681</w:t>
            </w:r>
          </w:p>
        </w:tc>
        <w:tc>
          <w:tcPr>
            <w:tcW w:w="1060" w:type="dxa"/>
            <w:tcBorders>
              <w:top w:val="single" w:sz="4" w:space="0" w:color="000000"/>
              <w:left w:val="nil"/>
              <w:bottom w:val="single" w:sz="4" w:space="0" w:color="000000"/>
              <w:right w:val="single" w:sz="4" w:space="0" w:color="auto"/>
            </w:tcBorders>
            <w:hideMark/>
          </w:tcPr>
          <w:p w14:paraId="43838AF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-2,957</w:t>
            </w:r>
          </w:p>
        </w:tc>
      </w:tr>
      <w:tr w:rsidR="009123AC" w:rsidRPr="00F0379B" w14:paraId="10154943"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04B3C5E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Campbeltown</w:t>
            </w:r>
            <w:proofErr w:type="spellEnd"/>
          </w:p>
        </w:tc>
        <w:tc>
          <w:tcPr>
            <w:tcW w:w="971" w:type="dxa"/>
            <w:tcBorders>
              <w:top w:val="single" w:sz="4" w:space="0" w:color="000000"/>
              <w:left w:val="nil"/>
              <w:bottom w:val="single" w:sz="4" w:space="0" w:color="000000"/>
              <w:right w:val="nil"/>
            </w:tcBorders>
            <w:hideMark/>
          </w:tcPr>
          <w:p w14:paraId="7FBBF6E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68FCAAE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GBCBT</w:t>
            </w:r>
          </w:p>
        </w:tc>
        <w:tc>
          <w:tcPr>
            <w:tcW w:w="923" w:type="dxa"/>
            <w:gridSpan w:val="2"/>
            <w:tcBorders>
              <w:top w:val="single" w:sz="4" w:space="0" w:color="000000"/>
              <w:left w:val="nil"/>
              <w:bottom w:val="single" w:sz="4" w:space="0" w:color="000000"/>
              <w:right w:val="nil"/>
            </w:tcBorders>
            <w:hideMark/>
          </w:tcPr>
          <w:p w14:paraId="4036353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55,426</w:t>
            </w:r>
          </w:p>
        </w:tc>
        <w:tc>
          <w:tcPr>
            <w:tcW w:w="1060" w:type="dxa"/>
            <w:tcBorders>
              <w:top w:val="single" w:sz="4" w:space="0" w:color="000000"/>
              <w:left w:val="nil"/>
              <w:bottom w:val="single" w:sz="4" w:space="0" w:color="000000"/>
              <w:right w:val="single" w:sz="4" w:space="0" w:color="auto"/>
            </w:tcBorders>
            <w:hideMark/>
          </w:tcPr>
          <w:p w14:paraId="7AA4672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-5,600</w:t>
            </w:r>
          </w:p>
        </w:tc>
      </w:tr>
      <w:tr w:rsidR="009123AC" w:rsidRPr="00F0379B" w14:paraId="74F24B97"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1BA854F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Cullivoe</w:t>
            </w:r>
            <w:proofErr w:type="spellEnd"/>
          </w:p>
        </w:tc>
        <w:tc>
          <w:tcPr>
            <w:tcW w:w="971" w:type="dxa"/>
            <w:tcBorders>
              <w:top w:val="single" w:sz="4" w:space="0" w:color="000000"/>
              <w:left w:val="nil"/>
              <w:bottom w:val="single" w:sz="4" w:space="0" w:color="000000"/>
              <w:right w:val="nil"/>
            </w:tcBorders>
            <w:hideMark/>
          </w:tcPr>
          <w:p w14:paraId="23CFBE4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73C4698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GBCUV</w:t>
            </w:r>
          </w:p>
        </w:tc>
        <w:tc>
          <w:tcPr>
            <w:tcW w:w="923" w:type="dxa"/>
            <w:gridSpan w:val="2"/>
            <w:tcBorders>
              <w:top w:val="single" w:sz="4" w:space="0" w:color="000000"/>
              <w:left w:val="nil"/>
              <w:bottom w:val="single" w:sz="4" w:space="0" w:color="000000"/>
              <w:right w:val="nil"/>
            </w:tcBorders>
            <w:hideMark/>
          </w:tcPr>
          <w:p w14:paraId="5110A2C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60,700</w:t>
            </w:r>
          </w:p>
        </w:tc>
        <w:tc>
          <w:tcPr>
            <w:tcW w:w="1060" w:type="dxa"/>
            <w:tcBorders>
              <w:top w:val="single" w:sz="4" w:space="0" w:color="000000"/>
              <w:left w:val="nil"/>
              <w:bottom w:val="single" w:sz="4" w:space="0" w:color="000000"/>
              <w:right w:val="single" w:sz="4" w:space="0" w:color="auto"/>
            </w:tcBorders>
            <w:hideMark/>
          </w:tcPr>
          <w:p w14:paraId="064089C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-1,001</w:t>
            </w:r>
          </w:p>
        </w:tc>
      </w:tr>
      <w:tr w:rsidR="009123AC" w:rsidRPr="00F0379B" w14:paraId="191A7E8E"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0E4AD7D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Eyemouth</w:t>
            </w:r>
            <w:proofErr w:type="spellEnd"/>
          </w:p>
        </w:tc>
        <w:tc>
          <w:tcPr>
            <w:tcW w:w="971" w:type="dxa"/>
            <w:tcBorders>
              <w:top w:val="single" w:sz="4" w:space="0" w:color="000000"/>
              <w:left w:val="nil"/>
              <w:bottom w:val="single" w:sz="4" w:space="0" w:color="000000"/>
              <w:right w:val="nil"/>
            </w:tcBorders>
            <w:hideMark/>
          </w:tcPr>
          <w:p w14:paraId="68463F6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69FBEB8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GBEYM</w:t>
            </w:r>
          </w:p>
        </w:tc>
        <w:tc>
          <w:tcPr>
            <w:tcW w:w="923" w:type="dxa"/>
            <w:gridSpan w:val="2"/>
            <w:tcBorders>
              <w:top w:val="single" w:sz="4" w:space="0" w:color="000000"/>
              <w:left w:val="nil"/>
              <w:bottom w:val="single" w:sz="4" w:space="0" w:color="000000"/>
              <w:right w:val="nil"/>
            </w:tcBorders>
            <w:hideMark/>
          </w:tcPr>
          <w:p w14:paraId="0088477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55,873</w:t>
            </w:r>
          </w:p>
        </w:tc>
        <w:tc>
          <w:tcPr>
            <w:tcW w:w="1060" w:type="dxa"/>
            <w:tcBorders>
              <w:top w:val="single" w:sz="4" w:space="0" w:color="000000"/>
              <w:left w:val="nil"/>
              <w:bottom w:val="single" w:sz="4" w:space="0" w:color="000000"/>
              <w:right w:val="single" w:sz="4" w:space="0" w:color="auto"/>
            </w:tcBorders>
            <w:hideMark/>
          </w:tcPr>
          <w:p w14:paraId="072B099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-2,087</w:t>
            </w:r>
          </w:p>
        </w:tc>
      </w:tr>
      <w:tr w:rsidR="009123AC" w:rsidRPr="00F0379B" w14:paraId="278833D2"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2875D72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Fraserburgh</w:t>
            </w:r>
            <w:proofErr w:type="spellEnd"/>
          </w:p>
        </w:tc>
        <w:tc>
          <w:tcPr>
            <w:tcW w:w="971" w:type="dxa"/>
            <w:tcBorders>
              <w:top w:val="single" w:sz="4" w:space="0" w:color="000000"/>
              <w:left w:val="nil"/>
              <w:bottom w:val="single" w:sz="4" w:space="0" w:color="000000"/>
              <w:right w:val="nil"/>
            </w:tcBorders>
            <w:hideMark/>
          </w:tcPr>
          <w:p w14:paraId="4BCADE66"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40C2C33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GBFRB</w:t>
            </w:r>
          </w:p>
        </w:tc>
        <w:tc>
          <w:tcPr>
            <w:tcW w:w="923" w:type="dxa"/>
            <w:gridSpan w:val="2"/>
            <w:tcBorders>
              <w:top w:val="single" w:sz="4" w:space="0" w:color="000000"/>
              <w:left w:val="nil"/>
              <w:bottom w:val="single" w:sz="4" w:space="0" w:color="000000"/>
              <w:right w:val="nil"/>
            </w:tcBorders>
            <w:hideMark/>
          </w:tcPr>
          <w:p w14:paraId="0AC8C49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57,693</w:t>
            </w:r>
          </w:p>
        </w:tc>
        <w:tc>
          <w:tcPr>
            <w:tcW w:w="1060" w:type="dxa"/>
            <w:tcBorders>
              <w:top w:val="single" w:sz="4" w:space="0" w:color="000000"/>
              <w:left w:val="nil"/>
              <w:bottom w:val="single" w:sz="4" w:space="0" w:color="000000"/>
              <w:right w:val="single" w:sz="4" w:space="0" w:color="auto"/>
            </w:tcBorders>
            <w:hideMark/>
          </w:tcPr>
          <w:p w14:paraId="532AAEF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-2,000</w:t>
            </w:r>
          </w:p>
        </w:tc>
      </w:tr>
      <w:tr w:rsidR="009123AC" w:rsidRPr="00F0379B" w14:paraId="5F9823B3"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2F38C83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Kinlochbervie</w:t>
            </w:r>
            <w:proofErr w:type="spellEnd"/>
          </w:p>
        </w:tc>
        <w:tc>
          <w:tcPr>
            <w:tcW w:w="971" w:type="dxa"/>
            <w:tcBorders>
              <w:top w:val="single" w:sz="4" w:space="0" w:color="000000"/>
              <w:left w:val="nil"/>
              <w:bottom w:val="single" w:sz="4" w:space="0" w:color="000000"/>
              <w:right w:val="nil"/>
            </w:tcBorders>
            <w:hideMark/>
          </w:tcPr>
          <w:p w14:paraId="3064F5E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2C39E97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GBKBE</w:t>
            </w:r>
          </w:p>
        </w:tc>
        <w:tc>
          <w:tcPr>
            <w:tcW w:w="923" w:type="dxa"/>
            <w:gridSpan w:val="2"/>
            <w:tcBorders>
              <w:top w:val="single" w:sz="4" w:space="0" w:color="000000"/>
              <w:left w:val="nil"/>
              <w:bottom w:val="single" w:sz="4" w:space="0" w:color="000000"/>
              <w:right w:val="nil"/>
            </w:tcBorders>
            <w:hideMark/>
          </w:tcPr>
          <w:p w14:paraId="44BF736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58,457</w:t>
            </w:r>
          </w:p>
        </w:tc>
        <w:tc>
          <w:tcPr>
            <w:tcW w:w="1060" w:type="dxa"/>
            <w:tcBorders>
              <w:top w:val="single" w:sz="4" w:space="0" w:color="000000"/>
              <w:left w:val="nil"/>
              <w:bottom w:val="single" w:sz="4" w:space="0" w:color="000000"/>
              <w:right w:val="single" w:sz="4" w:space="0" w:color="auto"/>
            </w:tcBorders>
            <w:hideMark/>
          </w:tcPr>
          <w:p w14:paraId="7FBBB83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-5,049</w:t>
            </w:r>
          </w:p>
        </w:tc>
      </w:tr>
      <w:tr w:rsidR="009123AC" w:rsidRPr="00F0379B" w14:paraId="20954E6B"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6A9E698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Kirkwall</w:t>
            </w:r>
            <w:proofErr w:type="spellEnd"/>
          </w:p>
        </w:tc>
        <w:tc>
          <w:tcPr>
            <w:tcW w:w="971" w:type="dxa"/>
            <w:tcBorders>
              <w:top w:val="single" w:sz="4" w:space="0" w:color="000000"/>
              <w:left w:val="nil"/>
              <w:bottom w:val="single" w:sz="4" w:space="0" w:color="000000"/>
              <w:right w:val="nil"/>
            </w:tcBorders>
            <w:hideMark/>
          </w:tcPr>
          <w:p w14:paraId="5A44837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11754BD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GBKWL</w:t>
            </w:r>
          </w:p>
        </w:tc>
        <w:tc>
          <w:tcPr>
            <w:tcW w:w="923" w:type="dxa"/>
            <w:gridSpan w:val="2"/>
            <w:tcBorders>
              <w:top w:val="single" w:sz="4" w:space="0" w:color="000000"/>
              <w:left w:val="nil"/>
              <w:bottom w:val="single" w:sz="4" w:space="0" w:color="000000"/>
              <w:right w:val="nil"/>
            </w:tcBorders>
            <w:hideMark/>
          </w:tcPr>
          <w:p w14:paraId="5BEC6E5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58,987</w:t>
            </w:r>
          </w:p>
        </w:tc>
        <w:tc>
          <w:tcPr>
            <w:tcW w:w="1060" w:type="dxa"/>
            <w:tcBorders>
              <w:top w:val="single" w:sz="4" w:space="0" w:color="000000"/>
              <w:left w:val="nil"/>
              <w:bottom w:val="single" w:sz="4" w:space="0" w:color="000000"/>
              <w:right w:val="single" w:sz="4" w:space="0" w:color="auto"/>
            </w:tcBorders>
            <w:hideMark/>
          </w:tcPr>
          <w:p w14:paraId="185218F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-2,959</w:t>
            </w:r>
          </w:p>
        </w:tc>
      </w:tr>
      <w:tr w:rsidR="009123AC" w:rsidRPr="00F0379B" w14:paraId="39B3C04B"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1AEE34A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Lerwick</w:t>
            </w:r>
          </w:p>
        </w:tc>
        <w:tc>
          <w:tcPr>
            <w:tcW w:w="971" w:type="dxa"/>
            <w:tcBorders>
              <w:top w:val="single" w:sz="4" w:space="0" w:color="000000"/>
              <w:left w:val="nil"/>
              <w:bottom w:val="single" w:sz="4" w:space="0" w:color="000000"/>
              <w:right w:val="nil"/>
            </w:tcBorders>
            <w:hideMark/>
          </w:tcPr>
          <w:p w14:paraId="3F6736C6"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75AD1BA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GBLER</w:t>
            </w:r>
          </w:p>
        </w:tc>
        <w:tc>
          <w:tcPr>
            <w:tcW w:w="923" w:type="dxa"/>
            <w:gridSpan w:val="2"/>
            <w:tcBorders>
              <w:top w:val="single" w:sz="4" w:space="0" w:color="000000"/>
              <w:left w:val="nil"/>
              <w:bottom w:val="single" w:sz="4" w:space="0" w:color="000000"/>
              <w:right w:val="nil"/>
            </w:tcBorders>
            <w:hideMark/>
          </w:tcPr>
          <w:p w14:paraId="0D0B9C3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60,168</w:t>
            </w:r>
          </w:p>
        </w:tc>
        <w:tc>
          <w:tcPr>
            <w:tcW w:w="1060" w:type="dxa"/>
            <w:tcBorders>
              <w:top w:val="single" w:sz="4" w:space="0" w:color="000000"/>
              <w:left w:val="nil"/>
              <w:bottom w:val="single" w:sz="4" w:space="0" w:color="000000"/>
              <w:right w:val="single" w:sz="4" w:space="0" w:color="auto"/>
            </w:tcBorders>
            <w:hideMark/>
          </w:tcPr>
          <w:p w14:paraId="1174678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-1,152</w:t>
            </w:r>
          </w:p>
        </w:tc>
      </w:tr>
      <w:tr w:rsidR="009123AC" w:rsidRPr="00F0379B" w14:paraId="2081DA5F"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3FE4BD76"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Lochinver</w:t>
            </w:r>
            <w:proofErr w:type="spellEnd"/>
          </w:p>
        </w:tc>
        <w:tc>
          <w:tcPr>
            <w:tcW w:w="971" w:type="dxa"/>
            <w:tcBorders>
              <w:top w:val="single" w:sz="4" w:space="0" w:color="000000"/>
              <w:left w:val="nil"/>
              <w:bottom w:val="single" w:sz="4" w:space="0" w:color="000000"/>
              <w:right w:val="nil"/>
            </w:tcBorders>
            <w:hideMark/>
          </w:tcPr>
          <w:p w14:paraId="454524E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08A5348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GBLOV</w:t>
            </w:r>
          </w:p>
        </w:tc>
        <w:tc>
          <w:tcPr>
            <w:tcW w:w="923" w:type="dxa"/>
            <w:gridSpan w:val="2"/>
            <w:tcBorders>
              <w:top w:val="single" w:sz="4" w:space="0" w:color="000000"/>
              <w:left w:val="nil"/>
              <w:bottom w:val="single" w:sz="4" w:space="0" w:color="000000"/>
              <w:right w:val="nil"/>
            </w:tcBorders>
            <w:hideMark/>
          </w:tcPr>
          <w:p w14:paraId="44DD79A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58,148</w:t>
            </w:r>
          </w:p>
        </w:tc>
        <w:tc>
          <w:tcPr>
            <w:tcW w:w="1060" w:type="dxa"/>
            <w:tcBorders>
              <w:top w:val="single" w:sz="4" w:space="0" w:color="000000"/>
              <w:left w:val="nil"/>
              <w:bottom w:val="single" w:sz="4" w:space="0" w:color="000000"/>
              <w:right w:val="single" w:sz="4" w:space="0" w:color="auto"/>
            </w:tcBorders>
            <w:hideMark/>
          </w:tcPr>
          <w:p w14:paraId="7F92097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-5,247</w:t>
            </w:r>
          </w:p>
        </w:tc>
      </w:tr>
      <w:tr w:rsidR="009123AC" w:rsidRPr="00F0379B" w14:paraId="2D86383F"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30A3349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Mallaig</w:t>
            </w:r>
            <w:proofErr w:type="spellEnd"/>
          </w:p>
        </w:tc>
        <w:tc>
          <w:tcPr>
            <w:tcW w:w="971" w:type="dxa"/>
            <w:tcBorders>
              <w:top w:val="single" w:sz="4" w:space="0" w:color="000000"/>
              <w:left w:val="nil"/>
              <w:bottom w:val="single" w:sz="4" w:space="0" w:color="000000"/>
              <w:right w:val="nil"/>
            </w:tcBorders>
            <w:hideMark/>
          </w:tcPr>
          <w:p w14:paraId="0024988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16FB9A6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GBMLG</w:t>
            </w:r>
          </w:p>
        </w:tc>
        <w:tc>
          <w:tcPr>
            <w:tcW w:w="923" w:type="dxa"/>
            <w:gridSpan w:val="2"/>
            <w:tcBorders>
              <w:top w:val="single" w:sz="4" w:space="0" w:color="000000"/>
              <w:left w:val="nil"/>
              <w:bottom w:val="single" w:sz="4" w:space="0" w:color="000000"/>
              <w:right w:val="nil"/>
            </w:tcBorders>
            <w:hideMark/>
          </w:tcPr>
          <w:p w14:paraId="4D5F3FD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57,006</w:t>
            </w:r>
          </w:p>
        </w:tc>
        <w:tc>
          <w:tcPr>
            <w:tcW w:w="1060" w:type="dxa"/>
            <w:tcBorders>
              <w:top w:val="single" w:sz="4" w:space="0" w:color="000000"/>
              <w:left w:val="nil"/>
              <w:bottom w:val="single" w:sz="4" w:space="0" w:color="000000"/>
              <w:right w:val="single" w:sz="4" w:space="0" w:color="auto"/>
            </w:tcBorders>
            <w:hideMark/>
          </w:tcPr>
          <w:p w14:paraId="5A208B2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-5,825</w:t>
            </w:r>
          </w:p>
        </w:tc>
      </w:tr>
      <w:tr w:rsidR="009123AC" w:rsidRPr="00F0379B" w14:paraId="4EC670A5"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112898C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Oban</w:t>
            </w:r>
          </w:p>
        </w:tc>
        <w:tc>
          <w:tcPr>
            <w:tcW w:w="971" w:type="dxa"/>
            <w:tcBorders>
              <w:top w:val="single" w:sz="4" w:space="0" w:color="000000"/>
              <w:left w:val="nil"/>
              <w:bottom w:val="single" w:sz="4" w:space="0" w:color="000000"/>
              <w:right w:val="nil"/>
            </w:tcBorders>
            <w:hideMark/>
          </w:tcPr>
          <w:p w14:paraId="5D793C7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0F109F7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GBOBA</w:t>
            </w:r>
          </w:p>
        </w:tc>
        <w:tc>
          <w:tcPr>
            <w:tcW w:w="923" w:type="dxa"/>
            <w:gridSpan w:val="2"/>
            <w:tcBorders>
              <w:top w:val="single" w:sz="4" w:space="0" w:color="000000"/>
              <w:left w:val="nil"/>
              <w:bottom w:val="single" w:sz="4" w:space="0" w:color="000000"/>
              <w:right w:val="nil"/>
            </w:tcBorders>
            <w:hideMark/>
          </w:tcPr>
          <w:p w14:paraId="0BC20E4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56,414</w:t>
            </w:r>
          </w:p>
        </w:tc>
        <w:tc>
          <w:tcPr>
            <w:tcW w:w="1060" w:type="dxa"/>
            <w:tcBorders>
              <w:top w:val="single" w:sz="4" w:space="0" w:color="000000"/>
              <w:left w:val="nil"/>
              <w:bottom w:val="single" w:sz="4" w:space="0" w:color="000000"/>
              <w:right w:val="single" w:sz="4" w:space="0" w:color="auto"/>
            </w:tcBorders>
            <w:hideMark/>
          </w:tcPr>
          <w:p w14:paraId="2EAA1A7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-5,478</w:t>
            </w:r>
          </w:p>
        </w:tc>
      </w:tr>
      <w:tr w:rsidR="009123AC" w:rsidRPr="00F0379B" w14:paraId="5309BAB1"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2DDC37D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Peterhead</w:t>
            </w:r>
            <w:proofErr w:type="spellEnd"/>
          </w:p>
        </w:tc>
        <w:tc>
          <w:tcPr>
            <w:tcW w:w="971" w:type="dxa"/>
            <w:tcBorders>
              <w:top w:val="single" w:sz="4" w:space="0" w:color="000000"/>
              <w:left w:val="nil"/>
              <w:bottom w:val="single" w:sz="4" w:space="0" w:color="000000"/>
              <w:right w:val="nil"/>
            </w:tcBorders>
            <w:hideMark/>
          </w:tcPr>
          <w:p w14:paraId="745815E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724CA84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GBPHD</w:t>
            </w:r>
          </w:p>
        </w:tc>
        <w:tc>
          <w:tcPr>
            <w:tcW w:w="923" w:type="dxa"/>
            <w:gridSpan w:val="2"/>
            <w:tcBorders>
              <w:top w:val="single" w:sz="4" w:space="0" w:color="000000"/>
              <w:left w:val="nil"/>
              <w:bottom w:val="single" w:sz="4" w:space="0" w:color="000000"/>
              <w:right w:val="nil"/>
            </w:tcBorders>
            <w:hideMark/>
          </w:tcPr>
          <w:p w14:paraId="01E0FE6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57,498</w:t>
            </w:r>
          </w:p>
        </w:tc>
        <w:tc>
          <w:tcPr>
            <w:tcW w:w="1060" w:type="dxa"/>
            <w:tcBorders>
              <w:top w:val="single" w:sz="4" w:space="0" w:color="000000"/>
              <w:left w:val="nil"/>
              <w:bottom w:val="single" w:sz="4" w:space="0" w:color="000000"/>
              <w:right w:val="single" w:sz="4" w:space="0" w:color="auto"/>
            </w:tcBorders>
            <w:hideMark/>
          </w:tcPr>
          <w:p w14:paraId="2F8D192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-1,782</w:t>
            </w:r>
          </w:p>
        </w:tc>
      </w:tr>
      <w:tr w:rsidR="009123AC" w:rsidRPr="00F0379B" w14:paraId="03873E65"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374BEF8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Pittenweem</w:t>
            </w:r>
            <w:proofErr w:type="spellEnd"/>
          </w:p>
        </w:tc>
        <w:tc>
          <w:tcPr>
            <w:tcW w:w="971" w:type="dxa"/>
            <w:tcBorders>
              <w:top w:val="single" w:sz="4" w:space="0" w:color="000000"/>
              <w:left w:val="nil"/>
              <w:bottom w:val="single" w:sz="4" w:space="0" w:color="000000"/>
              <w:right w:val="nil"/>
            </w:tcBorders>
            <w:hideMark/>
          </w:tcPr>
          <w:p w14:paraId="77308546"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1B75C4F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GBPWM </w:t>
            </w:r>
          </w:p>
        </w:tc>
        <w:tc>
          <w:tcPr>
            <w:tcW w:w="923" w:type="dxa"/>
            <w:gridSpan w:val="2"/>
            <w:tcBorders>
              <w:top w:val="single" w:sz="4" w:space="0" w:color="000000"/>
              <w:left w:val="nil"/>
              <w:bottom w:val="single" w:sz="4" w:space="0" w:color="000000"/>
              <w:right w:val="nil"/>
            </w:tcBorders>
            <w:hideMark/>
          </w:tcPr>
          <w:p w14:paraId="10121F5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56,211</w:t>
            </w:r>
          </w:p>
        </w:tc>
        <w:tc>
          <w:tcPr>
            <w:tcW w:w="1060" w:type="dxa"/>
            <w:tcBorders>
              <w:top w:val="single" w:sz="4" w:space="0" w:color="000000"/>
              <w:left w:val="nil"/>
              <w:bottom w:val="single" w:sz="4" w:space="0" w:color="000000"/>
              <w:right w:val="single" w:sz="4" w:space="0" w:color="auto"/>
            </w:tcBorders>
            <w:hideMark/>
          </w:tcPr>
          <w:p w14:paraId="2249C7E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-2,727</w:t>
            </w:r>
          </w:p>
        </w:tc>
      </w:tr>
      <w:tr w:rsidR="009123AC" w:rsidRPr="00F0379B" w14:paraId="0654E624"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767148C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Portree</w:t>
            </w:r>
            <w:proofErr w:type="spellEnd"/>
          </w:p>
        </w:tc>
        <w:tc>
          <w:tcPr>
            <w:tcW w:w="971" w:type="dxa"/>
            <w:tcBorders>
              <w:top w:val="single" w:sz="4" w:space="0" w:color="000000"/>
              <w:left w:val="nil"/>
              <w:bottom w:val="single" w:sz="4" w:space="0" w:color="000000"/>
              <w:right w:val="nil"/>
            </w:tcBorders>
            <w:hideMark/>
          </w:tcPr>
          <w:p w14:paraId="730130C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0FB9880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GBPRT </w:t>
            </w:r>
          </w:p>
        </w:tc>
        <w:tc>
          <w:tcPr>
            <w:tcW w:w="923" w:type="dxa"/>
            <w:gridSpan w:val="2"/>
            <w:tcBorders>
              <w:top w:val="single" w:sz="4" w:space="0" w:color="000000"/>
              <w:left w:val="nil"/>
              <w:bottom w:val="single" w:sz="4" w:space="0" w:color="000000"/>
              <w:right w:val="nil"/>
            </w:tcBorders>
            <w:hideMark/>
          </w:tcPr>
          <w:p w14:paraId="5BA45BD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57,411</w:t>
            </w:r>
          </w:p>
        </w:tc>
        <w:tc>
          <w:tcPr>
            <w:tcW w:w="1060" w:type="dxa"/>
            <w:tcBorders>
              <w:top w:val="single" w:sz="4" w:space="0" w:color="000000"/>
              <w:left w:val="nil"/>
              <w:bottom w:val="single" w:sz="4" w:space="0" w:color="000000"/>
              <w:right w:val="single" w:sz="4" w:space="0" w:color="auto"/>
            </w:tcBorders>
            <w:hideMark/>
          </w:tcPr>
          <w:p w14:paraId="4B653FF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-6,190</w:t>
            </w:r>
          </w:p>
        </w:tc>
      </w:tr>
      <w:tr w:rsidR="009123AC" w:rsidRPr="00F0379B" w14:paraId="3057502D"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020DB80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Scalloway</w:t>
            </w:r>
            <w:proofErr w:type="spellEnd"/>
            <w:r w:rsidRPr="00F0379B">
              <w:rPr>
                <w:rFonts w:ascii="Cambria" w:eastAsia="MS Gothic" w:hAnsi="Cambria" w:cs="Times New Roman"/>
                <w:color w:val="000000"/>
                <w:sz w:val="20"/>
                <w:szCs w:val="24"/>
                <w:lang w:eastAsia="fr-FR" w:bidi="fr-FR"/>
              </w:rPr>
              <w:t xml:space="preserve"> </w:t>
            </w:r>
          </w:p>
        </w:tc>
        <w:tc>
          <w:tcPr>
            <w:tcW w:w="971" w:type="dxa"/>
            <w:tcBorders>
              <w:top w:val="single" w:sz="4" w:space="0" w:color="000000"/>
              <w:left w:val="nil"/>
              <w:bottom w:val="single" w:sz="4" w:space="0" w:color="000000"/>
              <w:right w:val="nil"/>
            </w:tcBorders>
            <w:hideMark/>
          </w:tcPr>
          <w:p w14:paraId="6359291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6E8B88E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GBSWY</w:t>
            </w:r>
          </w:p>
        </w:tc>
        <w:tc>
          <w:tcPr>
            <w:tcW w:w="923" w:type="dxa"/>
            <w:gridSpan w:val="2"/>
            <w:tcBorders>
              <w:top w:val="single" w:sz="4" w:space="0" w:color="000000"/>
              <w:left w:val="nil"/>
              <w:bottom w:val="single" w:sz="4" w:space="0" w:color="000000"/>
              <w:right w:val="nil"/>
            </w:tcBorders>
            <w:hideMark/>
          </w:tcPr>
          <w:p w14:paraId="7A0F829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60,135</w:t>
            </w:r>
          </w:p>
        </w:tc>
        <w:tc>
          <w:tcPr>
            <w:tcW w:w="1060" w:type="dxa"/>
            <w:tcBorders>
              <w:top w:val="single" w:sz="4" w:space="0" w:color="000000"/>
              <w:left w:val="nil"/>
              <w:bottom w:val="single" w:sz="4" w:space="0" w:color="000000"/>
              <w:right w:val="single" w:sz="4" w:space="0" w:color="auto"/>
            </w:tcBorders>
            <w:hideMark/>
          </w:tcPr>
          <w:p w14:paraId="4012E7E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-1,277</w:t>
            </w:r>
          </w:p>
        </w:tc>
      </w:tr>
      <w:tr w:rsidR="009123AC" w:rsidRPr="00F0379B" w14:paraId="0F4926E4"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20AB9E3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Scrabster</w:t>
            </w:r>
            <w:proofErr w:type="spellEnd"/>
          </w:p>
        </w:tc>
        <w:tc>
          <w:tcPr>
            <w:tcW w:w="971" w:type="dxa"/>
            <w:tcBorders>
              <w:top w:val="single" w:sz="4" w:space="0" w:color="000000"/>
              <w:left w:val="nil"/>
              <w:bottom w:val="single" w:sz="4" w:space="0" w:color="000000"/>
              <w:right w:val="nil"/>
            </w:tcBorders>
            <w:hideMark/>
          </w:tcPr>
          <w:p w14:paraId="72E1BC4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5902071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GBSCR</w:t>
            </w:r>
          </w:p>
        </w:tc>
        <w:tc>
          <w:tcPr>
            <w:tcW w:w="923" w:type="dxa"/>
            <w:gridSpan w:val="2"/>
            <w:tcBorders>
              <w:top w:val="single" w:sz="4" w:space="0" w:color="000000"/>
              <w:left w:val="nil"/>
              <w:bottom w:val="single" w:sz="4" w:space="0" w:color="000000"/>
              <w:right w:val="nil"/>
            </w:tcBorders>
            <w:hideMark/>
          </w:tcPr>
          <w:p w14:paraId="3DD7599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58,611</w:t>
            </w:r>
          </w:p>
        </w:tc>
        <w:tc>
          <w:tcPr>
            <w:tcW w:w="1060" w:type="dxa"/>
            <w:tcBorders>
              <w:top w:val="single" w:sz="4" w:space="0" w:color="000000"/>
              <w:left w:val="nil"/>
              <w:bottom w:val="single" w:sz="4" w:space="0" w:color="000000"/>
              <w:right w:val="single" w:sz="4" w:space="0" w:color="auto"/>
            </w:tcBorders>
            <w:hideMark/>
          </w:tcPr>
          <w:p w14:paraId="099409D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-3,544</w:t>
            </w:r>
          </w:p>
        </w:tc>
      </w:tr>
      <w:tr w:rsidR="009123AC" w:rsidRPr="00F0379B" w14:paraId="0D89130A"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0465A06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Stornoway</w:t>
            </w:r>
            <w:proofErr w:type="spellEnd"/>
          </w:p>
        </w:tc>
        <w:tc>
          <w:tcPr>
            <w:tcW w:w="971" w:type="dxa"/>
            <w:tcBorders>
              <w:top w:val="single" w:sz="4" w:space="0" w:color="000000"/>
              <w:left w:val="nil"/>
              <w:bottom w:val="single" w:sz="4" w:space="0" w:color="000000"/>
              <w:right w:val="nil"/>
            </w:tcBorders>
            <w:hideMark/>
          </w:tcPr>
          <w:p w14:paraId="49C6F29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7054A77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GBSTO</w:t>
            </w:r>
          </w:p>
        </w:tc>
        <w:tc>
          <w:tcPr>
            <w:tcW w:w="923" w:type="dxa"/>
            <w:gridSpan w:val="2"/>
            <w:tcBorders>
              <w:top w:val="single" w:sz="4" w:space="0" w:color="000000"/>
              <w:left w:val="nil"/>
              <w:bottom w:val="single" w:sz="4" w:space="0" w:color="000000"/>
              <w:right w:val="nil"/>
            </w:tcBorders>
            <w:hideMark/>
          </w:tcPr>
          <w:p w14:paraId="7AAAB8E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58,207</w:t>
            </w:r>
          </w:p>
        </w:tc>
        <w:tc>
          <w:tcPr>
            <w:tcW w:w="1060" w:type="dxa"/>
            <w:tcBorders>
              <w:top w:val="single" w:sz="4" w:space="0" w:color="000000"/>
              <w:left w:val="nil"/>
              <w:bottom w:val="single" w:sz="4" w:space="0" w:color="000000"/>
              <w:right w:val="single" w:sz="4" w:space="0" w:color="auto"/>
            </w:tcBorders>
            <w:hideMark/>
          </w:tcPr>
          <w:p w14:paraId="028398C9"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-6,384</w:t>
            </w:r>
          </w:p>
        </w:tc>
      </w:tr>
      <w:tr w:rsidR="009123AC" w:rsidRPr="00F0379B" w14:paraId="40D7169D"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5EAC2D1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Troon</w:t>
            </w:r>
            <w:proofErr w:type="spellEnd"/>
          </w:p>
        </w:tc>
        <w:tc>
          <w:tcPr>
            <w:tcW w:w="971" w:type="dxa"/>
            <w:tcBorders>
              <w:top w:val="single" w:sz="4" w:space="0" w:color="000000"/>
              <w:left w:val="nil"/>
              <w:bottom w:val="single" w:sz="4" w:space="0" w:color="000000"/>
              <w:right w:val="nil"/>
            </w:tcBorders>
            <w:hideMark/>
          </w:tcPr>
          <w:p w14:paraId="0E49CC2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4028D77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GBTRN</w:t>
            </w:r>
          </w:p>
        </w:tc>
        <w:tc>
          <w:tcPr>
            <w:tcW w:w="923" w:type="dxa"/>
            <w:gridSpan w:val="2"/>
            <w:tcBorders>
              <w:top w:val="single" w:sz="4" w:space="0" w:color="000000"/>
              <w:left w:val="nil"/>
              <w:bottom w:val="single" w:sz="4" w:space="0" w:color="000000"/>
              <w:right w:val="nil"/>
            </w:tcBorders>
            <w:hideMark/>
          </w:tcPr>
          <w:p w14:paraId="79DFDDE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55,548</w:t>
            </w:r>
          </w:p>
        </w:tc>
        <w:tc>
          <w:tcPr>
            <w:tcW w:w="1060" w:type="dxa"/>
            <w:tcBorders>
              <w:top w:val="single" w:sz="4" w:space="0" w:color="000000"/>
              <w:left w:val="nil"/>
              <w:bottom w:val="single" w:sz="4" w:space="0" w:color="000000"/>
              <w:right w:val="single" w:sz="4" w:space="0" w:color="auto"/>
            </w:tcBorders>
            <w:hideMark/>
          </w:tcPr>
          <w:p w14:paraId="1C4FEA2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-4,680</w:t>
            </w:r>
          </w:p>
        </w:tc>
      </w:tr>
      <w:tr w:rsidR="009123AC" w:rsidRPr="00F0379B" w14:paraId="46C207B5"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168B583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Ullapool</w:t>
            </w:r>
            <w:proofErr w:type="spellEnd"/>
          </w:p>
        </w:tc>
        <w:tc>
          <w:tcPr>
            <w:tcW w:w="971" w:type="dxa"/>
            <w:tcBorders>
              <w:top w:val="single" w:sz="4" w:space="0" w:color="000000"/>
              <w:left w:val="nil"/>
              <w:bottom w:val="single" w:sz="4" w:space="0" w:color="000000"/>
              <w:right w:val="nil"/>
            </w:tcBorders>
            <w:hideMark/>
          </w:tcPr>
          <w:p w14:paraId="7AC3B48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40F29A7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GBULL</w:t>
            </w:r>
          </w:p>
        </w:tc>
        <w:tc>
          <w:tcPr>
            <w:tcW w:w="923" w:type="dxa"/>
            <w:gridSpan w:val="2"/>
            <w:tcBorders>
              <w:top w:val="single" w:sz="4" w:space="0" w:color="000000"/>
              <w:left w:val="nil"/>
              <w:bottom w:val="single" w:sz="4" w:space="0" w:color="000000"/>
              <w:right w:val="nil"/>
            </w:tcBorders>
            <w:hideMark/>
          </w:tcPr>
          <w:p w14:paraId="361D33E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57,893</w:t>
            </w:r>
          </w:p>
        </w:tc>
        <w:tc>
          <w:tcPr>
            <w:tcW w:w="1060" w:type="dxa"/>
            <w:tcBorders>
              <w:top w:val="single" w:sz="4" w:space="0" w:color="000000"/>
              <w:left w:val="nil"/>
              <w:bottom w:val="single" w:sz="4" w:space="0" w:color="000000"/>
              <w:right w:val="single" w:sz="4" w:space="0" w:color="auto"/>
            </w:tcBorders>
            <w:hideMark/>
          </w:tcPr>
          <w:p w14:paraId="195E03B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-5,155</w:t>
            </w:r>
          </w:p>
        </w:tc>
      </w:tr>
      <w:tr w:rsidR="009123AC" w:rsidRPr="00F0379B" w14:paraId="2F017846"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1CAE7E6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Dundee</w:t>
            </w:r>
          </w:p>
        </w:tc>
        <w:tc>
          <w:tcPr>
            <w:tcW w:w="971" w:type="dxa"/>
            <w:tcBorders>
              <w:top w:val="single" w:sz="4" w:space="0" w:color="000000"/>
              <w:left w:val="nil"/>
              <w:bottom w:val="single" w:sz="4" w:space="0" w:color="000000"/>
              <w:right w:val="nil"/>
            </w:tcBorders>
            <w:hideMark/>
          </w:tcPr>
          <w:p w14:paraId="6D32F79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57528B4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GBDUN</w:t>
            </w:r>
          </w:p>
        </w:tc>
        <w:tc>
          <w:tcPr>
            <w:tcW w:w="923" w:type="dxa"/>
            <w:gridSpan w:val="2"/>
            <w:tcBorders>
              <w:top w:val="single" w:sz="4" w:space="0" w:color="000000"/>
              <w:left w:val="nil"/>
              <w:bottom w:val="single" w:sz="4" w:space="0" w:color="000000"/>
              <w:right w:val="nil"/>
            </w:tcBorders>
            <w:hideMark/>
          </w:tcPr>
          <w:p w14:paraId="14B691E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56,463</w:t>
            </w:r>
          </w:p>
        </w:tc>
        <w:tc>
          <w:tcPr>
            <w:tcW w:w="1060" w:type="dxa"/>
            <w:tcBorders>
              <w:top w:val="single" w:sz="4" w:space="0" w:color="000000"/>
              <w:left w:val="nil"/>
              <w:bottom w:val="single" w:sz="4" w:space="0" w:color="000000"/>
              <w:right w:val="single" w:sz="4" w:space="0" w:color="auto"/>
            </w:tcBorders>
            <w:hideMark/>
          </w:tcPr>
          <w:p w14:paraId="3B07A2E8"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-2,947</w:t>
            </w:r>
          </w:p>
        </w:tc>
      </w:tr>
      <w:tr w:rsidR="009123AC" w:rsidRPr="00F0379B" w14:paraId="06D57396"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666FCEA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Grangemouth</w:t>
            </w:r>
            <w:proofErr w:type="spellEnd"/>
          </w:p>
        </w:tc>
        <w:tc>
          <w:tcPr>
            <w:tcW w:w="971" w:type="dxa"/>
            <w:tcBorders>
              <w:top w:val="single" w:sz="4" w:space="0" w:color="000000"/>
              <w:left w:val="nil"/>
              <w:bottom w:val="single" w:sz="4" w:space="0" w:color="000000"/>
              <w:right w:val="nil"/>
            </w:tcBorders>
            <w:hideMark/>
          </w:tcPr>
          <w:p w14:paraId="6A5893F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63326C9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GBGRG</w:t>
            </w:r>
          </w:p>
        </w:tc>
        <w:tc>
          <w:tcPr>
            <w:tcW w:w="923" w:type="dxa"/>
            <w:gridSpan w:val="2"/>
            <w:tcBorders>
              <w:top w:val="single" w:sz="4" w:space="0" w:color="000000"/>
              <w:left w:val="nil"/>
              <w:bottom w:val="single" w:sz="4" w:space="0" w:color="000000"/>
              <w:right w:val="nil"/>
            </w:tcBorders>
            <w:hideMark/>
          </w:tcPr>
          <w:p w14:paraId="207D87B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56,029</w:t>
            </w:r>
          </w:p>
        </w:tc>
        <w:tc>
          <w:tcPr>
            <w:tcW w:w="1060" w:type="dxa"/>
            <w:tcBorders>
              <w:top w:val="single" w:sz="4" w:space="0" w:color="000000"/>
              <w:left w:val="nil"/>
              <w:bottom w:val="single" w:sz="4" w:space="0" w:color="000000"/>
              <w:right w:val="single" w:sz="4" w:space="0" w:color="auto"/>
            </w:tcBorders>
            <w:hideMark/>
          </w:tcPr>
          <w:p w14:paraId="0ACD738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-3,705</w:t>
            </w:r>
          </w:p>
        </w:tc>
      </w:tr>
      <w:tr w:rsidR="009123AC" w:rsidRPr="00F0379B" w14:paraId="2CF52A2F"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45BFF2CC"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Greenock</w:t>
            </w:r>
            <w:proofErr w:type="spellEnd"/>
          </w:p>
        </w:tc>
        <w:tc>
          <w:tcPr>
            <w:tcW w:w="971" w:type="dxa"/>
            <w:tcBorders>
              <w:top w:val="single" w:sz="4" w:space="0" w:color="000000"/>
              <w:left w:val="nil"/>
              <w:bottom w:val="single" w:sz="4" w:space="0" w:color="000000"/>
              <w:right w:val="nil"/>
            </w:tcBorders>
            <w:hideMark/>
          </w:tcPr>
          <w:p w14:paraId="6FD2438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7074FCC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GBGRK</w:t>
            </w:r>
          </w:p>
        </w:tc>
        <w:tc>
          <w:tcPr>
            <w:tcW w:w="923" w:type="dxa"/>
            <w:gridSpan w:val="2"/>
            <w:tcBorders>
              <w:top w:val="single" w:sz="4" w:space="0" w:color="000000"/>
              <w:left w:val="nil"/>
              <w:bottom w:val="single" w:sz="4" w:space="0" w:color="000000"/>
              <w:right w:val="nil"/>
            </w:tcBorders>
            <w:hideMark/>
          </w:tcPr>
          <w:p w14:paraId="5311AE9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55,948</w:t>
            </w:r>
          </w:p>
        </w:tc>
        <w:tc>
          <w:tcPr>
            <w:tcW w:w="1060" w:type="dxa"/>
            <w:tcBorders>
              <w:top w:val="single" w:sz="4" w:space="0" w:color="000000"/>
              <w:left w:val="nil"/>
              <w:bottom w:val="single" w:sz="4" w:space="0" w:color="000000"/>
              <w:right w:val="single" w:sz="4" w:space="0" w:color="auto"/>
            </w:tcBorders>
            <w:hideMark/>
          </w:tcPr>
          <w:p w14:paraId="6862AF8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-4,743</w:t>
            </w:r>
          </w:p>
        </w:tc>
      </w:tr>
      <w:tr w:rsidR="009123AC" w:rsidRPr="00F0379B" w14:paraId="3E7E59EB"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546019E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Invergordon</w:t>
            </w:r>
            <w:proofErr w:type="spellEnd"/>
          </w:p>
        </w:tc>
        <w:tc>
          <w:tcPr>
            <w:tcW w:w="971" w:type="dxa"/>
            <w:tcBorders>
              <w:top w:val="single" w:sz="4" w:space="0" w:color="000000"/>
              <w:left w:val="nil"/>
              <w:bottom w:val="single" w:sz="4" w:space="0" w:color="000000"/>
              <w:right w:val="nil"/>
            </w:tcBorders>
            <w:hideMark/>
          </w:tcPr>
          <w:p w14:paraId="05CD873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38C7E3A0"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GBIVG</w:t>
            </w:r>
          </w:p>
        </w:tc>
        <w:tc>
          <w:tcPr>
            <w:tcW w:w="923" w:type="dxa"/>
            <w:gridSpan w:val="2"/>
            <w:tcBorders>
              <w:top w:val="single" w:sz="4" w:space="0" w:color="000000"/>
              <w:left w:val="nil"/>
              <w:bottom w:val="single" w:sz="4" w:space="0" w:color="000000"/>
              <w:right w:val="nil"/>
            </w:tcBorders>
            <w:hideMark/>
          </w:tcPr>
          <w:p w14:paraId="67744AE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57,687</w:t>
            </w:r>
          </w:p>
        </w:tc>
        <w:tc>
          <w:tcPr>
            <w:tcW w:w="1060" w:type="dxa"/>
            <w:tcBorders>
              <w:top w:val="single" w:sz="4" w:space="0" w:color="000000"/>
              <w:left w:val="nil"/>
              <w:bottom w:val="single" w:sz="4" w:space="0" w:color="000000"/>
              <w:right w:val="single" w:sz="4" w:space="0" w:color="auto"/>
            </w:tcBorders>
            <w:hideMark/>
          </w:tcPr>
          <w:p w14:paraId="7369D78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-4,161</w:t>
            </w:r>
          </w:p>
        </w:tc>
      </w:tr>
      <w:tr w:rsidR="009123AC" w:rsidRPr="00F0379B" w14:paraId="7DF06BF6"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104C5A3A"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Leith</w:t>
            </w:r>
          </w:p>
        </w:tc>
        <w:tc>
          <w:tcPr>
            <w:tcW w:w="971" w:type="dxa"/>
            <w:tcBorders>
              <w:top w:val="single" w:sz="4" w:space="0" w:color="000000"/>
              <w:left w:val="nil"/>
              <w:bottom w:val="single" w:sz="4" w:space="0" w:color="000000"/>
              <w:right w:val="nil"/>
            </w:tcBorders>
            <w:hideMark/>
          </w:tcPr>
          <w:p w14:paraId="5C2E0BFB"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6D8E7CC4"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GBLEI</w:t>
            </w:r>
          </w:p>
        </w:tc>
        <w:tc>
          <w:tcPr>
            <w:tcW w:w="923" w:type="dxa"/>
            <w:gridSpan w:val="2"/>
            <w:tcBorders>
              <w:top w:val="single" w:sz="4" w:space="0" w:color="000000"/>
              <w:left w:val="nil"/>
              <w:bottom w:val="single" w:sz="4" w:space="0" w:color="000000"/>
              <w:right w:val="nil"/>
            </w:tcBorders>
            <w:hideMark/>
          </w:tcPr>
          <w:p w14:paraId="0E554A3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55,982</w:t>
            </w:r>
          </w:p>
        </w:tc>
        <w:tc>
          <w:tcPr>
            <w:tcW w:w="1060" w:type="dxa"/>
            <w:tcBorders>
              <w:top w:val="single" w:sz="4" w:space="0" w:color="000000"/>
              <w:left w:val="nil"/>
              <w:bottom w:val="single" w:sz="4" w:space="0" w:color="000000"/>
              <w:right w:val="single" w:sz="4" w:space="0" w:color="auto"/>
            </w:tcBorders>
            <w:hideMark/>
          </w:tcPr>
          <w:p w14:paraId="790CDFB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-3,171</w:t>
            </w:r>
          </w:p>
        </w:tc>
      </w:tr>
      <w:tr w:rsidR="009123AC" w:rsidRPr="00F0379B" w14:paraId="6236C593"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0B6ACAF6"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Leverburgh</w:t>
            </w:r>
            <w:proofErr w:type="spellEnd"/>
          </w:p>
        </w:tc>
        <w:tc>
          <w:tcPr>
            <w:tcW w:w="971" w:type="dxa"/>
            <w:tcBorders>
              <w:top w:val="single" w:sz="4" w:space="0" w:color="000000"/>
              <w:left w:val="nil"/>
              <w:bottom w:val="single" w:sz="4" w:space="0" w:color="000000"/>
              <w:right w:val="nil"/>
            </w:tcBorders>
            <w:hideMark/>
          </w:tcPr>
          <w:p w14:paraId="1AF8E5F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599AB062"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GBLVR            </w:t>
            </w:r>
          </w:p>
        </w:tc>
        <w:tc>
          <w:tcPr>
            <w:tcW w:w="923" w:type="dxa"/>
            <w:gridSpan w:val="2"/>
            <w:tcBorders>
              <w:top w:val="single" w:sz="4" w:space="0" w:color="000000"/>
              <w:left w:val="nil"/>
              <w:bottom w:val="single" w:sz="4" w:space="0" w:color="000000"/>
              <w:right w:val="nil"/>
            </w:tcBorders>
            <w:hideMark/>
          </w:tcPr>
          <w:p w14:paraId="1E6D8B47"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57,766</w:t>
            </w:r>
          </w:p>
        </w:tc>
        <w:tc>
          <w:tcPr>
            <w:tcW w:w="1060" w:type="dxa"/>
            <w:tcBorders>
              <w:top w:val="single" w:sz="4" w:space="0" w:color="000000"/>
              <w:left w:val="nil"/>
              <w:bottom w:val="single" w:sz="4" w:space="0" w:color="000000"/>
              <w:right w:val="single" w:sz="4" w:space="0" w:color="auto"/>
            </w:tcBorders>
            <w:hideMark/>
          </w:tcPr>
          <w:p w14:paraId="6B84D6F1"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-7,026</w:t>
            </w:r>
          </w:p>
        </w:tc>
      </w:tr>
      <w:tr w:rsidR="009123AC" w:rsidRPr="00F0379B" w14:paraId="45686348" w14:textId="77777777" w:rsidTr="00CA749B">
        <w:trPr>
          <w:trHeight w:val="219"/>
          <w:jc w:val="center"/>
        </w:trPr>
        <w:tc>
          <w:tcPr>
            <w:tcW w:w="2568" w:type="dxa"/>
            <w:tcBorders>
              <w:top w:val="single" w:sz="4" w:space="0" w:color="000000"/>
              <w:left w:val="single" w:sz="4" w:space="0" w:color="auto"/>
              <w:bottom w:val="single" w:sz="4" w:space="0" w:color="000000"/>
              <w:right w:val="nil"/>
            </w:tcBorders>
            <w:noWrap/>
            <w:hideMark/>
          </w:tcPr>
          <w:p w14:paraId="6A467323"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proofErr w:type="spellStart"/>
            <w:r w:rsidRPr="00F0379B">
              <w:rPr>
                <w:rFonts w:ascii="Cambria" w:eastAsia="MS Gothic" w:hAnsi="Cambria" w:cs="Times New Roman"/>
                <w:color w:val="000000"/>
                <w:sz w:val="20"/>
                <w:szCs w:val="24"/>
                <w:lang w:eastAsia="fr-FR" w:bidi="fr-FR"/>
              </w:rPr>
              <w:t>Methil</w:t>
            </w:r>
            <w:proofErr w:type="spellEnd"/>
          </w:p>
        </w:tc>
        <w:tc>
          <w:tcPr>
            <w:tcW w:w="971" w:type="dxa"/>
            <w:tcBorders>
              <w:top w:val="single" w:sz="4" w:space="0" w:color="000000"/>
              <w:left w:val="nil"/>
              <w:bottom w:val="single" w:sz="4" w:space="0" w:color="000000"/>
              <w:right w:val="nil"/>
            </w:tcBorders>
            <w:hideMark/>
          </w:tcPr>
          <w:p w14:paraId="2BBC04A5"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GB-SCT</w:t>
            </w:r>
          </w:p>
        </w:tc>
        <w:tc>
          <w:tcPr>
            <w:tcW w:w="2201" w:type="dxa"/>
            <w:tcBorders>
              <w:top w:val="single" w:sz="4" w:space="0" w:color="000000"/>
              <w:left w:val="nil"/>
              <w:bottom w:val="single" w:sz="4" w:space="0" w:color="000000"/>
              <w:right w:val="nil"/>
            </w:tcBorders>
            <w:hideMark/>
          </w:tcPr>
          <w:p w14:paraId="670AFC3D"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GBMTH</w:t>
            </w:r>
          </w:p>
        </w:tc>
        <w:tc>
          <w:tcPr>
            <w:tcW w:w="923" w:type="dxa"/>
            <w:gridSpan w:val="2"/>
            <w:tcBorders>
              <w:top w:val="single" w:sz="4" w:space="0" w:color="000000"/>
              <w:left w:val="nil"/>
              <w:bottom w:val="single" w:sz="4" w:space="0" w:color="000000"/>
              <w:right w:val="nil"/>
            </w:tcBorders>
            <w:hideMark/>
          </w:tcPr>
          <w:p w14:paraId="2B7BA93F"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56,184</w:t>
            </w:r>
          </w:p>
        </w:tc>
        <w:tc>
          <w:tcPr>
            <w:tcW w:w="1060" w:type="dxa"/>
            <w:tcBorders>
              <w:top w:val="single" w:sz="4" w:space="0" w:color="000000"/>
              <w:left w:val="nil"/>
              <w:bottom w:val="single" w:sz="4" w:space="0" w:color="000000"/>
              <w:right w:val="single" w:sz="4" w:space="0" w:color="auto"/>
            </w:tcBorders>
            <w:hideMark/>
          </w:tcPr>
          <w:p w14:paraId="42189DBE" w14:textId="77777777" w:rsidR="009123AC" w:rsidRPr="00F0379B" w:rsidRDefault="009123AC" w:rsidP="009123AC">
            <w:pPr>
              <w:spacing w:after="0" w:line="240" w:lineRule="auto"/>
              <w:rPr>
                <w:rFonts w:ascii="Cambria" w:eastAsia="Times New Roman"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-3,005</w:t>
            </w:r>
          </w:p>
        </w:tc>
      </w:tr>
    </w:tbl>
    <w:p w14:paraId="50B59227" w14:textId="77777777" w:rsidR="009123AC" w:rsidRPr="00F0379B" w:rsidRDefault="009123AC" w:rsidP="009123AC">
      <w:pPr>
        <w:tabs>
          <w:tab w:val="left" w:pos="142"/>
        </w:tabs>
        <w:spacing w:after="0" w:line="240" w:lineRule="auto"/>
        <w:jc w:val="both"/>
        <w:rPr>
          <w:rFonts w:ascii="Cambria" w:eastAsia="MS Gothic" w:hAnsi="Cambria" w:cs="Times New Roman"/>
          <w:color w:val="000000"/>
          <w:sz w:val="20"/>
          <w:szCs w:val="20"/>
          <w:lang w:eastAsia="fr-FR" w:bidi="fr-FR"/>
        </w:rPr>
      </w:pPr>
    </w:p>
    <w:p w14:paraId="60B4C991" w14:textId="77777777" w:rsidR="009123AC" w:rsidRPr="00F0379B" w:rsidRDefault="009123AC" w:rsidP="009123AC">
      <w:pPr>
        <w:tabs>
          <w:tab w:val="left" w:pos="142"/>
        </w:tabs>
        <w:spacing w:after="0" w:line="240" w:lineRule="auto"/>
        <w:rPr>
          <w:rFonts w:ascii="Cambria" w:eastAsia="MS Gothic" w:hAnsi="Cambria" w:cs="Times New Roman"/>
          <w:color w:val="000000"/>
          <w:sz w:val="20"/>
          <w:szCs w:val="20"/>
          <w:lang w:eastAsia="fr-FR" w:bidi="fr-FR"/>
        </w:rPr>
      </w:pPr>
    </w:p>
    <w:p w14:paraId="12A5B2FE"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79D082A7"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4F312C57"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2C7EE032"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1A6BA8CC"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2F374A4A"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7729CADA"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19580276"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606326AE"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56CFDBCB"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7F2FDAE0"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69ECC54C"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3B59F39D"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04E3A34F"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2BFCB5F0"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18DC806C"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5E37669B"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0E682B11"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4D48EE16"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01E2A3B4"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6EAEDE78"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459996A2"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3034AB21"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6F95E880"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65057CB2"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1E8D9ECB"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3A119B54"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5080A73A"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729C415F"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6F84C987"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54342F29"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7102201E"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79971223"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339FB0A4"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10485B06"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42D8A7AE" w14:textId="77777777" w:rsidR="009123AC" w:rsidRPr="00F0379B" w:rsidRDefault="009123AC" w:rsidP="009123AC">
      <w:pPr>
        <w:spacing w:after="0" w:line="240" w:lineRule="auto"/>
        <w:rPr>
          <w:rFonts w:ascii="Cambria" w:eastAsiaTheme="minorEastAsia" w:hAnsi="Cambria"/>
          <w:kern w:val="2"/>
          <w:sz w:val="20"/>
          <w:szCs w:val="20"/>
          <w:lang w:eastAsia="ja-JP"/>
          <w14:ligatures w14:val="standardContextual"/>
        </w:rPr>
      </w:pPr>
    </w:p>
    <w:p w14:paraId="4A39A033" w14:textId="5E69E4B3" w:rsidR="009123AC" w:rsidRPr="00F0379B" w:rsidRDefault="009123AC" w:rsidP="009123AC">
      <w:pPr>
        <w:widowControl w:val="0"/>
        <w:spacing w:after="0" w:line="240" w:lineRule="auto"/>
        <w:jc w:val="both"/>
        <w:rPr>
          <w:rFonts w:ascii="Cambria" w:eastAsia="PMingLiU" w:hAnsi="Cambria" w:cs="Times New Roman"/>
          <w:b/>
          <w:bCs/>
          <w:sz w:val="20"/>
          <w:szCs w:val="20"/>
          <w:lang w:val="it-IT" w:eastAsia="fr-FR" w:bidi="fr-FR"/>
        </w:rPr>
      </w:pPr>
      <w:r w:rsidRPr="00F0379B">
        <w:rPr>
          <w:rFonts w:ascii="Cambria" w:eastAsia="MS Gothic" w:hAnsi="Cambria" w:cs="Times New Roman"/>
          <w:b/>
          <w:sz w:val="20"/>
          <w:szCs w:val="24"/>
          <w:lang w:val="it-IT" w:eastAsia="fr-FR" w:bidi="fr-FR"/>
        </w:rPr>
        <w:t>Taipei Chino</w:t>
      </w:r>
    </w:p>
    <w:p w14:paraId="1FC3B43F" w14:textId="77777777" w:rsidR="009123AC" w:rsidRPr="00F0379B" w:rsidRDefault="009123AC" w:rsidP="009123AC">
      <w:pPr>
        <w:widowControl w:val="0"/>
        <w:spacing w:after="0" w:line="240" w:lineRule="auto"/>
        <w:jc w:val="both"/>
        <w:rPr>
          <w:rFonts w:ascii="Cambria" w:eastAsia="MS Gothic" w:hAnsi="Cambria" w:cs="Times New Roman"/>
          <w:sz w:val="20"/>
          <w:szCs w:val="20"/>
          <w:lang w:val="it-IT" w:eastAsia="fr-FR" w:bidi="fr-FR"/>
        </w:rPr>
      </w:pPr>
    </w:p>
    <w:p w14:paraId="31E6A80F"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Año del plan de pesca: 2026</w:t>
      </w:r>
    </w:p>
    <w:p w14:paraId="78CA12C0"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7B3E3EA4" w14:textId="77777777" w:rsidR="009123AC" w:rsidRPr="00F0379B" w:rsidRDefault="009123AC" w:rsidP="009123AC">
      <w:pPr>
        <w:widowControl w:val="0"/>
        <w:tabs>
          <w:tab w:val="left" w:pos="426"/>
        </w:tabs>
        <w:spacing w:after="0" w:line="240" w:lineRule="auto"/>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 xml:space="preserve">1. </w:t>
      </w:r>
      <w:r w:rsidRPr="00F0379B">
        <w:rPr>
          <w:rFonts w:ascii="Cambria" w:eastAsia="MS Gothic" w:hAnsi="Cambria" w:cs="Times New Roman"/>
          <w:b/>
          <w:sz w:val="20"/>
          <w:szCs w:val="24"/>
          <w:lang w:eastAsia="fr-FR" w:bidi="fr-FR"/>
        </w:rPr>
        <w:tab/>
        <w:t xml:space="preserve">Detalles del plan anual de pesca para los buques de captura y las almadrabas </w:t>
      </w:r>
    </w:p>
    <w:p w14:paraId="1DF61330"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044AEACA" w14:textId="77777777" w:rsidR="009123AC" w:rsidRPr="00F0379B" w:rsidRDefault="009123AC" w:rsidP="009123AC">
      <w:pPr>
        <w:widowControl w:val="0"/>
        <w:spacing w:after="0" w:line="240" w:lineRule="auto"/>
        <w:jc w:val="both"/>
        <w:rPr>
          <w:rFonts w:ascii="Cambria" w:eastAsia="MS Gothic" w:hAnsi="Cambria" w:cs="Times New Roman"/>
          <w:b/>
          <w:bCs/>
          <w:i/>
          <w:iCs/>
          <w:sz w:val="20"/>
          <w:szCs w:val="20"/>
          <w:lang w:eastAsia="fr-FR" w:bidi="fr-FR"/>
        </w:rPr>
      </w:pPr>
      <w:r w:rsidRPr="00F0379B">
        <w:rPr>
          <w:rFonts w:ascii="Cambria" w:eastAsia="MS Gothic" w:hAnsi="Cambria" w:cs="Times New Roman"/>
          <w:b/>
          <w:i/>
          <w:sz w:val="20"/>
          <w:szCs w:val="24"/>
          <w:lang w:eastAsia="fr-FR" w:bidi="fr-FR"/>
        </w:rPr>
        <w:t>1 a) Presentación (párr. 12)</w:t>
      </w:r>
    </w:p>
    <w:p w14:paraId="491DEC66"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1C02D48E" w14:textId="77777777" w:rsidR="009123AC" w:rsidRPr="00F0379B" w:rsidRDefault="009123AC" w:rsidP="009123AC">
      <w:pPr>
        <w:widowControl w:val="0"/>
        <w:spacing w:after="0" w:line="240" w:lineRule="auto"/>
        <w:jc w:val="both"/>
        <w:rPr>
          <w:rFonts w:ascii="Cambria" w:eastAsia="PMingLiU" w:hAnsi="Cambria" w:cs="Times New Roman"/>
          <w:iCs/>
          <w:sz w:val="20"/>
          <w:szCs w:val="20"/>
          <w:lang w:eastAsia="fr-FR" w:bidi="fr-FR"/>
        </w:rPr>
      </w:pPr>
      <w:r w:rsidRPr="00F0379B">
        <w:rPr>
          <w:rFonts w:ascii="Cambria" w:eastAsia="MS Gothic" w:hAnsi="Cambria" w:cs="Times New Roman"/>
          <w:sz w:val="20"/>
          <w:szCs w:val="24"/>
          <w:lang w:eastAsia="fr-FR" w:bidi="fr-FR"/>
        </w:rPr>
        <w:t>La Agencia de pesca de Taipei Chino (TFA) ha completado el proceso legislativo para reanudar la pesquería de atún rojo del Atlántico este y Mediterráneo (BFT-E). Se autoriza a un palangrero atunero de gran escala de la flota palangrera atlántica existente de Taipei Chino</w:t>
      </w:r>
      <w:r w:rsidRPr="00F0379B">
        <w:rPr>
          <w:rFonts w:ascii="Cambria" w:eastAsia="PMingLiU" w:hAnsi="Cambria" w:cs="Times New Roman"/>
          <w:iCs/>
          <w:sz w:val="20"/>
          <w:szCs w:val="20"/>
          <w:vertAlign w:val="superscript"/>
          <w:lang w:val="en-US" w:eastAsia="zh-TW" w:bidi="fr-FR"/>
        </w:rPr>
        <w:footnoteReference w:id="34"/>
      </w:r>
      <w:r w:rsidRPr="00F0379B">
        <w:rPr>
          <w:rFonts w:ascii="Cambria" w:eastAsia="MS Gothic" w:hAnsi="Cambria" w:cs="Times New Roman"/>
          <w:sz w:val="20"/>
          <w:szCs w:val="24"/>
          <w:lang w:eastAsia="fr-FR" w:bidi="fr-FR"/>
        </w:rPr>
        <w:t xml:space="preserve"> a capturar y retener atún rojo del este en la temporada de pesca de 2026 (del 1 de agosto de 2026 al 31 de enero de 2027). La zona de pesca autorizada es la zona delimitada al oeste por 10°O y al norte por 42°N. Cualquier atún rojo del este capturado de manera fortuita por otros buques pesqueros deberá ser descartado/liberado inmediatamente.</w:t>
      </w:r>
    </w:p>
    <w:p w14:paraId="33A11AB6" w14:textId="77777777" w:rsidR="009123AC" w:rsidRPr="00F0379B" w:rsidRDefault="009123AC" w:rsidP="009123AC">
      <w:pPr>
        <w:widowControl w:val="0"/>
        <w:spacing w:after="0" w:line="240" w:lineRule="auto"/>
        <w:jc w:val="both"/>
        <w:rPr>
          <w:rFonts w:ascii="Cambria" w:eastAsia="PMingLiU" w:hAnsi="Cambria" w:cs="Times New Roman"/>
          <w:iCs/>
          <w:sz w:val="20"/>
          <w:szCs w:val="20"/>
          <w:lang w:eastAsia="zh-TW" w:bidi="fr-FR"/>
        </w:rPr>
      </w:pPr>
    </w:p>
    <w:p w14:paraId="468A8AC3" w14:textId="77777777" w:rsidR="009123AC" w:rsidRPr="00F0379B" w:rsidRDefault="009123AC" w:rsidP="009123AC">
      <w:pPr>
        <w:widowControl w:val="0"/>
        <w:spacing w:after="0" w:line="240" w:lineRule="auto"/>
        <w:jc w:val="both"/>
        <w:rPr>
          <w:rFonts w:ascii="Cambria" w:eastAsia="PMingLiU" w:hAnsi="Cambria" w:cs="Times New Roman"/>
          <w:iCs/>
          <w:sz w:val="20"/>
          <w:szCs w:val="20"/>
          <w:lang w:eastAsia="fr-FR" w:bidi="fr-FR"/>
        </w:rPr>
      </w:pPr>
      <w:r w:rsidRPr="00F0379B">
        <w:rPr>
          <w:rFonts w:ascii="Cambria" w:eastAsia="MS Gothic" w:hAnsi="Cambria" w:cs="Times New Roman"/>
          <w:sz w:val="20"/>
          <w:szCs w:val="24"/>
          <w:lang w:eastAsia="fr-FR" w:bidi="fr-FR"/>
        </w:rPr>
        <w:t xml:space="preserve">La cuota ajustada para la temporada de pesca de 2026 será de 71,2 t = 101 t de cuota inicial - 50 t transferidas a Corea (Rep.) + 20,2 t de traspaso de 2025 a 2026, de conformidad con el párr. 6 de la Rec. 25-04 y sujeto a la aprobación de la Subcomisión 2. </w:t>
      </w:r>
    </w:p>
    <w:p w14:paraId="4BFA4217" w14:textId="77777777" w:rsidR="009123AC" w:rsidRPr="00F0379B" w:rsidRDefault="009123AC" w:rsidP="009123AC">
      <w:pPr>
        <w:widowControl w:val="0"/>
        <w:spacing w:after="0" w:line="240" w:lineRule="auto"/>
        <w:jc w:val="both"/>
        <w:rPr>
          <w:rFonts w:ascii="Cambria" w:eastAsia="PMingLiU" w:hAnsi="Cambria" w:cs="Times New Roman"/>
          <w:iCs/>
          <w:sz w:val="20"/>
          <w:szCs w:val="20"/>
          <w:lang w:eastAsia="zh-TW" w:bidi="fr-FR"/>
        </w:rPr>
      </w:pPr>
    </w:p>
    <w:p w14:paraId="5AC651BB" w14:textId="77777777" w:rsidR="009123AC" w:rsidRPr="00F0379B" w:rsidRDefault="009123AC" w:rsidP="009123AC">
      <w:pPr>
        <w:widowControl w:val="0"/>
        <w:spacing w:after="0" w:line="240" w:lineRule="auto"/>
        <w:jc w:val="both"/>
        <w:rPr>
          <w:rFonts w:ascii="Cambria" w:eastAsia="PMingLiU" w:hAnsi="Cambria" w:cs="Times New Roman"/>
          <w:iCs/>
          <w:sz w:val="20"/>
          <w:szCs w:val="20"/>
          <w:lang w:eastAsia="fr-FR" w:bidi="fr-FR"/>
        </w:rPr>
      </w:pPr>
      <w:r w:rsidRPr="00F0379B">
        <w:rPr>
          <w:rFonts w:ascii="Cambria" w:eastAsia="MS Gothic" w:hAnsi="Cambria" w:cs="Times New Roman"/>
          <w:sz w:val="20"/>
          <w:szCs w:val="24"/>
          <w:lang w:eastAsia="fr-FR" w:bidi="fr-FR"/>
        </w:rPr>
        <w:t xml:space="preserve">De las 71,2 t, se reserva 1 t para la captura fortuita, que es suficiente teniendo en cuenta la mínima posibilidad de capturar de manera fortuita atún rojo del este en la zona del Convenio de ICCAT fuera de la zona de pesca autorizada mencionada anteriormente. Por lo tanto, la cuota disponible para la temporada de pesca de 2026 será de 70,2 t, que se asignarán en su totalidad al único palangrero autorizado para la pesca de atún rojo del este. </w:t>
      </w:r>
    </w:p>
    <w:p w14:paraId="053A69EC"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p>
    <w:p w14:paraId="2CFE474C" w14:textId="77777777" w:rsidR="009123AC" w:rsidRPr="00F0379B" w:rsidRDefault="009123AC" w:rsidP="009123AC">
      <w:pPr>
        <w:widowControl w:val="0"/>
        <w:spacing w:after="0" w:line="240" w:lineRule="auto"/>
        <w:jc w:val="both"/>
        <w:rPr>
          <w:rFonts w:ascii="Cambria" w:eastAsia="PMingLiU" w:hAnsi="Cambria" w:cs="Times New Roman"/>
          <w:iCs/>
          <w:sz w:val="20"/>
          <w:szCs w:val="20"/>
          <w:lang w:eastAsia="fr-FR" w:bidi="fr-FR"/>
        </w:rPr>
      </w:pPr>
      <w:r w:rsidRPr="00F0379B">
        <w:rPr>
          <w:rFonts w:ascii="Cambria" w:eastAsia="MS Gothic" w:hAnsi="Cambria" w:cs="Times New Roman"/>
          <w:sz w:val="20"/>
          <w:szCs w:val="24"/>
          <w:lang w:eastAsia="fr-FR" w:bidi="fr-FR"/>
        </w:rPr>
        <w:t>La Ley de pesca de aguas distantes (DWFA) y los Reglamentos para los buques pesqueros atuneros palangreros que pescan en el océano Atlántico (los Reglamentos del Atlántico) son las principales normas que regulan la actividad de los palangreros de Taipei Chino que operan en la zona del Convenio de ICCAT. Las medidas aplicables de ICCAT relativas a la pesquería de atún rojo del este se transponen a los Reglamentos del Atlántico. El palangrero autorizado a pescar atún rojo del este debe instalar un sistema operativo de seguimiento de buques (VMS) y transmitir su posición al Centro de seguimiento de la pesca (FMC) de Taipei Chino cada hora. Los datos y la información sobre las capturas de atún rojo del este se comunicarán diariamente a través del sistema de cuadernos de pesca electrónicos (ELB). El desembarque y transbordo de cualquier atún rojo del este solo se llevará a cabo en los tres puertos designados y cumplirá los requisitos pertinentes, como la presentación de las declaraciones requeridas dentro del plazo establecido.</w:t>
      </w:r>
    </w:p>
    <w:p w14:paraId="3201E9CE" w14:textId="77777777" w:rsidR="009123AC" w:rsidRPr="00F0379B" w:rsidRDefault="009123AC" w:rsidP="009123AC">
      <w:pPr>
        <w:widowControl w:val="0"/>
        <w:spacing w:after="0" w:line="240" w:lineRule="auto"/>
        <w:jc w:val="both"/>
        <w:rPr>
          <w:rFonts w:ascii="Cambria" w:eastAsia="PMingLiU" w:hAnsi="Cambria" w:cs="Times New Roman"/>
          <w:iCs/>
          <w:sz w:val="20"/>
          <w:szCs w:val="20"/>
          <w:lang w:eastAsia="zh-TW" w:bidi="fr-FR"/>
        </w:rPr>
      </w:pPr>
    </w:p>
    <w:p w14:paraId="0E734A59" w14:textId="77777777" w:rsidR="009123AC" w:rsidRPr="00F0379B" w:rsidRDefault="009123AC" w:rsidP="009123AC">
      <w:pPr>
        <w:widowControl w:val="0"/>
        <w:spacing w:after="0" w:line="240" w:lineRule="auto"/>
        <w:jc w:val="both"/>
        <w:rPr>
          <w:rFonts w:ascii="Cambria" w:eastAsia="PMingLiU" w:hAnsi="Cambria" w:cs="Times New Roman"/>
          <w:iCs/>
          <w:sz w:val="20"/>
          <w:szCs w:val="20"/>
          <w:lang w:eastAsia="fr-FR" w:bidi="fr-FR"/>
        </w:rPr>
      </w:pPr>
      <w:r w:rsidRPr="00F0379B">
        <w:rPr>
          <w:rFonts w:ascii="Cambria" w:eastAsia="MS Gothic" w:hAnsi="Cambria" w:cs="Times New Roman"/>
          <w:sz w:val="20"/>
          <w:szCs w:val="24"/>
          <w:lang w:eastAsia="fr-FR" w:bidi="fr-FR"/>
        </w:rPr>
        <w:t xml:space="preserve">La TFA garantiza la observancia de la cuota, incluida la cuota individual por buque, mediante el seguimiento de los datos de capturas/descartes comunicados diariamente a través del ELB. La TFA también garantizará una cobertura de observadores del 20 % para la temporada de pesca de 2026.       </w:t>
      </w:r>
    </w:p>
    <w:p w14:paraId="77F7E8E2" w14:textId="77777777" w:rsidR="009123AC" w:rsidRPr="00F0379B" w:rsidRDefault="009123AC" w:rsidP="009123AC">
      <w:pPr>
        <w:widowControl w:val="0"/>
        <w:spacing w:after="0" w:line="240" w:lineRule="auto"/>
        <w:jc w:val="both"/>
        <w:rPr>
          <w:rFonts w:ascii="Cambria" w:eastAsia="PMingLiU" w:hAnsi="Cambria" w:cs="Times New Roman"/>
          <w:sz w:val="20"/>
          <w:szCs w:val="20"/>
          <w:lang w:eastAsia="zh-TW" w:bidi="fr-FR"/>
        </w:rPr>
      </w:pPr>
    </w:p>
    <w:p w14:paraId="7CAE1AE9" w14:textId="77777777" w:rsidR="009123AC" w:rsidRPr="00F0379B" w:rsidRDefault="009123AC" w:rsidP="009123AC">
      <w:pPr>
        <w:widowControl w:val="0"/>
        <w:spacing w:after="0" w:line="240" w:lineRule="auto"/>
        <w:jc w:val="both"/>
        <w:rPr>
          <w:rFonts w:ascii="Cambria" w:eastAsia="MS Gothic" w:hAnsi="Cambria" w:cs="Times New Roman"/>
          <w:b/>
          <w:bCs/>
          <w:i/>
          <w:iCs/>
          <w:sz w:val="20"/>
          <w:szCs w:val="20"/>
          <w:lang w:eastAsia="fr-FR" w:bidi="fr-FR"/>
        </w:rPr>
      </w:pPr>
      <w:r w:rsidRPr="00F0379B">
        <w:rPr>
          <w:rFonts w:ascii="Cambria" w:eastAsia="MS Gothic" w:hAnsi="Cambria" w:cs="Times New Roman"/>
          <w:b/>
          <w:i/>
          <w:sz w:val="20"/>
          <w:szCs w:val="24"/>
          <w:lang w:eastAsia="fr-FR" w:bidi="fr-FR"/>
        </w:rPr>
        <w:t>1 b) Traspaso (párr. 6)</w:t>
      </w:r>
    </w:p>
    <w:p w14:paraId="3E4B63BE"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6D3E36AE" w14:textId="77777777" w:rsidR="009123AC" w:rsidRPr="00F0379B" w:rsidRDefault="009123AC" w:rsidP="009123AC">
      <w:pPr>
        <w:widowControl w:val="0"/>
        <w:spacing w:after="0" w:line="240" w:lineRule="auto"/>
        <w:jc w:val="both"/>
        <w:rPr>
          <w:rFonts w:ascii="Cambria" w:eastAsia="PMingLiU" w:hAnsi="Cambria" w:cs="Times New Roman"/>
          <w:iCs/>
          <w:sz w:val="20"/>
          <w:szCs w:val="20"/>
          <w:lang w:eastAsia="fr-FR" w:bidi="fr-FR"/>
        </w:rPr>
      </w:pPr>
      <w:r w:rsidRPr="00F0379B">
        <w:rPr>
          <w:rFonts w:ascii="Cambria" w:eastAsia="MS Gothic" w:hAnsi="Cambria" w:cs="Times New Roman"/>
          <w:sz w:val="20"/>
          <w:szCs w:val="24"/>
          <w:lang w:eastAsia="fr-FR" w:bidi="fr-FR"/>
        </w:rPr>
        <w:t xml:space="preserve">De conformidad con el párrafo 6 de la Rec. 25-04, Taipei Chino desea solicitar el traspaso del 20 % de su cuota inicial de 2025 a la temporada de pesca de 2026. </w:t>
      </w:r>
    </w:p>
    <w:p w14:paraId="06C49611" w14:textId="77777777" w:rsidR="009123AC" w:rsidRPr="00F0379B" w:rsidRDefault="009123AC" w:rsidP="009123AC">
      <w:pPr>
        <w:widowControl w:val="0"/>
        <w:spacing w:after="0" w:line="240" w:lineRule="auto"/>
        <w:jc w:val="both"/>
        <w:rPr>
          <w:rFonts w:ascii="Cambria" w:eastAsia="PMingLiU" w:hAnsi="Cambria" w:cs="Times New Roman"/>
          <w:iCs/>
          <w:sz w:val="20"/>
          <w:szCs w:val="20"/>
          <w:lang w:eastAsia="zh-TW" w:bidi="fr-FR"/>
        </w:rPr>
      </w:pPr>
    </w:p>
    <w:p w14:paraId="3EBDD089" w14:textId="77777777" w:rsidR="009123AC" w:rsidRPr="00F0379B" w:rsidRDefault="009123AC" w:rsidP="009123AC">
      <w:pPr>
        <w:widowControl w:val="0"/>
        <w:spacing w:after="0" w:line="240" w:lineRule="auto"/>
        <w:jc w:val="both"/>
        <w:rPr>
          <w:rFonts w:ascii="Cambria" w:eastAsia="PMingLiU" w:hAnsi="Cambria" w:cs="Times New Roman"/>
          <w:iCs/>
          <w:sz w:val="20"/>
          <w:szCs w:val="20"/>
          <w:lang w:eastAsia="fr-FR" w:bidi="fr-FR"/>
        </w:rPr>
      </w:pPr>
      <w:r w:rsidRPr="00F0379B">
        <w:rPr>
          <w:rFonts w:ascii="Cambria" w:eastAsia="MS Gothic" w:hAnsi="Cambria" w:cs="Times New Roman"/>
          <w:sz w:val="20"/>
          <w:szCs w:val="24"/>
          <w:lang w:eastAsia="fr-FR" w:bidi="fr-FR"/>
        </w:rPr>
        <w:t>La cuota no utilizada en 2025 es de 51 t (101 t de cuota inicial – 50 t transferidas a Corea (Rep.), sin registros de retención ni descartes de atún rojo del este por parte de los palangreros de Taipei Chino), lo que da como resultado un 50,5 % de remanente. Por lo tanto, se solicita que el 20 % de la cuota inicial de 2025, es decir, 20,2 t, se transfiera a la temporada de pesca de 2026.</w:t>
      </w:r>
    </w:p>
    <w:p w14:paraId="12F5E0C1"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7DBBFC70" w14:textId="77777777" w:rsidR="009123AC" w:rsidRPr="00F0379B" w:rsidRDefault="009123AC" w:rsidP="009123AC">
      <w:pPr>
        <w:widowControl w:val="0"/>
        <w:spacing w:after="0" w:line="240" w:lineRule="auto"/>
        <w:jc w:val="both"/>
        <w:rPr>
          <w:rFonts w:ascii="Cambria" w:eastAsia="MS Gothic" w:hAnsi="Cambria" w:cs="Times New Roman"/>
          <w:b/>
          <w:i/>
          <w:sz w:val="20"/>
          <w:szCs w:val="24"/>
          <w:lang w:eastAsia="fr-FR" w:bidi="fr-FR"/>
        </w:rPr>
      </w:pPr>
    </w:p>
    <w:p w14:paraId="2FD05AF6" w14:textId="77777777" w:rsidR="009123AC" w:rsidRPr="00F0379B" w:rsidRDefault="009123AC" w:rsidP="009123AC">
      <w:pPr>
        <w:widowControl w:val="0"/>
        <w:spacing w:after="0" w:line="240" w:lineRule="auto"/>
        <w:jc w:val="both"/>
        <w:rPr>
          <w:rFonts w:ascii="Cambria" w:eastAsia="MS Gothic" w:hAnsi="Cambria" w:cs="Times New Roman"/>
          <w:b/>
          <w:bCs/>
          <w:i/>
          <w:sz w:val="20"/>
          <w:szCs w:val="20"/>
          <w:lang w:eastAsia="fr-FR" w:bidi="fr-FR"/>
        </w:rPr>
      </w:pPr>
      <w:r w:rsidRPr="00F0379B">
        <w:rPr>
          <w:rFonts w:ascii="Cambria" w:eastAsia="MS Gothic" w:hAnsi="Cambria" w:cs="Times New Roman"/>
          <w:b/>
          <w:i/>
          <w:sz w:val="20"/>
          <w:szCs w:val="24"/>
          <w:lang w:eastAsia="fr-FR" w:bidi="fr-FR"/>
        </w:rPr>
        <w:t>1 c) Destino de la captura</w:t>
      </w:r>
    </w:p>
    <w:p w14:paraId="673E5606" w14:textId="77777777" w:rsidR="009123AC" w:rsidRPr="00F0379B" w:rsidRDefault="009123AC" w:rsidP="009123AC">
      <w:pPr>
        <w:widowControl w:val="0"/>
        <w:spacing w:after="0" w:line="240" w:lineRule="auto"/>
        <w:jc w:val="both"/>
        <w:rPr>
          <w:rFonts w:ascii="Cambria" w:eastAsia="MS Gothic" w:hAnsi="Cambria" w:cs="Times New Roman"/>
          <w:iCs/>
          <w:sz w:val="20"/>
          <w:szCs w:val="20"/>
          <w:lang w:eastAsia="fr-FR" w:bidi="fr-FR"/>
        </w:rPr>
      </w:pPr>
    </w:p>
    <w:p w14:paraId="5D770908" w14:textId="77777777" w:rsidR="009123AC" w:rsidRPr="00F0379B" w:rsidRDefault="009123AC" w:rsidP="009123AC">
      <w:pPr>
        <w:widowControl w:val="0"/>
        <w:spacing w:after="0" w:line="240" w:lineRule="auto"/>
        <w:jc w:val="both"/>
        <w:rPr>
          <w:rFonts w:ascii="Cambria" w:eastAsia="PMingLiU" w:hAnsi="Cambria" w:cs="Times New Roman"/>
          <w:iCs/>
          <w:sz w:val="20"/>
          <w:szCs w:val="20"/>
          <w:lang w:eastAsia="fr-FR" w:bidi="fr-FR"/>
        </w:rPr>
      </w:pPr>
      <w:r w:rsidRPr="00F0379B">
        <w:rPr>
          <w:rFonts w:ascii="Cambria" w:eastAsia="MS Gothic" w:hAnsi="Cambria" w:cs="Times New Roman"/>
          <w:sz w:val="20"/>
          <w:szCs w:val="24"/>
          <w:lang w:eastAsia="fr-FR" w:bidi="fr-FR"/>
        </w:rPr>
        <w:t>Cría: No</w:t>
      </w:r>
    </w:p>
    <w:p w14:paraId="3AA2647A" w14:textId="77777777" w:rsidR="009123AC" w:rsidRPr="00F0379B" w:rsidRDefault="009123AC" w:rsidP="009123AC">
      <w:pPr>
        <w:widowControl w:val="0"/>
        <w:spacing w:after="0" w:line="240" w:lineRule="auto"/>
        <w:jc w:val="both"/>
        <w:rPr>
          <w:rFonts w:ascii="Cambria" w:eastAsia="PMingLiU" w:hAnsi="Cambria" w:cs="Times New Roman"/>
          <w:iCs/>
          <w:sz w:val="20"/>
          <w:szCs w:val="20"/>
          <w:lang w:eastAsia="fr-FR" w:bidi="fr-FR"/>
        </w:rPr>
      </w:pPr>
      <w:r w:rsidRPr="00F0379B">
        <w:rPr>
          <w:rFonts w:ascii="Cambria" w:eastAsia="MS Gothic" w:hAnsi="Cambria" w:cs="Times New Roman"/>
          <w:sz w:val="20"/>
          <w:szCs w:val="24"/>
          <w:lang w:eastAsia="fr-FR" w:bidi="fr-FR"/>
        </w:rPr>
        <w:t>Desembarque: Sí</w:t>
      </w:r>
    </w:p>
    <w:p w14:paraId="02F57DBB" w14:textId="77777777" w:rsidR="009123AC" w:rsidRPr="00F0379B" w:rsidRDefault="009123AC" w:rsidP="009123AC">
      <w:pPr>
        <w:widowControl w:val="0"/>
        <w:spacing w:after="0" w:line="240" w:lineRule="auto"/>
        <w:jc w:val="both"/>
        <w:rPr>
          <w:rFonts w:ascii="Cambria" w:eastAsia="PMingLiU" w:hAnsi="Cambria" w:cs="Times New Roman"/>
          <w:i/>
          <w:sz w:val="20"/>
          <w:szCs w:val="20"/>
          <w:lang w:eastAsia="zh-TW" w:bidi="fr-FR"/>
        </w:rPr>
      </w:pPr>
    </w:p>
    <w:p w14:paraId="1EE52782"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r w:rsidRPr="00F0379B">
        <w:rPr>
          <w:rFonts w:ascii="Cambria" w:eastAsia="MS Gothic" w:hAnsi="Cambria" w:cs="Times New Roman"/>
          <w:b/>
          <w:bCs/>
          <w:i/>
          <w:iCs/>
          <w:sz w:val="20"/>
          <w:szCs w:val="24"/>
          <w:lang w:eastAsia="fr-FR" w:bidi="fr-FR"/>
        </w:rPr>
        <w:t xml:space="preserve">1 d) </w:t>
      </w:r>
    </w:p>
    <w:p w14:paraId="58295F06"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tbl>
      <w:tblPr>
        <w:tblStyle w:val="TableGrid"/>
        <w:tblpPr w:leftFromText="180" w:rightFromText="180" w:vertAnchor="text" w:tblpY="1"/>
        <w:tblOverlap w:val="never"/>
        <w:tblW w:w="0" w:type="auto"/>
        <w:tblLook w:val="04A0" w:firstRow="1" w:lastRow="0" w:firstColumn="1" w:lastColumn="0" w:noHBand="0" w:noVBand="1"/>
      </w:tblPr>
      <w:tblGrid>
        <w:gridCol w:w="453"/>
        <w:gridCol w:w="2489"/>
        <w:gridCol w:w="2181"/>
        <w:gridCol w:w="1885"/>
        <w:gridCol w:w="2052"/>
      </w:tblGrid>
      <w:tr w:rsidR="009123AC" w:rsidRPr="00F0379B" w14:paraId="713E7A21" w14:textId="77777777" w:rsidTr="00CA749B">
        <w:trPr>
          <w:tblHeader/>
        </w:trPr>
        <w:tc>
          <w:tcPr>
            <w:tcW w:w="453" w:type="dxa"/>
          </w:tcPr>
          <w:p w14:paraId="462F4DE2"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513" w:type="dxa"/>
            <w:vAlign w:val="center"/>
          </w:tcPr>
          <w:p w14:paraId="1FCBB5BD"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 xml:space="preserve">Requisito ICCAT </w:t>
            </w:r>
          </w:p>
          <w:p w14:paraId="6507D6F2"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 xml:space="preserve">(según </w:t>
            </w:r>
            <w:hyperlink r:id="rId243" w:history="1">
              <w:r w:rsidRPr="00F0379B">
                <w:rPr>
                  <w:rFonts w:ascii="Cambria" w:eastAsiaTheme="minorEastAsia" w:hAnsi="Cambria"/>
                  <w:i/>
                  <w:color w:val="0563C1"/>
                  <w:kern w:val="2"/>
                  <w:sz w:val="20"/>
                  <w:lang w:eastAsia="ja-JP"/>
                  <w14:ligatures w14:val="standardContextual"/>
                </w:rPr>
                <w:t>Rec. 25-04</w:t>
              </w:r>
            </w:hyperlink>
            <w:r w:rsidRPr="00F0379B">
              <w:rPr>
                <w:rFonts w:ascii="Cambria" w:eastAsiaTheme="minorEastAsia" w:hAnsi="Cambria"/>
                <w:i/>
                <w:kern w:val="2"/>
                <w:sz w:val="20"/>
                <w:lang w:eastAsia="ja-JP"/>
                <w14:ligatures w14:val="standardContextual"/>
              </w:rPr>
              <w:t>)</w:t>
            </w:r>
          </w:p>
        </w:tc>
        <w:tc>
          <w:tcPr>
            <w:tcW w:w="2111" w:type="dxa"/>
            <w:vAlign w:val="center"/>
          </w:tcPr>
          <w:p w14:paraId="78CDE019"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Explicación de las acciones emprendidas por la CPC con fines de implementación</w:t>
            </w:r>
          </w:p>
        </w:tc>
        <w:tc>
          <w:tcPr>
            <w:tcW w:w="1898" w:type="dxa"/>
            <w:vAlign w:val="center"/>
          </w:tcPr>
          <w:p w14:paraId="0D1B054A"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Leyes o reglamentos internos pertinentes (si procede)</w:t>
            </w:r>
          </w:p>
        </w:tc>
        <w:tc>
          <w:tcPr>
            <w:tcW w:w="2085" w:type="dxa"/>
            <w:vAlign w:val="center"/>
          </w:tcPr>
          <w:p w14:paraId="60A69211" w14:textId="77777777" w:rsidR="009123AC" w:rsidRPr="00F0379B" w:rsidRDefault="009123AC" w:rsidP="009123AC">
            <w:pPr>
              <w:widowControl w:val="0"/>
              <w:spacing w:line="240" w:lineRule="auto"/>
              <w:jc w:val="center"/>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Nota</w:t>
            </w:r>
          </w:p>
        </w:tc>
      </w:tr>
      <w:tr w:rsidR="009123AC" w:rsidRPr="00F0379B" w14:paraId="35B2E451" w14:textId="77777777" w:rsidTr="00CA749B">
        <w:tc>
          <w:tcPr>
            <w:tcW w:w="453" w:type="dxa"/>
          </w:tcPr>
          <w:p w14:paraId="04E029AB"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1</w:t>
            </w:r>
          </w:p>
        </w:tc>
        <w:tc>
          <w:tcPr>
            <w:tcW w:w="2513" w:type="dxa"/>
          </w:tcPr>
          <w:p w14:paraId="26AB4B55"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Consignación y comunicación de la captura </w:t>
            </w:r>
          </w:p>
          <w:p w14:paraId="1475B6ED"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74-88)</w:t>
            </w:r>
          </w:p>
        </w:tc>
        <w:tc>
          <w:tcPr>
            <w:tcW w:w="2111" w:type="dxa"/>
          </w:tcPr>
          <w:p w14:paraId="02F75AAC" w14:textId="77777777" w:rsidR="009123AC" w:rsidRPr="00F0379B" w:rsidRDefault="009123AC" w:rsidP="00CE0EC8">
            <w:pPr>
              <w:widowControl w:val="0"/>
              <w:numPr>
                <w:ilvl w:val="0"/>
                <w:numId w:val="17"/>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Todos los palangreros que operen en la zona del Convenio de ICCAT comunicarán diariamente al FMC, a través del ELB, los datos/información relativos a las capturas, incluidas las capturas fortuitas. También es obligatorio llevar a bordo un cuaderno de pesca en papel.  </w:t>
            </w:r>
          </w:p>
          <w:p w14:paraId="665E3147" w14:textId="77777777" w:rsidR="009123AC" w:rsidRPr="00F0379B" w:rsidRDefault="009123AC" w:rsidP="00CE0EC8">
            <w:pPr>
              <w:widowControl w:val="0"/>
              <w:numPr>
                <w:ilvl w:val="0"/>
                <w:numId w:val="17"/>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La información que debe comunicarse incluye la fecha, la hora, la posición (latitud/longitud), el número y la cantidad de capturas, incluyendo el atún rojo del este retenido, descartado y liberado.</w:t>
            </w:r>
          </w:p>
          <w:p w14:paraId="469564DC" w14:textId="77777777" w:rsidR="009123AC" w:rsidRPr="00F0379B" w:rsidRDefault="009123AC" w:rsidP="00CE0EC8">
            <w:pPr>
              <w:widowControl w:val="0"/>
              <w:numPr>
                <w:ilvl w:val="0"/>
                <w:numId w:val="17"/>
              </w:numPr>
              <w:spacing w:line="240" w:lineRule="auto"/>
              <w:contextualSpacing/>
              <w:jc w:val="both"/>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Todos los peces muertos (retenidos o descartados) se descontarán de la cuota de Taipei Chino de 2026. </w:t>
            </w:r>
          </w:p>
        </w:tc>
        <w:tc>
          <w:tcPr>
            <w:tcW w:w="1898" w:type="dxa"/>
          </w:tcPr>
          <w:p w14:paraId="6C4B2443" w14:textId="77777777" w:rsidR="009123AC" w:rsidRPr="00F0379B" w:rsidRDefault="009123AC" w:rsidP="009123AC">
            <w:pPr>
              <w:widowControl w:val="0"/>
              <w:spacing w:line="240" w:lineRule="auto"/>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Artículos 38 y 40 de los Reglamentos del Atlántico</w:t>
            </w:r>
          </w:p>
        </w:tc>
        <w:tc>
          <w:tcPr>
            <w:tcW w:w="2085" w:type="dxa"/>
          </w:tcPr>
          <w:p w14:paraId="19BAFE1A" w14:textId="77777777" w:rsidR="009123AC" w:rsidRPr="00F0379B" w:rsidRDefault="009123AC" w:rsidP="009123AC">
            <w:pPr>
              <w:widowControl w:val="0"/>
              <w:spacing w:line="240" w:lineRule="auto"/>
              <w:rPr>
                <w:rFonts w:ascii="Cambria" w:eastAsia="PMingLiU" w:hAnsi="Cambria"/>
                <w:kern w:val="2"/>
                <w:sz w:val="20"/>
                <w:szCs w:val="20"/>
                <w:lang w:eastAsia="zh-TW"/>
                <w14:ligatures w14:val="standardContextual"/>
              </w:rPr>
            </w:pPr>
          </w:p>
        </w:tc>
      </w:tr>
      <w:tr w:rsidR="009123AC" w:rsidRPr="00F0379B" w14:paraId="52CFED3A" w14:textId="77777777" w:rsidTr="00CA749B">
        <w:tc>
          <w:tcPr>
            <w:tcW w:w="453" w:type="dxa"/>
          </w:tcPr>
          <w:p w14:paraId="2AEDCC19"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2</w:t>
            </w:r>
          </w:p>
        </w:tc>
        <w:tc>
          <w:tcPr>
            <w:tcW w:w="2513" w:type="dxa"/>
          </w:tcPr>
          <w:p w14:paraId="7FBB984B"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Temporadas de pesca abiertas </w:t>
            </w:r>
          </w:p>
          <w:p w14:paraId="5ACE84CF"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28-32)</w:t>
            </w:r>
          </w:p>
        </w:tc>
        <w:tc>
          <w:tcPr>
            <w:tcW w:w="2111" w:type="dxa"/>
          </w:tcPr>
          <w:p w14:paraId="3FC9D3F0" w14:textId="77777777" w:rsidR="009123AC" w:rsidRPr="00F0379B" w:rsidRDefault="009123AC" w:rsidP="009123AC">
            <w:pPr>
              <w:widowControl w:val="0"/>
              <w:spacing w:line="240" w:lineRule="auto"/>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1 de agosto de 2026 a 31 de enero de 2027</w:t>
            </w:r>
          </w:p>
        </w:tc>
        <w:tc>
          <w:tcPr>
            <w:tcW w:w="1898" w:type="dxa"/>
          </w:tcPr>
          <w:p w14:paraId="3CD476C1" w14:textId="77777777" w:rsidR="009123AC" w:rsidRPr="00F0379B" w:rsidRDefault="009123AC" w:rsidP="009123AC">
            <w:pPr>
              <w:widowControl w:val="0"/>
              <w:spacing w:line="240" w:lineRule="auto"/>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Artículo 4 de los Reglamentos del Atlántico</w:t>
            </w:r>
          </w:p>
        </w:tc>
        <w:tc>
          <w:tcPr>
            <w:tcW w:w="2085" w:type="dxa"/>
          </w:tcPr>
          <w:p w14:paraId="3DDC986A"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22868BF3" w14:textId="77777777" w:rsidTr="00CA749B">
        <w:tc>
          <w:tcPr>
            <w:tcW w:w="453" w:type="dxa"/>
          </w:tcPr>
          <w:p w14:paraId="0DCCB84B"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3</w:t>
            </w:r>
          </w:p>
        </w:tc>
        <w:tc>
          <w:tcPr>
            <w:tcW w:w="2513" w:type="dxa"/>
          </w:tcPr>
          <w:p w14:paraId="01C6D025"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Talla mínima</w:t>
            </w:r>
          </w:p>
          <w:p w14:paraId="432BC613"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33-35)</w:t>
            </w:r>
          </w:p>
        </w:tc>
        <w:tc>
          <w:tcPr>
            <w:tcW w:w="2111" w:type="dxa"/>
          </w:tcPr>
          <w:p w14:paraId="015AAE4F" w14:textId="77777777" w:rsidR="009123AC" w:rsidRPr="00F0379B" w:rsidRDefault="009123AC" w:rsidP="009123AC">
            <w:pPr>
              <w:widowControl w:val="0"/>
              <w:spacing w:line="240" w:lineRule="auto"/>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El atún rojo del este de menos de 30 kg o 115 cm de longitud a horquilla se descartará/liberará, y dicha cantidad se registrará en el cuaderno de pesca en papel y en el ELB. La cantidad de descartes muertos se descontará de la cuota de Taipei Chino de 2026.</w:t>
            </w:r>
          </w:p>
        </w:tc>
        <w:tc>
          <w:tcPr>
            <w:tcW w:w="1898" w:type="dxa"/>
          </w:tcPr>
          <w:p w14:paraId="0EDDCA4B" w14:textId="77777777" w:rsidR="009123AC" w:rsidRPr="00F0379B" w:rsidRDefault="009123AC" w:rsidP="009123AC">
            <w:pPr>
              <w:widowControl w:val="0"/>
              <w:spacing w:line="240" w:lineRule="auto"/>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Artículo 40 de los Reglamentos del Atlántico</w:t>
            </w:r>
          </w:p>
        </w:tc>
        <w:tc>
          <w:tcPr>
            <w:tcW w:w="2085" w:type="dxa"/>
          </w:tcPr>
          <w:p w14:paraId="6DA65E8F"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252E0800" w14:textId="77777777" w:rsidTr="00CA749B">
        <w:tc>
          <w:tcPr>
            <w:tcW w:w="453" w:type="dxa"/>
          </w:tcPr>
          <w:p w14:paraId="1EB3AC0A"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4</w:t>
            </w:r>
          </w:p>
        </w:tc>
        <w:tc>
          <w:tcPr>
            <w:tcW w:w="2513" w:type="dxa"/>
          </w:tcPr>
          <w:p w14:paraId="6DDBCF66"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Capturas fortuitas </w:t>
            </w:r>
          </w:p>
          <w:p w14:paraId="24B07F1B"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(párr. 37) </w:t>
            </w:r>
          </w:p>
        </w:tc>
        <w:tc>
          <w:tcPr>
            <w:tcW w:w="2111" w:type="dxa"/>
          </w:tcPr>
          <w:p w14:paraId="2208FCD0" w14:textId="77777777" w:rsidR="009123AC" w:rsidRPr="00F0379B" w:rsidRDefault="009123AC" w:rsidP="00CE0EC8">
            <w:pPr>
              <w:widowControl w:val="0"/>
              <w:numPr>
                <w:ilvl w:val="0"/>
                <w:numId w:val="89"/>
              </w:numPr>
              <w:spacing w:line="240" w:lineRule="auto"/>
              <w:contextualSpacing/>
              <w:jc w:val="both"/>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Solo un palangrero está autorizado a retener atún rojo del este. En el caso de los demás palangreros, toda captura fortuita de atún rojo del este se descartará o liberará inmediatamente. </w:t>
            </w:r>
          </w:p>
          <w:p w14:paraId="4DD76E69" w14:textId="77777777" w:rsidR="009123AC" w:rsidRPr="00F0379B" w:rsidRDefault="009123AC" w:rsidP="00CE0EC8">
            <w:pPr>
              <w:widowControl w:val="0"/>
              <w:numPr>
                <w:ilvl w:val="0"/>
                <w:numId w:val="89"/>
              </w:numPr>
              <w:spacing w:line="240" w:lineRule="auto"/>
              <w:contextualSpacing/>
              <w:jc w:val="both"/>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No hubo registros de captura fortuita en 2025. Aun así, Taipei Chino reserva una tonelada para la captura fortuita de atún rojo del este en la temporada de pesca de 2026.</w:t>
            </w:r>
          </w:p>
          <w:p w14:paraId="5CB38A7C" w14:textId="77777777" w:rsidR="009123AC" w:rsidRPr="00F0379B" w:rsidRDefault="009123AC" w:rsidP="00CE0EC8">
            <w:pPr>
              <w:widowControl w:val="0"/>
              <w:numPr>
                <w:ilvl w:val="0"/>
                <w:numId w:val="89"/>
              </w:numPr>
              <w:spacing w:line="240" w:lineRule="auto"/>
              <w:contextualSpacing/>
              <w:jc w:val="both"/>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La cantidad de captura fortuita descartada se descontará de la cuota de Taipei Chino.</w:t>
            </w:r>
          </w:p>
          <w:p w14:paraId="6ED496CD" w14:textId="77777777" w:rsidR="009123AC" w:rsidRPr="00F0379B" w:rsidRDefault="009123AC" w:rsidP="009123AC">
            <w:pPr>
              <w:widowControl w:val="0"/>
              <w:spacing w:line="240" w:lineRule="auto"/>
              <w:ind w:left="360"/>
              <w:contextualSpacing/>
              <w:rPr>
                <w:rFonts w:ascii="Cambria" w:eastAsia="PMingLiU" w:hAnsi="Cambria"/>
                <w:kern w:val="2"/>
                <w:sz w:val="20"/>
                <w:szCs w:val="20"/>
                <w:lang w:eastAsia="ja-JP"/>
                <w14:ligatures w14:val="standardContextual"/>
              </w:rPr>
            </w:pPr>
          </w:p>
        </w:tc>
        <w:tc>
          <w:tcPr>
            <w:tcW w:w="1898" w:type="dxa"/>
          </w:tcPr>
          <w:p w14:paraId="6CAA3BEB" w14:textId="77777777" w:rsidR="009123AC" w:rsidRPr="00F0379B" w:rsidRDefault="009123AC" w:rsidP="009123AC">
            <w:pPr>
              <w:widowControl w:val="0"/>
              <w:spacing w:line="240" w:lineRule="auto"/>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Artículo 40 de los Reglamentos del Atlántico</w:t>
            </w:r>
          </w:p>
        </w:tc>
        <w:tc>
          <w:tcPr>
            <w:tcW w:w="2085" w:type="dxa"/>
          </w:tcPr>
          <w:p w14:paraId="59C9938A"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655C11C5" w14:textId="77777777" w:rsidTr="00CA749B">
        <w:tc>
          <w:tcPr>
            <w:tcW w:w="453" w:type="dxa"/>
          </w:tcPr>
          <w:p w14:paraId="71F5ACEE"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5</w:t>
            </w:r>
          </w:p>
        </w:tc>
        <w:tc>
          <w:tcPr>
            <w:tcW w:w="2513" w:type="dxa"/>
          </w:tcPr>
          <w:p w14:paraId="78F82ADB"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Pesquerías deportivas y de recreo </w:t>
            </w:r>
          </w:p>
          <w:p w14:paraId="63911243"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38-46)</w:t>
            </w:r>
          </w:p>
        </w:tc>
        <w:tc>
          <w:tcPr>
            <w:tcW w:w="2111" w:type="dxa"/>
          </w:tcPr>
          <w:p w14:paraId="4F76742C" w14:textId="77777777" w:rsidR="009123AC" w:rsidRPr="00F0379B" w:rsidRDefault="009123AC" w:rsidP="009123AC">
            <w:pPr>
              <w:widowControl w:val="0"/>
              <w:spacing w:line="240" w:lineRule="auto"/>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No aplicable. Taipei Chino no tiene pesquerías deportivas o de recreo en la zona del Convenio de ICCAT.</w:t>
            </w:r>
          </w:p>
          <w:p w14:paraId="0E53A20A"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898" w:type="dxa"/>
          </w:tcPr>
          <w:p w14:paraId="397C1C3F"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No aplicable</w:t>
            </w:r>
          </w:p>
        </w:tc>
        <w:tc>
          <w:tcPr>
            <w:tcW w:w="2085" w:type="dxa"/>
          </w:tcPr>
          <w:p w14:paraId="695462B8"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6C1A7A8F" w14:textId="77777777" w:rsidTr="00CA749B">
        <w:tc>
          <w:tcPr>
            <w:tcW w:w="453" w:type="dxa"/>
          </w:tcPr>
          <w:p w14:paraId="1822A61C"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6</w:t>
            </w:r>
          </w:p>
        </w:tc>
        <w:tc>
          <w:tcPr>
            <w:tcW w:w="2513" w:type="dxa"/>
          </w:tcPr>
          <w:p w14:paraId="044B3719"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Transbordo</w:t>
            </w:r>
          </w:p>
          <w:p w14:paraId="548D7307"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(párrs. 89-94) </w:t>
            </w:r>
          </w:p>
        </w:tc>
        <w:tc>
          <w:tcPr>
            <w:tcW w:w="2111" w:type="dxa"/>
          </w:tcPr>
          <w:p w14:paraId="5182AF2E" w14:textId="77777777" w:rsidR="009123AC" w:rsidRPr="00F0379B" w:rsidRDefault="009123AC" w:rsidP="009123AC">
            <w:pPr>
              <w:widowControl w:val="0"/>
              <w:spacing w:line="240" w:lineRule="auto"/>
              <w:rPr>
                <w:rFonts w:ascii="Cambria" w:eastAsiaTheme="minorEastAsia" w:hAnsi="Cambria"/>
                <w:kern w:val="2"/>
                <w:sz w:val="20"/>
                <w:lang w:eastAsia="ja-JP"/>
                <w14:ligatures w14:val="standardContextual"/>
              </w:rPr>
            </w:pPr>
            <w:r w:rsidRPr="00F0379B">
              <w:rPr>
                <w:rFonts w:ascii="Cambria" w:eastAsiaTheme="minorEastAsia" w:hAnsi="Cambria"/>
                <w:kern w:val="2"/>
                <w:sz w:val="20"/>
                <w:lang w:eastAsia="ja-JP"/>
                <w14:ligatures w14:val="standardContextual"/>
              </w:rPr>
              <w:t>El palangrero autorizado a pescar atún rojo del este solo podrá desembarcar y/o transbordar las capturas de atún rojo del este en los puertos designados. No está permitido el transbordo en el mar de atún rojo del este.</w:t>
            </w:r>
          </w:p>
          <w:p w14:paraId="1D87572C" w14:textId="77777777" w:rsidR="009123AC" w:rsidRPr="00F0379B" w:rsidRDefault="009123AC" w:rsidP="009123AC">
            <w:pPr>
              <w:widowControl w:val="0"/>
              <w:spacing w:line="240" w:lineRule="auto"/>
              <w:rPr>
                <w:rFonts w:ascii="Cambria" w:eastAsia="PMingLiU" w:hAnsi="Cambria"/>
                <w:kern w:val="2"/>
                <w:sz w:val="20"/>
                <w:szCs w:val="20"/>
                <w:lang w:eastAsia="ja-JP"/>
                <w14:ligatures w14:val="standardContextual"/>
              </w:rPr>
            </w:pPr>
          </w:p>
        </w:tc>
        <w:tc>
          <w:tcPr>
            <w:tcW w:w="1898" w:type="dxa"/>
          </w:tcPr>
          <w:p w14:paraId="6C27F631" w14:textId="77777777" w:rsidR="009123AC" w:rsidRPr="00F0379B" w:rsidRDefault="009123AC" w:rsidP="009123AC">
            <w:pPr>
              <w:widowControl w:val="0"/>
              <w:spacing w:line="240" w:lineRule="auto"/>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Artículos 50 y 57 de los Reglamentos del Atlántico</w:t>
            </w:r>
          </w:p>
        </w:tc>
        <w:tc>
          <w:tcPr>
            <w:tcW w:w="2085" w:type="dxa"/>
          </w:tcPr>
          <w:p w14:paraId="541CB361"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2F1C2DF2" w14:textId="77777777" w:rsidTr="00CA749B">
        <w:tc>
          <w:tcPr>
            <w:tcW w:w="453" w:type="dxa"/>
          </w:tcPr>
          <w:p w14:paraId="4EDCB67C"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7</w:t>
            </w:r>
          </w:p>
        </w:tc>
        <w:tc>
          <w:tcPr>
            <w:tcW w:w="2513" w:type="dxa"/>
          </w:tcPr>
          <w:p w14:paraId="04519AAD"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VMS </w:t>
            </w:r>
          </w:p>
          <w:p w14:paraId="49A79A57"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222-228)</w:t>
            </w:r>
          </w:p>
        </w:tc>
        <w:tc>
          <w:tcPr>
            <w:tcW w:w="2111" w:type="dxa"/>
          </w:tcPr>
          <w:p w14:paraId="3DD8DDFD" w14:textId="77777777" w:rsidR="009123AC" w:rsidRPr="00F0379B" w:rsidRDefault="009123AC" w:rsidP="009123AC">
            <w:pPr>
              <w:widowControl w:val="0"/>
              <w:spacing w:line="240" w:lineRule="auto"/>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El palangrero autorizado a pescar atún rojo del este está equipado con un VMS funcional y debe transmitir su posición cada hora al FMC, que a su vez transmite dichos datos VMS a la Secretaría de ICCAT. </w:t>
            </w:r>
          </w:p>
        </w:tc>
        <w:tc>
          <w:tcPr>
            <w:tcW w:w="1898" w:type="dxa"/>
          </w:tcPr>
          <w:p w14:paraId="43C8F958" w14:textId="77777777" w:rsidR="009123AC" w:rsidRPr="00F0379B" w:rsidRDefault="009123AC" w:rsidP="009123AC">
            <w:pPr>
              <w:widowControl w:val="0"/>
              <w:spacing w:line="240" w:lineRule="auto"/>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Artículos 33 y 34 de los Reglamentos del Atlántico</w:t>
            </w:r>
          </w:p>
        </w:tc>
        <w:tc>
          <w:tcPr>
            <w:tcW w:w="2085" w:type="dxa"/>
          </w:tcPr>
          <w:p w14:paraId="101274E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18488314" w14:textId="77777777" w:rsidTr="00CA749B">
        <w:tc>
          <w:tcPr>
            <w:tcW w:w="453" w:type="dxa"/>
          </w:tcPr>
          <w:p w14:paraId="671B56D5"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8</w:t>
            </w:r>
          </w:p>
        </w:tc>
        <w:tc>
          <w:tcPr>
            <w:tcW w:w="2513" w:type="dxa"/>
          </w:tcPr>
          <w:p w14:paraId="1EDF12E1"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 xml:space="preserve">Programa de observadores de las CPC </w:t>
            </w:r>
          </w:p>
          <w:p w14:paraId="6EE411FC"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(párrs. 95-100)</w:t>
            </w:r>
          </w:p>
        </w:tc>
        <w:tc>
          <w:tcPr>
            <w:tcW w:w="2111" w:type="dxa"/>
          </w:tcPr>
          <w:p w14:paraId="3E92DEFE" w14:textId="77777777" w:rsidR="009123AC" w:rsidRPr="00F0379B" w:rsidRDefault="009123AC" w:rsidP="009123AC">
            <w:pPr>
              <w:widowControl w:val="0"/>
              <w:spacing w:line="240" w:lineRule="auto"/>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La TFA garantizará la cobertura por parte de observadores durante el 20 % del tiempo que el palangrero autorizado esté activo en la pesquería de atún rojo del este durante la temporada de pesca de 2026, de conformidad con el párrafo 96 de la Rec. 25-04.</w:t>
            </w:r>
          </w:p>
        </w:tc>
        <w:tc>
          <w:tcPr>
            <w:tcW w:w="1898" w:type="dxa"/>
          </w:tcPr>
          <w:p w14:paraId="23818639" w14:textId="77777777" w:rsidR="009123AC" w:rsidRPr="00F0379B" w:rsidRDefault="009123AC" w:rsidP="009123AC">
            <w:pPr>
              <w:widowControl w:val="0"/>
              <w:spacing w:line="240" w:lineRule="auto"/>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No aplicable</w:t>
            </w:r>
          </w:p>
        </w:tc>
        <w:tc>
          <w:tcPr>
            <w:tcW w:w="2085" w:type="dxa"/>
          </w:tcPr>
          <w:p w14:paraId="3B070B47"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309C7C15" w14:textId="77777777" w:rsidTr="00CA749B">
        <w:tc>
          <w:tcPr>
            <w:tcW w:w="453" w:type="dxa"/>
          </w:tcPr>
          <w:p w14:paraId="30D95967"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9</w:t>
            </w:r>
          </w:p>
        </w:tc>
        <w:tc>
          <w:tcPr>
            <w:tcW w:w="2513" w:type="dxa"/>
          </w:tcPr>
          <w:p w14:paraId="1D4794AB" w14:textId="77777777" w:rsidR="009123AC" w:rsidRPr="00F0379B" w:rsidRDefault="009123AC" w:rsidP="009123AC">
            <w:pPr>
              <w:widowControl w:val="0"/>
              <w:spacing w:line="240" w:lineRule="auto"/>
              <w:rPr>
                <w:rFonts w:ascii="Cambria" w:eastAsiaTheme="minorEastAsia" w:hAnsi="Cambria"/>
                <w:b/>
                <w:kern w:val="2"/>
                <w:sz w:val="20"/>
                <w:szCs w:val="20"/>
                <w:lang w:val="pt-BR" w:eastAsia="ja-JP"/>
                <w14:ligatures w14:val="standardContextual"/>
              </w:rPr>
            </w:pPr>
            <w:r w:rsidRPr="00F0379B">
              <w:rPr>
                <w:rFonts w:ascii="Cambria" w:eastAsiaTheme="minorEastAsia" w:hAnsi="Cambria"/>
                <w:b/>
                <w:kern w:val="2"/>
                <w:sz w:val="20"/>
                <w:lang w:val="pt-BR" w:eastAsia="ja-JP"/>
                <w14:ligatures w14:val="standardContextual"/>
              </w:rPr>
              <w:t xml:space="preserve">Programa regional de observadores </w:t>
            </w:r>
          </w:p>
          <w:p w14:paraId="5E1F2C33" w14:textId="77777777" w:rsidR="009123AC" w:rsidRPr="00F0379B" w:rsidRDefault="009123AC" w:rsidP="009123AC">
            <w:pPr>
              <w:widowControl w:val="0"/>
              <w:spacing w:line="240" w:lineRule="auto"/>
              <w:rPr>
                <w:rFonts w:ascii="Cambria" w:eastAsiaTheme="minorEastAsia" w:hAnsi="Cambria"/>
                <w:b/>
                <w:kern w:val="2"/>
                <w:sz w:val="20"/>
                <w:szCs w:val="20"/>
                <w:lang w:eastAsia="ja-JP"/>
                <w14:ligatures w14:val="standardContextual"/>
              </w:rPr>
            </w:pPr>
            <w:r w:rsidRPr="00F0379B">
              <w:rPr>
                <w:rFonts w:ascii="Cambria" w:eastAsiaTheme="minorEastAsia" w:hAnsi="Cambria"/>
                <w:b/>
                <w:kern w:val="2"/>
                <w:sz w:val="20"/>
                <w:lang w:val="pt-BR" w:eastAsia="ja-JP"/>
                <w14:ligatures w14:val="standardContextual"/>
              </w:rPr>
              <w:t xml:space="preserve">(párrs. </w:t>
            </w:r>
            <w:r w:rsidRPr="00F0379B">
              <w:rPr>
                <w:rFonts w:ascii="Cambria" w:eastAsiaTheme="minorEastAsia" w:hAnsi="Cambria"/>
                <w:b/>
                <w:kern w:val="2"/>
                <w:sz w:val="20"/>
                <w:lang w:eastAsia="ja-JP"/>
                <w14:ligatures w14:val="standardContextual"/>
              </w:rPr>
              <w:t>101-107)</w:t>
            </w:r>
          </w:p>
        </w:tc>
        <w:tc>
          <w:tcPr>
            <w:tcW w:w="2111" w:type="dxa"/>
          </w:tcPr>
          <w:p w14:paraId="6CEF96B0" w14:textId="77777777" w:rsidR="009123AC" w:rsidRPr="00F0379B" w:rsidRDefault="009123AC" w:rsidP="009123AC">
            <w:pPr>
              <w:widowControl w:val="0"/>
              <w:spacing w:line="240" w:lineRule="auto"/>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No aplicable, ya que Taipei Chino no opera con cerqueros ni realiza actividades de cría en la pesquería de atún rojo en la zona del Convenio de ICCAT.</w:t>
            </w:r>
          </w:p>
        </w:tc>
        <w:tc>
          <w:tcPr>
            <w:tcW w:w="1898" w:type="dxa"/>
          </w:tcPr>
          <w:p w14:paraId="3E74C8EF" w14:textId="77777777" w:rsidR="009123AC" w:rsidRPr="00F0379B" w:rsidRDefault="009123AC" w:rsidP="009123AC">
            <w:pPr>
              <w:widowControl w:val="0"/>
              <w:spacing w:line="240" w:lineRule="auto"/>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No aplicable</w:t>
            </w:r>
          </w:p>
        </w:tc>
        <w:tc>
          <w:tcPr>
            <w:tcW w:w="2085" w:type="dxa"/>
          </w:tcPr>
          <w:p w14:paraId="214D615A"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78CAD047" w14:textId="77777777" w:rsidTr="00CA749B">
        <w:tc>
          <w:tcPr>
            <w:tcW w:w="453" w:type="dxa"/>
          </w:tcPr>
          <w:p w14:paraId="7E5108EB" w14:textId="77777777" w:rsidR="009123AC" w:rsidRPr="00F0379B" w:rsidRDefault="009123AC" w:rsidP="009123AC">
            <w:pPr>
              <w:widowControl w:val="0"/>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10</w:t>
            </w:r>
          </w:p>
        </w:tc>
        <w:tc>
          <w:tcPr>
            <w:tcW w:w="2513" w:type="dxa"/>
          </w:tcPr>
          <w:p w14:paraId="05D010AB" w14:textId="77777777" w:rsidR="009123AC" w:rsidRPr="00F0379B" w:rsidRDefault="009123AC" w:rsidP="009123AC">
            <w:pPr>
              <w:widowControl w:val="0"/>
              <w:spacing w:line="240" w:lineRule="auto"/>
              <w:rPr>
                <w:rFonts w:ascii="Cambria" w:eastAsiaTheme="minorEastAsia" w:hAnsi="Cambria"/>
                <w:b/>
                <w:bCs/>
                <w:iCs/>
                <w:kern w:val="2"/>
                <w:sz w:val="20"/>
                <w:szCs w:val="20"/>
                <w:lang w:eastAsia="ja-JP"/>
                <w14:ligatures w14:val="standardContextual"/>
              </w:rPr>
            </w:pPr>
            <w:r w:rsidRPr="00F0379B">
              <w:rPr>
                <w:rFonts w:ascii="Cambria" w:eastAsiaTheme="minorEastAsia" w:hAnsi="Cambria"/>
                <w:b/>
                <w:kern w:val="2"/>
                <w:sz w:val="20"/>
                <w:lang w:eastAsia="ja-JP"/>
                <w14:ligatures w14:val="standardContextual"/>
              </w:rPr>
              <w:t>Legislación nacional</w:t>
            </w:r>
          </w:p>
        </w:tc>
        <w:tc>
          <w:tcPr>
            <w:tcW w:w="2111" w:type="dxa"/>
          </w:tcPr>
          <w:p w14:paraId="1A1C15D0" w14:textId="77777777" w:rsidR="009123AC" w:rsidRPr="00F0379B" w:rsidRDefault="009123AC" w:rsidP="009123AC">
            <w:pPr>
              <w:widowControl w:val="0"/>
              <w:spacing w:line="240" w:lineRule="auto"/>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La TFA ha transpuesto las recomendaciones pertinentes de ICCAT, incluidas las medidas aplicables al atún rojo del este, a la normativa interna.  </w:t>
            </w:r>
          </w:p>
        </w:tc>
        <w:tc>
          <w:tcPr>
            <w:tcW w:w="1898" w:type="dxa"/>
          </w:tcPr>
          <w:p w14:paraId="427D8E0D" w14:textId="77777777" w:rsidR="009123AC" w:rsidRPr="00F0379B" w:rsidRDefault="009123AC" w:rsidP="009123AC">
            <w:pPr>
              <w:widowControl w:val="0"/>
              <w:spacing w:line="240" w:lineRule="auto"/>
              <w:rPr>
                <w:rFonts w:ascii="Cambria" w:eastAsia="PMingLiU" w:hAnsi="Cambria"/>
                <w:kern w:val="2"/>
                <w:sz w:val="20"/>
                <w:szCs w:val="20"/>
                <w:lang w:eastAsia="ja-JP"/>
                <w14:ligatures w14:val="standardContextual"/>
              </w:rPr>
            </w:pPr>
            <w:r w:rsidRPr="00F0379B">
              <w:rPr>
                <w:rFonts w:ascii="Cambria" w:eastAsiaTheme="minorEastAsia" w:hAnsi="Cambria"/>
                <w:kern w:val="2"/>
                <w:sz w:val="20"/>
                <w:lang w:eastAsia="ja-JP"/>
                <w14:ligatures w14:val="standardContextual"/>
              </w:rPr>
              <w:t xml:space="preserve">Reglamentos del Atlántico </w:t>
            </w:r>
          </w:p>
        </w:tc>
        <w:tc>
          <w:tcPr>
            <w:tcW w:w="2085" w:type="dxa"/>
          </w:tcPr>
          <w:p w14:paraId="65BF591E"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r w:rsidR="009123AC" w:rsidRPr="00F0379B" w14:paraId="0C2FF11D" w14:textId="77777777" w:rsidTr="00CA749B">
        <w:tc>
          <w:tcPr>
            <w:tcW w:w="453" w:type="dxa"/>
          </w:tcPr>
          <w:p w14:paraId="17A521B7"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p>
        </w:tc>
        <w:tc>
          <w:tcPr>
            <w:tcW w:w="2513" w:type="dxa"/>
          </w:tcPr>
          <w:p w14:paraId="350B2EF1"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Otros requisitos, como:</w:t>
            </w:r>
          </w:p>
          <w:p w14:paraId="091495A4"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 xml:space="preserve">programa de marcado </w:t>
            </w:r>
          </w:p>
          <w:p w14:paraId="75BD6FFE" w14:textId="77777777" w:rsidR="009123AC" w:rsidRPr="00F0379B" w:rsidRDefault="009123AC" w:rsidP="009123AC">
            <w:pPr>
              <w:widowControl w:val="0"/>
              <w:spacing w:line="240" w:lineRule="auto"/>
              <w:rPr>
                <w:rFonts w:ascii="Cambria" w:eastAsiaTheme="minorEastAsia" w:hAnsi="Cambria"/>
                <w:i/>
                <w:kern w:val="2"/>
                <w:sz w:val="20"/>
                <w:szCs w:val="20"/>
                <w:lang w:eastAsia="ja-JP"/>
                <w14:ligatures w14:val="standardContextual"/>
              </w:rPr>
            </w:pPr>
            <w:r w:rsidRPr="00F0379B">
              <w:rPr>
                <w:rFonts w:ascii="Cambria" w:eastAsiaTheme="minorEastAsia" w:hAnsi="Cambria"/>
                <w:i/>
                <w:kern w:val="2"/>
                <w:sz w:val="20"/>
                <w:lang w:eastAsia="ja-JP"/>
                <w14:ligatures w14:val="standardContextual"/>
              </w:rPr>
              <w:t>(párr. 44), etc.</w:t>
            </w:r>
          </w:p>
        </w:tc>
        <w:tc>
          <w:tcPr>
            <w:tcW w:w="2111" w:type="dxa"/>
          </w:tcPr>
          <w:p w14:paraId="7F7E650C"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1898" w:type="dxa"/>
          </w:tcPr>
          <w:p w14:paraId="2EF76E47"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c>
          <w:tcPr>
            <w:tcW w:w="2085" w:type="dxa"/>
          </w:tcPr>
          <w:p w14:paraId="654E6971" w14:textId="77777777" w:rsidR="009123AC" w:rsidRPr="00F0379B" w:rsidRDefault="009123AC" w:rsidP="009123AC">
            <w:pPr>
              <w:widowControl w:val="0"/>
              <w:spacing w:line="240" w:lineRule="auto"/>
              <w:rPr>
                <w:rFonts w:ascii="Cambria" w:eastAsiaTheme="minorEastAsia" w:hAnsi="Cambria"/>
                <w:kern w:val="2"/>
                <w:sz w:val="20"/>
                <w:szCs w:val="20"/>
                <w:lang w:eastAsia="ja-JP"/>
                <w14:ligatures w14:val="standardContextual"/>
              </w:rPr>
            </w:pPr>
          </w:p>
        </w:tc>
      </w:tr>
    </w:tbl>
    <w:p w14:paraId="2641AFF1"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p w14:paraId="41077230" w14:textId="77777777"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r w:rsidRPr="00F0379B">
        <w:rPr>
          <w:rFonts w:ascii="Cambria" w:eastAsia="MS Gothic" w:hAnsi="Cambria" w:cs="Times New Roman"/>
          <w:b/>
          <w:i/>
          <w:sz w:val="20"/>
          <w:szCs w:val="24"/>
          <w:lang w:eastAsia="fr-FR" w:bidi="fr-FR"/>
        </w:rPr>
        <w:t xml:space="preserve">1 e) Puertos designados (párr. 80) </w:t>
      </w:r>
    </w:p>
    <w:p w14:paraId="55B479C5" w14:textId="77777777" w:rsidR="009123AC" w:rsidRPr="00F0379B" w:rsidRDefault="009123AC" w:rsidP="009123AC">
      <w:pPr>
        <w:widowControl w:val="0"/>
        <w:spacing w:after="0" w:line="240" w:lineRule="auto"/>
        <w:rPr>
          <w:rFonts w:ascii="Cambria" w:eastAsia="MS Gothic" w:hAnsi="Cambria" w:cs="Times New Roman"/>
          <w:bCs/>
          <w:sz w:val="20"/>
          <w:szCs w:val="20"/>
          <w:lang w:eastAsia="ja-JP" w:bidi="fr-FR"/>
        </w:rPr>
      </w:pPr>
    </w:p>
    <w:p w14:paraId="07B06EB6" w14:textId="77777777" w:rsidR="009123AC" w:rsidRPr="00F0379B" w:rsidRDefault="009123AC" w:rsidP="009123AC">
      <w:pPr>
        <w:widowControl w:val="0"/>
        <w:spacing w:after="0" w:line="240" w:lineRule="auto"/>
        <w:rPr>
          <w:rFonts w:ascii="Cambria" w:eastAsia="PMingLiU" w:hAnsi="Cambria" w:cs="Times New Roman"/>
          <w:bCs/>
          <w:sz w:val="20"/>
          <w:szCs w:val="20"/>
          <w:lang w:eastAsia="fr-FR" w:bidi="fr-FR"/>
        </w:rPr>
      </w:pPr>
      <w:r w:rsidRPr="00F0379B">
        <w:rPr>
          <w:rFonts w:ascii="Cambria" w:eastAsia="MS Gothic" w:hAnsi="Cambria" w:cs="Times New Roman"/>
          <w:sz w:val="20"/>
          <w:szCs w:val="24"/>
          <w:lang w:eastAsia="fr-FR" w:bidi="fr-FR"/>
        </w:rPr>
        <w:t xml:space="preserve">El puerto interno para el transbordo y el desembarque es el puerto pesquero de </w:t>
      </w:r>
      <w:proofErr w:type="spellStart"/>
      <w:r w:rsidRPr="00F0379B">
        <w:rPr>
          <w:rFonts w:ascii="Cambria" w:eastAsia="MS Gothic" w:hAnsi="Cambria" w:cs="Times New Roman"/>
          <w:sz w:val="20"/>
          <w:szCs w:val="24"/>
          <w:lang w:eastAsia="fr-FR" w:bidi="fr-FR"/>
        </w:rPr>
        <w:t>Chienchen</w:t>
      </w:r>
      <w:proofErr w:type="spellEnd"/>
      <w:r w:rsidRPr="00F0379B">
        <w:rPr>
          <w:rFonts w:ascii="Cambria" w:eastAsia="MS Gothic" w:hAnsi="Cambria" w:cs="Times New Roman"/>
          <w:sz w:val="20"/>
          <w:szCs w:val="24"/>
          <w:lang w:eastAsia="fr-FR" w:bidi="fr-FR"/>
        </w:rPr>
        <w:t xml:space="preserve">. Los puertos de terceros para el transbordo y el desembarque son el puerto de </w:t>
      </w:r>
      <w:proofErr w:type="spellStart"/>
      <w:r w:rsidRPr="00F0379B">
        <w:rPr>
          <w:rFonts w:ascii="Cambria" w:eastAsia="MS Gothic" w:hAnsi="Cambria" w:cs="Times New Roman"/>
          <w:sz w:val="20"/>
          <w:szCs w:val="24"/>
          <w:lang w:eastAsia="fr-FR" w:bidi="fr-FR"/>
        </w:rPr>
        <w:t>Mindelo</w:t>
      </w:r>
      <w:proofErr w:type="spellEnd"/>
      <w:r w:rsidRPr="00F0379B">
        <w:rPr>
          <w:rFonts w:ascii="Cambria" w:eastAsia="MS Gothic" w:hAnsi="Cambria" w:cs="Times New Roman"/>
          <w:sz w:val="20"/>
          <w:szCs w:val="24"/>
          <w:lang w:eastAsia="fr-FR" w:bidi="fr-FR"/>
        </w:rPr>
        <w:t xml:space="preserve">, en Cabo Verde, y el puerto de Las Palmas, en España.   </w:t>
      </w:r>
    </w:p>
    <w:p w14:paraId="1693DE10" w14:textId="77777777" w:rsidR="009123AC" w:rsidRPr="00F0379B" w:rsidRDefault="009123AC" w:rsidP="009123AC">
      <w:pPr>
        <w:widowControl w:val="0"/>
        <w:spacing w:after="0" w:line="240" w:lineRule="auto"/>
        <w:rPr>
          <w:rFonts w:ascii="Cambria" w:eastAsia="MS Gothic" w:hAnsi="Cambria" w:cs="Times New Roman"/>
          <w:b/>
          <w:sz w:val="20"/>
          <w:szCs w:val="20"/>
          <w:lang w:eastAsia="ja-JP" w:bidi="fr-FR"/>
        </w:rPr>
      </w:pPr>
    </w:p>
    <w:p w14:paraId="41BACA27" w14:textId="77777777" w:rsidR="009123AC" w:rsidRPr="00F0379B" w:rsidRDefault="009123AC" w:rsidP="009123AC">
      <w:pPr>
        <w:widowControl w:val="0"/>
        <w:spacing w:after="0" w:line="240" w:lineRule="auto"/>
        <w:rPr>
          <w:rFonts w:ascii="Cambria" w:eastAsia="MS Gothic" w:hAnsi="Cambria" w:cs="Times New Roman"/>
          <w:b/>
          <w:sz w:val="20"/>
          <w:szCs w:val="20"/>
          <w:lang w:eastAsia="ja-JP" w:bidi="fr-FR"/>
        </w:rPr>
      </w:pPr>
    </w:p>
    <w:p w14:paraId="35EA18CE" w14:textId="77777777" w:rsidR="009123AC" w:rsidRPr="00F0379B" w:rsidRDefault="009123AC" w:rsidP="009123AC">
      <w:pPr>
        <w:spacing w:after="0" w:line="240" w:lineRule="auto"/>
        <w:rPr>
          <w:rFonts w:ascii="Cambria" w:eastAsia="MS Gothic" w:hAnsi="Cambria" w:cs="Times New Roman"/>
          <w:b/>
          <w:sz w:val="20"/>
          <w:szCs w:val="24"/>
          <w:lang w:eastAsia="fr-FR" w:bidi="fr-FR"/>
        </w:rPr>
      </w:pPr>
      <w:r w:rsidRPr="00F0379B">
        <w:rPr>
          <w:rFonts w:ascii="Cambria" w:eastAsia="MS Gothic" w:hAnsi="Cambria" w:cs="Times New Roman"/>
          <w:b/>
          <w:sz w:val="20"/>
          <w:szCs w:val="24"/>
          <w:lang w:eastAsia="fr-FR" w:bidi="fr-FR"/>
        </w:rPr>
        <w:br w:type="page"/>
      </w:r>
    </w:p>
    <w:p w14:paraId="70C65A1E" w14:textId="77777777" w:rsidR="009123AC" w:rsidRPr="00F0379B" w:rsidRDefault="009123AC" w:rsidP="009123AC">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2.</w:t>
      </w:r>
      <w:r w:rsidRPr="00F0379B">
        <w:rPr>
          <w:rFonts w:ascii="Cambria" w:eastAsia="MS Gothic" w:hAnsi="Cambria" w:cs="Times New Roman"/>
          <w:b/>
          <w:sz w:val="20"/>
          <w:szCs w:val="24"/>
          <w:lang w:eastAsia="fr-FR" w:bidi="fr-FR"/>
        </w:rPr>
        <w:tab/>
        <w:t>Plan anual de ordenación de la capacidad pesquera (párrs. 14-21)</w:t>
      </w:r>
    </w:p>
    <w:p w14:paraId="047C3573"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p>
    <w:p w14:paraId="2C1B3CB1" w14:textId="77777777" w:rsidR="009123AC" w:rsidRPr="00F0379B" w:rsidRDefault="009123AC" w:rsidP="009123AC">
      <w:pPr>
        <w:widowControl w:val="0"/>
        <w:spacing w:after="0" w:line="240" w:lineRule="auto"/>
        <w:jc w:val="both"/>
        <w:rPr>
          <w:rFonts w:ascii="Cambria" w:eastAsia="PMingLiU" w:hAnsi="Cambria" w:cs="Times New Roman"/>
          <w:iCs/>
          <w:sz w:val="20"/>
          <w:szCs w:val="20"/>
          <w:lang w:eastAsia="fr-FR" w:bidi="fr-FR"/>
        </w:rPr>
      </w:pPr>
      <w:r w:rsidRPr="00F0379B">
        <w:rPr>
          <w:rFonts w:ascii="Cambria" w:eastAsia="MS Gothic" w:hAnsi="Cambria" w:cs="Times New Roman"/>
          <w:sz w:val="20"/>
          <w:szCs w:val="24"/>
          <w:lang w:eastAsia="fr-FR" w:bidi="fr-FR"/>
        </w:rPr>
        <w:t xml:space="preserve">Se autoriza a un palangrero a participar en la pesquería de atún rojo del este. Véase la tabla de capacidad para obtener más información. </w:t>
      </w:r>
    </w:p>
    <w:p w14:paraId="2BF429D2" w14:textId="77777777" w:rsidR="009123AC" w:rsidRPr="00F0379B" w:rsidRDefault="009123AC" w:rsidP="009123AC">
      <w:pPr>
        <w:widowControl w:val="0"/>
        <w:spacing w:after="0" w:line="240" w:lineRule="auto"/>
        <w:jc w:val="both"/>
        <w:rPr>
          <w:rFonts w:ascii="Cambria" w:eastAsia="PMingLiU" w:hAnsi="Cambria" w:cs="Times New Roman"/>
          <w:i/>
          <w:sz w:val="20"/>
          <w:szCs w:val="20"/>
          <w:lang w:eastAsia="zh-TW" w:bidi="fr-FR"/>
        </w:rPr>
      </w:pPr>
    </w:p>
    <w:p w14:paraId="50F516C2" w14:textId="77777777" w:rsidR="009123AC" w:rsidRPr="00F0379B" w:rsidRDefault="009123AC" w:rsidP="009123AC">
      <w:pPr>
        <w:widowControl w:val="0"/>
        <w:spacing w:after="0" w:line="240" w:lineRule="auto"/>
        <w:jc w:val="both"/>
        <w:rPr>
          <w:rFonts w:ascii="Cambria" w:eastAsia="PMingLiU" w:hAnsi="Cambria" w:cs="Times New Roman"/>
          <w:i/>
          <w:sz w:val="20"/>
          <w:szCs w:val="20"/>
          <w:lang w:eastAsia="zh-TW" w:bidi="fr-FR"/>
        </w:rPr>
      </w:pPr>
    </w:p>
    <w:p w14:paraId="6576F687" w14:textId="77777777" w:rsidR="009123AC" w:rsidRPr="00F0379B" w:rsidRDefault="009123AC" w:rsidP="009123AC">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 xml:space="preserve">3.  </w:t>
      </w:r>
      <w:r w:rsidRPr="00F0379B">
        <w:rPr>
          <w:rFonts w:ascii="Cambria" w:eastAsia="MS Gothic" w:hAnsi="Cambria" w:cs="Times New Roman"/>
          <w:b/>
          <w:sz w:val="20"/>
          <w:szCs w:val="24"/>
          <w:lang w:eastAsia="fr-FR" w:bidi="fr-FR"/>
        </w:rPr>
        <w:tab/>
        <w:t>Plan anual de ordenación de la cría (párrs. 22-23), si es aplicable</w:t>
      </w:r>
    </w:p>
    <w:p w14:paraId="1FDC8205"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6974BFA6" w14:textId="77777777" w:rsidR="009123AC" w:rsidRPr="00F0379B" w:rsidRDefault="009123AC" w:rsidP="009123AC">
      <w:pPr>
        <w:widowControl w:val="0"/>
        <w:spacing w:after="0" w:line="240" w:lineRule="auto"/>
        <w:jc w:val="both"/>
        <w:rPr>
          <w:rFonts w:ascii="Cambria" w:eastAsia="PMingLiU" w:hAnsi="Cambria" w:cs="Times New Roman"/>
          <w:sz w:val="20"/>
          <w:szCs w:val="20"/>
          <w:lang w:eastAsia="fr-FR" w:bidi="fr-FR"/>
        </w:rPr>
      </w:pPr>
      <w:r w:rsidRPr="00F0379B">
        <w:rPr>
          <w:rFonts w:ascii="Cambria" w:eastAsia="MS Gothic" w:hAnsi="Cambria" w:cs="Times New Roman"/>
          <w:sz w:val="20"/>
          <w:szCs w:val="24"/>
          <w:lang w:eastAsia="fr-FR" w:bidi="fr-FR"/>
        </w:rPr>
        <w:t xml:space="preserve">No aplicable. </w:t>
      </w:r>
    </w:p>
    <w:p w14:paraId="3EE9283C"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11B952FA" w14:textId="77777777" w:rsidR="009123AC" w:rsidRPr="00F0379B" w:rsidRDefault="009123AC" w:rsidP="009123AC">
      <w:pPr>
        <w:widowControl w:val="0"/>
        <w:spacing w:after="0" w:line="240" w:lineRule="auto"/>
        <w:jc w:val="both"/>
        <w:rPr>
          <w:rFonts w:ascii="Cambria" w:eastAsia="MS Gothic" w:hAnsi="Cambria" w:cs="Times New Roman"/>
          <w:sz w:val="20"/>
          <w:szCs w:val="20"/>
          <w:lang w:eastAsia="fr-FR" w:bidi="fr-FR"/>
        </w:rPr>
      </w:pPr>
    </w:p>
    <w:p w14:paraId="0DB0F7BF" w14:textId="77777777" w:rsidR="009123AC" w:rsidRPr="00F0379B" w:rsidRDefault="009123AC" w:rsidP="009123AC">
      <w:pPr>
        <w:widowControl w:val="0"/>
        <w:tabs>
          <w:tab w:val="left" w:pos="426"/>
        </w:tabs>
        <w:spacing w:after="0" w:line="240" w:lineRule="auto"/>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 xml:space="preserve">4.  Plan de acuicultura anual (párr. 10e de la </w:t>
      </w:r>
      <w:hyperlink r:id="rId244" w:history="1">
        <w:r w:rsidRPr="00F0379B">
          <w:rPr>
            <w:rFonts w:ascii="Cambria" w:eastAsia="MS Gothic" w:hAnsi="Cambria" w:cs="Times New Roman"/>
            <w:b/>
            <w:color w:val="0563C1"/>
            <w:sz w:val="20"/>
            <w:szCs w:val="24"/>
            <w:lang w:eastAsia="fr-FR" w:bidi="fr-FR"/>
          </w:rPr>
          <w:t>Rec. 25-04</w:t>
        </w:r>
      </w:hyperlink>
      <w:r w:rsidRPr="00F0379B">
        <w:rPr>
          <w:rFonts w:ascii="Cambria" w:eastAsia="MS Gothic" w:hAnsi="Cambria" w:cs="Times New Roman"/>
          <w:b/>
          <w:sz w:val="20"/>
          <w:szCs w:val="24"/>
          <w:lang w:eastAsia="fr-FR" w:bidi="fr-FR"/>
        </w:rPr>
        <w:t xml:space="preserve"> de conformidad con la </w:t>
      </w:r>
      <w:hyperlink r:id="rId245" w:history="1">
        <w:r w:rsidRPr="00F0379B">
          <w:rPr>
            <w:rFonts w:ascii="Cambria" w:eastAsia="MS Gothic" w:hAnsi="Cambria" w:cs="Times New Roman"/>
            <w:b/>
            <w:color w:val="0563C1"/>
            <w:sz w:val="20"/>
            <w:szCs w:val="24"/>
            <w:lang w:eastAsia="fr-FR" w:bidi="fr-FR"/>
          </w:rPr>
          <w:t>Rec. 24-07</w:t>
        </w:r>
      </w:hyperlink>
      <w:r w:rsidRPr="00F0379B">
        <w:rPr>
          <w:rFonts w:ascii="Cambria" w:eastAsia="MS Gothic" w:hAnsi="Cambria" w:cs="Times New Roman"/>
          <w:b/>
          <w:sz w:val="20"/>
          <w:szCs w:val="24"/>
          <w:lang w:eastAsia="fr-FR" w:bidi="fr-FR"/>
        </w:rPr>
        <w:t>), si es aplicable</w:t>
      </w:r>
    </w:p>
    <w:p w14:paraId="591D1355"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4B7B7F84" w14:textId="77777777" w:rsidR="009123AC" w:rsidRPr="00F0379B" w:rsidRDefault="009123AC" w:rsidP="009123AC">
      <w:pPr>
        <w:widowControl w:val="0"/>
        <w:spacing w:after="0" w:line="240" w:lineRule="auto"/>
        <w:jc w:val="both"/>
        <w:rPr>
          <w:rFonts w:ascii="Cambria" w:eastAsia="PMingLiU" w:hAnsi="Cambria" w:cs="Times New Roman"/>
          <w:sz w:val="20"/>
          <w:szCs w:val="20"/>
          <w:lang w:eastAsia="fr-FR" w:bidi="fr-FR"/>
        </w:rPr>
      </w:pPr>
      <w:r w:rsidRPr="00F0379B">
        <w:rPr>
          <w:rFonts w:ascii="Cambria" w:eastAsia="MS Gothic" w:hAnsi="Cambria" w:cs="Times New Roman"/>
          <w:sz w:val="20"/>
          <w:szCs w:val="24"/>
          <w:lang w:eastAsia="fr-FR" w:bidi="fr-FR"/>
        </w:rPr>
        <w:t>No aplicable.</w:t>
      </w:r>
    </w:p>
    <w:p w14:paraId="5BD7CA69" w14:textId="77777777" w:rsidR="009123AC" w:rsidRPr="00F0379B" w:rsidRDefault="009123AC" w:rsidP="009123AC">
      <w:pPr>
        <w:widowControl w:val="0"/>
        <w:spacing w:after="0" w:line="240" w:lineRule="auto"/>
        <w:jc w:val="both"/>
        <w:rPr>
          <w:rFonts w:ascii="Cambria" w:eastAsia="MS Gothic" w:hAnsi="Cambria" w:cs="Times New Roman"/>
          <w:i/>
          <w:iCs/>
          <w:sz w:val="20"/>
          <w:szCs w:val="20"/>
          <w:lang w:eastAsia="fr-FR" w:bidi="fr-FR"/>
        </w:rPr>
      </w:pPr>
    </w:p>
    <w:p w14:paraId="007D07B9" w14:textId="77777777" w:rsidR="009123AC" w:rsidRPr="00F0379B" w:rsidRDefault="009123AC" w:rsidP="009123AC">
      <w:pPr>
        <w:widowControl w:val="0"/>
        <w:spacing w:after="0" w:line="240" w:lineRule="auto"/>
        <w:jc w:val="both"/>
        <w:rPr>
          <w:rFonts w:ascii="Cambria" w:eastAsia="MS Gothic" w:hAnsi="Cambria" w:cs="Times New Roman"/>
          <w:i/>
          <w:iCs/>
          <w:sz w:val="20"/>
          <w:szCs w:val="20"/>
          <w:lang w:eastAsia="fr-FR" w:bidi="fr-FR"/>
        </w:rPr>
      </w:pPr>
    </w:p>
    <w:p w14:paraId="579DF50F" w14:textId="77777777" w:rsidR="009123AC" w:rsidRPr="00F0379B" w:rsidRDefault="009123AC" w:rsidP="009123AC">
      <w:pPr>
        <w:widowControl w:val="0"/>
        <w:tabs>
          <w:tab w:val="left" w:pos="426"/>
        </w:tabs>
        <w:spacing w:after="0" w:line="240" w:lineRule="auto"/>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 xml:space="preserve">5. </w:t>
      </w:r>
      <w:r w:rsidRPr="00F0379B">
        <w:rPr>
          <w:rFonts w:ascii="Cambria" w:eastAsia="MS Gothic" w:hAnsi="Cambria" w:cs="Times New Roman"/>
          <w:b/>
          <w:sz w:val="20"/>
          <w:szCs w:val="24"/>
          <w:lang w:eastAsia="fr-FR" w:bidi="fr-FR"/>
        </w:rPr>
        <w:tab/>
        <w:t>Plan de inspección, control y seguimiento</w:t>
      </w:r>
    </w:p>
    <w:p w14:paraId="61CF2AC6" w14:textId="77777777" w:rsidR="009123AC" w:rsidRPr="00F0379B" w:rsidRDefault="009123AC" w:rsidP="009123AC">
      <w:pPr>
        <w:widowControl w:val="0"/>
        <w:spacing w:after="0" w:line="240" w:lineRule="auto"/>
        <w:rPr>
          <w:rFonts w:ascii="Cambria" w:eastAsia="MS Gothic" w:hAnsi="Cambria" w:cs="Times New Roman"/>
          <w:b/>
          <w:sz w:val="20"/>
          <w:szCs w:val="20"/>
          <w:lang w:eastAsia="fr-FR" w:bidi="fr-FR"/>
        </w:rPr>
      </w:pPr>
    </w:p>
    <w:p w14:paraId="63A8C991" w14:textId="77777777"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r w:rsidRPr="00F0379B">
        <w:rPr>
          <w:rFonts w:ascii="Cambria" w:eastAsia="MS Gothic" w:hAnsi="Cambria" w:cs="Times New Roman"/>
          <w:b/>
          <w:i/>
          <w:sz w:val="20"/>
          <w:szCs w:val="24"/>
          <w:lang w:eastAsia="fr-FR" w:bidi="fr-FR"/>
        </w:rPr>
        <w:t>5 a) Inspección, control y seguimiento de la CPC (párr. 10c)</w:t>
      </w:r>
    </w:p>
    <w:p w14:paraId="5D499F22" w14:textId="77777777" w:rsidR="009123AC" w:rsidRPr="00F0379B" w:rsidRDefault="009123AC" w:rsidP="009123AC">
      <w:pPr>
        <w:widowControl w:val="0"/>
        <w:spacing w:after="0" w:line="240" w:lineRule="auto"/>
        <w:rPr>
          <w:rFonts w:ascii="Cambria" w:eastAsia="MS Gothic" w:hAnsi="Cambria" w:cs="Times New Roman"/>
          <w:sz w:val="20"/>
          <w:szCs w:val="20"/>
          <w:lang w:eastAsia="fr-FR" w:bidi="fr-FR"/>
        </w:rPr>
      </w:pPr>
    </w:p>
    <w:p w14:paraId="6C6AC4EC" w14:textId="77777777" w:rsidR="009123AC" w:rsidRPr="00F0379B" w:rsidRDefault="009123AC" w:rsidP="009123AC">
      <w:pPr>
        <w:widowControl w:val="0"/>
        <w:spacing w:after="0" w:line="240" w:lineRule="auto"/>
        <w:rPr>
          <w:rFonts w:ascii="Cambria" w:eastAsia="PMingLiU" w:hAnsi="Cambria" w:cs="Times New Roman"/>
          <w:sz w:val="20"/>
          <w:szCs w:val="20"/>
          <w:lang w:eastAsia="fr-FR" w:bidi="fr-FR"/>
        </w:rPr>
      </w:pPr>
      <w:r w:rsidRPr="00F0379B">
        <w:rPr>
          <w:rFonts w:ascii="Cambria" w:eastAsia="MS Gothic" w:hAnsi="Cambria" w:cs="Times New Roman"/>
          <w:sz w:val="20"/>
          <w:szCs w:val="24"/>
          <w:lang w:eastAsia="fr-FR" w:bidi="fr-FR"/>
        </w:rPr>
        <w:t>La autoridad competente es la TFA, y los puntos de contacto son:</w:t>
      </w:r>
    </w:p>
    <w:p w14:paraId="57118F50" w14:textId="77777777" w:rsidR="009123AC" w:rsidRPr="00F0379B" w:rsidRDefault="009123AC" w:rsidP="009123AC">
      <w:pPr>
        <w:widowControl w:val="0"/>
        <w:spacing w:after="0" w:line="240" w:lineRule="auto"/>
        <w:rPr>
          <w:rFonts w:ascii="Cambria" w:eastAsia="PMingLiU" w:hAnsi="Cambria" w:cs="Times New Roman"/>
          <w:sz w:val="20"/>
          <w:szCs w:val="20"/>
          <w:lang w:eastAsia="zh-TW" w:bidi="fr-FR"/>
        </w:rPr>
      </w:pPr>
    </w:p>
    <w:p w14:paraId="57B3DA62" w14:textId="77777777" w:rsidR="009123AC" w:rsidRPr="00F0379B" w:rsidRDefault="009123AC" w:rsidP="00CE0EC8">
      <w:pPr>
        <w:widowControl w:val="0"/>
        <w:numPr>
          <w:ilvl w:val="0"/>
          <w:numId w:val="90"/>
        </w:numPr>
        <w:spacing w:after="0" w:line="240" w:lineRule="auto"/>
        <w:ind w:left="426" w:hanging="426"/>
        <w:contextualSpacing/>
        <w:jc w:val="both"/>
        <w:rPr>
          <w:rFonts w:ascii="Cambria" w:eastAsia="PMingLiU" w:hAnsi="Cambria" w:cs="Times New Roman"/>
          <w:sz w:val="20"/>
          <w:szCs w:val="20"/>
          <w:lang w:eastAsia="fr-FR" w:bidi="fr-FR"/>
        </w:rPr>
      </w:pPr>
      <w:r w:rsidRPr="00F0379B">
        <w:rPr>
          <w:rFonts w:ascii="Cambria" w:eastAsia="MS Gothic" w:hAnsi="Cambria" w:cs="Times New Roman"/>
          <w:sz w:val="20"/>
          <w:szCs w:val="24"/>
          <w:lang w:eastAsia="fr-FR" w:bidi="fr-FR"/>
        </w:rPr>
        <w:t>Sra. </w:t>
      </w:r>
      <w:proofErr w:type="gramStart"/>
      <w:r w:rsidRPr="00F0379B">
        <w:rPr>
          <w:rFonts w:ascii="Cambria" w:eastAsia="MS Gothic" w:hAnsi="Cambria" w:cs="Times New Roman"/>
          <w:sz w:val="20"/>
          <w:szCs w:val="24"/>
          <w:lang w:eastAsia="fr-FR" w:bidi="fr-FR"/>
        </w:rPr>
        <w:t>Yen</w:t>
      </w:r>
      <w:proofErr w:type="gramEnd"/>
      <w:r w:rsidRPr="00F0379B">
        <w:rPr>
          <w:rFonts w:ascii="Cambria" w:eastAsia="MS Gothic" w:hAnsi="Cambria" w:cs="Times New Roman"/>
          <w:sz w:val="20"/>
          <w:szCs w:val="24"/>
          <w:lang w:eastAsia="fr-FR" w:bidi="fr-FR"/>
        </w:rPr>
        <w:t>-</w:t>
      </w:r>
      <w:proofErr w:type="gramStart"/>
      <w:r w:rsidRPr="00F0379B">
        <w:rPr>
          <w:rFonts w:ascii="Cambria" w:eastAsia="MS Gothic" w:hAnsi="Cambria" w:cs="Times New Roman"/>
          <w:sz w:val="20"/>
          <w:szCs w:val="24"/>
          <w:lang w:eastAsia="fr-FR" w:bidi="fr-FR"/>
        </w:rPr>
        <w:t>ju</w:t>
      </w:r>
      <w:proofErr w:type="gramEnd"/>
      <w:r w:rsidRPr="00F0379B">
        <w:rPr>
          <w:rFonts w:ascii="Cambria" w:eastAsia="MS Gothic" w:hAnsi="Cambria" w:cs="Times New Roman"/>
          <w:sz w:val="20"/>
          <w:szCs w:val="24"/>
          <w:lang w:eastAsia="fr-FR" w:bidi="fr-FR"/>
        </w:rPr>
        <w:t xml:space="preserve"> LIN, Departamento de pesquerías en aguas distantes de la TFA, </w:t>
      </w:r>
      <w:hyperlink r:id="rId246" w:history="1">
        <w:r w:rsidRPr="00F0379B">
          <w:rPr>
            <w:rFonts w:ascii="Cambria" w:eastAsia="MS Gothic" w:hAnsi="Cambria" w:cs="Times New Roman"/>
            <w:color w:val="0563C1"/>
            <w:sz w:val="20"/>
            <w:szCs w:val="24"/>
            <w:lang w:eastAsia="fr-FR" w:bidi="fr-FR"/>
          </w:rPr>
          <w:t>yenju@ms1.fa.gov.tw</w:t>
        </w:r>
      </w:hyperlink>
    </w:p>
    <w:p w14:paraId="29CDD824" w14:textId="77777777" w:rsidR="009123AC" w:rsidRPr="00F0379B" w:rsidRDefault="009123AC" w:rsidP="00CE0EC8">
      <w:pPr>
        <w:widowControl w:val="0"/>
        <w:numPr>
          <w:ilvl w:val="0"/>
          <w:numId w:val="90"/>
        </w:numPr>
        <w:spacing w:after="0" w:line="240" w:lineRule="auto"/>
        <w:ind w:left="426" w:hanging="426"/>
        <w:contextualSpacing/>
        <w:jc w:val="both"/>
        <w:rPr>
          <w:rFonts w:ascii="Cambria" w:eastAsia="PMingLiU" w:hAnsi="Cambria" w:cs="Times New Roman"/>
          <w:sz w:val="20"/>
          <w:szCs w:val="20"/>
          <w:lang w:eastAsia="fr-FR" w:bidi="fr-FR"/>
        </w:rPr>
      </w:pPr>
      <w:r w:rsidRPr="00F0379B">
        <w:rPr>
          <w:rFonts w:ascii="Cambria" w:eastAsia="MS Gothic" w:hAnsi="Cambria" w:cs="Times New Roman"/>
          <w:sz w:val="20"/>
          <w:szCs w:val="24"/>
          <w:lang w:eastAsia="fr-FR" w:bidi="fr-FR"/>
        </w:rPr>
        <w:t>Sr. </w:t>
      </w:r>
      <w:proofErr w:type="spellStart"/>
      <w:r w:rsidRPr="00F0379B">
        <w:rPr>
          <w:rFonts w:ascii="Cambria" w:eastAsia="MS Gothic" w:hAnsi="Cambria" w:cs="Times New Roman"/>
          <w:sz w:val="20"/>
          <w:szCs w:val="24"/>
          <w:lang w:eastAsia="fr-FR" w:bidi="fr-FR"/>
        </w:rPr>
        <w:t>An-chiang</w:t>
      </w:r>
      <w:proofErr w:type="spellEnd"/>
      <w:r w:rsidRPr="00F0379B">
        <w:rPr>
          <w:rFonts w:ascii="Cambria" w:eastAsia="MS Gothic" w:hAnsi="Cambria" w:cs="Times New Roman"/>
          <w:sz w:val="20"/>
          <w:szCs w:val="24"/>
          <w:lang w:eastAsia="fr-FR" w:bidi="fr-FR"/>
        </w:rPr>
        <w:t xml:space="preserve"> HUANG, Departamento de pesquerías en aguas distantes de la TFA, </w:t>
      </w:r>
      <w:hyperlink r:id="rId247" w:history="1">
        <w:r w:rsidRPr="00F0379B">
          <w:rPr>
            <w:rFonts w:ascii="Cambria" w:eastAsia="MS Gothic" w:hAnsi="Cambria" w:cs="Times New Roman"/>
            <w:color w:val="0563C1"/>
            <w:sz w:val="20"/>
            <w:szCs w:val="24"/>
            <w:lang w:eastAsia="fr-FR" w:bidi="fr-FR"/>
          </w:rPr>
          <w:t>anchiang@ms1.fa.gov.tw</w:t>
        </w:r>
      </w:hyperlink>
    </w:p>
    <w:p w14:paraId="58E99E31" w14:textId="77777777" w:rsidR="009123AC" w:rsidRPr="00F0379B" w:rsidRDefault="009123AC" w:rsidP="00CE0EC8">
      <w:pPr>
        <w:widowControl w:val="0"/>
        <w:numPr>
          <w:ilvl w:val="0"/>
          <w:numId w:val="90"/>
        </w:numPr>
        <w:spacing w:after="0" w:line="240" w:lineRule="auto"/>
        <w:ind w:left="426" w:hanging="426"/>
        <w:contextualSpacing/>
        <w:jc w:val="both"/>
        <w:rPr>
          <w:rFonts w:ascii="Cambria" w:eastAsia="PMingLiU" w:hAnsi="Cambria" w:cs="Times New Roman"/>
          <w:sz w:val="20"/>
          <w:szCs w:val="20"/>
          <w:lang w:eastAsia="fr-FR" w:bidi="fr-FR"/>
        </w:rPr>
      </w:pPr>
      <w:r w:rsidRPr="00F0379B">
        <w:rPr>
          <w:rFonts w:ascii="Cambria" w:eastAsia="MS Gothic" w:hAnsi="Cambria" w:cs="Times New Roman"/>
          <w:sz w:val="20"/>
          <w:szCs w:val="24"/>
          <w:lang w:eastAsia="fr-FR" w:bidi="fr-FR"/>
        </w:rPr>
        <w:t>Sr. Huang-</w:t>
      </w:r>
      <w:proofErr w:type="spellStart"/>
      <w:r w:rsidRPr="00F0379B">
        <w:rPr>
          <w:rFonts w:ascii="Cambria" w:eastAsia="MS Gothic" w:hAnsi="Cambria" w:cs="Times New Roman"/>
          <w:sz w:val="20"/>
          <w:szCs w:val="24"/>
          <w:lang w:eastAsia="fr-FR" w:bidi="fr-FR"/>
        </w:rPr>
        <w:t>wei</w:t>
      </w:r>
      <w:proofErr w:type="spellEnd"/>
      <w:r w:rsidRPr="00F0379B">
        <w:rPr>
          <w:rFonts w:ascii="Cambria" w:eastAsia="MS Gothic" w:hAnsi="Cambria" w:cs="Times New Roman"/>
          <w:sz w:val="20"/>
          <w:szCs w:val="24"/>
          <w:lang w:eastAsia="fr-FR" w:bidi="fr-FR"/>
        </w:rPr>
        <w:t xml:space="preserve"> HSU, Departamento de pesquerías en aguas distantes de la TFA, </w:t>
      </w:r>
      <w:hyperlink r:id="rId248" w:history="1">
        <w:r w:rsidRPr="00F0379B">
          <w:rPr>
            <w:rFonts w:ascii="Cambria" w:eastAsia="MS Gothic" w:hAnsi="Cambria" w:cs="Times New Roman"/>
            <w:color w:val="0563C1"/>
            <w:sz w:val="20"/>
            <w:szCs w:val="24"/>
            <w:lang w:eastAsia="fr-FR" w:bidi="fr-FR"/>
          </w:rPr>
          <w:t>huangwei0510@ms1.fa.gov.tw</w:t>
        </w:r>
      </w:hyperlink>
    </w:p>
    <w:p w14:paraId="156691B9" w14:textId="77777777" w:rsidR="009123AC" w:rsidRPr="00F0379B" w:rsidRDefault="009123AC" w:rsidP="009123AC">
      <w:pPr>
        <w:widowControl w:val="0"/>
        <w:spacing w:after="0" w:line="240" w:lineRule="auto"/>
        <w:rPr>
          <w:rFonts w:ascii="Cambria" w:eastAsia="PMingLiU" w:hAnsi="Cambria" w:cs="Times New Roman"/>
          <w:sz w:val="20"/>
          <w:szCs w:val="20"/>
          <w:lang w:eastAsia="zh-TW" w:bidi="fr-FR"/>
        </w:rPr>
      </w:pPr>
    </w:p>
    <w:p w14:paraId="1AF12A78" w14:textId="77777777" w:rsidR="009123AC" w:rsidRPr="00F0379B" w:rsidRDefault="009123AC" w:rsidP="009123AC">
      <w:pPr>
        <w:widowControl w:val="0"/>
        <w:spacing w:after="0" w:line="240" w:lineRule="auto"/>
        <w:rPr>
          <w:rFonts w:ascii="Cambria" w:eastAsia="PMingLiU" w:hAnsi="Cambria" w:cs="Times New Roman"/>
          <w:sz w:val="20"/>
          <w:szCs w:val="20"/>
          <w:lang w:eastAsia="fr-FR" w:bidi="fr-FR"/>
        </w:rPr>
      </w:pPr>
      <w:r w:rsidRPr="00F0379B">
        <w:rPr>
          <w:rFonts w:ascii="Cambria" w:eastAsia="MS Gothic" w:hAnsi="Cambria" w:cs="Times New Roman"/>
          <w:sz w:val="20"/>
          <w:szCs w:val="24"/>
          <w:lang w:eastAsia="fr-FR" w:bidi="fr-FR"/>
        </w:rPr>
        <w:t>La TFA supervisa y controla su pesquería de atún rojo del este de las siguientes maneras:</w:t>
      </w:r>
    </w:p>
    <w:p w14:paraId="30F70347" w14:textId="77777777" w:rsidR="009123AC" w:rsidRPr="00F0379B" w:rsidRDefault="009123AC" w:rsidP="009123AC">
      <w:pPr>
        <w:widowControl w:val="0"/>
        <w:spacing w:after="0" w:line="240" w:lineRule="auto"/>
        <w:rPr>
          <w:rFonts w:ascii="Cambria" w:eastAsia="PMingLiU" w:hAnsi="Cambria" w:cs="Times New Roman"/>
          <w:sz w:val="20"/>
          <w:szCs w:val="20"/>
          <w:lang w:eastAsia="zh-TW" w:bidi="fr-FR"/>
        </w:rPr>
      </w:pPr>
    </w:p>
    <w:p w14:paraId="0F4591CA" w14:textId="77777777" w:rsidR="009123AC" w:rsidRPr="00F0379B" w:rsidRDefault="009123AC" w:rsidP="00CE0EC8">
      <w:pPr>
        <w:widowControl w:val="0"/>
        <w:numPr>
          <w:ilvl w:val="0"/>
          <w:numId w:val="91"/>
        </w:numPr>
        <w:spacing w:after="0" w:line="240" w:lineRule="auto"/>
        <w:ind w:left="426" w:hanging="426"/>
        <w:contextualSpacing/>
        <w:jc w:val="both"/>
        <w:rPr>
          <w:rFonts w:ascii="Cambria" w:eastAsia="PMingLiU" w:hAnsi="Cambria" w:cs="Times New Roman"/>
          <w:sz w:val="20"/>
          <w:szCs w:val="20"/>
          <w:lang w:eastAsia="fr-FR" w:bidi="fr-FR"/>
        </w:rPr>
      </w:pPr>
      <w:r w:rsidRPr="00F0379B">
        <w:rPr>
          <w:rFonts w:ascii="Cambria" w:eastAsia="MS Gothic" w:hAnsi="Cambria" w:cs="Times New Roman"/>
          <w:sz w:val="20"/>
          <w:szCs w:val="24"/>
          <w:lang w:eastAsia="fr-FR" w:bidi="fr-FR"/>
        </w:rPr>
        <w:t>VMS: La TFA supervisa las ubicaciones de sus palangreros que operan en la zona del Convenio de ICCAT, con el fin de garantizar que los buques pesqueros sin autorización para la pesca de atún rojo del este no operen en los caladeros del atún rojo del este y que el palangrero autorizado a pescar atún rojo del este solo entre en los caladeros del atún rojo del este durante la temporada de pesca abierta.</w:t>
      </w:r>
    </w:p>
    <w:p w14:paraId="7AF6A16F" w14:textId="77777777" w:rsidR="009123AC" w:rsidRPr="00F0379B" w:rsidRDefault="009123AC" w:rsidP="009123AC">
      <w:pPr>
        <w:widowControl w:val="0"/>
        <w:spacing w:after="0" w:line="240" w:lineRule="auto"/>
        <w:ind w:left="426"/>
        <w:contextualSpacing/>
        <w:jc w:val="both"/>
        <w:rPr>
          <w:rFonts w:ascii="Cambria" w:eastAsia="PMingLiU" w:hAnsi="Cambria" w:cs="Times New Roman"/>
          <w:sz w:val="20"/>
          <w:szCs w:val="20"/>
          <w:lang w:eastAsia="zh-TW" w:bidi="fr-FR"/>
        </w:rPr>
      </w:pPr>
    </w:p>
    <w:p w14:paraId="629C2239" w14:textId="77777777" w:rsidR="009123AC" w:rsidRPr="00F0379B" w:rsidRDefault="009123AC" w:rsidP="00CE0EC8">
      <w:pPr>
        <w:widowControl w:val="0"/>
        <w:numPr>
          <w:ilvl w:val="0"/>
          <w:numId w:val="91"/>
        </w:numPr>
        <w:spacing w:after="0" w:line="240" w:lineRule="auto"/>
        <w:ind w:left="426" w:hanging="426"/>
        <w:contextualSpacing/>
        <w:jc w:val="both"/>
        <w:rPr>
          <w:rFonts w:ascii="Cambria" w:eastAsia="PMingLiU" w:hAnsi="Cambria" w:cs="Times New Roman"/>
          <w:sz w:val="20"/>
          <w:szCs w:val="20"/>
          <w:lang w:eastAsia="fr-FR" w:bidi="fr-FR"/>
        </w:rPr>
      </w:pPr>
      <w:r w:rsidRPr="00F0379B">
        <w:rPr>
          <w:rFonts w:ascii="Cambria" w:eastAsia="MS Gothic" w:hAnsi="Cambria" w:cs="Times New Roman"/>
          <w:sz w:val="20"/>
          <w:szCs w:val="24"/>
          <w:lang w:eastAsia="fr-FR" w:bidi="fr-FR"/>
        </w:rPr>
        <w:t xml:space="preserve">Informe de capturas: Todos los palangreros de Taipei Chino que operen en la zona del Convenio de ICCAT comunicarán diariamente al FMC, a través del ELB, los datos/información relativos a las capturas. La TFA garantiza el cumplimiento de la cuota, incluida la cuota individual por buque, mediante un estrecho seguimiento de las capturas y los descartes comunicados. Además, si la cantidad de captura de atún rojo del este del palangrero autorizado a pescar atún rojo del este alcanza el 95 % de la cuota individual del buque, la TFA ordenará al palangrero que deje de capturar atún rojo del este. </w:t>
      </w:r>
    </w:p>
    <w:p w14:paraId="1AD9CB23" w14:textId="77777777" w:rsidR="009123AC" w:rsidRPr="00F0379B" w:rsidRDefault="009123AC" w:rsidP="009123AC">
      <w:pPr>
        <w:widowControl w:val="0"/>
        <w:spacing w:after="0" w:line="240" w:lineRule="auto"/>
        <w:ind w:left="720"/>
        <w:contextualSpacing/>
        <w:jc w:val="both"/>
        <w:rPr>
          <w:rFonts w:ascii="Cambria" w:eastAsia="PMingLiU" w:hAnsi="Cambria" w:cs="Times New Roman"/>
          <w:sz w:val="20"/>
          <w:szCs w:val="20"/>
          <w:lang w:eastAsia="zh-TW" w:bidi="fr-FR"/>
        </w:rPr>
      </w:pPr>
    </w:p>
    <w:p w14:paraId="3052BCCE" w14:textId="77777777" w:rsidR="009123AC" w:rsidRPr="00F0379B" w:rsidRDefault="009123AC" w:rsidP="00CE0EC8">
      <w:pPr>
        <w:widowControl w:val="0"/>
        <w:numPr>
          <w:ilvl w:val="0"/>
          <w:numId w:val="91"/>
        </w:numPr>
        <w:spacing w:after="0" w:line="240" w:lineRule="auto"/>
        <w:ind w:left="426" w:hanging="426"/>
        <w:contextualSpacing/>
        <w:jc w:val="both"/>
        <w:rPr>
          <w:rFonts w:ascii="Cambria" w:eastAsia="PMingLiU" w:hAnsi="Cambria" w:cs="Times New Roman"/>
          <w:sz w:val="20"/>
          <w:szCs w:val="20"/>
          <w:lang w:eastAsia="fr-FR" w:bidi="fr-FR"/>
        </w:rPr>
      </w:pPr>
      <w:r w:rsidRPr="00F0379B">
        <w:rPr>
          <w:rFonts w:ascii="Cambria" w:eastAsia="MS Gothic" w:hAnsi="Cambria" w:cs="Times New Roman"/>
          <w:sz w:val="20"/>
          <w:szCs w:val="24"/>
          <w:lang w:eastAsia="fr-FR" w:bidi="fr-FR"/>
        </w:rPr>
        <w:t>Programa de observadores: La TFA enviará un observador a bordo del palangrero autorizado a pescar atún rojo del este con el fin de garantizar una cobertura del 20 % del tiempo que el palangrero esté activo en la pesquería de atún rojo del este.</w:t>
      </w:r>
    </w:p>
    <w:p w14:paraId="7122026D" w14:textId="77777777" w:rsidR="009123AC" w:rsidRPr="00F0379B" w:rsidRDefault="009123AC" w:rsidP="009123AC">
      <w:pPr>
        <w:widowControl w:val="0"/>
        <w:spacing w:after="0" w:line="240" w:lineRule="auto"/>
        <w:ind w:left="720"/>
        <w:contextualSpacing/>
        <w:jc w:val="both"/>
        <w:rPr>
          <w:rFonts w:ascii="Cambria" w:eastAsia="PMingLiU" w:hAnsi="Cambria" w:cs="Times New Roman"/>
          <w:sz w:val="20"/>
          <w:szCs w:val="20"/>
          <w:lang w:eastAsia="zh-TW" w:bidi="fr-FR"/>
        </w:rPr>
      </w:pPr>
    </w:p>
    <w:p w14:paraId="40C3F666" w14:textId="77777777" w:rsidR="009123AC" w:rsidRPr="00F0379B" w:rsidRDefault="009123AC" w:rsidP="00CE0EC8">
      <w:pPr>
        <w:widowControl w:val="0"/>
        <w:numPr>
          <w:ilvl w:val="0"/>
          <w:numId w:val="91"/>
        </w:numPr>
        <w:spacing w:after="0" w:line="240" w:lineRule="auto"/>
        <w:ind w:left="426" w:hanging="426"/>
        <w:contextualSpacing/>
        <w:jc w:val="both"/>
        <w:rPr>
          <w:rFonts w:ascii="Cambria" w:eastAsia="PMingLiU" w:hAnsi="Cambria" w:cs="Times New Roman"/>
          <w:sz w:val="20"/>
          <w:szCs w:val="20"/>
          <w:lang w:eastAsia="fr-FR" w:bidi="fr-FR"/>
        </w:rPr>
      </w:pPr>
      <w:r w:rsidRPr="00F0379B">
        <w:rPr>
          <w:rFonts w:ascii="Cambria" w:eastAsia="MS Gothic" w:hAnsi="Cambria" w:cs="Times New Roman"/>
          <w:sz w:val="20"/>
          <w:szCs w:val="24"/>
          <w:lang w:eastAsia="fr-FR" w:bidi="fr-FR"/>
        </w:rPr>
        <w:t xml:space="preserve">Desembarque y transbordo: Dichas actividades solo se llevarán a cabo en los tres puertos designados. Para cada desembarque y transbordo, el palangrero de atún rojo del este obtendrá una autorización previa de la TFA y, una vez finalizados el desembarque y el transbordo, presentará una declaración a la TFA. Todo debe realizarse dentro del plazo establecido. Además, el palangrero de atún rojo del este también notificará y presentará a la autoridad de la CPC del puerto una declaración de desembarque dentro del plazo establecido, de conformidad con el párr. 85 de la Rec. 25-04. El desembarque y el transbordo en el puerto estarán sujetos a la inspección en puerto por parte de la CPC del puerto y/o la TFA. El desembarque de atún rojo del este realizado por el palangrero de atún rojo del este en el puerto interno designado será inspeccionado al 100 % por la TFA. </w:t>
      </w:r>
    </w:p>
    <w:p w14:paraId="38D088FD" w14:textId="77777777" w:rsidR="009123AC" w:rsidRPr="00F0379B" w:rsidRDefault="009123AC" w:rsidP="009123AC">
      <w:pPr>
        <w:widowControl w:val="0"/>
        <w:spacing w:after="0" w:line="240" w:lineRule="auto"/>
        <w:ind w:left="426"/>
        <w:contextualSpacing/>
        <w:jc w:val="both"/>
        <w:rPr>
          <w:rFonts w:ascii="Cambria" w:eastAsia="PMingLiU" w:hAnsi="Cambria" w:cs="Times New Roman"/>
          <w:sz w:val="20"/>
          <w:szCs w:val="20"/>
          <w:lang w:eastAsia="zh-TW" w:bidi="fr-FR"/>
        </w:rPr>
      </w:pPr>
    </w:p>
    <w:p w14:paraId="332414E6" w14:textId="77777777" w:rsidR="009123AC" w:rsidRPr="00F0379B" w:rsidRDefault="009123AC" w:rsidP="009123AC">
      <w:pPr>
        <w:widowControl w:val="0"/>
        <w:spacing w:after="0" w:line="240" w:lineRule="auto"/>
        <w:ind w:left="426"/>
        <w:contextualSpacing/>
        <w:jc w:val="both"/>
        <w:rPr>
          <w:rFonts w:ascii="Cambria" w:eastAsia="PMingLiU" w:hAnsi="Cambria" w:cs="Times New Roman"/>
          <w:sz w:val="20"/>
          <w:szCs w:val="20"/>
          <w:lang w:eastAsia="zh-TW" w:bidi="fr-FR"/>
        </w:rPr>
      </w:pPr>
    </w:p>
    <w:p w14:paraId="0A427DDF" w14:textId="77777777" w:rsidR="009123AC" w:rsidRPr="00F0379B" w:rsidRDefault="009123AC" w:rsidP="009123AC">
      <w:pPr>
        <w:widowControl w:val="0"/>
        <w:spacing w:after="0" w:line="240" w:lineRule="auto"/>
        <w:ind w:left="426"/>
        <w:contextualSpacing/>
        <w:jc w:val="both"/>
        <w:rPr>
          <w:rFonts w:ascii="Cambria" w:eastAsia="PMingLiU" w:hAnsi="Cambria" w:cs="Times New Roman"/>
          <w:sz w:val="20"/>
          <w:szCs w:val="20"/>
          <w:lang w:eastAsia="zh-TW" w:bidi="fr-FR"/>
        </w:rPr>
      </w:pPr>
    </w:p>
    <w:p w14:paraId="33E37DF9" w14:textId="77777777" w:rsidR="009123AC" w:rsidRPr="00F0379B" w:rsidRDefault="009123AC" w:rsidP="00CE0EC8">
      <w:pPr>
        <w:widowControl w:val="0"/>
        <w:numPr>
          <w:ilvl w:val="0"/>
          <w:numId w:val="91"/>
        </w:numPr>
        <w:spacing w:after="0" w:line="240" w:lineRule="auto"/>
        <w:ind w:left="426" w:hanging="426"/>
        <w:contextualSpacing/>
        <w:jc w:val="both"/>
        <w:rPr>
          <w:rFonts w:ascii="Cambria" w:eastAsia="PMingLiU" w:hAnsi="Cambria" w:cs="Times New Roman"/>
          <w:sz w:val="20"/>
          <w:szCs w:val="20"/>
          <w:lang w:eastAsia="fr-FR" w:bidi="fr-FR"/>
        </w:rPr>
      </w:pPr>
      <w:r w:rsidRPr="00F0379B">
        <w:rPr>
          <w:rFonts w:ascii="Cambria" w:eastAsia="MS Gothic" w:hAnsi="Cambria" w:cs="Times New Roman"/>
          <w:sz w:val="20"/>
          <w:szCs w:val="24"/>
          <w:lang w:eastAsia="fr-FR" w:bidi="fr-FR"/>
        </w:rPr>
        <w:t>Verificación cruzada: La TFA verifica los datos y la información comunicados a través de todos estos canales para detectar anomalías. Si surge alguna sospecha, se iniciarán investigaciones y cualquier posible incumplimiento se tratará de conformidad con la DWFA y los Reglamentos del Atlántico.</w:t>
      </w:r>
    </w:p>
    <w:p w14:paraId="39648882" w14:textId="77777777" w:rsidR="009123AC" w:rsidRPr="00F0379B" w:rsidRDefault="009123AC" w:rsidP="009123AC">
      <w:pPr>
        <w:widowControl w:val="0"/>
        <w:spacing w:after="0" w:line="240" w:lineRule="auto"/>
        <w:rPr>
          <w:rFonts w:ascii="Cambria" w:eastAsia="PMingLiU" w:hAnsi="Cambria" w:cs="Times New Roman"/>
          <w:sz w:val="20"/>
          <w:szCs w:val="20"/>
          <w:lang w:eastAsia="zh-TW" w:bidi="fr-FR"/>
        </w:rPr>
      </w:pPr>
    </w:p>
    <w:p w14:paraId="60D5AEE7" w14:textId="77777777" w:rsidR="009123AC" w:rsidRPr="00F0379B" w:rsidRDefault="009123AC" w:rsidP="009123AC">
      <w:pPr>
        <w:widowControl w:val="0"/>
        <w:spacing w:after="0" w:line="240" w:lineRule="auto"/>
        <w:ind w:left="426" w:hanging="426"/>
        <w:rPr>
          <w:rFonts w:ascii="Cambria" w:eastAsia="MS Gothic" w:hAnsi="Cambria" w:cs="Times New Roman"/>
          <w:b/>
          <w:i/>
          <w:iCs/>
          <w:sz w:val="20"/>
          <w:szCs w:val="20"/>
          <w:lang w:eastAsia="fr-FR" w:bidi="fr-FR"/>
        </w:rPr>
      </w:pPr>
      <w:r w:rsidRPr="00F0379B">
        <w:rPr>
          <w:rFonts w:ascii="Cambria" w:eastAsia="MS Gothic" w:hAnsi="Cambria" w:cs="Times New Roman"/>
          <w:b/>
          <w:i/>
          <w:sz w:val="20"/>
          <w:szCs w:val="24"/>
          <w:lang w:eastAsia="fr-FR" w:bidi="fr-FR"/>
        </w:rPr>
        <w:t>5 b) Programa conjunto de Inspección internacional (párrs. 232-235)</w:t>
      </w:r>
    </w:p>
    <w:p w14:paraId="00A3BF4B" w14:textId="77777777" w:rsidR="009123AC" w:rsidRPr="00F0379B" w:rsidRDefault="009123AC" w:rsidP="009123AC">
      <w:pPr>
        <w:widowControl w:val="0"/>
        <w:spacing w:after="0" w:line="240" w:lineRule="auto"/>
        <w:rPr>
          <w:rFonts w:ascii="Cambria" w:eastAsia="MS Gothic" w:hAnsi="Cambria" w:cs="Times New Roman"/>
          <w:b/>
          <w:i/>
          <w:iCs/>
          <w:sz w:val="20"/>
          <w:szCs w:val="20"/>
          <w:lang w:eastAsia="fr-FR" w:bidi="fr-FR"/>
        </w:rPr>
      </w:pPr>
    </w:p>
    <w:p w14:paraId="24EE5EE3" w14:textId="77777777" w:rsidR="009123AC" w:rsidRPr="00F0379B" w:rsidRDefault="009123AC" w:rsidP="009123AC">
      <w:pPr>
        <w:widowControl w:val="0"/>
        <w:spacing w:after="0" w:line="240" w:lineRule="auto"/>
        <w:jc w:val="both"/>
        <w:rPr>
          <w:rFonts w:ascii="Cambria" w:eastAsia="PMingLiU" w:hAnsi="Cambria" w:cs="Times New Roman"/>
          <w:iCs/>
          <w:sz w:val="20"/>
          <w:szCs w:val="20"/>
          <w:lang w:eastAsia="fr-FR" w:bidi="fr-FR"/>
        </w:rPr>
      </w:pPr>
      <w:r w:rsidRPr="00F0379B">
        <w:rPr>
          <w:rFonts w:ascii="Cambria" w:eastAsia="MS Gothic" w:hAnsi="Cambria" w:cs="Times New Roman"/>
          <w:sz w:val="20"/>
          <w:szCs w:val="24"/>
          <w:lang w:eastAsia="fr-FR" w:bidi="fr-FR"/>
        </w:rPr>
        <w:t xml:space="preserve">No aplicable, ya que Taipei Chino solo cuenta con un palangrero de atún rojo del este. </w:t>
      </w:r>
    </w:p>
    <w:p w14:paraId="67BAFE9C"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0BC68B57" w14:textId="77777777" w:rsidR="009123AC" w:rsidRPr="00F0379B" w:rsidRDefault="009123AC" w:rsidP="009123AC">
      <w:pPr>
        <w:widowControl w:val="0"/>
        <w:spacing w:after="0" w:line="240" w:lineRule="auto"/>
        <w:jc w:val="both"/>
        <w:rPr>
          <w:rFonts w:ascii="Cambria" w:eastAsia="MS Gothic" w:hAnsi="Cambria" w:cs="Times New Roman"/>
          <w:i/>
          <w:sz w:val="20"/>
          <w:szCs w:val="20"/>
          <w:lang w:eastAsia="fr-FR" w:bidi="fr-FR"/>
        </w:rPr>
      </w:pPr>
    </w:p>
    <w:p w14:paraId="5ADC5089" w14:textId="77777777" w:rsidR="009123AC" w:rsidRPr="00F0379B" w:rsidRDefault="009123AC" w:rsidP="009123AC">
      <w:pPr>
        <w:widowControl w:val="0"/>
        <w:tabs>
          <w:tab w:val="left" w:pos="426"/>
        </w:tabs>
        <w:spacing w:after="0" w:line="240" w:lineRule="auto"/>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4"/>
          <w:lang w:eastAsia="fr-FR" w:bidi="fr-FR"/>
        </w:rPr>
        <w:t xml:space="preserve">6. </w:t>
      </w:r>
      <w:r w:rsidRPr="00F0379B">
        <w:rPr>
          <w:rFonts w:ascii="Cambria" w:eastAsia="MS Gothic" w:hAnsi="Cambria" w:cs="Times New Roman"/>
          <w:b/>
          <w:sz w:val="20"/>
          <w:szCs w:val="24"/>
          <w:lang w:eastAsia="fr-FR" w:bidi="fr-FR"/>
        </w:rPr>
        <w:tab/>
        <w:t>Otros</w:t>
      </w:r>
    </w:p>
    <w:p w14:paraId="510A7FFE" w14:textId="77777777" w:rsidR="009123AC" w:rsidRPr="00F0379B" w:rsidRDefault="009123AC" w:rsidP="009123AC">
      <w:pPr>
        <w:widowControl w:val="0"/>
        <w:spacing w:after="0" w:line="240" w:lineRule="auto"/>
        <w:jc w:val="both"/>
        <w:rPr>
          <w:rFonts w:ascii="Cambria" w:eastAsia="MS Gothic" w:hAnsi="Cambria" w:cs="Times New Roman"/>
          <w:b/>
          <w:sz w:val="20"/>
          <w:szCs w:val="20"/>
          <w:lang w:eastAsia="fr-FR" w:bidi="fr-FR"/>
        </w:rPr>
      </w:pPr>
    </w:p>
    <w:p w14:paraId="1ADD2684" w14:textId="77777777" w:rsidR="009123AC" w:rsidRPr="00F0379B" w:rsidRDefault="009123AC" w:rsidP="009123AC">
      <w:pPr>
        <w:widowControl w:val="0"/>
        <w:spacing w:after="0" w:line="240" w:lineRule="auto"/>
        <w:jc w:val="both"/>
        <w:rPr>
          <w:rFonts w:ascii="Cambria" w:eastAsia="PMingLiU" w:hAnsi="Cambria" w:cs="Times New Roman"/>
          <w:iCs/>
          <w:sz w:val="20"/>
          <w:szCs w:val="20"/>
          <w:lang w:eastAsia="fr-FR" w:bidi="fr-FR"/>
        </w:rPr>
      </w:pPr>
      <w:r w:rsidRPr="00F0379B">
        <w:rPr>
          <w:rFonts w:ascii="Cambria" w:eastAsia="MS Gothic" w:hAnsi="Cambria" w:cs="Times New Roman"/>
          <w:sz w:val="20"/>
          <w:szCs w:val="24"/>
          <w:lang w:eastAsia="fr-FR" w:bidi="fr-FR"/>
        </w:rPr>
        <w:t>No aplicable.</w:t>
      </w:r>
    </w:p>
    <w:p w14:paraId="311B575E" w14:textId="77777777" w:rsidR="009123AC" w:rsidRPr="00F0379B" w:rsidRDefault="009123AC" w:rsidP="009123AC">
      <w:pPr>
        <w:spacing w:after="0" w:line="240" w:lineRule="auto"/>
        <w:rPr>
          <w:rFonts w:ascii="Cambria" w:eastAsia="MS Gothic" w:hAnsi="Cambria" w:cs="Times New Roman"/>
          <w:i/>
          <w:sz w:val="20"/>
          <w:szCs w:val="20"/>
          <w:lang w:eastAsia="fr-FR" w:bidi="fr-FR"/>
        </w:rPr>
        <w:sectPr w:rsidR="009123AC" w:rsidRPr="00F0379B" w:rsidSect="009123AC">
          <w:headerReference w:type="default" r:id="rId249"/>
          <w:footerReference w:type="default" r:id="rId250"/>
          <w:footnotePr>
            <w:numRestart w:val="eachSect"/>
          </w:footnotePr>
          <w:pgSz w:w="11906" w:h="16838" w:code="9"/>
          <w:pgMar w:top="1418" w:right="1418" w:bottom="1418" w:left="1418" w:header="851" w:footer="1134" w:gutter="0"/>
          <w:cols w:space="425"/>
          <w:docGrid w:linePitch="360"/>
        </w:sectPr>
      </w:pPr>
      <w:r w:rsidRPr="00F0379B">
        <w:rPr>
          <w:rFonts w:ascii="Times New Roman" w:eastAsia="MS Gothic" w:hAnsi="Times New Roman" w:cs="Times New Roman"/>
          <w:color w:val="000000"/>
          <w:sz w:val="24"/>
          <w:szCs w:val="24"/>
          <w:lang w:eastAsia="fr-FR" w:bidi="fr-FR"/>
        </w:rPr>
        <w:br w:type="page"/>
      </w:r>
    </w:p>
    <w:p w14:paraId="00F37A95" w14:textId="77777777" w:rsidR="009123AC" w:rsidRPr="00F0379B" w:rsidRDefault="009123AC" w:rsidP="009123AC">
      <w:pPr>
        <w:spacing w:after="0" w:line="240" w:lineRule="auto"/>
        <w:rPr>
          <w:rFonts w:ascii="Cambria" w:eastAsia="MS Gothic" w:hAnsi="Cambria" w:cs="Times New Roman"/>
          <w:b/>
          <w:bCs/>
          <w:iCs/>
          <w:sz w:val="20"/>
          <w:szCs w:val="20"/>
          <w:lang w:eastAsia="fr-FR" w:bidi="fr-FR"/>
        </w:rPr>
      </w:pPr>
      <w:r w:rsidRPr="00F0379B">
        <w:rPr>
          <w:rFonts w:ascii="Cambria" w:eastAsia="MS Gothic" w:hAnsi="Cambria" w:cs="Times New Roman"/>
          <w:b/>
          <w:sz w:val="20"/>
          <w:szCs w:val="24"/>
          <w:lang w:eastAsia="fr-FR" w:bidi="fr-FR"/>
        </w:rPr>
        <w:t>Tabla de capacidad</w:t>
      </w:r>
    </w:p>
    <w:tbl>
      <w:tblPr>
        <w:tblW w:w="14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9"/>
        <w:gridCol w:w="2103"/>
        <w:gridCol w:w="615"/>
        <w:gridCol w:w="615"/>
        <w:gridCol w:w="615"/>
        <w:gridCol w:w="615"/>
        <w:gridCol w:w="615"/>
        <w:gridCol w:w="615"/>
        <w:gridCol w:w="615"/>
        <w:gridCol w:w="256"/>
        <w:gridCol w:w="615"/>
        <w:gridCol w:w="615"/>
        <w:gridCol w:w="615"/>
        <w:gridCol w:w="615"/>
        <w:gridCol w:w="615"/>
        <w:gridCol w:w="615"/>
        <w:gridCol w:w="615"/>
      </w:tblGrid>
      <w:tr w:rsidR="009123AC" w:rsidRPr="00F0379B" w14:paraId="49A4E5B9" w14:textId="77777777" w:rsidTr="00CA749B">
        <w:trPr>
          <w:trHeight w:val="20"/>
          <w:jc w:val="center"/>
        </w:trPr>
        <w:tc>
          <w:tcPr>
            <w:tcW w:w="0" w:type="auto"/>
            <w:noWrap/>
            <w:vAlign w:val="center"/>
            <w:hideMark/>
          </w:tcPr>
          <w:p w14:paraId="17B259E8" w14:textId="77777777" w:rsidR="009123AC" w:rsidRPr="00F0379B" w:rsidRDefault="009123AC" w:rsidP="009123AC">
            <w:pPr>
              <w:widowControl w:val="0"/>
              <w:spacing w:after="0" w:line="240" w:lineRule="auto"/>
              <w:jc w:val="center"/>
              <w:rPr>
                <w:rFonts w:ascii="Cambria" w:eastAsia="Times New Roman" w:hAnsi="Cambria" w:cs="Calibri"/>
                <w:i/>
                <w:iCs/>
                <w:color w:val="000000"/>
                <w:sz w:val="18"/>
                <w:szCs w:val="18"/>
                <w:lang w:eastAsia="fr-FR" w:bidi="fr-FR"/>
              </w:rPr>
            </w:pPr>
            <w:r w:rsidRPr="00F0379B">
              <w:rPr>
                <w:rFonts w:ascii="Cambria" w:eastAsia="MS Gothic" w:hAnsi="Cambria" w:cs="Times New Roman"/>
                <w:i/>
                <w:color w:val="000000"/>
                <w:sz w:val="18"/>
                <w:szCs w:val="24"/>
                <w:lang w:eastAsia="fr-FR" w:bidi="fr-FR"/>
              </w:rPr>
              <w:t>Tipo de buque atunero</w:t>
            </w:r>
          </w:p>
        </w:tc>
        <w:tc>
          <w:tcPr>
            <w:tcW w:w="2103" w:type="dxa"/>
            <w:noWrap/>
            <w:vAlign w:val="center"/>
            <w:hideMark/>
          </w:tcPr>
          <w:p w14:paraId="302FE077" w14:textId="77777777" w:rsidR="009123AC" w:rsidRPr="00F0379B" w:rsidRDefault="009123AC" w:rsidP="009123AC">
            <w:pPr>
              <w:widowControl w:val="0"/>
              <w:spacing w:after="0" w:line="240" w:lineRule="auto"/>
              <w:jc w:val="center"/>
              <w:rPr>
                <w:rFonts w:ascii="Calibri" w:eastAsia="Times New Roman" w:hAnsi="Calibri" w:cs="Calibri"/>
                <w:color w:val="000000"/>
                <w:sz w:val="18"/>
                <w:szCs w:val="18"/>
                <w:lang w:eastAsia="ja-JP" w:bidi="fr-FR"/>
              </w:rPr>
            </w:pPr>
          </w:p>
        </w:tc>
        <w:tc>
          <w:tcPr>
            <w:tcW w:w="1974" w:type="dxa"/>
            <w:gridSpan w:val="3"/>
          </w:tcPr>
          <w:p w14:paraId="37C309A3" w14:textId="77777777" w:rsidR="009123AC" w:rsidRPr="00F0379B" w:rsidRDefault="009123AC" w:rsidP="009123AC">
            <w:pPr>
              <w:widowControl w:val="0"/>
              <w:spacing w:after="0" w:line="240" w:lineRule="auto"/>
              <w:jc w:val="center"/>
              <w:rPr>
                <w:rFonts w:ascii="Cambria" w:eastAsia="Times New Roman" w:hAnsi="Cambria" w:cs="Calibri"/>
                <w:i/>
                <w:iCs/>
                <w:color w:val="000000"/>
                <w:sz w:val="18"/>
                <w:szCs w:val="18"/>
                <w:lang w:eastAsia="fr-FR" w:bidi="fr-FR"/>
              </w:rPr>
            </w:pPr>
            <w:r w:rsidRPr="00F0379B">
              <w:rPr>
                <w:rFonts w:ascii="Cambria" w:eastAsia="MS Gothic" w:hAnsi="Cambria" w:cs="Times New Roman"/>
                <w:i/>
                <w:color w:val="000000"/>
                <w:sz w:val="18"/>
                <w:szCs w:val="24"/>
                <w:lang w:eastAsia="fr-FR" w:bidi="fr-FR"/>
              </w:rPr>
              <w:t>Años de referencia</w:t>
            </w:r>
          </w:p>
        </w:tc>
        <w:tc>
          <w:tcPr>
            <w:tcW w:w="0" w:type="auto"/>
            <w:gridSpan w:val="4"/>
            <w:vAlign w:val="center"/>
          </w:tcPr>
          <w:p w14:paraId="50559096" w14:textId="77777777" w:rsidR="009123AC" w:rsidRPr="00F0379B" w:rsidRDefault="009123AC" w:rsidP="009123AC">
            <w:pPr>
              <w:widowControl w:val="0"/>
              <w:spacing w:after="0" w:line="240" w:lineRule="auto"/>
              <w:jc w:val="center"/>
              <w:rPr>
                <w:rFonts w:ascii="Times New Roman" w:eastAsia="Times New Roman" w:hAnsi="Times New Roman" w:cs="Times New Roman"/>
                <w:color w:val="000000"/>
                <w:sz w:val="18"/>
                <w:szCs w:val="18"/>
                <w:lang w:eastAsia="fr-FR" w:bidi="fr-FR"/>
              </w:rPr>
            </w:pPr>
            <w:r w:rsidRPr="00F0379B">
              <w:rPr>
                <w:rFonts w:ascii="Cambria" w:eastAsia="MS Gothic" w:hAnsi="Cambria" w:cs="Times New Roman"/>
                <w:i/>
                <w:color w:val="000000"/>
                <w:sz w:val="18"/>
                <w:szCs w:val="24"/>
                <w:lang w:eastAsia="fr-FR" w:bidi="fr-FR"/>
              </w:rPr>
              <w:t>N.º de buques</w:t>
            </w:r>
          </w:p>
        </w:tc>
        <w:tc>
          <w:tcPr>
            <w:tcW w:w="0" w:type="auto"/>
            <w:shd w:val="clear" w:color="auto" w:fill="D9D9D9"/>
            <w:vAlign w:val="center"/>
            <w:hideMark/>
          </w:tcPr>
          <w:p w14:paraId="7D98AEE5" w14:textId="77777777" w:rsidR="009123AC" w:rsidRPr="00F0379B" w:rsidRDefault="009123AC" w:rsidP="009123AC">
            <w:pPr>
              <w:widowControl w:val="0"/>
              <w:spacing w:after="0" w:line="240" w:lineRule="auto"/>
              <w:jc w:val="center"/>
              <w:rPr>
                <w:rFonts w:ascii="Times New Roman" w:eastAsia="Times New Roman" w:hAnsi="Times New Roman" w:cs="Times New Roman"/>
                <w:color w:val="000000"/>
                <w:sz w:val="18"/>
                <w:szCs w:val="18"/>
                <w:lang w:eastAsia="ja-JP" w:bidi="fr-FR"/>
              </w:rPr>
            </w:pPr>
          </w:p>
        </w:tc>
        <w:tc>
          <w:tcPr>
            <w:tcW w:w="0" w:type="auto"/>
            <w:gridSpan w:val="3"/>
          </w:tcPr>
          <w:p w14:paraId="657A7050" w14:textId="77777777" w:rsidR="009123AC" w:rsidRPr="00F0379B" w:rsidRDefault="009123AC" w:rsidP="009123AC">
            <w:pPr>
              <w:widowControl w:val="0"/>
              <w:spacing w:after="0" w:line="240" w:lineRule="auto"/>
              <w:jc w:val="center"/>
              <w:rPr>
                <w:rFonts w:ascii="Cambria" w:eastAsia="Times New Roman" w:hAnsi="Cambria" w:cs="Calibri"/>
                <w:i/>
                <w:iCs/>
                <w:color w:val="000000"/>
                <w:sz w:val="18"/>
                <w:szCs w:val="18"/>
                <w:lang w:eastAsia="fr-FR" w:bidi="fr-FR"/>
              </w:rPr>
            </w:pPr>
            <w:r w:rsidRPr="00F0379B">
              <w:rPr>
                <w:rFonts w:ascii="Cambria" w:eastAsia="MS Gothic" w:hAnsi="Cambria" w:cs="Times New Roman"/>
                <w:i/>
                <w:color w:val="000000"/>
                <w:sz w:val="18"/>
                <w:szCs w:val="24"/>
                <w:lang w:eastAsia="fr-FR" w:bidi="fr-FR"/>
              </w:rPr>
              <w:t>Años de referencia</w:t>
            </w:r>
          </w:p>
        </w:tc>
        <w:tc>
          <w:tcPr>
            <w:tcW w:w="0" w:type="auto"/>
            <w:gridSpan w:val="4"/>
          </w:tcPr>
          <w:p w14:paraId="2533A746" w14:textId="77777777" w:rsidR="009123AC" w:rsidRPr="00F0379B" w:rsidRDefault="009123AC" w:rsidP="009123AC">
            <w:pPr>
              <w:widowControl w:val="0"/>
              <w:spacing w:after="0" w:line="240" w:lineRule="auto"/>
              <w:jc w:val="center"/>
              <w:rPr>
                <w:rFonts w:ascii="Cambria" w:eastAsia="Times New Roman" w:hAnsi="Cambria" w:cs="Calibri"/>
                <w:i/>
                <w:iCs/>
                <w:color w:val="000000"/>
                <w:sz w:val="18"/>
                <w:szCs w:val="18"/>
                <w:lang w:eastAsia="fr-FR" w:bidi="fr-FR"/>
              </w:rPr>
            </w:pPr>
            <w:r w:rsidRPr="00F0379B">
              <w:rPr>
                <w:rFonts w:ascii="Cambria" w:eastAsia="MS Gothic" w:hAnsi="Cambria" w:cs="Times New Roman"/>
                <w:i/>
                <w:color w:val="000000"/>
                <w:sz w:val="18"/>
                <w:szCs w:val="24"/>
                <w:lang w:eastAsia="fr-FR" w:bidi="fr-FR"/>
              </w:rPr>
              <w:t>Capacidad de pesca</w:t>
            </w:r>
          </w:p>
        </w:tc>
      </w:tr>
      <w:tr w:rsidR="009123AC" w:rsidRPr="00F0379B" w14:paraId="49AB9871" w14:textId="77777777" w:rsidTr="00CA749B">
        <w:trPr>
          <w:trHeight w:val="20"/>
          <w:jc w:val="center"/>
        </w:trPr>
        <w:tc>
          <w:tcPr>
            <w:tcW w:w="0" w:type="auto"/>
            <w:noWrap/>
            <w:vAlign w:val="center"/>
            <w:hideMark/>
          </w:tcPr>
          <w:p w14:paraId="560DB403"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Tipo</w:t>
            </w:r>
          </w:p>
        </w:tc>
        <w:tc>
          <w:tcPr>
            <w:tcW w:w="2103" w:type="dxa"/>
            <w:vAlign w:val="center"/>
            <w:hideMark/>
          </w:tcPr>
          <w:p w14:paraId="66BFADB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xml:space="preserve">Mejores tasas de captura definidas por el SCRS en 2009 (t) </w:t>
            </w:r>
          </w:p>
          <w:p w14:paraId="6277D1B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xml:space="preserve"> </w:t>
            </w:r>
          </w:p>
          <w:p w14:paraId="29B4647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p>
        </w:tc>
        <w:tc>
          <w:tcPr>
            <w:tcW w:w="710" w:type="dxa"/>
            <w:vAlign w:val="center"/>
          </w:tcPr>
          <w:p w14:paraId="087E2789"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2006</w:t>
            </w:r>
          </w:p>
        </w:tc>
        <w:tc>
          <w:tcPr>
            <w:tcW w:w="0" w:type="auto"/>
            <w:noWrap/>
            <w:vAlign w:val="center"/>
            <w:hideMark/>
          </w:tcPr>
          <w:p w14:paraId="6ABF5622"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2008</w:t>
            </w:r>
          </w:p>
        </w:tc>
        <w:tc>
          <w:tcPr>
            <w:tcW w:w="0" w:type="auto"/>
            <w:vAlign w:val="center"/>
            <w:hideMark/>
          </w:tcPr>
          <w:p w14:paraId="49584C5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2018</w:t>
            </w:r>
          </w:p>
        </w:tc>
        <w:tc>
          <w:tcPr>
            <w:tcW w:w="0" w:type="auto"/>
            <w:vAlign w:val="center"/>
            <w:hideMark/>
          </w:tcPr>
          <w:p w14:paraId="5B7668D8"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2023</w:t>
            </w:r>
          </w:p>
        </w:tc>
        <w:tc>
          <w:tcPr>
            <w:tcW w:w="0" w:type="auto"/>
            <w:vAlign w:val="center"/>
            <w:hideMark/>
          </w:tcPr>
          <w:p w14:paraId="68A1173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2024</w:t>
            </w:r>
          </w:p>
        </w:tc>
        <w:tc>
          <w:tcPr>
            <w:tcW w:w="0" w:type="auto"/>
            <w:vAlign w:val="center"/>
          </w:tcPr>
          <w:p w14:paraId="070540C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2025</w:t>
            </w:r>
          </w:p>
        </w:tc>
        <w:tc>
          <w:tcPr>
            <w:tcW w:w="0" w:type="auto"/>
            <w:vAlign w:val="center"/>
          </w:tcPr>
          <w:p w14:paraId="6F93B07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2026</w:t>
            </w:r>
          </w:p>
        </w:tc>
        <w:tc>
          <w:tcPr>
            <w:tcW w:w="0" w:type="auto"/>
            <w:shd w:val="clear" w:color="000000" w:fill="D9D9D9"/>
            <w:vAlign w:val="center"/>
            <w:hideMark/>
          </w:tcPr>
          <w:p w14:paraId="0FE4D33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tcPr>
          <w:p w14:paraId="5886C74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2006</w:t>
            </w:r>
          </w:p>
        </w:tc>
        <w:tc>
          <w:tcPr>
            <w:tcW w:w="0" w:type="auto"/>
            <w:vAlign w:val="center"/>
            <w:hideMark/>
          </w:tcPr>
          <w:p w14:paraId="4596FB4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2008</w:t>
            </w:r>
          </w:p>
        </w:tc>
        <w:tc>
          <w:tcPr>
            <w:tcW w:w="0" w:type="auto"/>
            <w:vAlign w:val="center"/>
            <w:hideMark/>
          </w:tcPr>
          <w:p w14:paraId="4C31C301"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2018</w:t>
            </w:r>
          </w:p>
        </w:tc>
        <w:tc>
          <w:tcPr>
            <w:tcW w:w="0" w:type="auto"/>
            <w:vAlign w:val="center"/>
            <w:hideMark/>
          </w:tcPr>
          <w:p w14:paraId="2C12E7C3"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2023</w:t>
            </w:r>
          </w:p>
        </w:tc>
        <w:tc>
          <w:tcPr>
            <w:tcW w:w="0" w:type="auto"/>
            <w:vAlign w:val="center"/>
            <w:hideMark/>
          </w:tcPr>
          <w:p w14:paraId="6C51FAFB"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2024</w:t>
            </w:r>
          </w:p>
        </w:tc>
        <w:tc>
          <w:tcPr>
            <w:tcW w:w="0" w:type="auto"/>
            <w:vAlign w:val="center"/>
            <w:hideMark/>
          </w:tcPr>
          <w:p w14:paraId="2016528A"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2025</w:t>
            </w:r>
          </w:p>
        </w:tc>
        <w:tc>
          <w:tcPr>
            <w:tcW w:w="0" w:type="auto"/>
            <w:vAlign w:val="center"/>
          </w:tcPr>
          <w:p w14:paraId="13694C9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2026</w:t>
            </w:r>
          </w:p>
        </w:tc>
      </w:tr>
      <w:tr w:rsidR="009123AC" w:rsidRPr="00F0379B" w14:paraId="4A10CD58" w14:textId="77777777" w:rsidTr="00CA749B">
        <w:trPr>
          <w:trHeight w:val="20"/>
          <w:jc w:val="center"/>
        </w:trPr>
        <w:tc>
          <w:tcPr>
            <w:tcW w:w="0" w:type="auto"/>
            <w:noWrap/>
            <w:vAlign w:val="center"/>
            <w:hideMark/>
          </w:tcPr>
          <w:p w14:paraId="5703F640"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Cerqueros de más de 40 m</w:t>
            </w:r>
          </w:p>
        </w:tc>
        <w:tc>
          <w:tcPr>
            <w:tcW w:w="2103" w:type="dxa"/>
            <w:noWrap/>
            <w:vAlign w:val="center"/>
            <w:hideMark/>
          </w:tcPr>
          <w:p w14:paraId="4E0ACED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70,66</w:t>
            </w:r>
          </w:p>
        </w:tc>
        <w:tc>
          <w:tcPr>
            <w:tcW w:w="710" w:type="dxa"/>
          </w:tcPr>
          <w:p w14:paraId="0FAED76B"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noWrap/>
            <w:vAlign w:val="center"/>
            <w:hideMark/>
          </w:tcPr>
          <w:p w14:paraId="418AE343"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083D4E72"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32F71B5F"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4CE1C894"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tcPr>
          <w:p w14:paraId="0CD8B108"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tcPr>
          <w:p w14:paraId="700C3C8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hideMark/>
          </w:tcPr>
          <w:p w14:paraId="207AB87F"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tcPr>
          <w:p w14:paraId="1F04B57B"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vAlign w:val="center"/>
            <w:hideMark/>
          </w:tcPr>
          <w:p w14:paraId="12B30541"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78DD52B8"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5DBB6151"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78913FA8"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77440B0F"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tcPr>
          <w:p w14:paraId="0869488C"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r>
      <w:tr w:rsidR="009123AC" w:rsidRPr="00F0379B" w14:paraId="289C22AD" w14:textId="77777777" w:rsidTr="00CA749B">
        <w:trPr>
          <w:trHeight w:val="20"/>
          <w:jc w:val="center"/>
        </w:trPr>
        <w:tc>
          <w:tcPr>
            <w:tcW w:w="0" w:type="auto"/>
            <w:noWrap/>
            <w:vAlign w:val="center"/>
            <w:hideMark/>
          </w:tcPr>
          <w:p w14:paraId="01A28270"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Cerqueros entre 24 y 40 m</w:t>
            </w:r>
          </w:p>
        </w:tc>
        <w:tc>
          <w:tcPr>
            <w:tcW w:w="2103" w:type="dxa"/>
            <w:noWrap/>
            <w:vAlign w:val="center"/>
            <w:hideMark/>
          </w:tcPr>
          <w:p w14:paraId="5272B184"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49,78</w:t>
            </w:r>
          </w:p>
        </w:tc>
        <w:tc>
          <w:tcPr>
            <w:tcW w:w="710" w:type="dxa"/>
          </w:tcPr>
          <w:p w14:paraId="151102F4"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noWrap/>
            <w:vAlign w:val="center"/>
            <w:hideMark/>
          </w:tcPr>
          <w:p w14:paraId="48AAFC18"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6295FA0F"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2EA70D62"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59B92CB6"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tcPr>
          <w:p w14:paraId="2FF5203A"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tcPr>
          <w:p w14:paraId="69E2304D"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hideMark/>
          </w:tcPr>
          <w:p w14:paraId="2563F502"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tcPr>
          <w:p w14:paraId="06BB0AF2"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c>
          <w:tcPr>
            <w:tcW w:w="0" w:type="auto"/>
            <w:vAlign w:val="center"/>
            <w:hideMark/>
          </w:tcPr>
          <w:p w14:paraId="509FA8C0"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1819A87E"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2B619BFA"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5AA9941E"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vAlign w:val="center"/>
            <w:hideMark/>
          </w:tcPr>
          <w:p w14:paraId="36A43BFC"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0" w:type="auto"/>
          </w:tcPr>
          <w:p w14:paraId="559DFA67"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ja-JP" w:bidi="fr-FR"/>
              </w:rPr>
            </w:pPr>
          </w:p>
        </w:tc>
      </w:tr>
      <w:tr w:rsidR="009123AC" w:rsidRPr="00F0379B" w14:paraId="0E6E1D91" w14:textId="77777777" w:rsidTr="00CA749B">
        <w:trPr>
          <w:trHeight w:val="20"/>
          <w:jc w:val="center"/>
        </w:trPr>
        <w:tc>
          <w:tcPr>
            <w:tcW w:w="0" w:type="auto"/>
            <w:noWrap/>
            <w:vAlign w:val="center"/>
            <w:hideMark/>
          </w:tcPr>
          <w:p w14:paraId="08EB17D9"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Cerqueros de menos de 24 m</w:t>
            </w:r>
          </w:p>
        </w:tc>
        <w:tc>
          <w:tcPr>
            <w:tcW w:w="2103" w:type="dxa"/>
            <w:noWrap/>
            <w:vAlign w:val="center"/>
            <w:hideMark/>
          </w:tcPr>
          <w:p w14:paraId="3DFEA0DF"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33,68</w:t>
            </w:r>
          </w:p>
        </w:tc>
        <w:tc>
          <w:tcPr>
            <w:tcW w:w="710" w:type="dxa"/>
          </w:tcPr>
          <w:p w14:paraId="6C6E57F6" w14:textId="77777777" w:rsidR="009123AC" w:rsidRPr="00F0379B" w:rsidRDefault="009123AC" w:rsidP="009123AC">
            <w:pPr>
              <w:widowControl w:val="0"/>
              <w:spacing w:after="0" w:line="240" w:lineRule="auto"/>
              <w:jc w:val="both"/>
              <w:rPr>
                <w:rFonts w:ascii="Cambria" w:eastAsia="Times New Roman" w:hAnsi="Cambria" w:cs="Calibri"/>
                <w:color w:val="000000"/>
                <w:sz w:val="16"/>
                <w:szCs w:val="16"/>
                <w:lang w:eastAsia="ja-JP" w:bidi="fr-FR"/>
              </w:rPr>
            </w:pPr>
          </w:p>
        </w:tc>
        <w:tc>
          <w:tcPr>
            <w:tcW w:w="0" w:type="auto"/>
            <w:noWrap/>
            <w:vAlign w:val="center"/>
            <w:hideMark/>
          </w:tcPr>
          <w:p w14:paraId="6031671C" w14:textId="77777777" w:rsidR="009123AC" w:rsidRPr="00F0379B" w:rsidRDefault="009123AC" w:rsidP="009123AC">
            <w:pPr>
              <w:widowControl w:val="0"/>
              <w:spacing w:after="0" w:line="240" w:lineRule="auto"/>
              <w:jc w:val="both"/>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 </w:t>
            </w:r>
          </w:p>
        </w:tc>
        <w:tc>
          <w:tcPr>
            <w:tcW w:w="0" w:type="auto"/>
            <w:vAlign w:val="center"/>
            <w:hideMark/>
          </w:tcPr>
          <w:p w14:paraId="624D88FE" w14:textId="77777777" w:rsidR="009123AC" w:rsidRPr="00F0379B" w:rsidRDefault="009123AC" w:rsidP="009123AC">
            <w:pPr>
              <w:widowControl w:val="0"/>
              <w:spacing w:after="0" w:line="240" w:lineRule="auto"/>
              <w:jc w:val="both"/>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 </w:t>
            </w:r>
          </w:p>
        </w:tc>
        <w:tc>
          <w:tcPr>
            <w:tcW w:w="0" w:type="auto"/>
            <w:vAlign w:val="center"/>
            <w:hideMark/>
          </w:tcPr>
          <w:p w14:paraId="538D60B9" w14:textId="77777777" w:rsidR="009123AC" w:rsidRPr="00F0379B" w:rsidRDefault="009123AC" w:rsidP="009123AC">
            <w:pPr>
              <w:widowControl w:val="0"/>
              <w:spacing w:after="0" w:line="240" w:lineRule="auto"/>
              <w:jc w:val="both"/>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 </w:t>
            </w:r>
          </w:p>
        </w:tc>
        <w:tc>
          <w:tcPr>
            <w:tcW w:w="0" w:type="auto"/>
            <w:vAlign w:val="center"/>
            <w:hideMark/>
          </w:tcPr>
          <w:p w14:paraId="71C47AFC" w14:textId="77777777" w:rsidR="009123AC" w:rsidRPr="00F0379B" w:rsidRDefault="009123AC" w:rsidP="009123AC">
            <w:pPr>
              <w:widowControl w:val="0"/>
              <w:spacing w:after="0" w:line="240" w:lineRule="auto"/>
              <w:jc w:val="both"/>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 </w:t>
            </w:r>
          </w:p>
        </w:tc>
        <w:tc>
          <w:tcPr>
            <w:tcW w:w="0" w:type="auto"/>
          </w:tcPr>
          <w:p w14:paraId="19AF1753" w14:textId="77777777" w:rsidR="009123AC" w:rsidRPr="00F0379B" w:rsidRDefault="009123AC" w:rsidP="009123AC">
            <w:pPr>
              <w:widowControl w:val="0"/>
              <w:spacing w:after="0" w:line="240" w:lineRule="auto"/>
              <w:jc w:val="both"/>
              <w:rPr>
                <w:rFonts w:ascii="Cambria" w:eastAsia="Times New Roman" w:hAnsi="Cambria" w:cs="Calibri"/>
                <w:color w:val="000000"/>
                <w:sz w:val="16"/>
                <w:szCs w:val="16"/>
                <w:lang w:eastAsia="ja-JP" w:bidi="fr-FR"/>
              </w:rPr>
            </w:pPr>
          </w:p>
        </w:tc>
        <w:tc>
          <w:tcPr>
            <w:tcW w:w="0" w:type="auto"/>
          </w:tcPr>
          <w:p w14:paraId="6D1E95B4"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49621054" w14:textId="77777777" w:rsidR="009123AC" w:rsidRPr="00F0379B" w:rsidRDefault="009123AC" w:rsidP="009123AC">
            <w:pPr>
              <w:widowControl w:val="0"/>
              <w:spacing w:after="0" w:line="240" w:lineRule="auto"/>
              <w:jc w:val="both"/>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 </w:t>
            </w:r>
          </w:p>
        </w:tc>
        <w:tc>
          <w:tcPr>
            <w:tcW w:w="0" w:type="auto"/>
          </w:tcPr>
          <w:p w14:paraId="52193CC2" w14:textId="77777777" w:rsidR="009123AC" w:rsidRPr="00F0379B" w:rsidRDefault="009123AC" w:rsidP="009123AC">
            <w:pPr>
              <w:widowControl w:val="0"/>
              <w:spacing w:after="0" w:line="240" w:lineRule="auto"/>
              <w:jc w:val="both"/>
              <w:rPr>
                <w:rFonts w:ascii="Cambria" w:eastAsia="Times New Roman" w:hAnsi="Cambria" w:cs="Calibri"/>
                <w:color w:val="000000"/>
                <w:sz w:val="16"/>
                <w:szCs w:val="16"/>
                <w:lang w:eastAsia="ja-JP" w:bidi="fr-FR"/>
              </w:rPr>
            </w:pPr>
          </w:p>
        </w:tc>
        <w:tc>
          <w:tcPr>
            <w:tcW w:w="0" w:type="auto"/>
            <w:vAlign w:val="center"/>
            <w:hideMark/>
          </w:tcPr>
          <w:p w14:paraId="2D3CBAF1" w14:textId="77777777" w:rsidR="009123AC" w:rsidRPr="00F0379B" w:rsidRDefault="009123AC" w:rsidP="009123AC">
            <w:pPr>
              <w:widowControl w:val="0"/>
              <w:spacing w:after="0" w:line="240" w:lineRule="auto"/>
              <w:jc w:val="both"/>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 </w:t>
            </w:r>
          </w:p>
        </w:tc>
        <w:tc>
          <w:tcPr>
            <w:tcW w:w="0" w:type="auto"/>
            <w:vAlign w:val="center"/>
            <w:hideMark/>
          </w:tcPr>
          <w:p w14:paraId="0DDC6893" w14:textId="77777777" w:rsidR="009123AC" w:rsidRPr="00F0379B" w:rsidRDefault="009123AC" w:rsidP="009123AC">
            <w:pPr>
              <w:widowControl w:val="0"/>
              <w:spacing w:after="0" w:line="240" w:lineRule="auto"/>
              <w:jc w:val="both"/>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 </w:t>
            </w:r>
          </w:p>
        </w:tc>
        <w:tc>
          <w:tcPr>
            <w:tcW w:w="0" w:type="auto"/>
            <w:vAlign w:val="center"/>
            <w:hideMark/>
          </w:tcPr>
          <w:p w14:paraId="5BA48BA5" w14:textId="77777777" w:rsidR="009123AC" w:rsidRPr="00F0379B" w:rsidRDefault="009123AC" w:rsidP="009123AC">
            <w:pPr>
              <w:widowControl w:val="0"/>
              <w:spacing w:after="0" w:line="240" w:lineRule="auto"/>
              <w:jc w:val="both"/>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 </w:t>
            </w:r>
          </w:p>
        </w:tc>
        <w:tc>
          <w:tcPr>
            <w:tcW w:w="0" w:type="auto"/>
            <w:vAlign w:val="center"/>
            <w:hideMark/>
          </w:tcPr>
          <w:p w14:paraId="528E1447" w14:textId="77777777" w:rsidR="009123AC" w:rsidRPr="00F0379B" w:rsidRDefault="009123AC" w:rsidP="009123AC">
            <w:pPr>
              <w:widowControl w:val="0"/>
              <w:spacing w:after="0" w:line="240" w:lineRule="auto"/>
              <w:jc w:val="both"/>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 </w:t>
            </w:r>
          </w:p>
        </w:tc>
        <w:tc>
          <w:tcPr>
            <w:tcW w:w="0" w:type="auto"/>
            <w:vAlign w:val="center"/>
            <w:hideMark/>
          </w:tcPr>
          <w:p w14:paraId="2FACD1BE" w14:textId="77777777" w:rsidR="009123AC" w:rsidRPr="00F0379B" w:rsidRDefault="009123AC" w:rsidP="009123AC">
            <w:pPr>
              <w:widowControl w:val="0"/>
              <w:spacing w:after="0" w:line="240" w:lineRule="auto"/>
              <w:jc w:val="both"/>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 </w:t>
            </w:r>
          </w:p>
        </w:tc>
        <w:tc>
          <w:tcPr>
            <w:tcW w:w="0" w:type="auto"/>
          </w:tcPr>
          <w:p w14:paraId="13F739B9" w14:textId="77777777" w:rsidR="009123AC" w:rsidRPr="00F0379B" w:rsidRDefault="009123AC" w:rsidP="009123AC">
            <w:pPr>
              <w:widowControl w:val="0"/>
              <w:spacing w:after="0" w:line="240" w:lineRule="auto"/>
              <w:jc w:val="both"/>
              <w:rPr>
                <w:rFonts w:ascii="Cambria" w:eastAsia="Times New Roman" w:hAnsi="Cambria" w:cs="Calibri"/>
                <w:color w:val="000000"/>
                <w:sz w:val="16"/>
                <w:szCs w:val="16"/>
                <w:lang w:eastAsia="ja-JP" w:bidi="fr-FR"/>
              </w:rPr>
            </w:pPr>
          </w:p>
        </w:tc>
      </w:tr>
      <w:tr w:rsidR="009123AC" w:rsidRPr="00F0379B" w14:paraId="125CD19E" w14:textId="77777777" w:rsidTr="00CA749B">
        <w:trPr>
          <w:trHeight w:val="20"/>
          <w:jc w:val="center"/>
        </w:trPr>
        <w:tc>
          <w:tcPr>
            <w:tcW w:w="0" w:type="auto"/>
            <w:noWrap/>
            <w:vAlign w:val="center"/>
            <w:hideMark/>
          </w:tcPr>
          <w:p w14:paraId="3170EF5C"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Total flota de cerco</w:t>
            </w:r>
          </w:p>
        </w:tc>
        <w:tc>
          <w:tcPr>
            <w:tcW w:w="2103" w:type="dxa"/>
            <w:noWrap/>
            <w:vAlign w:val="center"/>
            <w:hideMark/>
          </w:tcPr>
          <w:p w14:paraId="549B724A" w14:textId="77777777" w:rsidR="009123AC" w:rsidRPr="00F0379B" w:rsidRDefault="009123AC" w:rsidP="009123AC">
            <w:pPr>
              <w:widowControl w:val="0"/>
              <w:spacing w:after="0" w:line="240" w:lineRule="auto"/>
              <w:jc w:val="both"/>
              <w:rPr>
                <w:rFonts w:ascii="Times New Roman" w:eastAsia="Times New Roman" w:hAnsi="Times New Roman" w:cs="Times New Roman"/>
                <w:color w:val="000000"/>
                <w:sz w:val="18"/>
                <w:szCs w:val="18"/>
                <w:lang w:eastAsia="fr-FR" w:bidi="fr-FR"/>
              </w:rPr>
            </w:pPr>
            <w:r w:rsidRPr="00F0379B">
              <w:rPr>
                <w:rFonts w:ascii="Times New Roman" w:eastAsia="MS Gothic" w:hAnsi="Times New Roman" w:cs="Times New Roman"/>
                <w:color w:val="000000"/>
                <w:sz w:val="18"/>
                <w:szCs w:val="24"/>
                <w:lang w:eastAsia="fr-FR" w:bidi="fr-FR"/>
              </w:rPr>
              <w:t> </w:t>
            </w:r>
          </w:p>
        </w:tc>
        <w:tc>
          <w:tcPr>
            <w:tcW w:w="710" w:type="dxa"/>
          </w:tcPr>
          <w:p w14:paraId="6A7C60DD"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szCs w:val="16"/>
                <w:lang w:eastAsia="ja-JP" w:bidi="fr-FR"/>
              </w:rPr>
            </w:pPr>
          </w:p>
        </w:tc>
        <w:tc>
          <w:tcPr>
            <w:tcW w:w="0" w:type="auto"/>
            <w:noWrap/>
            <w:vAlign w:val="center"/>
            <w:hideMark/>
          </w:tcPr>
          <w:p w14:paraId="409CF246"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szCs w:val="16"/>
                <w:lang w:eastAsia="fr-FR" w:bidi="fr-FR"/>
              </w:rPr>
            </w:pPr>
            <w:r w:rsidRPr="00F0379B">
              <w:rPr>
                <w:rFonts w:ascii="Cambria" w:eastAsia="MS Gothic" w:hAnsi="Cambria" w:cs="Times New Roman"/>
                <w:b/>
                <w:color w:val="000000"/>
                <w:sz w:val="16"/>
                <w:szCs w:val="24"/>
                <w:lang w:eastAsia="fr-FR" w:bidi="fr-FR"/>
              </w:rPr>
              <w:t> </w:t>
            </w:r>
          </w:p>
        </w:tc>
        <w:tc>
          <w:tcPr>
            <w:tcW w:w="0" w:type="auto"/>
            <w:vAlign w:val="center"/>
            <w:hideMark/>
          </w:tcPr>
          <w:p w14:paraId="60074829"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szCs w:val="16"/>
                <w:lang w:eastAsia="fr-FR" w:bidi="fr-FR"/>
              </w:rPr>
            </w:pPr>
            <w:r w:rsidRPr="00F0379B">
              <w:rPr>
                <w:rFonts w:ascii="Cambria" w:eastAsia="MS Gothic" w:hAnsi="Cambria" w:cs="Times New Roman"/>
                <w:b/>
                <w:color w:val="000000"/>
                <w:sz w:val="16"/>
                <w:szCs w:val="24"/>
                <w:lang w:eastAsia="fr-FR" w:bidi="fr-FR"/>
              </w:rPr>
              <w:t> </w:t>
            </w:r>
          </w:p>
        </w:tc>
        <w:tc>
          <w:tcPr>
            <w:tcW w:w="0" w:type="auto"/>
            <w:vAlign w:val="center"/>
            <w:hideMark/>
          </w:tcPr>
          <w:p w14:paraId="126839D8"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szCs w:val="16"/>
                <w:lang w:eastAsia="fr-FR" w:bidi="fr-FR"/>
              </w:rPr>
            </w:pPr>
            <w:r w:rsidRPr="00F0379B">
              <w:rPr>
                <w:rFonts w:ascii="Cambria" w:eastAsia="MS Gothic" w:hAnsi="Cambria" w:cs="Times New Roman"/>
                <w:b/>
                <w:color w:val="000000"/>
                <w:sz w:val="16"/>
                <w:szCs w:val="24"/>
                <w:lang w:eastAsia="fr-FR" w:bidi="fr-FR"/>
              </w:rPr>
              <w:t> </w:t>
            </w:r>
          </w:p>
        </w:tc>
        <w:tc>
          <w:tcPr>
            <w:tcW w:w="0" w:type="auto"/>
            <w:vAlign w:val="center"/>
            <w:hideMark/>
          </w:tcPr>
          <w:p w14:paraId="437FCAFE"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szCs w:val="16"/>
                <w:lang w:eastAsia="fr-FR" w:bidi="fr-FR"/>
              </w:rPr>
            </w:pPr>
            <w:r w:rsidRPr="00F0379B">
              <w:rPr>
                <w:rFonts w:ascii="Cambria" w:eastAsia="MS Gothic" w:hAnsi="Cambria" w:cs="Times New Roman"/>
                <w:b/>
                <w:color w:val="000000"/>
                <w:sz w:val="16"/>
                <w:szCs w:val="24"/>
                <w:lang w:eastAsia="fr-FR" w:bidi="fr-FR"/>
              </w:rPr>
              <w:t> </w:t>
            </w:r>
          </w:p>
        </w:tc>
        <w:tc>
          <w:tcPr>
            <w:tcW w:w="0" w:type="auto"/>
          </w:tcPr>
          <w:p w14:paraId="189B3C9B"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szCs w:val="16"/>
                <w:lang w:eastAsia="ja-JP" w:bidi="fr-FR"/>
              </w:rPr>
            </w:pPr>
          </w:p>
        </w:tc>
        <w:tc>
          <w:tcPr>
            <w:tcW w:w="0" w:type="auto"/>
          </w:tcPr>
          <w:p w14:paraId="1670C0FB"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7EA81946"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szCs w:val="16"/>
                <w:lang w:eastAsia="fr-FR" w:bidi="fr-FR"/>
              </w:rPr>
            </w:pPr>
            <w:r w:rsidRPr="00F0379B">
              <w:rPr>
                <w:rFonts w:ascii="Cambria" w:eastAsia="MS Gothic" w:hAnsi="Cambria" w:cs="Times New Roman"/>
                <w:b/>
                <w:color w:val="000000"/>
                <w:sz w:val="16"/>
                <w:szCs w:val="24"/>
                <w:lang w:eastAsia="fr-FR" w:bidi="fr-FR"/>
              </w:rPr>
              <w:t> </w:t>
            </w:r>
          </w:p>
        </w:tc>
        <w:tc>
          <w:tcPr>
            <w:tcW w:w="0" w:type="auto"/>
          </w:tcPr>
          <w:p w14:paraId="11DE8632"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szCs w:val="16"/>
                <w:lang w:eastAsia="ja-JP" w:bidi="fr-FR"/>
              </w:rPr>
            </w:pPr>
          </w:p>
        </w:tc>
        <w:tc>
          <w:tcPr>
            <w:tcW w:w="0" w:type="auto"/>
            <w:vAlign w:val="center"/>
            <w:hideMark/>
          </w:tcPr>
          <w:p w14:paraId="20CEF812"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szCs w:val="16"/>
                <w:lang w:eastAsia="fr-FR" w:bidi="fr-FR"/>
              </w:rPr>
            </w:pPr>
            <w:r w:rsidRPr="00F0379B">
              <w:rPr>
                <w:rFonts w:ascii="Cambria" w:eastAsia="MS Gothic" w:hAnsi="Cambria" w:cs="Times New Roman"/>
                <w:b/>
                <w:color w:val="000000"/>
                <w:sz w:val="16"/>
                <w:szCs w:val="24"/>
                <w:lang w:eastAsia="fr-FR" w:bidi="fr-FR"/>
              </w:rPr>
              <w:t> </w:t>
            </w:r>
          </w:p>
        </w:tc>
        <w:tc>
          <w:tcPr>
            <w:tcW w:w="0" w:type="auto"/>
            <w:vAlign w:val="center"/>
            <w:hideMark/>
          </w:tcPr>
          <w:p w14:paraId="3F0F7E17"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szCs w:val="16"/>
                <w:lang w:eastAsia="fr-FR" w:bidi="fr-FR"/>
              </w:rPr>
            </w:pPr>
            <w:r w:rsidRPr="00F0379B">
              <w:rPr>
                <w:rFonts w:ascii="Cambria" w:eastAsia="MS Gothic" w:hAnsi="Cambria" w:cs="Times New Roman"/>
                <w:b/>
                <w:color w:val="000000"/>
                <w:sz w:val="16"/>
                <w:szCs w:val="24"/>
                <w:lang w:eastAsia="fr-FR" w:bidi="fr-FR"/>
              </w:rPr>
              <w:t> </w:t>
            </w:r>
          </w:p>
        </w:tc>
        <w:tc>
          <w:tcPr>
            <w:tcW w:w="0" w:type="auto"/>
            <w:vAlign w:val="center"/>
            <w:hideMark/>
          </w:tcPr>
          <w:p w14:paraId="506510FF"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szCs w:val="16"/>
                <w:lang w:eastAsia="fr-FR" w:bidi="fr-FR"/>
              </w:rPr>
            </w:pPr>
            <w:r w:rsidRPr="00F0379B">
              <w:rPr>
                <w:rFonts w:ascii="Cambria" w:eastAsia="MS Gothic" w:hAnsi="Cambria" w:cs="Times New Roman"/>
                <w:b/>
                <w:color w:val="000000"/>
                <w:sz w:val="16"/>
                <w:szCs w:val="24"/>
                <w:lang w:eastAsia="fr-FR" w:bidi="fr-FR"/>
              </w:rPr>
              <w:t> </w:t>
            </w:r>
          </w:p>
        </w:tc>
        <w:tc>
          <w:tcPr>
            <w:tcW w:w="0" w:type="auto"/>
            <w:vAlign w:val="center"/>
            <w:hideMark/>
          </w:tcPr>
          <w:p w14:paraId="5049DBE8"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szCs w:val="16"/>
                <w:lang w:eastAsia="fr-FR" w:bidi="fr-FR"/>
              </w:rPr>
            </w:pPr>
            <w:r w:rsidRPr="00F0379B">
              <w:rPr>
                <w:rFonts w:ascii="Cambria" w:eastAsia="MS Gothic" w:hAnsi="Cambria" w:cs="Times New Roman"/>
                <w:b/>
                <w:color w:val="000000"/>
                <w:sz w:val="16"/>
                <w:szCs w:val="24"/>
                <w:lang w:eastAsia="fr-FR" w:bidi="fr-FR"/>
              </w:rPr>
              <w:t> </w:t>
            </w:r>
          </w:p>
        </w:tc>
        <w:tc>
          <w:tcPr>
            <w:tcW w:w="0" w:type="auto"/>
            <w:vAlign w:val="center"/>
            <w:hideMark/>
          </w:tcPr>
          <w:p w14:paraId="3C8621E2"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szCs w:val="16"/>
                <w:lang w:eastAsia="fr-FR" w:bidi="fr-FR"/>
              </w:rPr>
            </w:pPr>
            <w:r w:rsidRPr="00F0379B">
              <w:rPr>
                <w:rFonts w:ascii="Cambria" w:eastAsia="MS Gothic" w:hAnsi="Cambria" w:cs="Times New Roman"/>
                <w:b/>
                <w:color w:val="000000"/>
                <w:sz w:val="16"/>
                <w:szCs w:val="24"/>
                <w:lang w:eastAsia="fr-FR" w:bidi="fr-FR"/>
              </w:rPr>
              <w:t> </w:t>
            </w:r>
          </w:p>
        </w:tc>
        <w:tc>
          <w:tcPr>
            <w:tcW w:w="0" w:type="auto"/>
          </w:tcPr>
          <w:p w14:paraId="00CEA356" w14:textId="77777777" w:rsidR="009123AC" w:rsidRPr="00F0379B" w:rsidRDefault="009123AC" w:rsidP="009123AC">
            <w:pPr>
              <w:widowControl w:val="0"/>
              <w:spacing w:after="0" w:line="240" w:lineRule="auto"/>
              <w:jc w:val="both"/>
              <w:rPr>
                <w:rFonts w:ascii="Cambria" w:eastAsia="Times New Roman" w:hAnsi="Cambria" w:cs="Calibri"/>
                <w:b/>
                <w:bCs/>
                <w:color w:val="000000"/>
                <w:sz w:val="16"/>
                <w:szCs w:val="16"/>
                <w:lang w:eastAsia="ja-JP" w:bidi="fr-FR"/>
              </w:rPr>
            </w:pPr>
          </w:p>
        </w:tc>
      </w:tr>
      <w:tr w:rsidR="009123AC" w:rsidRPr="00F0379B" w14:paraId="3351FA8E" w14:textId="77777777" w:rsidTr="00CA749B">
        <w:trPr>
          <w:trHeight w:val="20"/>
          <w:jc w:val="center"/>
        </w:trPr>
        <w:tc>
          <w:tcPr>
            <w:tcW w:w="0" w:type="auto"/>
            <w:noWrap/>
            <w:vAlign w:val="center"/>
            <w:hideMark/>
          </w:tcPr>
          <w:p w14:paraId="0DE256CC"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Palangreros de más de 40 m</w:t>
            </w:r>
          </w:p>
        </w:tc>
        <w:tc>
          <w:tcPr>
            <w:tcW w:w="2103" w:type="dxa"/>
            <w:noWrap/>
            <w:vAlign w:val="center"/>
            <w:hideMark/>
          </w:tcPr>
          <w:p w14:paraId="3F287829"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25</w:t>
            </w:r>
          </w:p>
        </w:tc>
        <w:tc>
          <w:tcPr>
            <w:tcW w:w="710" w:type="dxa"/>
            <w:vAlign w:val="center"/>
          </w:tcPr>
          <w:p w14:paraId="0E9686E4"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8</w:t>
            </w:r>
          </w:p>
        </w:tc>
        <w:tc>
          <w:tcPr>
            <w:tcW w:w="0" w:type="auto"/>
            <w:noWrap/>
            <w:vAlign w:val="center"/>
            <w:hideMark/>
          </w:tcPr>
          <w:p w14:paraId="3FC18749"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hideMark/>
          </w:tcPr>
          <w:p w14:paraId="7E6FC6AB"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hideMark/>
          </w:tcPr>
          <w:p w14:paraId="21259572"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hideMark/>
          </w:tcPr>
          <w:p w14:paraId="39E2EBB0"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tcPr>
          <w:p w14:paraId="51789E65"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tcPr>
          <w:p w14:paraId="1B617245"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1</w:t>
            </w:r>
          </w:p>
        </w:tc>
        <w:tc>
          <w:tcPr>
            <w:tcW w:w="0" w:type="auto"/>
            <w:shd w:val="clear" w:color="000000" w:fill="D9D9D9"/>
            <w:vAlign w:val="center"/>
            <w:hideMark/>
          </w:tcPr>
          <w:p w14:paraId="046971EC"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5C442EB1"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200</w:t>
            </w:r>
          </w:p>
        </w:tc>
        <w:tc>
          <w:tcPr>
            <w:tcW w:w="0" w:type="auto"/>
            <w:vAlign w:val="center"/>
            <w:hideMark/>
          </w:tcPr>
          <w:p w14:paraId="3EC032D6"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hideMark/>
          </w:tcPr>
          <w:p w14:paraId="6E6B2337"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hideMark/>
          </w:tcPr>
          <w:p w14:paraId="1F32EF44"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hideMark/>
          </w:tcPr>
          <w:p w14:paraId="0011C7F8"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hideMark/>
          </w:tcPr>
          <w:p w14:paraId="4531146A"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tcPr>
          <w:p w14:paraId="06E8FD81"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25</w:t>
            </w:r>
          </w:p>
        </w:tc>
      </w:tr>
      <w:tr w:rsidR="009123AC" w:rsidRPr="00F0379B" w14:paraId="61AAC655" w14:textId="77777777" w:rsidTr="00CA749B">
        <w:trPr>
          <w:trHeight w:val="20"/>
          <w:jc w:val="center"/>
        </w:trPr>
        <w:tc>
          <w:tcPr>
            <w:tcW w:w="0" w:type="auto"/>
            <w:noWrap/>
            <w:vAlign w:val="center"/>
            <w:hideMark/>
          </w:tcPr>
          <w:p w14:paraId="6B05F85E"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Palangreros entre 24 y 40 m</w:t>
            </w:r>
          </w:p>
        </w:tc>
        <w:tc>
          <w:tcPr>
            <w:tcW w:w="2103" w:type="dxa"/>
            <w:noWrap/>
            <w:vAlign w:val="center"/>
            <w:hideMark/>
          </w:tcPr>
          <w:p w14:paraId="5F1625BB"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5,68</w:t>
            </w:r>
          </w:p>
        </w:tc>
        <w:tc>
          <w:tcPr>
            <w:tcW w:w="710" w:type="dxa"/>
            <w:vAlign w:val="center"/>
          </w:tcPr>
          <w:p w14:paraId="6FB2733D"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noWrap/>
            <w:vAlign w:val="center"/>
            <w:hideMark/>
          </w:tcPr>
          <w:p w14:paraId="2BFBD21D"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76B86C30"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1C1B5C7C"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60B7BC04"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03B4BD6C"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47D39527"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1B0DC67F"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7A84BAFE"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51069FB4"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062998EE"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04DCA274"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1F50F444"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7FB78A0C"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3F37FB26"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r>
      <w:tr w:rsidR="009123AC" w:rsidRPr="00F0379B" w14:paraId="0DC31C9B" w14:textId="77777777" w:rsidTr="00CA749B">
        <w:trPr>
          <w:trHeight w:val="20"/>
          <w:jc w:val="center"/>
        </w:trPr>
        <w:tc>
          <w:tcPr>
            <w:tcW w:w="0" w:type="auto"/>
            <w:noWrap/>
            <w:vAlign w:val="center"/>
            <w:hideMark/>
          </w:tcPr>
          <w:p w14:paraId="6F878970"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Palangreros de menos de 24 m</w:t>
            </w:r>
          </w:p>
        </w:tc>
        <w:tc>
          <w:tcPr>
            <w:tcW w:w="2103" w:type="dxa"/>
            <w:noWrap/>
            <w:vAlign w:val="center"/>
            <w:hideMark/>
          </w:tcPr>
          <w:p w14:paraId="3DB0705E"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5</w:t>
            </w:r>
          </w:p>
        </w:tc>
        <w:tc>
          <w:tcPr>
            <w:tcW w:w="710" w:type="dxa"/>
            <w:vAlign w:val="center"/>
          </w:tcPr>
          <w:p w14:paraId="34D3A888"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noWrap/>
            <w:vAlign w:val="center"/>
            <w:hideMark/>
          </w:tcPr>
          <w:p w14:paraId="36F52FD7"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77391B0D"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64CFBAA8"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10389F78"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674A694D"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2CB69D58"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74BF01CC"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5EB4DE3A"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5BBE3F4B"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2C8F137D"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07EB63D4"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6C615F14"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6E8982C4"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2C6A86D3"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r>
      <w:tr w:rsidR="009123AC" w:rsidRPr="00F0379B" w14:paraId="2C5DE391" w14:textId="77777777" w:rsidTr="00CA749B">
        <w:trPr>
          <w:trHeight w:val="20"/>
          <w:jc w:val="center"/>
        </w:trPr>
        <w:tc>
          <w:tcPr>
            <w:tcW w:w="0" w:type="auto"/>
            <w:noWrap/>
            <w:vAlign w:val="center"/>
            <w:hideMark/>
          </w:tcPr>
          <w:p w14:paraId="112D1285"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Total flota de palangre</w:t>
            </w:r>
          </w:p>
        </w:tc>
        <w:tc>
          <w:tcPr>
            <w:tcW w:w="2103" w:type="dxa"/>
            <w:noWrap/>
            <w:vAlign w:val="center"/>
            <w:hideMark/>
          </w:tcPr>
          <w:p w14:paraId="092C323D" w14:textId="77777777" w:rsidR="009123AC" w:rsidRPr="00F0379B" w:rsidRDefault="009123AC" w:rsidP="009123AC">
            <w:pPr>
              <w:widowControl w:val="0"/>
              <w:spacing w:after="0" w:line="240" w:lineRule="auto"/>
              <w:jc w:val="both"/>
              <w:rPr>
                <w:rFonts w:ascii="Times New Roman" w:eastAsia="Times New Roman" w:hAnsi="Times New Roman" w:cs="Times New Roman"/>
                <w:color w:val="000000"/>
                <w:sz w:val="18"/>
                <w:szCs w:val="18"/>
                <w:lang w:eastAsia="fr-FR" w:bidi="fr-FR"/>
              </w:rPr>
            </w:pPr>
            <w:r w:rsidRPr="00F0379B">
              <w:rPr>
                <w:rFonts w:ascii="Times New Roman" w:eastAsia="MS Gothic" w:hAnsi="Times New Roman" w:cs="Times New Roman"/>
                <w:color w:val="000000"/>
                <w:sz w:val="18"/>
                <w:szCs w:val="24"/>
                <w:lang w:eastAsia="fr-FR" w:bidi="fr-FR"/>
              </w:rPr>
              <w:t> </w:t>
            </w:r>
          </w:p>
        </w:tc>
        <w:tc>
          <w:tcPr>
            <w:tcW w:w="710" w:type="dxa"/>
            <w:vAlign w:val="center"/>
          </w:tcPr>
          <w:p w14:paraId="7F90114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hideMark/>
          </w:tcPr>
          <w:p w14:paraId="54F460D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3E34A01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03EDF60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5B0477C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5741C8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627858D0"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3DF40C9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694AFD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212A858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77523FC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296568B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326E3F8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4A87966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4EA1B307"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r>
      <w:tr w:rsidR="009123AC" w:rsidRPr="00F0379B" w14:paraId="52E5F5D5" w14:textId="77777777" w:rsidTr="00CA749B">
        <w:trPr>
          <w:trHeight w:val="20"/>
          <w:jc w:val="center"/>
        </w:trPr>
        <w:tc>
          <w:tcPr>
            <w:tcW w:w="0" w:type="auto"/>
            <w:noWrap/>
            <w:vAlign w:val="center"/>
            <w:hideMark/>
          </w:tcPr>
          <w:p w14:paraId="28F00B38"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Cebo vivo</w:t>
            </w:r>
          </w:p>
        </w:tc>
        <w:tc>
          <w:tcPr>
            <w:tcW w:w="2103" w:type="dxa"/>
            <w:noWrap/>
            <w:vAlign w:val="center"/>
            <w:hideMark/>
          </w:tcPr>
          <w:p w14:paraId="1BEB1925"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19,75</w:t>
            </w:r>
          </w:p>
        </w:tc>
        <w:tc>
          <w:tcPr>
            <w:tcW w:w="710" w:type="dxa"/>
            <w:vAlign w:val="center"/>
          </w:tcPr>
          <w:p w14:paraId="253063F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hideMark/>
          </w:tcPr>
          <w:p w14:paraId="4C77545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18EC73F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422A829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73E0678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02F0278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229CB3F"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2867223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179902F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64133C7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51032AF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01945D77"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33D24AE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258FCA3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184CBC7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r>
      <w:tr w:rsidR="009123AC" w:rsidRPr="00F0379B" w14:paraId="7ADC18B0" w14:textId="77777777" w:rsidTr="00CA749B">
        <w:trPr>
          <w:trHeight w:val="20"/>
          <w:jc w:val="center"/>
        </w:trPr>
        <w:tc>
          <w:tcPr>
            <w:tcW w:w="0" w:type="auto"/>
            <w:noWrap/>
            <w:vAlign w:val="center"/>
            <w:hideMark/>
          </w:tcPr>
          <w:p w14:paraId="5B14C61B"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Liña de mano</w:t>
            </w:r>
          </w:p>
        </w:tc>
        <w:tc>
          <w:tcPr>
            <w:tcW w:w="2103" w:type="dxa"/>
            <w:noWrap/>
            <w:vAlign w:val="center"/>
            <w:hideMark/>
          </w:tcPr>
          <w:p w14:paraId="4700D42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5</w:t>
            </w:r>
          </w:p>
        </w:tc>
        <w:tc>
          <w:tcPr>
            <w:tcW w:w="710" w:type="dxa"/>
            <w:vAlign w:val="center"/>
          </w:tcPr>
          <w:p w14:paraId="05D87813"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noWrap/>
            <w:vAlign w:val="center"/>
            <w:hideMark/>
          </w:tcPr>
          <w:p w14:paraId="5C832D71"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2F733F43"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734EC6CD"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302DA208"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61ADD49C"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64C25E5A"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0FAAA24D"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20212443"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3278F256"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64F59878"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3CE71B85"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091794B0"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68AFCF78"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3BB71CE4"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r>
      <w:tr w:rsidR="009123AC" w:rsidRPr="00F0379B" w14:paraId="06100F21" w14:textId="77777777" w:rsidTr="00CA749B">
        <w:trPr>
          <w:trHeight w:val="20"/>
          <w:jc w:val="center"/>
        </w:trPr>
        <w:tc>
          <w:tcPr>
            <w:tcW w:w="0" w:type="auto"/>
            <w:noWrap/>
            <w:vAlign w:val="center"/>
            <w:hideMark/>
          </w:tcPr>
          <w:p w14:paraId="68AC0B2D"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Arrastrero</w:t>
            </w:r>
          </w:p>
        </w:tc>
        <w:tc>
          <w:tcPr>
            <w:tcW w:w="2103" w:type="dxa"/>
            <w:noWrap/>
            <w:vAlign w:val="center"/>
            <w:hideMark/>
          </w:tcPr>
          <w:p w14:paraId="2B35A546"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10</w:t>
            </w:r>
          </w:p>
        </w:tc>
        <w:tc>
          <w:tcPr>
            <w:tcW w:w="710" w:type="dxa"/>
            <w:vAlign w:val="center"/>
          </w:tcPr>
          <w:p w14:paraId="441245CC"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noWrap/>
            <w:vAlign w:val="center"/>
            <w:hideMark/>
          </w:tcPr>
          <w:p w14:paraId="0C0C7502"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54F195A8"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53073641"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56B94EDA"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1E12E8F9"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568061E3"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16381B9B"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0187D07F"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52563AAE"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5115F4EF"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52626451"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23AF5C0E"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196B5CC1"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46D21F85"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r>
      <w:tr w:rsidR="009123AC" w:rsidRPr="00F0379B" w14:paraId="527BE1F5" w14:textId="77777777" w:rsidTr="00CA749B">
        <w:trPr>
          <w:trHeight w:val="20"/>
          <w:jc w:val="center"/>
        </w:trPr>
        <w:tc>
          <w:tcPr>
            <w:tcW w:w="0" w:type="auto"/>
            <w:noWrap/>
            <w:vAlign w:val="center"/>
            <w:hideMark/>
          </w:tcPr>
          <w:p w14:paraId="3121285A"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Almadraba</w:t>
            </w:r>
          </w:p>
        </w:tc>
        <w:tc>
          <w:tcPr>
            <w:tcW w:w="2103" w:type="dxa"/>
            <w:noWrap/>
            <w:vAlign w:val="center"/>
            <w:hideMark/>
          </w:tcPr>
          <w:p w14:paraId="6015C37C"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130</w:t>
            </w:r>
          </w:p>
        </w:tc>
        <w:tc>
          <w:tcPr>
            <w:tcW w:w="710" w:type="dxa"/>
            <w:vAlign w:val="center"/>
          </w:tcPr>
          <w:p w14:paraId="3DF94E2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hideMark/>
          </w:tcPr>
          <w:p w14:paraId="203718E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7CC3831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7388675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52F13CC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0BB4DBA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345C900F"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5E0F4DD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0C2AFCE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683475F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3F9F6FD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6292210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1B0B1EC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14A7B7F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01486CA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r>
      <w:tr w:rsidR="009123AC" w:rsidRPr="00F0379B" w14:paraId="7981981B" w14:textId="77777777" w:rsidTr="00CA749B">
        <w:trPr>
          <w:trHeight w:val="20"/>
          <w:jc w:val="center"/>
        </w:trPr>
        <w:tc>
          <w:tcPr>
            <w:tcW w:w="0" w:type="auto"/>
            <w:vAlign w:val="center"/>
            <w:hideMark/>
          </w:tcPr>
          <w:p w14:paraId="759857CE"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Pequeños barcos costeros</w:t>
            </w:r>
          </w:p>
        </w:tc>
        <w:tc>
          <w:tcPr>
            <w:tcW w:w="2103" w:type="dxa"/>
            <w:noWrap/>
            <w:vAlign w:val="center"/>
            <w:hideMark/>
          </w:tcPr>
          <w:p w14:paraId="706D8367"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No aplicable</w:t>
            </w:r>
          </w:p>
        </w:tc>
        <w:tc>
          <w:tcPr>
            <w:tcW w:w="710" w:type="dxa"/>
            <w:vAlign w:val="center"/>
          </w:tcPr>
          <w:p w14:paraId="3456F32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hideMark/>
          </w:tcPr>
          <w:p w14:paraId="06BA752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3A2C770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56DE89E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325C43C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18A0BDE7"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69A1F885"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05C7E99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61595FE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3CC1328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5ABB55E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5FDC67D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2588C84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0B76FF9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6F3904F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r>
      <w:tr w:rsidR="009123AC" w:rsidRPr="00F0379B" w14:paraId="22606CF0" w14:textId="77777777" w:rsidTr="00CA749B">
        <w:trPr>
          <w:trHeight w:val="20"/>
          <w:jc w:val="center"/>
        </w:trPr>
        <w:tc>
          <w:tcPr>
            <w:tcW w:w="0" w:type="auto"/>
            <w:vAlign w:val="center"/>
            <w:hideMark/>
          </w:tcPr>
          <w:p w14:paraId="7BB52C2E" w14:textId="77777777" w:rsidR="009123AC" w:rsidRPr="00F0379B" w:rsidRDefault="009123AC" w:rsidP="009123AC">
            <w:pPr>
              <w:widowControl w:val="0"/>
              <w:spacing w:after="0" w:line="240" w:lineRule="auto"/>
              <w:jc w:val="both"/>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Otros (especificar)</w:t>
            </w:r>
          </w:p>
        </w:tc>
        <w:tc>
          <w:tcPr>
            <w:tcW w:w="2103" w:type="dxa"/>
            <w:noWrap/>
            <w:vAlign w:val="center"/>
            <w:hideMark/>
          </w:tcPr>
          <w:p w14:paraId="706CE1F6" w14:textId="77777777" w:rsidR="009123AC" w:rsidRPr="00F0379B" w:rsidRDefault="009123AC" w:rsidP="009123AC">
            <w:pPr>
              <w:widowControl w:val="0"/>
              <w:spacing w:after="0" w:line="240" w:lineRule="auto"/>
              <w:jc w:val="center"/>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5</w:t>
            </w:r>
          </w:p>
        </w:tc>
        <w:tc>
          <w:tcPr>
            <w:tcW w:w="710" w:type="dxa"/>
            <w:vAlign w:val="center"/>
          </w:tcPr>
          <w:p w14:paraId="1C2580F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hideMark/>
          </w:tcPr>
          <w:p w14:paraId="65D0910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0D581CC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0854950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2FE4D5E7"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78EEBB8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799D4E95"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22DCA5D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05D2D86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04C4190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720194F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41BD672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1A2B3AA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0776F43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79829A2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r>
      <w:tr w:rsidR="009123AC" w:rsidRPr="00F0379B" w14:paraId="31177727" w14:textId="77777777" w:rsidTr="00CA749B">
        <w:trPr>
          <w:trHeight w:val="20"/>
          <w:jc w:val="center"/>
        </w:trPr>
        <w:tc>
          <w:tcPr>
            <w:tcW w:w="0" w:type="auto"/>
            <w:noWrap/>
            <w:vAlign w:val="center"/>
            <w:hideMark/>
          </w:tcPr>
          <w:p w14:paraId="683FF173"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Capacidad pesquera/flota total</w:t>
            </w:r>
          </w:p>
        </w:tc>
        <w:tc>
          <w:tcPr>
            <w:tcW w:w="2103" w:type="dxa"/>
            <w:noWrap/>
            <w:vAlign w:val="center"/>
            <w:hideMark/>
          </w:tcPr>
          <w:p w14:paraId="781EC6CE" w14:textId="77777777" w:rsidR="009123AC" w:rsidRPr="00F0379B" w:rsidRDefault="009123AC" w:rsidP="009123AC">
            <w:pPr>
              <w:widowControl w:val="0"/>
              <w:spacing w:after="0" w:line="240" w:lineRule="auto"/>
              <w:jc w:val="right"/>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710" w:type="dxa"/>
            <w:vAlign w:val="center"/>
          </w:tcPr>
          <w:p w14:paraId="4FBDBA9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fr-FR" w:bidi="fr-FR"/>
              </w:rPr>
            </w:pPr>
            <w:r w:rsidRPr="00F0379B">
              <w:rPr>
                <w:rFonts w:ascii="Cambria" w:eastAsia="MS Gothic" w:hAnsi="Cambria" w:cs="Times New Roman"/>
                <w:color w:val="000000"/>
                <w:sz w:val="16"/>
                <w:szCs w:val="24"/>
                <w:lang w:eastAsia="fr-FR" w:bidi="fr-FR"/>
              </w:rPr>
              <w:t>8</w:t>
            </w:r>
          </w:p>
        </w:tc>
        <w:tc>
          <w:tcPr>
            <w:tcW w:w="0" w:type="auto"/>
            <w:noWrap/>
            <w:vAlign w:val="center"/>
            <w:hideMark/>
          </w:tcPr>
          <w:p w14:paraId="3CACAA3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hideMark/>
          </w:tcPr>
          <w:p w14:paraId="470A0A7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hideMark/>
          </w:tcPr>
          <w:p w14:paraId="674164C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hideMark/>
          </w:tcPr>
          <w:p w14:paraId="52C5154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tcPr>
          <w:p w14:paraId="6DCEABA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tcPr>
          <w:p w14:paraId="2C9BCB22"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1</w:t>
            </w:r>
          </w:p>
        </w:tc>
        <w:tc>
          <w:tcPr>
            <w:tcW w:w="0" w:type="auto"/>
            <w:shd w:val="clear" w:color="000000" w:fill="D9D9D9"/>
            <w:vAlign w:val="center"/>
            <w:hideMark/>
          </w:tcPr>
          <w:p w14:paraId="6FCCAA4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19AE026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fr-FR" w:bidi="fr-FR"/>
              </w:rPr>
            </w:pPr>
            <w:r w:rsidRPr="00F0379B">
              <w:rPr>
                <w:rFonts w:ascii="Cambria" w:eastAsia="MS Gothic" w:hAnsi="Cambria" w:cs="Times New Roman"/>
                <w:color w:val="000000"/>
                <w:sz w:val="16"/>
                <w:szCs w:val="24"/>
                <w:lang w:eastAsia="fr-FR" w:bidi="fr-FR"/>
              </w:rPr>
              <w:t>200</w:t>
            </w:r>
          </w:p>
        </w:tc>
        <w:tc>
          <w:tcPr>
            <w:tcW w:w="0" w:type="auto"/>
            <w:vAlign w:val="center"/>
            <w:hideMark/>
          </w:tcPr>
          <w:p w14:paraId="439DCB8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hideMark/>
          </w:tcPr>
          <w:p w14:paraId="1796E6A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noWrap/>
            <w:vAlign w:val="center"/>
            <w:hideMark/>
          </w:tcPr>
          <w:p w14:paraId="131B1C8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noWrap/>
            <w:vAlign w:val="center"/>
            <w:hideMark/>
          </w:tcPr>
          <w:p w14:paraId="1222906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noWrap/>
            <w:vAlign w:val="center"/>
            <w:hideMark/>
          </w:tcPr>
          <w:p w14:paraId="5309C68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fr-FR" w:bidi="fr-FR"/>
              </w:rPr>
            </w:pPr>
            <w:r w:rsidRPr="00F0379B">
              <w:rPr>
                <w:rFonts w:ascii="Cambria" w:eastAsia="MS Gothic" w:hAnsi="Cambria" w:cs="Times New Roman"/>
                <w:color w:val="000000"/>
                <w:sz w:val="16"/>
                <w:szCs w:val="24"/>
                <w:lang w:eastAsia="fr-FR" w:bidi="fr-FR"/>
              </w:rPr>
              <w:t>0</w:t>
            </w:r>
          </w:p>
        </w:tc>
        <w:tc>
          <w:tcPr>
            <w:tcW w:w="0" w:type="auto"/>
            <w:vAlign w:val="center"/>
          </w:tcPr>
          <w:p w14:paraId="3913365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fr-FR" w:bidi="fr-FR"/>
              </w:rPr>
            </w:pPr>
            <w:r w:rsidRPr="00F0379B">
              <w:rPr>
                <w:rFonts w:ascii="Cambria" w:eastAsia="MS Gothic" w:hAnsi="Cambria" w:cs="Times New Roman"/>
                <w:color w:val="000000"/>
                <w:sz w:val="16"/>
                <w:szCs w:val="24"/>
                <w:lang w:eastAsia="fr-FR" w:bidi="fr-FR"/>
              </w:rPr>
              <w:t>25</w:t>
            </w:r>
          </w:p>
        </w:tc>
      </w:tr>
      <w:tr w:rsidR="009123AC" w:rsidRPr="00F0379B" w14:paraId="3CC2EBD1" w14:textId="77777777" w:rsidTr="00CA749B">
        <w:trPr>
          <w:trHeight w:val="20"/>
          <w:jc w:val="center"/>
        </w:trPr>
        <w:tc>
          <w:tcPr>
            <w:tcW w:w="0" w:type="auto"/>
            <w:shd w:val="clear" w:color="auto" w:fill="D9D9D9"/>
            <w:noWrap/>
            <w:vAlign w:val="center"/>
            <w:hideMark/>
          </w:tcPr>
          <w:p w14:paraId="6C42CFB5"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Cuota inicial</w:t>
            </w:r>
          </w:p>
        </w:tc>
        <w:tc>
          <w:tcPr>
            <w:tcW w:w="2103" w:type="dxa"/>
            <w:shd w:val="clear" w:color="auto" w:fill="D9D9D9"/>
            <w:noWrap/>
            <w:vAlign w:val="center"/>
            <w:hideMark/>
          </w:tcPr>
          <w:p w14:paraId="5A2749F7" w14:textId="77777777" w:rsidR="009123AC" w:rsidRPr="00F0379B" w:rsidRDefault="009123AC" w:rsidP="009123AC">
            <w:pPr>
              <w:widowControl w:val="0"/>
              <w:spacing w:after="0" w:line="240" w:lineRule="auto"/>
              <w:jc w:val="right"/>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710" w:type="dxa"/>
            <w:shd w:val="clear" w:color="auto" w:fill="D9D9D9"/>
            <w:vAlign w:val="center"/>
          </w:tcPr>
          <w:p w14:paraId="304D6245"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noWrap/>
            <w:vAlign w:val="center"/>
            <w:hideMark/>
          </w:tcPr>
          <w:p w14:paraId="23BFCD3B"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hideMark/>
          </w:tcPr>
          <w:p w14:paraId="103113F2"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45D6F7A4"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zh-TW" w:bidi="fr-FR"/>
              </w:rPr>
            </w:pPr>
          </w:p>
        </w:tc>
        <w:tc>
          <w:tcPr>
            <w:tcW w:w="0" w:type="auto"/>
            <w:shd w:val="clear" w:color="auto" w:fill="D9D9D9"/>
            <w:vAlign w:val="center"/>
          </w:tcPr>
          <w:p w14:paraId="62E7286A"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5906628B"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zh-TW" w:bidi="fr-FR"/>
              </w:rPr>
            </w:pPr>
          </w:p>
        </w:tc>
        <w:tc>
          <w:tcPr>
            <w:tcW w:w="0" w:type="auto"/>
            <w:shd w:val="clear" w:color="auto" w:fill="D9D9D9"/>
            <w:vAlign w:val="center"/>
          </w:tcPr>
          <w:p w14:paraId="64FF47E2"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zh-TW" w:bidi="fr-FR"/>
              </w:rPr>
            </w:pPr>
          </w:p>
        </w:tc>
        <w:tc>
          <w:tcPr>
            <w:tcW w:w="0" w:type="auto"/>
            <w:shd w:val="clear" w:color="auto" w:fill="D9D9D9"/>
            <w:vAlign w:val="center"/>
            <w:hideMark/>
          </w:tcPr>
          <w:p w14:paraId="30759DB1"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2B2F5B0E"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480</w:t>
            </w:r>
          </w:p>
        </w:tc>
        <w:tc>
          <w:tcPr>
            <w:tcW w:w="0" w:type="auto"/>
            <w:shd w:val="clear" w:color="auto" w:fill="D9D9D9"/>
            <w:vAlign w:val="center"/>
            <w:hideMark/>
          </w:tcPr>
          <w:p w14:paraId="52C4F410"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68,71</w:t>
            </w:r>
          </w:p>
        </w:tc>
        <w:tc>
          <w:tcPr>
            <w:tcW w:w="0" w:type="auto"/>
            <w:shd w:val="clear" w:color="auto" w:fill="D9D9D9"/>
            <w:vAlign w:val="center"/>
            <w:hideMark/>
          </w:tcPr>
          <w:p w14:paraId="68D3EAB1"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79</w:t>
            </w:r>
          </w:p>
        </w:tc>
        <w:tc>
          <w:tcPr>
            <w:tcW w:w="0" w:type="auto"/>
            <w:shd w:val="clear" w:color="auto" w:fill="D9D9D9"/>
            <w:vAlign w:val="center"/>
            <w:hideMark/>
          </w:tcPr>
          <w:p w14:paraId="24DF832F"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101</w:t>
            </w:r>
          </w:p>
        </w:tc>
        <w:tc>
          <w:tcPr>
            <w:tcW w:w="0" w:type="auto"/>
            <w:shd w:val="clear" w:color="auto" w:fill="D9D9D9"/>
            <w:vAlign w:val="center"/>
            <w:hideMark/>
          </w:tcPr>
          <w:p w14:paraId="2DB877B8"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101</w:t>
            </w:r>
          </w:p>
        </w:tc>
        <w:tc>
          <w:tcPr>
            <w:tcW w:w="0" w:type="auto"/>
            <w:shd w:val="clear" w:color="auto" w:fill="D9D9D9"/>
            <w:vAlign w:val="center"/>
            <w:hideMark/>
          </w:tcPr>
          <w:p w14:paraId="18D598ED"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101</w:t>
            </w:r>
          </w:p>
        </w:tc>
        <w:tc>
          <w:tcPr>
            <w:tcW w:w="0" w:type="auto"/>
            <w:shd w:val="clear" w:color="auto" w:fill="D9D9D9"/>
            <w:vAlign w:val="center"/>
          </w:tcPr>
          <w:p w14:paraId="55586FB9"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101</w:t>
            </w:r>
          </w:p>
        </w:tc>
      </w:tr>
      <w:tr w:rsidR="009123AC" w:rsidRPr="00F0379B" w14:paraId="3B458A71" w14:textId="77777777" w:rsidTr="00CA749B">
        <w:trPr>
          <w:trHeight w:val="20"/>
          <w:jc w:val="center"/>
        </w:trPr>
        <w:tc>
          <w:tcPr>
            <w:tcW w:w="0" w:type="auto"/>
            <w:shd w:val="clear" w:color="auto" w:fill="D9D9D9"/>
            <w:noWrap/>
            <w:vAlign w:val="center"/>
          </w:tcPr>
          <w:p w14:paraId="1CDD8213"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Cuota ajustada (si procede)</w:t>
            </w:r>
          </w:p>
        </w:tc>
        <w:tc>
          <w:tcPr>
            <w:tcW w:w="2103" w:type="dxa"/>
            <w:shd w:val="clear" w:color="auto" w:fill="D9D9D9"/>
            <w:noWrap/>
            <w:vAlign w:val="center"/>
          </w:tcPr>
          <w:p w14:paraId="78D3E1E0" w14:textId="77777777" w:rsidR="009123AC" w:rsidRPr="00F0379B" w:rsidRDefault="009123AC" w:rsidP="009123AC">
            <w:pPr>
              <w:widowControl w:val="0"/>
              <w:spacing w:after="0" w:line="240" w:lineRule="auto"/>
              <w:jc w:val="right"/>
              <w:rPr>
                <w:rFonts w:ascii="Cambria" w:eastAsia="Times New Roman" w:hAnsi="Cambria" w:cs="Calibri"/>
                <w:color w:val="000000"/>
                <w:sz w:val="18"/>
                <w:szCs w:val="18"/>
                <w:lang w:eastAsia="ja-JP" w:bidi="fr-FR"/>
              </w:rPr>
            </w:pPr>
          </w:p>
        </w:tc>
        <w:tc>
          <w:tcPr>
            <w:tcW w:w="710" w:type="dxa"/>
            <w:shd w:val="clear" w:color="auto" w:fill="D9D9D9"/>
            <w:vAlign w:val="center"/>
          </w:tcPr>
          <w:p w14:paraId="738D3972"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noWrap/>
            <w:vAlign w:val="center"/>
          </w:tcPr>
          <w:p w14:paraId="0BE1B9FC"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6DA8BDDA"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7D885512"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72347D8F"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62C1D80D"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418A435D"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70471C0D"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730C13AF"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315C0F3F"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33C1A24E"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29</w:t>
            </w:r>
          </w:p>
        </w:tc>
        <w:tc>
          <w:tcPr>
            <w:tcW w:w="0" w:type="auto"/>
            <w:shd w:val="clear" w:color="auto" w:fill="D9D9D9"/>
            <w:vAlign w:val="center"/>
          </w:tcPr>
          <w:p w14:paraId="267C4994"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51</w:t>
            </w:r>
          </w:p>
        </w:tc>
        <w:tc>
          <w:tcPr>
            <w:tcW w:w="0" w:type="auto"/>
            <w:shd w:val="clear" w:color="auto" w:fill="D9D9D9"/>
            <w:vAlign w:val="center"/>
          </w:tcPr>
          <w:p w14:paraId="091F71EF"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51</w:t>
            </w:r>
          </w:p>
        </w:tc>
        <w:tc>
          <w:tcPr>
            <w:tcW w:w="0" w:type="auto"/>
            <w:shd w:val="clear" w:color="auto" w:fill="D9D9D9"/>
            <w:vAlign w:val="center"/>
          </w:tcPr>
          <w:p w14:paraId="16629606"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51</w:t>
            </w:r>
          </w:p>
        </w:tc>
        <w:tc>
          <w:tcPr>
            <w:tcW w:w="0" w:type="auto"/>
            <w:shd w:val="clear" w:color="auto" w:fill="D9D9D9"/>
            <w:vAlign w:val="center"/>
          </w:tcPr>
          <w:p w14:paraId="5F22207F"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71,2</w:t>
            </w:r>
          </w:p>
        </w:tc>
      </w:tr>
      <w:tr w:rsidR="009123AC" w:rsidRPr="00F0379B" w14:paraId="35A375B3" w14:textId="77777777" w:rsidTr="00CA749B">
        <w:trPr>
          <w:trHeight w:val="20"/>
          <w:jc w:val="center"/>
        </w:trPr>
        <w:tc>
          <w:tcPr>
            <w:tcW w:w="0" w:type="auto"/>
            <w:noWrap/>
            <w:vAlign w:val="center"/>
            <w:hideMark/>
          </w:tcPr>
          <w:p w14:paraId="75DCF6E0"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Porcentaje asignado a captura fortuita</w:t>
            </w:r>
          </w:p>
        </w:tc>
        <w:tc>
          <w:tcPr>
            <w:tcW w:w="2103" w:type="dxa"/>
            <w:noWrap/>
            <w:vAlign w:val="center"/>
            <w:hideMark/>
          </w:tcPr>
          <w:p w14:paraId="38F7E9CF" w14:textId="77777777" w:rsidR="009123AC" w:rsidRPr="00F0379B" w:rsidRDefault="009123AC" w:rsidP="009123AC">
            <w:pPr>
              <w:widowControl w:val="0"/>
              <w:spacing w:after="0" w:line="240" w:lineRule="auto"/>
              <w:jc w:val="right"/>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710" w:type="dxa"/>
            <w:vAlign w:val="center"/>
          </w:tcPr>
          <w:p w14:paraId="19D17C8C"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noWrap/>
            <w:vAlign w:val="center"/>
            <w:hideMark/>
          </w:tcPr>
          <w:p w14:paraId="14A3D23D"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6BC53DA8"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08DB4B86"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5FECFFF6"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2224679F"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69A7FDC6"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6CBF8BEA"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0B677AEF"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1BE3DE18"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0FCC0C33" w14:textId="77777777" w:rsidR="009123AC" w:rsidRPr="00F0379B" w:rsidRDefault="009123AC" w:rsidP="009123AC">
            <w:pPr>
              <w:widowControl w:val="0"/>
              <w:spacing w:after="0" w:line="240" w:lineRule="auto"/>
              <w:jc w:val="center"/>
              <w:rPr>
                <w:rFonts w:ascii="Cambria" w:eastAsia="PMingLiU"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w:t>
            </w:r>
          </w:p>
        </w:tc>
        <w:tc>
          <w:tcPr>
            <w:tcW w:w="0" w:type="auto"/>
            <w:vAlign w:val="center"/>
          </w:tcPr>
          <w:p w14:paraId="21FCACF6" w14:textId="77777777" w:rsidR="009123AC" w:rsidRPr="00F0379B" w:rsidRDefault="009123AC" w:rsidP="009123AC">
            <w:pPr>
              <w:widowControl w:val="0"/>
              <w:spacing w:after="0" w:line="240" w:lineRule="auto"/>
              <w:jc w:val="center"/>
              <w:rPr>
                <w:rFonts w:ascii="Cambria" w:eastAsia="PMingLiU"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w:t>
            </w:r>
          </w:p>
        </w:tc>
        <w:tc>
          <w:tcPr>
            <w:tcW w:w="0" w:type="auto"/>
            <w:vAlign w:val="center"/>
          </w:tcPr>
          <w:p w14:paraId="75842830" w14:textId="77777777" w:rsidR="009123AC" w:rsidRPr="00F0379B" w:rsidRDefault="009123AC" w:rsidP="009123AC">
            <w:pPr>
              <w:widowControl w:val="0"/>
              <w:spacing w:after="0" w:line="240" w:lineRule="auto"/>
              <w:jc w:val="center"/>
              <w:rPr>
                <w:rFonts w:ascii="Cambria" w:eastAsia="PMingLiU"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w:t>
            </w:r>
          </w:p>
        </w:tc>
        <w:tc>
          <w:tcPr>
            <w:tcW w:w="0" w:type="auto"/>
            <w:vAlign w:val="center"/>
          </w:tcPr>
          <w:p w14:paraId="6A06BCEF" w14:textId="77777777" w:rsidR="009123AC" w:rsidRPr="00F0379B" w:rsidRDefault="009123AC" w:rsidP="009123AC">
            <w:pPr>
              <w:widowControl w:val="0"/>
              <w:spacing w:after="0" w:line="240" w:lineRule="auto"/>
              <w:jc w:val="center"/>
              <w:rPr>
                <w:rFonts w:ascii="Cambria" w:eastAsia="PMingLiU"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w:t>
            </w:r>
          </w:p>
        </w:tc>
        <w:tc>
          <w:tcPr>
            <w:tcW w:w="0" w:type="auto"/>
            <w:vAlign w:val="center"/>
          </w:tcPr>
          <w:p w14:paraId="1F8B14A3"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1 %</w:t>
            </w:r>
          </w:p>
        </w:tc>
      </w:tr>
      <w:tr w:rsidR="009123AC" w:rsidRPr="00F0379B" w14:paraId="7C6A6DCD" w14:textId="77777777" w:rsidTr="00CA749B">
        <w:trPr>
          <w:trHeight w:val="20"/>
          <w:jc w:val="center"/>
        </w:trPr>
        <w:tc>
          <w:tcPr>
            <w:tcW w:w="0" w:type="auto"/>
            <w:noWrap/>
            <w:vAlign w:val="center"/>
          </w:tcPr>
          <w:p w14:paraId="5AE72E9D"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Asignación a la captura fortuita</w:t>
            </w:r>
          </w:p>
        </w:tc>
        <w:tc>
          <w:tcPr>
            <w:tcW w:w="2103" w:type="dxa"/>
            <w:noWrap/>
            <w:vAlign w:val="center"/>
          </w:tcPr>
          <w:p w14:paraId="71F42E06" w14:textId="77777777" w:rsidR="009123AC" w:rsidRPr="00F0379B" w:rsidRDefault="009123AC" w:rsidP="009123AC">
            <w:pPr>
              <w:widowControl w:val="0"/>
              <w:spacing w:after="0" w:line="240" w:lineRule="auto"/>
              <w:jc w:val="right"/>
              <w:rPr>
                <w:rFonts w:ascii="Cambria" w:eastAsia="Times New Roman" w:hAnsi="Cambria" w:cs="Calibri"/>
                <w:color w:val="000000"/>
                <w:sz w:val="18"/>
                <w:szCs w:val="18"/>
                <w:lang w:eastAsia="ja-JP" w:bidi="fr-FR"/>
              </w:rPr>
            </w:pPr>
          </w:p>
        </w:tc>
        <w:tc>
          <w:tcPr>
            <w:tcW w:w="710" w:type="dxa"/>
            <w:vAlign w:val="center"/>
          </w:tcPr>
          <w:p w14:paraId="3F969916"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noWrap/>
            <w:vAlign w:val="center"/>
          </w:tcPr>
          <w:p w14:paraId="0F7BB30B"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17905C81"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18397A7C"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701CB4AC"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184C0B38"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38572A00"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tcPr>
          <w:p w14:paraId="02F326DC"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452665C4"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6D1AF19C"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3DB3E39C" w14:textId="77777777" w:rsidR="009123AC" w:rsidRPr="00F0379B" w:rsidRDefault="009123AC" w:rsidP="009123AC">
            <w:pPr>
              <w:widowControl w:val="0"/>
              <w:spacing w:after="0" w:line="240" w:lineRule="auto"/>
              <w:jc w:val="center"/>
              <w:rPr>
                <w:rFonts w:ascii="Cambria" w:eastAsia="PMingLiU"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w:t>
            </w:r>
          </w:p>
        </w:tc>
        <w:tc>
          <w:tcPr>
            <w:tcW w:w="0" w:type="auto"/>
            <w:vAlign w:val="center"/>
          </w:tcPr>
          <w:p w14:paraId="392FADEA" w14:textId="77777777" w:rsidR="009123AC" w:rsidRPr="00F0379B" w:rsidRDefault="009123AC" w:rsidP="009123AC">
            <w:pPr>
              <w:widowControl w:val="0"/>
              <w:spacing w:after="0" w:line="240" w:lineRule="auto"/>
              <w:jc w:val="center"/>
              <w:rPr>
                <w:rFonts w:ascii="Cambria" w:eastAsia="PMingLiU"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w:t>
            </w:r>
          </w:p>
        </w:tc>
        <w:tc>
          <w:tcPr>
            <w:tcW w:w="0" w:type="auto"/>
            <w:vAlign w:val="center"/>
          </w:tcPr>
          <w:p w14:paraId="752FC677" w14:textId="77777777" w:rsidR="009123AC" w:rsidRPr="00F0379B" w:rsidRDefault="009123AC" w:rsidP="009123AC">
            <w:pPr>
              <w:widowControl w:val="0"/>
              <w:spacing w:after="0" w:line="240" w:lineRule="auto"/>
              <w:jc w:val="center"/>
              <w:rPr>
                <w:rFonts w:ascii="Cambria" w:eastAsia="PMingLiU"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w:t>
            </w:r>
          </w:p>
        </w:tc>
        <w:tc>
          <w:tcPr>
            <w:tcW w:w="0" w:type="auto"/>
            <w:vAlign w:val="center"/>
          </w:tcPr>
          <w:p w14:paraId="44DDC8FA" w14:textId="77777777" w:rsidR="009123AC" w:rsidRPr="00F0379B" w:rsidRDefault="009123AC" w:rsidP="009123AC">
            <w:pPr>
              <w:widowControl w:val="0"/>
              <w:spacing w:after="0" w:line="240" w:lineRule="auto"/>
              <w:jc w:val="center"/>
              <w:rPr>
                <w:rFonts w:ascii="Cambria" w:eastAsia="PMingLiU" w:hAnsi="Cambria" w:cs="Calibri"/>
                <w:color w:val="000000"/>
                <w:sz w:val="20"/>
                <w:szCs w:val="20"/>
                <w:lang w:eastAsia="fr-FR" w:bidi="fr-FR"/>
              </w:rPr>
            </w:pPr>
            <w:r w:rsidRPr="00F0379B">
              <w:rPr>
                <w:rFonts w:ascii="Cambria" w:eastAsia="MS Gothic" w:hAnsi="Cambria" w:cs="Times New Roman"/>
                <w:color w:val="000000"/>
                <w:sz w:val="20"/>
                <w:szCs w:val="24"/>
                <w:lang w:eastAsia="fr-FR" w:bidi="fr-FR"/>
              </w:rPr>
              <w:t>*</w:t>
            </w:r>
          </w:p>
        </w:tc>
        <w:tc>
          <w:tcPr>
            <w:tcW w:w="0" w:type="auto"/>
            <w:vAlign w:val="center"/>
          </w:tcPr>
          <w:p w14:paraId="0B740181"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1 t</w:t>
            </w:r>
          </w:p>
        </w:tc>
      </w:tr>
      <w:tr w:rsidR="009123AC" w:rsidRPr="00F0379B" w14:paraId="2D1E2853" w14:textId="77777777" w:rsidTr="00CA749B">
        <w:trPr>
          <w:trHeight w:val="20"/>
          <w:jc w:val="center"/>
        </w:trPr>
        <w:tc>
          <w:tcPr>
            <w:tcW w:w="0" w:type="auto"/>
            <w:vAlign w:val="center"/>
          </w:tcPr>
          <w:p w14:paraId="1A035DAB"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Cuota para investigación científica</w:t>
            </w:r>
          </w:p>
          <w:p w14:paraId="0E2D16E8"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(si procede)</w:t>
            </w:r>
          </w:p>
        </w:tc>
        <w:tc>
          <w:tcPr>
            <w:tcW w:w="2103" w:type="dxa"/>
            <w:noWrap/>
            <w:vAlign w:val="center"/>
          </w:tcPr>
          <w:p w14:paraId="72D47514" w14:textId="77777777" w:rsidR="009123AC" w:rsidRPr="00F0379B" w:rsidRDefault="009123AC" w:rsidP="009123AC">
            <w:pPr>
              <w:widowControl w:val="0"/>
              <w:spacing w:after="0" w:line="240" w:lineRule="auto"/>
              <w:jc w:val="right"/>
              <w:rPr>
                <w:rFonts w:ascii="Cambria" w:eastAsia="Times New Roman" w:hAnsi="Cambria" w:cs="Calibri"/>
                <w:b/>
                <w:bCs/>
                <w:color w:val="000000"/>
                <w:sz w:val="18"/>
                <w:szCs w:val="18"/>
                <w:lang w:eastAsia="ja-JP" w:bidi="fr-FR"/>
              </w:rPr>
            </w:pPr>
          </w:p>
        </w:tc>
        <w:tc>
          <w:tcPr>
            <w:tcW w:w="710" w:type="dxa"/>
            <w:vAlign w:val="center"/>
          </w:tcPr>
          <w:p w14:paraId="5B9C865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1ED9834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198D267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70857A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761767A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7AF03E2B"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6D8DE2FE"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tcPr>
          <w:p w14:paraId="774A0F5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6F3BCAE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63E31C3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1ABD406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695D20A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34BBD54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24F200B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7312A3A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r>
      <w:tr w:rsidR="009123AC" w:rsidRPr="00F0379B" w14:paraId="3C803CE8" w14:textId="77777777" w:rsidTr="00CA749B">
        <w:trPr>
          <w:trHeight w:val="20"/>
          <w:jc w:val="center"/>
        </w:trPr>
        <w:tc>
          <w:tcPr>
            <w:tcW w:w="0" w:type="auto"/>
            <w:vAlign w:val="center"/>
          </w:tcPr>
          <w:p w14:paraId="78FDB105"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Tolerancia para pesca deportiva/de recreo (si procede)</w:t>
            </w:r>
          </w:p>
        </w:tc>
        <w:tc>
          <w:tcPr>
            <w:tcW w:w="2103" w:type="dxa"/>
            <w:noWrap/>
            <w:vAlign w:val="center"/>
          </w:tcPr>
          <w:p w14:paraId="377D07D9" w14:textId="77777777" w:rsidR="009123AC" w:rsidRPr="00F0379B" w:rsidRDefault="009123AC" w:rsidP="009123AC">
            <w:pPr>
              <w:widowControl w:val="0"/>
              <w:spacing w:after="0" w:line="240" w:lineRule="auto"/>
              <w:jc w:val="right"/>
              <w:rPr>
                <w:rFonts w:ascii="Cambria" w:eastAsia="Times New Roman" w:hAnsi="Cambria" w:cs="Calibri"/>
                <w:b/>
                <w:bCs/>
                <w:color w:val="000000"/>
                <w:sz w:val="18"/>
                <w:szCs w:val="18"/>
                <w:lang w:eastAsia="ja-JP" w:bidi="fr-FR"/>
              </w:rPr>
            </w:pPr>
          </w:p>
        </w:tc>
        <w:tc>
          <w:tcPr>
            <w:tcW w:w="710" w:type="dxa"/>
            <w:vAlign w:val="center"/>
          </w:tcPr>
          <w:p w14:paraId="52A2F390"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5066AC16"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0DE49A7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160786B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39C854D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56B18E3"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08A6AE6F"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tcPr>
          <w:p w14:paraId="7D7E965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7C5B56E8"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721FC7D"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4DE02B2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2BE3D4DA"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5E6981B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10A13C9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149F40A9"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r>
      <w:tr w:rsidR="009123AC" w:rsidRPr="00F0379B" w14:paraId="170A7BEE" w14:textId="77777777" w:rsidTr="00CA749B">
        <w:trPr>
          <w:trHeight w:val="20"/>
          <w:jc w:val="center"/>
        </w:trPr>
        <w:tc>
          <w:tcPr>
            <w:tcW w:w="0" w:type="auto"/>
            <w:vAlign w:val="center"/>
          </w:tcPr>
          <w:p w14:paraId="1EAD5BE3"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Cuota disponible</w:t>
            </w:r>
          </w:p>
        </w:tc>
        <w:tc>
          <w:tcPr>
            <w:tcW w:w="2103" w:type="dxa"/>
            <w:noWrap/>
            <w:vAlign w:val="center"/>
          </w:tcPr>
          <w:p w14:paraId="7BAAD181" w14:textId="77777777" w:rsidR="009123AC" w:rsidRPr="00F0379B" w:rsidRDefault="009123AC" w:rsidP="009123AC">
            <w:pPr>
              <w:widowControl w:val="0"/>
              <w:spacing w:after="0" w:line="240" w:lineRule="auto"/>
              <w:jc w:val="right"/>
              <w:rPr>
                <w:rFonts w:ascii="Cambria" w:eastAsia="Times New Roman" w:hAnsi="Cambria" w:cs="Calibri"/>
                <w:b/>
                <w:bCs/>
                <w:color w:val="000000"/>
                <w:sz w:val="18"/>
                <w:szCs w:val="18"/>
                <w:lang w:eastAsia="ja-JP" w:bidi="fr-FR"/>
              </w:rPr>
            </w:pPr>
          </w:p>
        </w:tc>
        <w:tc>
          <w:tcPr>
            <w:tcW w:w="710" w:type="dxa"/>
            <w:vAlign w:val="center"/>
          </w:tcPr>
          <w:p w14:paraId="63342AFC"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6361FFC1"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419D72C5"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048B95F"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10FC4822"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3967F2EE"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63DF5F3D"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tcPr>
          <w:p w14:paraId="0B558BA4" w14:textId="77777777" w:rsidR="009123AC" w:rsidRPr="00F0379B" w:rsidRDefault="009123AC" w:rsidP="009123AC">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6BDADC4E"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480</w:t>
            </w:r>
          </w:p>
        </w:tc>
        <w:tc>
          <w:tcPr>
            <w:tcW w:w="0" w:type="auto"/>
            <w:vAlign w:val="center"/>
          </w:tcPr>
          <w:p w14:paraId="46429259"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68,71</w:t>
            </w:r>
          </w:p>
        </w:tc>
        <w:tc>
          <w:tcPr>
            <w:tcW w:w="0" w:type="auto"/>
            <w:vAlign w:val="center"/>
          </w:tcPr>
          <w:p w14:paraId="02F53D79"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29</w:t>
            </w:r>
          </w:p>
        </w:tc>
        <w:tc>
          <w:tcPr>
            <w:tcW w:w="0" w:type="auto"/>
            <w:noWrap/>
            <w:vAlign w:val="center"/>
          </w:tcPr>
          <w:p w14:paraId="1543F5F8"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51</w:t>
            </w:r>
          </w:p>
        </w:tc>
        <w:tc>
          <w:tcPr>
            <w:tcW w:w="0" w:type="auto"/>
            <w:noWrap/>
            <w:vAlign w:val="center"/>
          </w:tcPr>
          <w:p w14:paraId="6B3FE89C"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51</w:t>
            </w:r>
          </w:p>
        </w:tc>
        <w:tc>
          <w:tcPr>
            <w:tcW w:w="0" w:type="auto"/>
            <w:noWrap/>
            <w:vAlign w:val="center"/>
          </w:tcPr>
          <w:p w14:paraId="0DCB9E63"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51</w:t>
            </w:r>
          </w:p>
        </w:tc>
        <w:tc>
          <w:tcPr>
            <w:tcW w:w="0" w:type="auto"/>
            <w:vAlign w:val="center"/>
          </w:tcPr>
          <w:p w14:paraId="5787FD3A"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70,2</w:t>
            </w:r>
          </w:p>
        </w:tc>
      </w:tr>
      <w:tr w:rsidR="009123AC" w:rsidRPr="00F0379B" w14:paraId="3ABA1534" w14:textId="77777777" w:rsidTr="00CA749B">
        <w:trPr>
          <w:trHeight w:val="20"/>
          <w:jc w:val="center"/>
        </w:trPr>
        <w:tc>
          <w:tcPr>
            <w:tcW w:w="0" w:type="auto"/>
            <w:shd w:val="clear" w:color="auto" w:fill="D9D9D9"/>
            <w:noWrap/>
            <w:vAlign w:val="center"/>
            <w:hideMark/>
          </w:tcPr>
          <w:p w14:paraId="0841157B" w14:textId="77777777" w:rsidR="009123AC" w:rsidRPr="00F0379B" w:rsidRDefault="009123AC" w:rsidP="009123AC">
            <w:pPr>
              <w:widowControl w:val="0"/>
              <w:spacing w:after="0" w:line="240" w:lineRule="auto"/>
              <w:jc w:val="both"/>
              <w:rPr>
                <w:rFonts w:ascii="Cambria" w:eastAsia="Times New Roman" w:hAnsi="Cambria" w:cs="Calibri"/>
                <w:b/>
                <w:bCs/>
                <w:color w:val="000000"/>
                <w:sz w:val="18"/>
                <w:szCs w:val="18"/>
                <w:lang w:eastAsia="fr-FR" w:bidi="fr-FR"/>
              </w:rPr>
            </w:pPr>
            <w:r w:rsidRPr="00F0379B">
              <w:rPr>
                <w:rFonts w:ascii="Cambria" w:eastAsia="MS Gothic" w:hAnsi="Cambria" w:cs="Times New Roman"/>
                <w:b/>
                <w:color w:val="000000"/>
                <w:sz w:val="18"/>
                <w:szCs w:val="24"/>
                <w:lang w:eastAsia="fr-FR" w:bidi="fr-FR"/>
              </w:rPr>
              <w:t>Exceso de capacidad/</w:t>
            </w:r>
            <w:proofErr w:type="spellStart"/>
            <w:r w:rsidRPr="00F0379B">
              <w:rPr>
                <w:rFonts w:ascii="Cambria" w:eastAsia="MS Gothic" w:hAnsi="Cambria" w:cs="Times New Roman"/>
                <w:b/>
                <w:color w:val="000000"/>
                <w:sz w:val="18"/>
                <w:szCs w:val="24"/>
                <w:lang w:eastAsia="fr-FR" w:bidi="fr-FR"/>
              </w:rPr>
              <w:t>subcapacidad</w:t>
            </w:r>
            <w:proofErr w:type="spellEnd"/>
          </w:p>
        </w:tc>
        <w:tc>
          <w:tcPr>
            <w:tcW w:w="2103" w:type="dxa"/>
            <w:shd w:val="clear" w:color="auto" w:fill="D9D9D9"/>
            <w:noWrap/>
            <w:vAlign w:val="center"/>
            <w:hideMark/>
          </w:tcPr>
          <w:p w14:paraId="43E1D61E" w14:textId="77777777" w:rsidR="009123AC" w:rsidRPr="00F0379B" w:rsidRDefault="009123AC" w:rsidP="009123AC">
            <w:pPr>
              <w:widowControl w:val="0"/>
              <w:spacing w:after="0" w:line="240" w:lineRule="auto"/>
              <w:jc w:val="right"/>
              <w:rPr>
                <w:rFonts w:ascii="Cambria" w:eastAsia="Times New Roman" w:hAnsi="Cambria" w:cs="Calibri"/>
                <w:color w:val="000000"/>
                <w:sz w:val="18"/>
                <w:szCs w:val="18"/>
                <w:lang w:eastAsia="fr-FR" w:bidi="fr-FR"/>
              </w:rPr>
            </w:pPr>
            <w:r w:rsidRPr="00F0379B">
              <w:rPr>
                <w:rFonts w:ascii="Cambria" w:eastAsia="MS Gothic" w:hAnsi="Cambria" w:cs="Times New Roman"/>
                <w:color w:val="000000"/>
                <w:sz w:val="18"/>
                <w:szCs w:val="24"/>
                <w:lang w:eastAsia="fr-FR" w:bidi="fr-FR"/>
              </w:rPr>
              <w:t> </w:t>
            </w:r>
          </w:p>
        </w:tc>
        <w:tc>
          <w:tcPr>
            <w:tcW w:w="710" w:type="dxa"/>
            <w:shd w:val="clear" w:color="auto" w:fill="D9D9D9"/>
            <w:vAlign w:val="center"/>
          </w:tcPr>
          <w:p w14:paraId="49E00CD9"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noWrap/>
            <w:vAlign w:val="center"/>
            <w:hideMark/>
          </w:tcPr>
          <w:p w14:paraId="3359B367"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hideMark/>
          </w:tcPr>
          <w:p w14:paraId="134456B4"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hideMark/>
          </w:tcPr>
          <w:p w14:paraId="3FBEFA87"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hideMark/>
          </w:tcPr>
          <w:p w14:paraId="1C9DDD4B"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6F3F4E53"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6AACBC50"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hideMark/>
          </w:tcPr>
          <w:p w14:paraId="7FC13422"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31F9EBD9"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-280</w:t>
            </w:r>
          </w:p>
        </w:tc>
        <w:tc>
          <w:tcPr>
            <w:tcW w:w="0" w:type="auto"/>
            <w:shd w:val="clear" w:color="auto" w:fill="D9D9D9"/>
            <w:vAlign w:val="center"/>
            <w:hideMark/>
          </w:tcPr>
          <w:p w14:paraId="5BD9A219" w14:textId="77777777" w:rsidR="009123AC" w:rsidRPr="00F0379B" w:rsidRDefault="009123AC" w:rsidP="009123AC">
            <w:pPr>
              <w:widowControl w:val="0"/>
              <w:spacing w:after="0" w:line="240" w:lineRule="auto"/>
              <w:ind w:left="-146" w:right="-157"/>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-68,71</w:t>
            </w:r>
          </w:p>
        </w:tc>
        <w:tc>
          <w:tcPr>
            <w:tcW w:w="0" w:type="auto"/>
            <w:shd w:val="clear" w:color="auto" w:fill="D9D9D9"/>
            <w:vAlign w:val="center"/>
            <w:hideMark/>
          </w:tcPr>
          <w:p w14:paraId="472C70BF"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-29</w:t>
            </w:r>
          </w:p>
        </w:tc>
        <w:tc>
          <w:tcPr>
            <w:tcW w:w="0" w:type="auto"/>
            <w:shd w:val="clear" w:color="auto" w:fill="D9D9D9"/>
            <w:vAlign w:val="center"/>
            <w:hideMark/>
          </w:tcPr>
          <w:p w14:paraId="0EEE3D29" w14:textId="77777777" w:rsidR="009123AC" w:rsidRPr="00F0379B" w:rsidRDefault="009123AC" w:rsidP="009123AC">
            <w:pPr>
              <w:widowControl w:val="0"/>
              <w:spacing w:after="0" w:line="240" w:lineRule="auto"/>
              <w:jc w:val="center"/>
              <w:rPr>
                <w:rFonts w:ascii="Cambria" w:eastAsia="Times New Roman"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-51</w:t>
            </w:r>
          </w:p>
        </w:tc>
        <w:tc>
          <w:tcPr>
            <w:tcW w:w="0" w:type="auto"/>
            <w:shd w:val="clear" w:color="auto" w:fill="D9D9D9"/>
            <w:vAlign w:val="center"/>
            <w:hideMark/>
          </w:tcPr>
          <w:p w14:paraId="64AD0557"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-51</w:t>
            </w:r>
          </w:p>
        </w:tc>
        <w:tc>
          <w:tcPr>
            <w:tcW w:w="0" w:type="auto"/>
            <w:shd w:val="clear" w:color="auto" w:fill="D9D9D9"/>
            <w:vAlign w:val="center"/>
            <w:hideMark/>
          </w:tcPr>
          <w:p w14:paraId="5CB2C454"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-51</w:t>
            </w:r>
          </w:p>
        </w:tc>
        <w:tc>
          <w:tcPr>
            <w:tcW w:w="0" w:type="auto"/>
            <w:shd w:val="clear" w:color="auto" w:fill="D9D9D9"/>
            <w:vAlign w:val="center"/>
          </w:tcPr>
          <w:p w14:paraId="5122AFAB" w14:textId="77777777" w:rsidR="009123AC" w:rsidRPr="00F0379B" w:rsidRDefault="009123AC" w:rsidP="009123AC">
            <w:pPr>
              <w:widowControl w:val="0"/>
              <w:spacing w:after="0" w:line="240" w:lineRule="auto"/>
              <w:jc w:val="center"/>
              <w:rPr>
                <w:rFonts w:ascii="Cambria" w:eastAsia="PMingLiU" w:hAnsi="Cambria" w:cs="Calibri"/>
                <w:color w:val="000000"/>
                <w:sz w:val="16"/>
                <w:szCs w:val="16"/>
                <w:lang w:eastAsia="fr-FR" w:bidi="fr-FR"/>
              </w:rPr>
            </w:pPr>
            <w:r w:rsidRPr="00F0379B">
              <w:rPr>
                <w:rFonts w:ascii="Cambria" w:eastAsia="MS Gothic" w:hAnsi="Cambria" w:cs="Times New Roman"/>
                <w:color w:val="000000"/>
                <w:sz w:val="16"/>
                <w:szCs w:val="24"/>
                <w:lang w:eastAsia="fr-FR" w:bidi="fr-FR"/>
              </w:rPr>
              <w:t>-45,2</w:t>
            </w:r>
          </w:p>
        </w:tc>
      </w:tr>
    </w:tbl>
    <w:p w14:paraId="0FCC3CD1" w14:textId="77777777" w:rsidR="009123AC" w:rsidRPr="00F0379B" w:rsidRDefault="009123AC" w:rsidP="009123AC">
      <w:pPr>
        <w:widowControl w:val="0"/>
        <w:tabs>
          <w:tab w:val="left" w:pos="142"/>
        </w:tabs>
        <w:spacing w:after="0" w:line="240" w:lineRule="auto"/>
        <w:jc w:val="both"/>
        <w:rPr>
          <w:rFonts w:ascii="Cambria" w:eastAsia="PMingLiU" w:hAnsi="Cambria" w:cs="Times New Roman"/>
          <w:color w:val="000000"/>
          <w:sz w:val="16"/>
          <w:szCs w:val="16"/>
          <w:lang w:eastAsia="zh-TW" w:bidi="fr-FR"/>
        </w:rPr>
      </w:pPr>
    </w:p>
    <w:p w14:paraId="2945D7FF" w14:textId="77777777" w:rsidR="009123AC" w:rsidRPr="00F0379B" w:rsidRDefault="009123AC" w:rsidP="009123AC">
      <w:pPr>
        <w:widowControl w:val="0"/>
        <w:tabs>
          <w:tab w:val="left" w:pos="142"/>
        </w:tabs>
        <w:spacing w:after="0" w:line="240" w:lineRule="auto"/>
        <w:jc w:val="both"/>
        <w:rPr>
          <w:rFonts w:ascii="Cambria" w:eastAsia="PMingLiU" w:hAnsi="Cambria" w:cs="Times New Roman"/>
          <w:color w:val="000000"/>
          <w:sz w:val="16"/>
          <w:szCs w:val="16"/>
          <w:lang w:eastAsia="fr-FR" w:bidi="fr-FR"/>
        </w:rPr>
      </w:pPr>
      <w:r w:rsidRPr="00F0379B">
        <w:rPr>
          <w:rFonts w:ascii="Cambria" w:eastAsia="MS Gothic" w:hAnsi="Cambria" w:cs="Times New Roman"/>
          <w:color w:val="000000"/>
          <w:sz w:val="16"/>
          <w:szCs w:val="24"/>
          <w:lang w:eastAsia="fr-FR" w:bidi="fr-FR"/>
        </w:rPr>
        <w:t xml:space="preserve">* Taipei Chino prohibió voluntariamente la pesquería de atún rojo del este durante esos años. Por lo tanto, la cuota ajustada se reservó íntegramente para la captura fortuita. </w:t>
      </w:r>
    </w:p>
    <w:p w14:paraId="777C22B5" w14:textId="77777777" w:rsidR="009123AC" w:rsidRPr="00F0379B" w:rsidRDefault="009123AC" w:rsidP="009123AC">
      <w:pPr>
        <w:widowControl w:val="0"/>
        <w:tabs>
          <w:tab w:val="left" w:pos="142"/>
        </w:tabs>
        <w:spacing w:after="0" w:line="240" w:lineRule="auto"/>
        <w:jc w:val="both"/>
        <w:rPr>
          <w:rFonts w:ascii="Cambria" w:eastAsia="PMingLiU" w:hAnsi="Cambria" w:cs="Times New Roman"/>
          <w:color w:val="000000"/>
          <w:sz w:val="16"/>
          <w:szCs w:val="16"/>
          <w:lang w:eastAsia="fr-FR" w:bidi="fr-FR"/>
        </w:rPr>
      </w:pPr>
      <w:r w:rsidRPr="00F0379B">
        <w:rPr>
          <w:rFonts w:ascii="Cambria" w:eastAsia="MS Gothic" w:hAnsi="Cambria" w:cs="Times New Roman"/>
          <w:color w:val="000000"/>
          <w:sz w:val="16"/>
          <w:szCs w:val="24"/>
          <w:lang w:eastAsia="fr-FR" w:bidi="fr-FR"/>
        </w:rPr>
        <w:t xml:space="preserve">     </w:t>
      </w:r>
    </w:p>
    <w:p w14:paraId="1FAF7C30" w14:textId="77777777" w:rsidR="00216FF5" w:rsidRPr="00F0379B" w:rsidRDefault="00216FF5" w:rsidP="00EE07E2">
      <w:pPr>
        <w:spacing w:after="0" w:line="240" w:lineRule="auto"/>
        <w:jc w:val="both"/>
        <w:rPr>
          <w:rFonts w:ascii="Cambria" w:eastAsia="Yu Gothic" w:hAnsi="Cambria" w:cs="Times New Roman"/>
          <w:kern w:val="2"/>
          <w:sz w:val="20"/>
          <w:szCs w:val="20"/>
          <w14:ligatures w14:val="standardContextual"/>
        </w:rPr>
        <w:sectPr w:rsidR="00216FF5" w:rsidRPr="00F0379B" w:rsidSect="00F32300">
          <w:headerReference w:type="default" r:id="rId251"/>
          <w:footerReference w:type="default" r:id="rId252"/>
          <w:footnotePr>
            <w:numRestart w:val="eachSect"/>
          </w:footnotePr>
          <w:pgSz w:w="16838" w:h="11906" w:orient="landscape" w:code="9"/>
          <w:pgMar w:top="1418" w:right="1418" w:bottom="1418" w:left="1418" w:header="851" w:footer="1134" w:gutter="0"/>
          <w:cols w:space="425"/>
          <w:docGrid w:linePitch="360"/>
        </w:sectPr>
      </w:pPr>
    </w:p>
    <w:p w14:paraId="0CF855C8" w14:textId="73357D7E" w:rsidR="00CA21B5" w:rsidRPr="00F0379B" w:rsidRDefault="008F6100" w:rsidP="008F6100">
      <w:pPr>
        <w:spacing w:after="0" w:line="240" w:lineRule="auto"/>
        <w:jc w:val="right"/>
        <w:rPr>
          <w:rFonts w:ascii="Cambria" w:eastAsia="Yu Gothic" w:hAnsi="Cambria" w:cs="Times New Roman"/>
          <w:b/>
          <w:bCs/>
          <w:kern w:val="2"/>
          <w:sz w:val="20"/>
          <w:szCs w:val="20"/>
          <w14:ligatures w14:val="standardContextual"/>
        </w:rPr>
      </w:pPr>
      <w:r w:rsidRPr="00F0379B">
        <w:rPr>
          <w:rFonts w:ascii="Cambria" w:eastAsia="Yu Gothic" w:hAnsi="Cambria" w:cs="Times New Roman"/>
          <w:b/>
          <w:bCs/>
          <w:kern w:val="2"/>
          <w:sz w:val="20"/>
          <w:szCs w:val="20"/>
          <w14:ligatures w14:val="standardContextual"/>
        </w:rPr>
        <w:t>Apéndice 4</w:t>
      </w:r>
    </w:p>
    <w:p w14:paraId="7AF81526" w14:textId="77777777" w:rsidR="00857921" w:rsidRPr="00F0379B" w:rsidRDefault="00857921" w:rsidP="008F6100">
      <w:pPr>
        <w:spacing w:after="0" w:line="240" w:lineRule="auto"/>
        <w:jc w:val="right"/>
        <w:rPr>
          <w:rFonts w:ascii="Cambria" w:eastAsia="Yu Gothic" w:hAnsi="Cambria" w:cs="Times New Roman"/>
          <w:b/>
          <w:bCs/>
          <w:kern w:val="2"/>
          <w:sz w:val="20"/>
          <w:szCs w:val="20"/>
          <w14:ligatures w14:val="standardContextual"/>
        </w:rPr>
      </w:pPr>
    </w:p>
    <w:p w14:paraId="795AFB19" w14:textId="1F777CAC" w:rsidR="00A908FA" w:rsidRPr="00F0379B" w:rsidRDefault="00A908FA" w:rsidP="00A908FA">
      <w:pPr>
        <w:spacing w:after="0" w:line="240" w:lineRule="auto"/>
        <w:jc w:val="center"/>
        <w:rPr>
          <w:rFonts w:ascii="Cambria" w:eastAsia="Yu Mincho" w:hAnsi="Cambria" w:cs="Times New Roman"/>
          <w:b/>
          <w:bCs/>
          <w:kern w:val="2"/>
          <w:sz w:val="20"/>
          <w:szCs w:val="20"/>
          <w:lang w:eastAsia="ja-JP"/>
          <w14:ligatures w14:val="standardContextual"/>
        </w:rPr>
      </w:pPr>
      <w:r w:rsidRPr="00F0379B">
        <w:rPr>
          <w:rFonts w:ascii="Cambria" w:eastAsiaTheme="minorEastAsia" w:hAnsi="Cambria"/>
          <w:b/>
          <w:kern w:val="2"/>
          <w:sz w:val="20"/>
          <w:szCs w:val="20"/>
          <w:lang w:eastAsia="ja-JP"/>
          <w14:ligatures w14:val="standardContextual"/>
        </w:rPr>
        <w:t>Proyecto de modelo para el plan de pesca/ordenación del atún rojo del Atlántico oeste</w:t>
      </w:r>
      <w:r w:rsidR="00396918" w:rsidRPr="00F0379B">
        <w:rPr>
          <w:rFonts w:ascii="Cambria" w:eastAsiaTheme="minorEastAsia" w:hAnsi="Cambria"/>
          <w:b/>
          <w:kern w:val="2"/>
          <w:sz w:val="20"/>
          <w:szCs w:val="20"/>
          <w:lang w:eastAsia="ja-JP"/>
          <w14:ligatures w14:val="standardContextual"/>
        </w:rPr>
        <w:t xml:space="preserve"> </w:t>
      </w:r>
    </w:p>
    <w:p w14:paraId="325FF22F" w14:textId="77777777" w:rsidR="00A908FA" w:rsidRPr="00F0379B" w:rsidRDefault="00A908FA" w:rsidP="00A908FA">
      <w:pPr>
        <w:spacing w:after="0" w:line="240" w:lineRule="auto"/>
        <w:jc w:val="center"/>
        <w:rPr>
          <w:rFonts w:ascii="Cambria" w:eastAsia="Yu Mincho" w:hAnsi="Cambria" w:cs="Times New Roman"/>
          <w:kern w:val="2"/>
          <w:sz w:val="20"/>
          <w:szCs w:val="20"/>
          <w:lang w:eastAsia="ja-JP"/>
          <w14:ligatures w14:val="standardContextual"/>
        </w:rPr>
      </w:pPr>
    </w:p>
    <w:p w14:paraId="018F18E7" w14:textId="77777777" w:rsidR="00A908FA" w:rsidRPr="00F0379B" w:rsidRDefault="00A908FA" w:rsidP="00A908FA">
      <w:pPr>
        <w:widowControl w:val="0"/>
        <w:spacing w:after="0" w:line="240" w:lineRule="auto"/>
        <w:jc w:val="right"/>
        <w:rPr>
          <w:rFonts w:ascii="Cambria" w:eastAsia="MS Gothic" w:hAnsi="Cambria" w:cs="Times New Roman"/>
          <w:b/>
          <w:sz w:val="20"/>
          <w:szCs w:val="20"/>
          <w:lang w:eastAsia="fr-FR" w:bidi="fr-FR"/>
        </w:rPr>
      </w:pPr>
      <w:r w:rsidRPr="00F0379B">
        <w:rPr>
          <w:rFonts w:ascii="Cambria" w:eastAsia="MS Gothic" w:hAnsi="Cambria" w:cs="Times New Roman"/>
          <w:b/>
          <w:sz w:val="20"/>
          <w:szCs w:val="20"/>
          <w:lang w:eastAsia="fr-FR" w:bidi="fr-FR"/>
        </w:rPr>
        <w:t>CP62-WBFTPlan</w:t>
      </w:r>
    </w:p>
    <w:p w14:paraId="69BB057F" w14:textId="77777777" w:rsidR="00A908FA" w:rsidRPr="00F0379B" w:rsidRDefault="00A908FA" w:rsidP="00A908FA">
      <w:pPr>
        <w:widowControl w:val="0"/>
        <w:spacing w:after="0" w:line="240" w:lineRule="auto"/>
        <w:jc w:val="right"/>
        <w:rPr>
          <w:rFonts w:ascii="Cambria" w:eastAsia="MS Gothic" w:hAnsi="Cambria" w:cs="Times New Roman"/>
          <w:b/>
          <w:sz w:val="20"/>
          <w:szCs w:val="20"/>
          <w:lang w:eastAsia="fr-FR" w:bidi="fr-FR"/>
        </w:rPr>
      </w:pPr>
    </w:p>
    <w:p w14:paraId="46CEC017" w14:textId="77777777" w:rsidR="00A908FA" w:rsidRPr="00F0379B" w:rsidRDefault="00A908FA" w:rsidP="00A908FA">
      <w:pPr>
        <w:widowControl w:val="0"/>
        <w:spacing w:after="0" w:line="240" w:lineRule="auto"/>
        <w:jc w:val="center"/>
        <w:rPr>
          <w:rFonts w:ascii="Cambria" w:eastAsia="MS Gothic" w:hAnsi="Cambria" w:cs="Times New Roman"/>
          <w:b/>
          <w:sz w:val="20"/>
          <w:szCs w:val="20"/>
          <w:lang w:eastAsia="fr-FR" w:bidi="fr-FR"/>
        </w:rPr>
      </w:pPr>
      <w:r w:rsidRPr="00F0379B">
        <w:rPr>
          <w:rFonts w:ascii="Cambria" w:eastAsia="MS Gothic" w:hAnsi="Cambria" w:cs="Times New Roman"/>
          <w:b/>
          <w:sz w:val="20"/>
          <w:szCs w:val="20"/>
          <w:lang w:eastAsia="fr-FR" w:bidi="fr-FR"/>
        </w:rPr>
        <w:t>Plan de pesca/ordenación para el atún rojo del Atlántico occidental</w:t>
      </w:r>
    </w:p>
    <w:p w14:paraId="04AC0754" w14:textId="77777777" w:rsidR="00A908FA" w:rsidRPr="00F0379B" w:rsidRDefault="00A908FA" w:rsidP="00A908FA">
      <w:pPr>
        <w:widowControl w:val="0"/>
        <w:spacing w:after="0" w:line="240" w:lineRule="auto"/>
        <w:jc w:val="center"/>
        <w:rPr>
          <w:rFonts w:ascii="Cambria" w:eastAsia="MS Gothic" w:hAnsi="Cambria" w:cs="Times New Roman"/>
          <w:b/>
          <w:sz w:val="20"/>
          <w:szCs w:val="20"/>
          <w:lang w:eastAsia="fr-FR" w:bidi="fr-FR"/>
        </w:rPr>
      </w:pPr>
    </w:p>
    <w:p w14:paraId="56A1D43E" w14:textId="77777777" w:rsidR="00A908FA" w:rsidRPr="00F0379B" w:rsidRDefault="00A908FA" w:rsidP="00A908FA">
      <w:pPr>
        <w:widowControl w:val="0"/>
        <w:spacing w:after="0" w:line="240" w:lineRule="auto"/>
        <w:jc w:val="center"/>
        <w:rPr>
          <w:rFonts w:ascii="Cambria" w:eastAsia="MS Gothic" w:hAnsi="Cambria" w:cs="Times New Roman"/>
          <w:b/>
          <w:sz w:val="20"/>
          <w:szCs w:val="20"/>
          <w:lang w:eastAsia="fr-FR" w:bidi="fr-FR"/>
        </w:rPr>
      </w:pPr>
    </w:p>
    <w:p w14:paraId="1958273E" w14:textId="39C4509A" w:rsidR="00A908FA" w:rsidRPr="00F0379B" w:rsidRDefault="00A908FA" w:rsidP="00A908FA">
      <w:pPr>
        <w:widowControl w:val="0"/>
        <w:spacing w:after="0" w:line="240" w:lineRule="auto"/>
        <w:jc w:val="both"/>
        <w:rPr>
          <w:rFonts w:ascii="Cambria" w:eastAsia="MS Gothic" w:hAnsi="Cambria" w:cs="Times New Roman"/>
          <w:b/>
          <w:bCs/>
          <w:sz w:val="20"/>
          <w:szCs w:val="20"/>
          <w:lang w:eastAsia="fr-FR" w:bidi="fr-FR"/>
        </w:rPr>
      </w:pPr>
      <w:r w:rsidRPr="00F0379B">
        <w:rPr>
          <w:rFonts w:ascii="Cambria" w:eastAsia="MS Gothic" w:hAnsi="Cambria" w:cs="Times New Roman"/>
          <w:b/>
          <w:sz w:val="20"/>
          <w:szCs w:val="20"/>
          <w:lang w:eastAsia="fr-FR" w:bidi="fr-FR"/>
        </w:rPr>
        <w:t>Nombre de la CPC: XXX</w:t>
      </w:r>
    </w:p>
    <w:p w14:paraId="65E62B65" w14:textId="77777777" w:rsidR="00A908FA" w:rsidRPr="00F0379B" w:rsidRDefault="00A908FA" w:rsidP="00A908FA">
      <w:pPr>
        <w:widowControl w:val="0"/>
        <w:spacing w:after="0" w:line="240" w:lineRule="auto"/>
        <w:jc w:val="both"/>
        <w:rPr>
          <w:rFonts w:ascii="Cambria" w:eastAsia="MS Gothic" w:hAnsi="Cambria" w:cs="Times New Roman"/>
          <w:sz w:val="20"/>
          <w:szCs w:val="20"/>
          <w:lang w:eastAsia="fr-FR" w:bidi="fr-FR"/>
        </w:rPr>
      </w:pPr>
    </w:p>
    <w:p w14:paraId="4A1BB288" w14:textId="3B550760" w:rsidR="00A908FA" w:rsidRPr="00F0379B" w:rsidRDefault="00A908FA" w:rsidP="00A908FA">
      <w:pPr>
        <w:widowControl w:val="0"/>
        <w:spacing w:after="0" w:line="240" w:lineRule="auto"/>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0"/>
          <w:lang w:eastAsia="fr-FR" w:bidi="fr-FR"/>
        </w:rPr>
        <w:t>Año del plan de pesca: XXXX</w:t>
      </w:r>
      <w:r w:rsidR="00D04E8B" w:rsidRPr="00F0379B">
        <w:rPr>
          <w:rFonts w:ascii="Cambria" w:eastAsia="MS Gothic" w:hAnsi="Cambria" w:cs="Times New Roman"/>
          <w:b/>
          <w:sz w:val="20"/>
          <w:szCs w:val="20"/>
          <w:vertAlign w:val="superscript"/>
          <w:lang w:eastAsia="fr-FR" w:bidi="fr-FR"/>
        </w:rPr>
        <w:footnoteReference w:id="35"/>
      </w:r>
    </w:p>
    <w:p w14:paraId="239CFA61" w14:textId="77777777" w:rsidR="00A908FA" w:rsidRPr="00F0379B" w:rsidRDefault="00A908FA" w:rsidP="00A908FA">
      <w:pPr>
        <w:widowControl w:val="0"/>
        <w:spacing w:after="0" w:line="240" w:lineRule="auto"/>
        <w:jc w:val="both"/>
        <w:rPr>
          <w:rFonts w:ascii="Cambria" w:eastAsia="MS Gothic" w:hAnsi="Cambria" w:cs="Times New Roman"/>
          <w:b/>
          <w:sz w:val="20"/>
          <w:szCs w:val="20"/>
          <w:lang w:eastAsia="fr-FR" w:bidi="fr-FR"/>
        </w:rPr>
      </w:pPr>
    </w:p>
    <w:p w14:paraId="583E0F16" w14:textId="77777777" w:rsidR="00A908FA" w:rsidRPr="00F0379B" w:rsidRDefault="00A908FA" w:rsidP="00A908FA">
      <w:pPr>
        <w:widowControl w:val="0"/>
        <w:spacing w:after="0" w:line="240" w:lineRule="auto"/>
        <w:jc w:val="both"/>
        <w:rPr>
          <w:rFonts w:ascii="Cambria" w:eastAsia="MS Gothic" w:hAnsi="Cambria" w:cs="Times New Roman"/>
          <w:i/>
          <w:iCs/>
          <w:sz w:val="20"/>
          <w:szCs w:val="20"/>
          <w:lang w:eastAsia="fr-FR" w:bidi="fr-FR"/>
        </w:rPr>
      </w:pPr>
      <w:r w:rsidRPr="00F0379B">
        <w:rPr>
          <w:rFonts w:ascii="Cambria" w:eastAsia="MS Gothic" w:hAnsi="Cambria" w:cs="Times New Roman"/>
          <w:i/>
          <w:iCs/>
          <w:sz w:val="20"/>
          <w:szCs w:val="20"/>
          <w:lang w:eastAsia="fr-FR" w:bidi="fr-FR"/>
        </w:rPr>
        <w:t>Tal y como se especifica en el párrafo 3 de la Recomendación 25-05, “Cada CPC que tenga una cuota superior a 50 t para la pesca dirigida al atún rojo presentará un plan de pesca/ordenación a la Comisión a más tardar el 15 de septiembre de cada año.</w:t>
      </w:r>
    </w:p>
    <w:p w14:paraId="5FD5B381" w14:textId="77777777" w:rsidR="00A908FA" w:rsidRPr="00F0379B" w:rsidRDefault="00A908FA" w:rsidP="00A908FA">
      <w:pPr>
        <w:widowControl w:val="0"/>
        <w:spacing w:after="0" w:line="240" w:lineRule="auto"/>
        <w:jc w:val="both"/>
        <w:rPr>
          <w:rFonts w:ascii="Cambria" w:eastAsia="MS Gothic" w:hAnsi="Cambria" w:cs="Times New Roman"/>
          <w:i/>
          <w:iCs/>
          <w:sz w:val="20"/>
          <w:szCs w:val="20"/>
          <w:lang w:eastAsia="fr-FR" w:bidi="fr-FR"/>
        </w:rPr>
      </w:pPr>
    </w:p>
    <w:p w14:paraId="24544703" w14:textId="77777777" w:rsidR="00A908FA" w:rsidRPr="00F0379B" w:rsidRDefault="00A908FA" w:rsidP="00A908FA">
      <w:pPr>
        <w:widowControl w:val="0"/>
        <w:spacing w:after="0" w:line="240" w:lineRule="auto"/>
        <w:jc w:val="both"/>
        <w:rPr>
          <w:rFonts w:ascii="Cambria" w:eastAsia="MS Gothic" w:hAnsi="Cambria" w:cs="Times New Roman"/>
          <w:i/>
          <w:iCs/>
          <w:sz w:val="20"/>
          <w:szCs w:val="20"/>
          <w:lang w:eastAsia="fr-FR" w:bidi="fr-FR"/>
        </w:rPr>
      </w:pPr>
      <w:r w:rsidRPr="00F0379B">
        <w:rPr>
          <w:rFonts w:ascii="Cambria" w:eastAsia="MS Gothic" w:hAnsi="Cambria" w:cs="Times New Roman"/>
          <w:i/>
          <w:iCs/>
          <w:sz w:val="20"/>
          <w:szCs w:val="20"/>
          <w:lang w:eastAsia="fr-FR" w:bidi="fr-FR"/>
        </w:rPr>
        <w:t xml:space="preserve">Dicho plan incluirá los siguientes elementos, según proceda: </w:t>
      </w:r>
    </w:p>
    <w:p w14:paraId="50350E30" w14:textId="77777777" w:rsidR="00A908FA" w:rsidRPr="00F0379B" w:rsidRDefault="00A908FA" w:rsidP="00A908FA">
      <w:pPr>
        <w:widowControl w:val="0"/>
        <w:spacing w:after="0" w:line="240" w:lineRule="auto"/>
        <w:jc w:val="both"/>
        <w:rPr>
          <w:rFonts w:ascii="Cambria" w:eastAsia="MS Gothic" w:hAnsi="Cambria" w:cs="Times New Roman"/>
          <w:i/>
          <w:iCs/>
          <w:sz w:val="20"/>
          <w:szCs w:val="20"/>
          <w:lang w:eastAsia="fr-FR" w:bidi="fr-FR"/>
        </w:rPr>
      </w:pPr>
    </w:p>
    <w:p w14:paraId="1E6E27F3" w14:textId="77777777" w:rsidR="00A908FA" w:rsidRPr="00F0379B" w:rsidRDefault="00A908FA" w:rsidP="00CE0EC8">
      <w:pPr>
        <w:widowControl w:val="0"/>
        <w:numPr>
          <w:ilvl w:val="0"/>
          <w:numId w:val="92"/>
        </w:numPr>
        <w:spacing w:after="0" w:line="240" w:lineRule="auto"/>
        <w:contextualSpacing/>
        <w:jc w:val="both"/>
        <w:rPr>
          <w:rFonts w:ascii="Cambria" w:eastAsia="MS Gothic" w:hAnsi="Cambria" w:cs="Times New Roman"/>
          <w:i/>
          <w:iCs/>
          <w:sz w:val="20"/>
          <w:szCs w:val="20"/>
          <w:lang w:eastAsia="fr-FR" w:bidi="fr-FR"/>
        </w:rPr>
      </w:pPr>
      <w:r w:rsidRPr="00F0379B">
        <w:rPr>
          <w:rFonts w:ascii="Cambria" w:eastAsia="MS Gothic" w:hAnsi="Cambria" w:cs="Times New Roman"/>
          <w:i/>
          <w:iCs/>
          <w:sz w:val="20"/>
          <w:szCs w:val="20"/>
          <w:lang w:eastAsia="fr-FR" w:bidi="fr-FR"/>
        </w:rPr>
        <w:t>Las cuotas de la flota para todos los sectores y el método utilizado para asignar y gestionar dichas cuotas.</w:t>
      </w:r>
    </w:p>
    <w:p w14:paraId="02FF46F5" w14:textId="77777777" w:rsidR="00A908FA" w:rsidRPr="00F0379B" w:rsidRDefault="00A908FA" w:rsidP="00CE0EC8">
      <w:pPr>
        <w:widowControl w:val="0"/>
        <w:numPr>
          <w:ilvl w:val="0"/>
          <w:numId w:val="92"/>
        </w:numPr>
        <w:spacing w:after="0" w:line="240" w:lineRule="auto"/>
        <w:contextualSpacing/>
        <w:jc w:val="both"/>
        <w:rPr>
          <w:rFonts w:ascii="Cambria" w:eastAsia="MS Gothic" w:hAnsi="Cambria" w:cs="Times New Roman"/>
          <w:i/>
          <w:iCs/>
          <w:sz w:val="20"/>
          <w:szCs w:val="20"/>
          <w:lang w:eastAsia="fr-FR" w:bidi="fr-FR"/>
        </w:rPr>
      </w:pPr>
      <w:r w:rsidRPr="00F0379B">
        <w:rPr>
          <w:rFonts w:ascii="Cambria" w:eastAsia="MS Gothic" w:hAnsi="Cambria" w:cs="Times New Roman"/>
          <w:i/>
          <w:iCs/>
          <w:sz w:val="20"/>
          <w:szCs w:val="20"/>
          <w:lang w:eastAsia="fr-FR" w:bidi="fr-FR"/>
        </w:rPr>
        <w:t>Las medidas de control de las pesquerías y de las capturas fortuitas.</w:t>
      </w:r>
    </w:p>
    <w:p w14:paraId="1651E8E4" w14:textId="77777777" w:rsidR="00A908FA" w:rsidRPr="00F0379B" w:rsidRDefault="00A908FA" w:rsidP="00CE0EC8">
      <w:pPr>
        <w:widowControl w:val="0"/>
        <w:numPr>
          <w:ilvl w:val="0"/>
          <w:numId w:val="92"/>
        </w:numPr>
        <w:spacing w:after="0" w:line="240" w:lineRule="auto"/>
        <w:contextualSpacing/>
        <w:jc w:val="both"/>
        <w:rPr>
          <w:rFonts w:ascii="Cambria" w:eastAsia="MS Gothic" w:hAnsi="Cambria" w:cs="Times New Roman"/>
          <w:i/>
          <w:iCs/>
          <w:sz w:val="20"/>
          <w:szCs w:val="20"/>
          <w:lang w:eastAsia="fr-FR" w:bidi="fr-FR"/>
        </w:rPr>
      </w:pPr>
      <w:r w:rsidRPr="00F0379B">
        <w:rPr>
          <w:rFonts w:ascii="Cambria" w:eastAsia="MS Gothic" w:hAnsi="Cambria" w:cs="Times New Roman"/>
          <w:i/>
          <w:iCs/>
          <w:sz w:val="20"/>
          <w:szCs w:val="20"/>
          <w:lang w:eastAsia="fr-FR" w:bidi="fr-FR"/>
        </w:rPr>
        <w:t>Cualquier medida adicional utilizada con fines de ejecución o de seguimiento, control e inspección.”</w:t>
      </w:r>
    </w:p>
    <w:p w14:paraId="5F603C09" w14:textId="77777777" w:rsidR="00A908FA" w:rsidRPr="00F0379B" w:rsidRDefault="00A908FA" w:rsidP="00A908FA">
      <w:pPr>
        <w:widowControl w:val="0"/>
        <w:spacing w:after="0" w:line="240" w:lineRule="auto"/>
        <w:jc w:val="both"/>
        <w:rPr>
          <w:rFonts w:ascii="Cambria" w:eastAsia="MS Gothic" w:hAnsi="Cambria" w:cs="Times New Roman"/>
          <w:b/>
          <w:sz w:val="20"/>
          <w:szCs w:val="20"/>
          <w:lang w:eastAsia="fr-FR" w:bidi="fr-FR"/>
        </w:rPr>
      </w:pPr>
    </w:p>
    <w:p w14:paraId="09EC0183" w14:textId="77777777" w:rsidR="00A908FA" w:rsidRPr="00F0379B" w:rsidRDefault="00A908FA" w:rsidP="00A908FA">
      <w:pPr>
        <w:widowControl w:val="0"/>
        <w:spacing w:after="0" w:line="240" w:lineRule="auto"/>
        <w:jc w:val="both"/>
        <w:rPr>
          <w:rFonts w:ascii="Cambria" w:eastAsia="MS Gothic" w:hAnsi="Cambria" w:cs="Times New Roman"/>
          <w:sz w:val="20"/>
          <w:szCs w:val="20"/>
          <w:lang w:eastAsia="fr-FR" w:bidi="fr-FR"/>
        </w:rPr>
      </w:pPr>
    </w:p>
    <w:p w14:paraId="3E02A2B5" w14:textId="77777777" w:rsidR="00A908FA" w:rsidRPr="00F0379B" w:rsidRDefault="00A908FA" w:rsidP="00A908FA">
      <w:pPr>
        <w:widowControl w:val="0"/>
        <w:tabs>
          <w:tab w:val="left" w:pos="426"/>
        </w:tabs>
        <w:spacing w:after="0" w:line="240" w:lineRule="auto"/>
        <w:ind w:left="284" w:hanging="284"/>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0"/>
          <w:lang w:eastAsia="fr-FR" w:bidi="fr-FR"/>
        </w:rPr>
        <w:t xml:space="preserve">1. </w:t>
      </w:r>
      <w:r w:rsidRPr="00F0379B">
        <w:rPr>
          <w:rFonts w:ascii="Cambria" w:eastAsia="MS Gothic" w:hAnsi="Cambria" w:cs="Times New Roman"/>
          <w:b/>
          <w:sz w:val="20"/>
          <w:szCs w:val="20"/>
          <w:lang w:eastAsia="fr-FR" w:bidi="fr-FR"/>
        </w:rPr>
        <w:tab/>
        <w:t xml:space="preserve">Cuotas de la flota para todos los sectores y método utilizado para asignar y gestionar dichas cuotas. </w:t>
      </w:r>
    </w:p>
    <w:p w14:paraId="0628C25D" w14:textId="77777777" w:rsidR="00A908FA" w:rsidRPr="00F0379B" w:rsidRDefault="00A908FA" w:rsidP="00A908FA">
      <w:pPr>
        <w:widowControl w:val="0"/>
        <w:tabs>
          <w:tab w:val="left" w:pos="426"/>
        </w:tabs>
        <w:spacing w:after="0" w:line="240" w:lineRule="auto"/>
        <w:jc w:val="both"/>
        <w:rPr>
          <w:rFonts w:ascii="Cambria" w:eastAsia="MS Gothic" w:hAnsi="Cambria" w:cs="Times New Roman"/>
          <w:i/>
          <w:sz w:val="20"/>
          <w:szCs w:val="20"/>
          <w:lang w:eastAsia="fr-FR" w:bidi="fr-FR"/>
        </w:rPr>
      </w:pPr>
    </w:p>
    <w:p w14:paraId="64B51DA2" w14:textId="77777777" w:rsidR="00A908FA" w:rsidRPr="00F0379B" w:rsidRDefault="00A908FA" w:rsidP="00A908FA">
      <w:pPr>
        <w:widowControl w:val="0"/>
        <w:spacing w:after="0" w:line="240" w:lineRule="auto"/>
        <w:jc w:val="both"/>
        <w:rPr>
          <w:rFonts w:ascii="Cambria" w:eastAsia="MS Gothic" w:hAnsi="Cambria" w:cs="Times New Roman"/>
          <w:b/>
          <w:i/>
          <w:sz w:val="20"/>
          <w:szCs w:val="20"/>
          <w:lang w:eastAsia="fr-FR" w:bidi="fr-FR"/>
        </w:rPr>
      </w:pPr>
      <w:r w:rsidRPr="00F0379B">
        <w:rPr>
          <w:rFonts w:ascii="Cambria" w:eastAsia="MS Gothic" w:hAnsi="Cambria" w:cs="Times New Roman"/>
          <w:b/>
          <w:i/>
          <w:sz w:val="20"/>
          <w:szCs w:val="20"/>
          <w:lang w:eastAsia="fr-FR" w:bidi="fr-FR"/>
        </w:rPr>
        <w:t>1 a) Presentación</w:t>
      </w:r>
    </w:p>
    <w:p w14:paraId="133EC45E" w14:textId="77777777" w:rsidR="00A908FA" w:rsidRPr="00F0379B" w:rsidRDefault="00A908FA" w:rsidP="00A908FA">
      <w:pPr>
        <w:widowControl w:val="0"/>
        <w:spacing w:after="0" w:line="240" w:lineRule="auto"/>
        <w:jc w:val="both"/>
        <w:rPr>
          <w:rFonts w:ascii="Cambria" w:eastAsia="MS Gothic" w:hAnsi="Cambria" w:cs="Times New Roman"/>
          <w:b/>
          <w:i/>
          <w:sz w:val="20"/>
          <w:szCs w:val="20"/>
          <w:lang w:eastAsia="fr-FR" w:bidi="fr-FR"/>
        </w:rPr>
      </w:pPr>
    </w:p>
    <w:p w14:paraId="6A000EEE" w14:textId="77777777" w:rsidR="00A908FA" w:rsidRPr="00F0379B" w:rsidRDefault="00A908FA" w:rsidP="00A908FA">
      <w:pPr>
        <w:widowControl w:val="0"/>
        <w:spacing w:after="0" w:line="240" w:lineRule="auto"/>
        <w:jc w:val="both"/>
        <w:rPr>
          <w:rFonts w:ascii="Cambria" w:eastAsia="MS Gothic" w:hAnsi="Cambria" w:cs="Times New Roman"/>
          <w:bCs/>
          <w:i/>
          <w:sz w:val="20"/>
          <w:szCs w:val="20"/>
          <w:lang w:eastAsia="fr-FR" w:bidi="fr-FR"/>
        </w:rPr>
      </w:pPr>
      <w:r w:rsidRPr="00F0379B">
        <w:rPr>
          <w:rFonts w:ascii="Cambria" w:eastAsia="MS Gothic" w:hAnsi="Cambria" w:cs="Times New Roman"/>
          <w:bCs/>
          <w:i/>
          <w:sz w:val="20"/>
          <w:szCs w:val="20"/>
          <w:lang w:eastAsia="fr-FR" w:bidi="fr-FR"/>
        </w:rPr>
        <w:t>Se invita a las CPC a describir sus planes de pesca.</w:t>
      </w:r>
    </w:p>
    <w:p w14:paraId="1F49B6ED" w14:textId="77777777" w:rsidR="00A908FA" w:rsidRPr="00F0379B" w:rsidRDefault="00A908FA" w:rsidP="00A908FA">
      <w:pPr>
        <w:widowControl w:val="0"/>
        <w:spacing w:after="0" w:line="240" w:lineRule="auto"/>
        <w:jc w:val="both"/>
        <w:rPr>
          <w:rFonts w:ascii="Cambria" w:eastAsia="MS Gothic" w:hAnsi="Cambria" w:cs="Times New Roman"/>
          <w:b/>
          <w:i/>
          <w:sz w:val="20"/>
          <w:szCs w:val="20"/>
          <w:lang w:eastAsia="fr-FR" w:bidi="fr-FR"/>
        </w:rPr>
      </w:pPr>
    </w:p>
    <w:p w14:paraId="69FB5C3D" w14:textId="77777777" w:rsidR="00A908FA" w:rsidRPr="00F0379B" w:rsidRDefault="00A908FA" w:rsidP="00A908FA">
      <w:pPr>
        <w:widowControl w:val="0"/>
        <w:spacing w:after="0" w:line="240" w:lineRule="auto"/>
        <w:jc w:val="both"/>
        <w:rPr>
          <w:rFonts w:ascii="Cambria" w:eastAsia="MS Gothic" w:hAnsi="Cambria" w:cs="Times New Roman"/>
          <w:b/>
          <w:sz w:val="20"/>
          <w:szCs w:val="20"/>
          <w:lang w:eastAsia="fr-FR" w:bidi="fr-FR"/>
        </w:rPr>
      </w:pPr>
      <w:r w:rsidRPr="00F0379B">
        <w:rPr>
          <w:rFonts w:ascii="Cambria" w:eastAsia="MS Gothic" w:hAnsi="Cambria" w:cs="Times New Roman"/>
          <w:b/>
          <w:i/>
          <w:sz w:val="20"/>
          <w:szCs w:val="20"/>
          <w:lang w:eastAsia="fr-FR" w:bidi="fr-FR"/>
        </w:rPr>
        <w:t>1 b) Cuotas de la flota para todos los sectores (párr. 3)</w:t>
      </w:r>
    </w:p>
    <w:p w14:paraId="6B0E8E90" w14:textId="77777777" w:rsidR="00A908FA" w:rsidRPr="00F0379B" w:rsidRDefault="00A908FA" w:rsidP="00A908FA">
      <w:pPr>
        <w:widowControl w:val="0"/>
        <w:spacing w:after="0" w:line="240" w:lineRule="auto"/>
        <w:jc w:val="both"/>
        <w:rPr>
          <w:rFonts w:ascii="Cambria" w:eastAsia="MS Gothic" w:hAnsi="Cambria" w:cs="Times New Roman"/>
          <w:b/>
          <w:sz w:val="20"/>
          <w:szCs w:val="20"/>
          <w:lang w:eastAsia="fr-FR" w:bidi="fr-FR"/>
        </w:rPr>
      </w:pPr>
    </w:p>
    <w:p w14:paraId="28801490" w14:textId="00EA92D2" w:rsidR="00A908FA" w:rsidRPr="00F0379B" w:rsidRDefault="00A908FA" w:rsidP="00A908FA">
      <w:pPr>
        <w:widowControl w:val="0"/>
        <w:spacing w:after="0" w:line="240" w:lineRule="auto"/>
        <w:jc w:val="both"/>
        <w:rPr>
          <w:rFonts w:ascii="Cambria" w:eastAsia="MS Gothic" w:hAnsi="Cambria" w:cs="Times New Roman"/>
          <w:sz w:val="20"/>
          <w:szCs w:val="20"/>
          <w:lang w:eastAsia="fr-FR" w:bidi="fr-FR"/>
        </w:rPr>
      </w:pPr>
    </w:p>
    <w:tbl>
      <w:tblPr>
        <w:tblpPr w:leftFromText="180" w:rightFromText="180" w:vertAnchor="text" w:horzAnchor="margin" w:tblpXSpec="center" w:tblpY="35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4"/>
        <w:gridCol w:w="4606"/>
      </w:tblGrid>
      <w:tr w:rsidR="00A908FA" w:rsidRPr="00F0379B" w14:paraId="3B8307B2" w14:textId="77777777" w:rsidTr="00CA749B">
        <w:trPr>
          <w:trHeight w:val="268"/>
        </w:trPr>
        <w:tc>
          <w:tcPr>
            <w:tcW w:w="2458" w:type="pct"/>
            <w:noWrap/>
            <w:vAlign w:val="center"/>
          </w:tcPr>
          <w:p w14:paraId="251441C1" w14:textId="77777777" w:rsidR="00A908FA" w:rsidRPr="00F0379B" w:rsidRDefault="00A908FA" w:rsidP="00A908FA">
            <w:pPr>
              <w:spacing w:after="0" w:line="240" w:lineRule="auto"/>
              <w:jc w:val="center"/>
              <w:rPr>
                <w:rFonts w:ascii="Cambria" w:eastAsia="MS Gothic" w:hAnsi="Cambria" w:cs="Times New Roman"/>
                <w:bCs/>
                <w:i/>
                <w:iCs/>
                <w:color w:val="000000"/>
                <w:sz w:val="20"/>
                <w:szCs w:val="20"/>
                <w:lang w:eastAsia="fr-FR" w:bidi="fr-FR"/>
              </w:rPr>
            </w:pPr>
            <w:r w:rsidRPr="00F0379B">
              <w:rPr>
                <w:rFonts w:ascii="Cambria" w:eastAsia="MS Gothic" w:hAnsi="Cambria" w:cs="Times New Roman"/>
                <w:i/>
                <w:iCs/>
                <w:color w:val="000000"/>
                <w:sz w:val="20"/>
                <w:szCs w:val="20"/>
                <w:lang w:eastAsia="fr-FR" w:bidi="fr-FR"/>
              </w:rPr>
              <w:t>Sector de la flota</w:t>
            </w:r>
          </w:p>
        </w:tc>
        <w:tc>
          <w:tcPr>
            <w:tcW w:w="2542" w:type="pct"/>
            <w:tcBorders>
              <w:bottom w:val="single" w:sz="4" w:space="0" w:color="auto"/>
            </w:tcBorders>
            <w:vAlign w:val="center"/>
          </w:tcPr>
          <w:p w14:paraId="152B5C5D" w14:textId="77777777" w:rsidR="00A908FA" w:rsidRPr="00F0379B" w:rsidRDefault="00A908FA" w:rsidP="00A908FA">
            <w:pPr>
              <w:spacing w:after="0" w:line="240" w:lineRule="auto"/>
              <w:jc w:val="center"/>
              <w:rPr>
                <w:rFonts w:ascii="Cambria" w:eastAsia="MS Gothic" w:hAnsi="Cambria" w:cs="Times New Roman"/>
                <w:bCs/>
                <w:i/>
                <w:iCs/>
                <w:sz w:val="20"/>
                <w:szCs w:val="20"/>
                <w:lang w:eastAsia="fr-FR" w:bidi="fr-FR"/>
              </w:rPr>
            </w:pPr>
            <w:r w:rsidRPr="00F0379B">
              <w:rPr>
                <w:rFonts w:ascii="Cambria" w:eastAsia="MS Gothic" w:hAnsi="Cambria" w:cs="Times New Roman"/>
                <w:i/>
                <w:color w:val="000000"/>
                <w:sz w:val="20"/>
                <w:szCs w:val="20"/>
                <w:lang w:eastAsia="fr-FR" w:bidi="fr-FR"/>
              </w:rPr>
              <w:t xml:space="preserve">   Cuota asignada (t)</w:t>
            </w:r>
          </w:p>
        </w:tc>
      </w:tr>
      <w:tr w:rsidR="00A908FA" w:rsidRPr="00F0379B" w14:paraId="4EC63B6E" w14:textId="77777777" w:rsidTr="00CA749B">
        <w:trPr>
          <w:trHeight w:val="300"/>
        </w:trPr>
        <w:tc>
          <w:tcPr>
            <w:tcW w:w="2458" w:type="pct"/>
            <w:tcBorders>
              <w:right w:val="single" w:sz="4" w:space="0" w:color="auto"/>
            </w:tcBorders>
            <w:noWrap/>
            <w:vAlign w:val="center"/>
          </w:tcPr>
          <w:p w14:paraId="2CCAFC13" w14:textId="77777777" w:rsidR="00A908FA" w:rsidRPr="00F0379B" w:rsidRDefault="00A908FA" w:rsidP="00A908FA">
            <w:pPr>
              <w:spacing w:after="0" w:line="240" w:lineRule="auto"/>
              <w:jc w:val="both"/>
              <w:rPr>
                <w:rFonts w:ascii="Cambria" w:eastAsia="MS Gothic" w:hAnsi="Cambria" w:cs="Times New Roman"/>
                <w:color w:val="000000"/>
                <w:sz w:val="20"/>
                <w:szCs w:val="20"/>
                <w:lang w:eastAsia="fr-FR" w:bidi="fr-FR"/>
              </w:rPr>
            </w:pPr>
          </w:p>
        </w:tc>
        <w:tc>
          <w:tcPr>
            <w:tcW w:w="2542" w:type="pct"/>
            <w:tcBorders>
              <w:top w:val="single" w:sz="4" w:space="0" w:color="auto"/>
              <w:left w:val="single" w:sz="4" w:space="0" w:color="auto"/>
              <w:bottom w:val="single" w:sz="4" w:space="0" w:color="auto"/>
              <w:right w:val="single" w:sz="4" w:space="0" w:color="auto"/>
            </w:tcBorders>
          </w:tcPr>
          <w:p w14:paraId="02353887" w14:textId="77777777" w:rsidR="00A908FA" w:rsidRPr="00F0379B" w:rsidRDefault="00A908FA" w:rsidP="00A908FA">
            <w:pPr>
              <w:widowControl w:val="0"/>
              <w:spacing w:after="0" w:line="240" w:lineRule="auto"/>
              <w:jc w:val="right"/>
              <w:rPr>
                <w:rFonts w:ascii="Cambria" w:eastAsia="MS Gothic" w:hAnsi="Cambria" w:cs="Times New Roman"/>
                <w:color w:val="000000"/>
                <w:sz w:val="20"/>
                <w:szCs w:val="20"/>
                <w:lang w:eastAsia="fr-FR" w:bidi="fr-FR"/>
              </w:rPr>
            </w:pPr>
          </w:p>
        </w:tc>
      </w:tr>
      <w:tr w:rsidR="00A908FA" w:rsidRPr="00F0379B" w14:paraId="3E179E7C" w14:textId="77777777" w:rsidTr="00CA749B">
        <w:trPr>
          <w:trHeight w:val="300"/>
        </w:trPr>
        <w:tc>
          <w:tcPr>
            <w:tcW w:w="2458" w:type="pct"/>
            <w:tcBorders>
              <w:right w:val="single" w:sz="4" w:space="0" w:color="auto"/>
            </w:tcBorders>
            <w:noWrap/>
            <w:vAlign w:val="center"/>
          </w:tcPr>
          <w:p w14:paraId="25E2C122" w14:textId="77777777" w:rsidR="00A908FA" w:rsidRPr="00F0379B" w:rsidRDefault="00A908FA" w:rsidP="00A908FA">
            <w:pPr>
              <w:spacing w:after="0" w:line="240" w:lineRule="auto"/>
              <w:jc w:val="both"/>
              <w:rPr>
                <w:rFonts w:ascii="Cambria" w:eastAsia="MS Gothic" w:hAnsi="Cambria" w:cs="Times New Roman"/>
                <w:color w:val="000000"/>
                <w:sz w:val="20"/>
                <w:szCs w:val="20"/>
                <w:lang w:eastAsia="fr-FR" w:bidi="fr-FR"/>
              </w:rPr>
            </w:pPr>
          </w:p>
        </w:tc>
        <w:tc>
          <w:tcPr>
            <w:tcW w:w="2542" w:type="pct"/>
            <w:tcBorders>
              <w:top w:val="single" w:sz="4" w:space="0" w:color="auto"/>
              <w:left w:val="single" w:sz="4" w:space="0" w:color="auto"/>
              <w:bottom w:val="single" w:sz="4" w:space="0" w:color="auto"/>
              <w:right w:val="single" w:sz="4" w:space="0" w:color="auto"/>
            </w:tcBorders>
          </w:tcPr>
          <w:p w14:paraId="0717FB7D" w14:textId="77777777" w:rsidR="00A908FA" w:rsidRPr="00F0379B" w:rsidRDefault="00A908FA" w:rsidP="00A908FA">
            <w:pPr>
              <w:widowControl w:val="0"/>
              <w:spacing w:after="0" w:line="240" w:lineRule="auto"/>
              <w:jc w:val="right"/>
              <w:rPr>
                <w:rFonts w:ascii="Cambria" w:eastAsia="MS Gothic" w:hAnsi="Cambria" w:cs="Times New Roman"/>
                <w:color w:val="000000"/>
                <w:sz w:val="20"/>
                <w:szCs w:val="20"/>
                <w:lang w:eastAsia="fr-FR" w:bidi="fr-FR"/>
              </w:rPr>
            </w:pPr>
          </w:p>
        </w:tc>
      </w:tr>
      <w:tr w:rsidR="00A908FA" w:rsidRPr="00F0379B" w14:paraId="60782AA7" w14:textId="77777777" w:rsidTr="00CA749B">
        <w:trPr>
          <w:trHeight w:val="300"/>
        </w:trPr>
        <w:tc>
          <w:tcPr>
            <w:tcW w:w="2458" w:type="pct"/>
            <w:tcBorders>
              <w:right w:val="single" w:sz="4" w:space="0" w:color="auto"/>
            </w:tcBorders>
            <w:noWrap/>
            <w:vAlign w:val="center"/>
          </w:tcPr>
          <w:p w14:paraId="2B27DE1B" w14:textId="77777777" w:rsidR="00A908FA" w:rsidRPr="00F0379B" w:rsidRDefault="00A908FA" w:rsidP="00A908FA">
            <w:pPr>
              <w:spacing w:after="0" w:line="240" w:lineRule="auto"/>
              <w:jc w:val="both"/>
              <w:rPr>
                <w:rFonts w:ascii="Cambria" w:eastAsia="MS Gothic" w:hAnsi="Cambria" w:cs="Times New Roman"/>
                <w:color w:val="000000"/>
                <w:sz w:val="20"/>
                <w:szCs w:val="20"/>
                <w:lang w:eastAsia="fr-FR" w:bidi="fr-FR"/>
              </w:rPr>
            </w:pPr>
          </w:p>
        </w:tc>
        <w:tc>
          <w:tcPr>
            <w:tcW w:w="2542" w:type="pct"/>
            <w:tcBorders>
              <w:top w:val="single" w:sz="4" w:space="0" w:color="auto"/>
              <w:left w:val="single" w:sz="4" w:space="0" w:color="auto"/>
              <w:bottom w:val="single" w:sz="4" w:space="0" w:color="auto"/>
              <w:right w:val="single" w:sz="4" w:space="0" w:color="auto"/>
            </w:tcBorders>
          </w:tcPr>
          <w:p w14:paraId="33806A3B" w14:textId="77777777" w:rsidR="00A908FA" w:rsidRPr="00F0379B" w:rsidRDefault="00A908FA" w:rsidP="00A908FA">
            <w:pPr>
              <w:widowControl w:val="0"/>
              <w:spacing w:after="0" w:line="240" w:lineRule="auto"/>
              <w:jc w:val="right"/>
              <w:rPr>
                <w:rFonts w:ascii="Cambria" w:eastAsia="MS Gothic" w:hAnsi="Cambria" w:cs="Times New Roman"/>
                <w:color w:val="000000"/>
                <w:sz w:val="20"/>
                <w:szCs w:val="20"/>
                <w:lang w:eastAsia="fr-FR" w:bidi="fr-FR"/>
              </w:rPr>
            </w:pPr>
          </w:p>
        </w:tc>
      </w:tr>
      <w:tr w:rsidR="00A908FA" w:rsidRPr="00F0379B" w14:paraId="2FFEE4CD" w14:textId="77777777" w:rsidTr="00CA749B">
        <w:trPr>
          <w:trHeight w:val="300"/>
        </w:trPr>
        <w:tc>
          <w:tcPr>
            <w:tcW w:w="2458" w:type="pct"/>
            <w:tcBorders>
              <w:right w:val="single" w:sz="4" w:space="0" w:color="auto"/>
            </w:tcBorders>
            <w:noWrap/>
            <w:vAlign w:val="center"/>
          </w:tcPr>
          <w:p w14:paraId="7D0944F8" w14:textId="77777777" w:rsidR="00A908FA" w:rsidRPr="00F0379B" w:rsidRDefault="00A908FA" w:rsidP="00A908FA">
            <w:pPr>
              <w:spacing w:after="0" w:line="240" w:lineRule="auto"/>
              <w:jc w:val="both"/>
              <w:rPr>
                <w:rFonts w:ascii="Cambria" w:eastAsia="MS Gothic" w:hAnsi="Cambria" w:cs="Times New Roman"/>
                <w:color w:val="000000"/>
                <w:sz w:val="20"/>
                <w:szCs w:val="20"/>
                <w:lang w:eastAsia="fr-FR" w:bidi="fr-FR"/>
              </w:rPr>
            </w:pPr>
          </w:p>
        </w:tc>
        <w:tc>
          <w:tcPr>
            <w:tcW w:w="2542" w:type="pct"/>
            <w:tcBorders>
              <w:top w:val="single" w:sz="4" w:space="0" w:color="auto"/>
              <w:left w:val="single" w:sz="4" w:space="0" w:color="auto"/>
              <w:bottom w:val="single" w:sz="4" w:space="0" w:color="auto"/>
              <w:right w:val="single" w:sz="4" w:space="0" w:color="auto"/>
            </w:tcBorders>
          </w:tcPr>
          <w:p w14:paraId="67A7EB68" w14:textId="77777777" w:rsidR="00A908FA" w:rsidRPr="00F0379B" w:rsidRDefault="00A908FA" w:rsidP="00A908FA">
            <w:pPr>
              <w:widowControl w:val="0"/>
              <w:spacing w:after="0" w:line="240" w:lineRule="auto"/>
              <w:jc w:val="right"/>
              <w:rPr>
                <w:rFonts w:ascii="Cambria" w:eastAsia="MS Gothic" w:hAnsi="Cambria" w:cs="Times New Roman"/>
                <w:color w:val="000000"/>
                <w:sz w:val="20"/>
                <w:szCs w:val="20"/>
                <w:lang w:eastAsia="fr-FR" w:bidi="fr-FR"/>
              </w:rPr>
            </w:pPr>
          </w:p>
        </w:tc>
      </w:tr>
      <w:tr w:rsidR="00A908FA" w:rsidRPr="00F0379B" w14:paraId="68DD38B9" w14:textId="77777777" w:rsidTr="00CA749B">
        <w:trPr>
          <w:trHeight w:val="315"/>
        </w:trPr>
        <w:tc>
          <w:tcPr>
            <w:tcW w:w="2458" w:type="pct"/>
            <w:tcBorders>
              <w:right w:val="single" w:sz="4" w:space="0" w:color="auto"/>
            </w:tcBorders>
            <w:noWrap/>
            <w:vAlign w:val="center"/>
          </w:tcPr>
          <w:p w14:paraId="609C5527" w14:textId="77777777" w:rsidR="00A908FA" w:rsidRPr="00F0379B" w:rsidRDefault="00A908FA" w:rsidP="00A908FA">
            <w:pPr>
              <w:spacing w:after="0" w:line="240" w:lineRule="auto"/>
              <w:jc w:val="center"/>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w:t>
            </w:r>
          </w:p>
        </w:tc>
        <w:tc>
          <w:tcPr>
            <w:tcW w:w="2542" w:type="pct"/>
            <w:tcBorders>
              <w:top w:val="single" w:sz="4" w:space="0" w:color="auto"/>
              <w:left w:val="single" w:sz="4" w:space="0" w:color="auto"/>
              <w:bottom w:val="single" w:sz="4" w:space="0" w:color="auto"/>
              <w:right w:val="single" w:sz="4" w:space="0" w:color="auto"/>
            </w:tcBorders>
          </w:tcPr>
          <w:p w14:paraId="687B9A59" w14:textId="77777777" w:rsidR="00A908FA" w:rsidRPr="00F0379B" w:rsidRDefault="00A908FA" w:rsidP="00A908FA">
            <w:pPr>
              <w:widowControl w:val="0"/>
              <w:spacing w:after="0" w:line="240" w:lineRule="auto"/>
              <w:jc w:val="center"/>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w:t>
            </w:r>
          </w:p>
        </w:tc>
      </w:tr>
      <w:tr w:rsidR="00A908FA" w:rsidRPr="00F0379B" w14:paraId="402F937E" w14:textId="77777777" w:rsidTr="00CA749B">
        <w:trPr>
          <w:trHeight w:val="315"/>
        </w:trPr>
        <w:tc>
          <w:tcPr>
            <w:tcW w:w="2458" w:type="pct"/>
            <w:tcBorders>
              <w:right w:val="single" w:sz="4" w:space="0" w:color="auto"/>
            </w:tcBorders>
            <w:shd w:val="clear" w:color="auto" w:fill="BFBFBF"/>
            <w:noWrap/>
            <w:vAlign w:val="center"/>
          </w:tcPr>
          <w:p w14:paraId="09D5FCBC" w14:textId="77777777" w:rsidR="00A908FA" w:rsidRPr="00F0379B" w:rsidRDefault="00A908FA" w:rsidP="00A908FA">
            <w:pPr>
              <w:spacing w:after="0" w:line="240" w:lineRule="auto"/>
              <w:rPr>
                <w:rFonts w:ascii="Cambria" w:eastAsia="MS Gothic" w:hAnsi="Cambria" w:cs="Times New Roman"/>
                <w:b/>
                <w:bCs/>
                <w:color w:val="000000"/>
                <w:sz w:val="20"/>
                <w:szCs w:val="20"/>
                <w:lang w:eastAsia="fr-FR" w:bidi="fr-FR"/>
              </w:rPr>
            </w:pPr>
            <w:r w:rsidRPr="00F0379B">
              <w:rPr>
                <w:rFonts w:ascii="Cambria" w:eastAsia="MS Gothic" w:hAnsi="Cambria" w:cs="Times New Roman"/>
                <w:b/>
                <w:color w:val="000000"/>
                <w:sz w:val="20"/>
                <w:szCs w:val="20"/>
                <w:lang w:eastAsia="fr-FR" w:bidi="fr-FR"/>
              </w:rPr>
              <w:t>Total</w:t>
            </w:r>
          </w:p>
        </w:tc>
        <w:tc>
          <w:tcPr>
            <w:tcW w:w="2542" w:type="pct"/>
            <w:tcBorders>
              <w:top w:val="single" w:sz="4" w:space="0" w:color="auto"/>
              <w:left w:val="single" w:sz="4" w:space="0" w:color="auto"/>
              <w:bottom w:val="single" w:sz="4" w:space="0" w:color="auto"/>
              <w:right w:val="single" w:sz="4" w:space="0" w:color="auto"/>
            </w:tcBorders>
            <w:shd w:val="clear" w:color="auto" w:fill="BFBFBF"/>
          </w:tcPr>
          <w:p w14:paraId="714D5E82" w14:textId="77777777" w:rsidR="00A908FA" w:rsidRPr="00F0379B" w:rsidRDefault="00A908FA" w:rsidP="00A908FA">
            <w:pPr>
              <w:widowControl w:val="0"/>
              <w:spacing w:after="0" w:line="240" w:lineRule="auto"/>
              <w:jc w:val="right"/>
              <w:rPr>
                <w:rFonts w:ascii="Cambria" w:eastAsia="MS Gothic" w:hAnsi="Cambria" w:cs="Times New Roman"/>
                <w:b/>
                <w:color w:val="000000"/>
                <w:sz w:val="20"/>
                <w:szCs w:val="20"/>
                <w:lang w:eastAsia="fr-FR" w:bidi="fr-FR"/>
              </w:rPr>
            </w:pPr>
          </w:p>
        </w:tc>
      </w:tr>
      <w:tr w:rsidR="00A908FA" w:rsidRPr="00F0379B" w14:paraId="0BB776EE" w14:textId="77777777" w:rsidTr="00CA749B">
        <w:trPr>
          <w:trHeight w:val="315"/>
        </w:trPr>
        <w:tc>
          <w:tcPr>
            <w:tcW w:w="2458" w:type="pct"/>
            <w:noWrap/>
            <w:vAlign w:val="center"/>
          </w:tcPr>
          <w:p w14:paraId="7C3A22C2" w14:textId="77777777" w:rsidR="00A908FA" w:rsidRPr="00F0379B" w:rsidRDefault="00A908FA" w:rsidP="00A908FA">
            <w:pPr>
              <w:spacing w:after="0" w:line="240" w:lineRule="auto"/>
              <w:jc w:val="both"/>
              <w:rPr>
                <w:rFonts w:ascii="Cambria" w:eastAsia="MS Gothic" w:hAnsi="Cambria" w:cs="Times New Roman"/>
                <w:b/>
                <w:color w:val="000000"/>
                <w:sz w:val="20"/>
                <w:szCs w:val="20"/>
                <w:lang w:eastAsia="fr-FR" w:bidi="fr-FR"/>
              </w:rPr>
            </w:pPr>
            <w:r w:rsidRPr="00F0379B">
              <w:rPr>
                <w:rFonts w:ascii="Cambria" w:eastAsia="MS Gothic" w:hAnsi="Cambria" w:cs="Times New Roman"/>
                <w:color w:val="000000"/>
                <w:sz w:val="20"/>
                <w:szCs w:val="20"/>
                <w:lang w:eastAsia="fr-FR" w:bidi="fr-FR"/>
              </w:rPr>
              <w:t xml:space="preserve">Cuota </w:t>
            </w:r>
          </w:p>
        </w:tc>
        <w:tc>
          <w:tcPr>
            <w:tcW w:w="2542" w:type="pct"/>
            <w:vAlign w:val="center"/>
          </w:tcPr>
          <w:p w14:paraId="5D547272" w14:textId="77777777" w:rsidR="00A908FA" w:rsidRPr="00F0379B" w:rsidRDefault="00A908FA" w:rsidP="00A908FA">
            <w:pPr>
              <w:widowControl w:val="0"/>
              <w:spacing w:after="0" w:line="240" w:lineRule="auto"/>
              <w:jc w:val="right"/>
              <w:rPr>
                <w:rFonts w:ascii="Cambria" w:eastAsia="MS Gothic" w:hAnsi="Cambria" w:cs="Times New Roman"/>
                <w:b/>
                <w:color w:val="000000"/>
                <w:sz w:val="20"/>
                <w:szCs w:val="20"/>
                <w:lang w:eastAsia="fr-FR" w:bidi="fr-FR"/>
              </w:rPr>
            </w:pPr>
          </w:p>
        </w:tc>
      </w:tr>
      <w:tr w:rsidR="00A908FA" w:rsidRPr="00F0379B" w14:paraId="175A79E4" w14:textId="77777777" w:rsidTr="00CA749B">
        <w:trPr>
          <w:trHeight w:val="315"/>
        </w:trPr>
        <w:tc>
          <w:tcPr>
            <w:tcW w:w="2458" w:type="pct"/>
            <w:noWrap/>
            <w:vAlign w:val="center"/>
          </w:tcPr>
          <w:p w14:paraId="185A3113" w14:textId="77777777" w:rsidR="00A908FA" w:rsidRPr="00F0379B" w:rsidRDefault="00A908FA" w:rsidP="00A908FA">
            <w:pPr>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Cuota ajustada (si procede, incluyendo traspasos,</w:t>
            </w:r>
          </w:p>
          <w:p w14:paraId="57196A9C" w14:textId="77777777" w:rsidR="00A908FA" w:rsidRPr="00F0379B" w:rsidRDefault="00A908FA" w:rsidP="00A908FA">
            <w:pPr>
              <w:spacing w:after="0" w:line="240" w:lineRule="auto"/>
              <w:jc w:val="both"/>
              <w:rPr>
                <w:rFonts w:ascii="Cambria" w:eastAsia="MS Gothic" w:hAnsi="Cambria" w:cs="Times New Roman"/>
                <w:color w:val="000000"/>
                <w:sz w:val="20"/>
                <w:szCs w:val="20"/>
                <w:lang w:eastAsia="fr-FR" w:bidi="fr-FR"/>
              </w:rPr>
            </w:pPr>
            <w:r w:rsidRPr="00F0379B">
              <w:rPr>
                <w:rFonts w:ascii="Cambria" w:eastAsia="MS Gothic" w:hAnsi="Cambria" w:cs="Times New Roman"/>
                <w:color w:val="000000"/>
                <w:sz w:val="20"/>
                <w:szCs w:val="20"/>
                <w:lang w:eastAsia="fr-FR" w:bidi="fr-FR"/>
              </w:rPr>
              <w:t>exceso de captura y transferencias)</w:t>
            </w:r>
          </w:p>
        </w:tc>
        <w:tc>
          <w:tcPr>
            <w:tcW w:w="2542" w:type="pct"/>
            <w:vAlign w:val="center"/>
          </w:tcPr>
          <w:p w14:paraId="051BD22B" w14:textId="77777777" w:rsidR="00A908FA" w:rsidRPr="00F0379B" w:rsidRDefault="00A908FA" w:rsidP="00A908FA">
            <w:pPr>
              <w:widowControl w:val="0"/>
              <w:spacing w:after="0" w:line="240" w:lineRule="auto"/>
              <w:jc w:val="right"/>
              <w:rPr>
                <w:rFonts w:ascii="Cambria" w:eastAsia="MS Gothic" w:hAnsi="Cambria" w:cs="Times New Roman"/>
                <w:color w:val="000000"/>
                <w:sz w:val="20"/>
                <w:szCs w:val="20"/>
                <w:lang w:eastAsia="fr-FR" w:bidi="fr-FR"/>
              </w:rPr>
            </w:pPr>
          </w:p>
        </w:tc>
      </w:tr>
      <w:tr w:rsidR="00A908FA" w:rsidRPr="00F0379B" w14:paraId="0A450C4A" w14:textId="77777777" w:rsidTr="00CA749B">
        <w:trPr>
          <w:trHeight w:val="315"/>
        </w:trPr>
        <w:tc>
          <w:tcPr>
            <w:tcW w:w="2458" w:type="pct"/>
            <w:noWrap/>
            <w:vAlign w:val="center"/>
          </w:tcPr>
          <w:p w14:paraId="0502D123" w14:textId="77777777" w:rsidR="00A908FA" w:rsidRPr="00F0379B" w:rsidRDefault="00A908FA" w:rsidP="00A908FA">
            <w:pPr>
              <w:spacing w:after="0" w:line="240" w:lineRule="auto"/>
              <w:jc w:val="both"/>
              <w:rPr>
                <w:rFonts w:ascii="Cambria" w:eastAsia="MS Gothic" w:hAnsi="Cambria" w:cs="Times New Roman"/>
                <w:b/>
                <w:color w:val="000000"/>
                <w:sz w:val="20"/>
                <w:szCs w:val="20"/>
                <w:lang w:eastAsia="fr-FR" w:bidi="fr-FR"/>
              </w:rPr>
            </w:pPr>
            <w:r w:rsidRPr="00F0379B">
              <w:rPr>
                <w:rFonts w:ascii="Cambria" w:eastAsia="MS Gothic" w:hAnsi="Cambria" w:cs="Times New Roman"/>
                <w:color w:val="000000"/>
                <w:sz w:val="20"/>
                <w:szCs w:val="20"/>
                <w:lang w:eastAsia="fr-FR" w:bidi="fr-FR"/>
              </w:rPr>
              <w:t>Pesquería de recreo</w:t>
            </w:r>
          </w:p>
        </w:tc>
        <w:tc>
          <w:tcPr>
            <w:tcW w:w="2542" w:type="pct"/>
            <w:tcBorders>
              <w:right w:val="single" w:sz="4" w:space="0" w:color="auto"/>
            </w:tcBorders>
            <w:vAlign w:val="center"/>
          </w:tcPr>
          <w:p w14:paraId="581DCCC2" w14:textId="77777777" w:rsidR="00A908FA" w:rsidRPr="00F0379B" w:rsidRDefault="00A908FA" w:rsidP="00A908FA">
            <w:pPr>
              <w:widowControl w:val="0"/>
              <w:spacing w:after="0" w:line="240" w:lineRule="auto"/>
              <w:jc w:val="right"/>
              <w:rPr>
                <w:rFonts w:ascii="Cambria" w:eastAsia="MS Gothic" w:hAnsi="Cambria" w:cs="Times New Roman"/>
                <w:color w:val="000000"/>
                <w:sz w:val="20"/>
                <w:szCs w:val="20"/>
                <w:lang w:eastAsia="fr-FR" w:bidi="fr-FR"/>
              </w:rPr>
            </w:pPr>
          </w:p>
        </w:tc>
      </w:tr>
      <w:tr w:rsidR="00A908FA" w:rsidRPr="00F0379B" w14:paraId="4D9547EE" w14:textId="77777777" w:rsidTr="00CA749B">
        <w:trPr>
          <w:trHeight w:val="315"/>
        </w:trPr>
        <w:tc>
          <w:tcPr>
            <w:tcW w:w="2458" w:type="pct"/>
            <w:noWrap/>
            <w:vAlign w:val="center"/>
          </w:tcPr>
          <w:p w14:paraId="15F5363F" w14:textId="77777777" w:rsidR="00A908FA" w:rsidRPr="00F0379B" w:rsidRDefault="00A908FA" w:rsidP="00A908FA">
            <w:pPr>
              <w:spacing w:after="0" w:line="240" w:lineRule="auto"/>
              <w:jc w:val="both"/>
              <w:rPr>
                <w:rFonts w:ascii="Cambria" w:eastAsia="MS Gothic" w:hAnsi="Cambria" w:cs="Times New Roman"/>
                <w:b/>
                <w:color w:val="000000"/>
                <w:sz w:val="20"/>
                <w:szCs w:val="20"/>
                <w:lang w:eastAsia="fr-FR" w:bidi="fr-FR"/>
              </w:rPr>
            </w:pPr>
            <w:r w:rsidRPr="00F0379B">
              <w:rPr>
                <w:rFonts w:ascii="Cambria" w:eastAsia="MS Gothic" w:hAnsi="Cambria" w:cs="Times New Roman"/>
                <w:color w:val="000000"/>
                <w:sz w:val="20"/>
                <w:szCs w:val="20"/>
                <w:lang w:eastAsia="fr-FR" w:bidi="fr-FR"/>
              </w:rPr>
              <w:t>Reserva para capturas fortuitas (si la hay)</w:t>
            </w:r>
          </w:p>
        </w:tc>
        <w:tc>
          <w:tcPr>
            <w:tcW w:w="2542" w:type="pct"/>
            <w:tcBorders>
              <w:top w:val="single" w:sz="4" w:space="0" w:color="auto"/>
              <w:right w:val="single" w:sz="4" w:space="0" w:color="auto"/>
            </w:tcBorders>
            <w:vAlign w:val="center"/>
          </w:tcPr>
          <w:p w14:paraId="7B2ECDAC" w14:textId="77777777" w:rsidR="00A908FA" w:rsidRPr="00F0379B" w:rsidRDefault="00A908FA" w:rsidP="00A908FA">
            <w:pPr>
              <w:widowControl w:val="0"/>
              <w:spacing w:after="0" w:line="240" w:lineRule="auto"/>
              <w:jc w:val="right"/>
              <w:rPr>
                <w:rFonts w:ascii="Cambria" w:eastAsia="MS Gothic" w:hAnsi="Cambria" w:cs="Times New Roman"/>
                <w:color w:val="000000"/>
                <w:sz w:val="20"/>
                <w:szCs w:val="20"/>
                <w:lang w:eastAsia="fr-FR" w:bidi="fr-FR"/>
              </w:rPr>
            </w:pPr>
          </w:p>
        </w:tc>
      </w:tr>
    </w:tbl>
    <w:p w14:paraId="72F54675" w14:textId="77777777" w:rsidR="00A908FA" w:rsidRPr="00F0379B" w:rsidRDefault="00A908FA" w:rsidP="00A908FA">
      <w:pPr>
        <w:widowControl w:val="0"/>
        <w:spacing w:after="0" w:line="240" w:lineRule="auto"/>
        <w:jc w:val="both"/>
        <w:rPr>
          <w:rFonts w:ascii="Cambria" w:eastAsia="MS Gothic" w:hAnsi="Cambria" w:cs="Times New Roman"/>
          <w:b/>
          <w:bCs/>
          <w:i/>
          <w:iCs/>
          <w:sz w:val="20"/>
          <w:szCs w:val="20"/>
          <w:lang w:eastAsia="fr-FR" w:bidi="fr-FR"/>
        </w:rPr>
      </w:pPr>
    </w:p>
    <w:p w14:paraId="469CDDE8" w14:textId="77777777" w:rsidR="00A908FA" w:rsidRPr="00F0379B" w:rsidRDefault="00A908FA" w:rsidP="00A908FA">
      <w:pPr>
        <w:widowControl w:val="0"/>
        <w:spacing w:after="0" w:line="240" w:lineRule="auto"/>
        <w:jc w:val="both"/>
        <w:rPr>
          <w:rFonts w:ascii="Cambria" w:eastAsia="MS Gothic" w:hAnsi="Cambria" w:cs="Times New Roman"/>
          <w:sz w:val="20"/>
          <w:szCs w:val="20"/>
          <w:lang w:eastAsia="fr-FR" w:bidi="fr-FR"/>
        </w:rPr>
      </w:pPr>
    </w:p>
    <w:p w14:paraId="0AF9DA3C" w14:textId="77777777" w:rsidR="00A908FA" w:rsidRPr="00F0379B" w:rsidRDefault="00A908FA" w:rsidP="00A908FA">
      <w:pPr>
        <w:widowControl w:val="0"/>
        <w:spacing w:after="0" w:line="240" w:lineRule="auto"/>
        <w:jc w:val="both"/>
        <w:rPr>
          <w:rFonts w:ascii="Cambria" w:eastAsia="MS Gothic" w:hAnsi="Cambria" w:cs="Times New Roman"/>
          <w:sz w:val="20"/>
          <w:szCs w:val="20"/>
          <w:lang w:eastAsia="fr-FR" w:bidi="fr-FR"/>
        </w:rPr>
      </w:pPr>
    </w:p>
    <w:p w14:paraId="2E35F82E" w14:textId="77777777" w:rsidR="00A908FA" w:rsidRPr="00F0379B" w:rsidRDefault="00A908FA" w:rsidP="00A908FA">
      <w:pPr>
        <w:widowControl w:val="0"/>
        <w:spacing w:after="0" w:line="240" w:lineRule="auto"/>
        <w:jc w:val="both"/>
        <w:rPr>
          <w:rFonts w:ascii="Cambria" w:eastAsia="MS Gothic" w:hAnsi="Cambria" w:cs="Times New Roman"/>
          <w:sz w:val="20"/>
          <w:szCs w:val="20"/>
          <w:lang w:eastAsia="fr-FR" w:bidi="fr-FR"/>
        </w:rPr>
      </w:pPr>
    </w:p>
    <w:p w14:paraId="677EC204" w14:textId="77777777" w:rsidR="00A908FA" w:rsidRPr="00F0379B" w:rsidRDefault="00A908FA" w:rsidP="00A908FA">
      <w:pPr>
        <w:widowControl w:val="0"/>
        <w:spacing w:after="0" w:line="240" w:lineRule="auto"/>
        <w:jc w:val="both"/>
        <w:rPr>
          <w:rFonts w:ascii="Cambria" w:eastAsia="MS Gothic" w:hAnsi="Cambria" w:cs="Times New Roman"/>
          <w:sz w:val="20"/>
          <w:szCs w:val="20"/>
          <w:lang w:eastAsia="fr-FR" w:bidi="fr-FR"/>
        </w:rPr>
      </w:pPr>
    </w:p>
    <w:p w14:paraId="04E61455" w14:textId="77777777" w:rsidR="00A908FA" w:rsidRPr="00F0379B" w:rsidRDefault="00A908FA" w:rsidP="00A908FA">
      <w:pPr>
        <w:widowControl w:val="0"/>
        <w:spacing w:after="0" w:line="240" w:lineRule="auto"/>
        <w:jc w:val="both"/>
        <w:rPr>
          <w:rFonts w:ascii="Cambria" w:eastAsia="MS Gothic" w:hAnsi="Cambria" w:cs="Times New Roman"/>
          <w:b/>
          <w:sz w:val="20"/>
          <w:szCs w:val="20"/>
          <w:lang w:eastAsia="fr-FR" w:bidi="fr-FR"/>
        </w:rPr>
      </w:pPr>
      <w:r w:rsidRPr="00F0379B">
        <w:rPr>
          <w:rFonts w:ascii="Cambria" w:eastAsia="MS Gothic" w:hAnsi="Cambria" w:cs="Times New Roman"/>
          <w:b/>
          <w:i/>
          <w:sz w:val="20"/>
          <w:szCs w:val="20"/>
          <w:lang w:eastAsia="fr-FR" w:bidi="fr-FR"/>
        </w:rPr>
        <w:t>1 c) Método utilizado para asignar y gestionar dichas cuotas (párr. 3)</w:t>
      </w:r>
    </w:p>
    <w:p w14:paraId="09A6C48B" w14:textId="77777777" w:rsidR="00A908FA" w:rsidRPr="00F0379B" w:rsidRDefault="00A908FA" w:rsidP="00A908FA">
      <w:pPr>
        <w:widowControl w:val="0"/>
        <w:spacing w:after="0" w:line="240" w:lineRule="auto"/>
        <w:jc w:val="both"/>
        <w:rPr>
          <w:rFonts w:ascii="Cambria" w:eastAsia="MS Gothic" w:hAnsi="Cambria" w:cs="Times New Roman"/>
          <w:sz w:val="20"/>
          <w:szCs w:val="20"/>
          <w:lang w:eastAsia="fr-FR" w:bidi="fr-FR"/>
        </w:rPr>
      </w:pPr>
    </w:p>
    <w:p w14:paraId="76BA852C" w14:textId="77777777" w:rsidR="00A908FA" w:rsidRPr="00F0379B" w:rsidRDefault="00A908FA" w:rsidP="00A908FA">
      <w:pPr>
        <w:widowControl w:val="0"/>
        <w:spacing w:after="0" w:line="240" w:lineRule="auto"/>
        <w:jc w:val="both"/>
        <w:rPr>
          <w:rFonts w:ascii="Cambria" w:eastAsia="MS Gothic" w:hAnsi="Cambria" w:cs="Times New Roman"/>
          <w:b/>
          <w:bCs/>
          <w:i/>
          <w:iCs/>
          <w:sz w:val="20"/>
          <w:szCs w:val="20"/>
          <w:lang w:eastAsia="fr-FR" w:bidi="fr-FR"/>
        </w:rPr>
      </w:pPr>
      <w:r w:rsidRPr="00F0379B">
        <w:rPr>
          <w:rFonts w:ascii="Cambria" w:eastAsia="MS Gothic" w:hAnsi="Cambria" w:cs="Times New Roman"/>
          <w:b/>
          <w:i/>
          <w:sz w:val="20"/>
          <w:szCs w:val="20"/>
          <w:lang w:eastAsia="fr-FR" w:bidi="fr-FR"/>
        </w:rPr>
        <w:t>1 d) Ajuste en caso de exceso o de remanente de captura (párr. 8)</w:t>
      </w:r>
    </w:p>
    <w:p w14:paraId="6C93E1B1" w14:textId="77777777" w:rsidR="00A908FA" w:rsidRPr="00F0379B" w:rsidRDefault="00A908FA" w:rsidP="00A908FA">
      <w:pPr>
        <w:widowControl w:val="0"/>
        <w:spacing w:after="0" w:line="240" w:lineRule="auto"/>
        <w:jc w:val="both"/>
        <w:rPr>
          <w:rFonts w:ascii="Cambria" w:eastAsia="MS Gothic" w:hAnsi="Cambria" w:cs="Times New Roman"/>
          <w:sz w:val="20"/>
          <w:szCs w:val="20"/>
          <w:lang w:eastAsia="fr-FR" w:bidi="fr-FR"/>
        </w:rPr>
      </w:pPr>
    </w:p>
    <w:p w14:paraId="0046351F" w14:textId="77777777" w:rsidR="00A908FA" w:rsidRPr="00F0379B" w:rsidRDefault="00A908FA" w:rsidP="00A908FA">
      <w:pPr>
        <w:widowControl w:val="0"/>
        <w:spacing w:after="0" w:line="240" w:lineRule="auto"/>
        <w:jc w:val="both"/>
        <w:rPr>
          <w:rFonts w:ascii="Cambria" w:eastAsia="MS Gothic" w:hAnsi="Cambria" w:cs="Times New Roman"/>
          <w:i/>
          <w:iCs/>
          <w:sz w:val="20"/>
          <w:szCs w:val="20"/>
          <w:lang w:eastAsia="fr-FR" w:bidi="fr-FR"/>
        </w:rPr>
      </w:pPr>
      <w:r w:rsidRPr="00F0379B">
        <w:rPr>
          <w:rFonts w:ascii="Cambria" w:eastAsia="MS Gothic" w:hAnsi="Cambria" w:cs="Times New Roman"/>
          <w:i/>
          <w:iCs/>
          <w:sz w:val="20"/>
          <w:szCs w:val="20"/>
          <w:lang w:eastAsia="fr-FR" w:bidi="fr-FR"/>
        </w:rPr>
        <w:t>Indique si la CPC ajustó o no su cuota en función del exceso o del remanente de captura y, en caso afirmativo, la cantidad y cómo se ha calculado.</w:t>
      </w:r>
    </w:p>
    <w:p w14:paraId="20709671" w14:textId="77777777" w:rsidR="00A908FA" w:rsidRPr="00F0379B" w:rsidRDefault="00A908FA" w:rsidP="00A908FA">
      <w:pPr>
        <w:widowControl w:val="0"/>
        <w:spacing w:after="0" w:line="240" w:lineRule="auto"/>
        <w:jc w:val="both"/>
        <w:rPr>
          <w:rFonts w:ascii="Cambria" w:eastAsia="MS Gothic" w:hAnsi="Cambria" w:cs="Times New Roman"/>
          <w:i/>
          <w:iCs/>
          <w:sz w:val="20"/>
          <w:szCs w:val="20"/>
          <w:lang w:eastAsia="fr-FR" w:bidi="fr-FR"/>
        </w:rPr>
      </w:pPr>
    </w:p>
    <w:p w14:paraId="1A483F07" w14:textId="77777777" w:rsidR="00A908FA" w:rsidRPr="00F0379B" w:rsidRDefault="00A908FA" w:rsidP="00A908FA">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0"/>
          <w:lang w:eastAsia="fr-FR" w:bidi="fr-FR"/>
        </w:rPr>
        <w:t>2.</w:t>
      </w:r>
      <w:r w:rsidRPr="00F0379B">
        <w:rPr>
          <w:rFonts w:ascii="Cambria" w:eastAsia="MS Gothic" w:hAnsi="Cambria" w:cs="Times New Roman"/>
          <w:b/>
          <w:sz w:val="20"/>
          <w:szCs w:val="20"/>
          <w:lang w:eastAsia="fr-FR" w:bidi="fr-FR"/>
        </w:rPr>
        <w:tab/>
        <w:t xml:space="preserve">Medidas de control de las pesquerías y de las capturas fortuitas </w:t>
      </w:r>
      <w:r w:rsidRPr="00F0379B">
        <w:rPr>
          <w:rFonts w:ascii="Cambria" w:eastAsia="MS Gothic" w:hAnsi="Cambria" w:cs="Times New Roman"/>
          <w:b/>
          <w:i/>
          <w:sz w:val="20"/>
          <w:szCs w:val="20"/>
          <w:lang w:eastAsia="fr-FR" w:bidi="fr-FR"/>
        </w:rPr>
        <w:t>(párr. 3)</w:t>
      </w:r>
    </w:p>
    <w:p w14:paraId="60A6A677" w14:textId="77777777" w:rsidR="00A908FA" w:rsidRPr="00F0379B" w:rsidRDefault="00A908FA" w:rsidP="00A908FA">
      <w:pPr>
        <w:widowControl w:val="0"/>
        <w:spacing w:after="0" w:line="240" w:lineRule="auto"/>
        <w:jc w:val="both"/>
        <w:rPr>
          <w:rFonts w:ascii="Cambria" w:eastAsia="MS Gothic" w:hAnsi="Cambria" w:cs="Times New Roman"/>
          <w:i/>
          <w:sz w:val="20"/>
          <w:szCs w:val="20"/>
          <w:lang w:eastAsia="fr-FR" w:bidi="fr-FR"/>
        </w:rPr>
      </w:pPr>
    </w:p>
    <w:p w14:paraId="744D0289" w14:textId="77777777" w:rsidR="00A908FA" w:rsidRPr="00F0379B" w:rsidRDefault="00A908FA" w:rsidP="00A908FA">
      <w:pPr>
        <w:widowControl w:val="0"/>
        <w:spacing w:after="0" w:line="240" w:lineRule="auto"/>
        <w:jc w:val="both"/>
        <w:rPr>
          <w:rFonts w:ascii="Cambria" w:eastAsia="MS Gothic" w:hAnsi="Cambria" w:cs="Times New Roman"/>
          <w:i/>
          <w:iCs/>
          <w:sz w:val="20"/>
          <w:szCs w:val="20"/>
          <w:lang w:eastAsia="fr-FR" w:bidi="fr-FR"/>
        </w:rPr>
      </w:pPr>
      <w:r w:rsidRPr="00F0379B">
        <w:rPr>
          <w:rFonts w:ascii="Cambria" w:eastAsia="MS Gothic" w:hAnsi="Cambria" w:cs="Times New Roman"/>
          <w:i/>
          <w:iCs/>
          <w:sz w:val="20"/>
          <w:szCs w:val="20"/>
          <w:lang w:eastAsia="fr-FR" w:bidi="fr-FR"/>
        </w:rPr>
        <w:t>La Secretaría sugiere que las CPC completen la siguiente tabla e incluyan cualquier otra información relevante que consideren apropiada en esta sección:</w:t>
      </w:r>
    </w:p>
    <w:p w14:paraId="496743C5" w14:textId="45CB4F76" w:rsidR="00A908FA" w:rsidRPr="00F0379B" w:rsidRDefault="00A908FA" w:rsidP="00A908FA">
      <w:pPr>
        <w:spacing w:after="0" w:line="240" w:lineRule="auto"/>
        <w:rPr>
          <w:rFonts w:ascii="Cambria" w:eastAsia="MS Gothic" w:hAnsi="Cambria" w:cs="Times New Roman"/>
          <w:i/>
          <w:sz w:val="20"/>
          <w:szCs w:val="20"/>
          <w:lang w:eastAsia="fr-FR" w:bidi="fr-FR"/>
        </w:rPr>
      </w:pPr>
    </w:p>
    <w:p w14:paraId="199FBC1A" w14:textId="77777777" w:rsidR="00A908FA" w:rsidRPr="00F0379B" w:rsidRDefault="00A908FA" w:rsidP="00A908FA">
      <w:pPr>
        <w:widowControl w:val="0"/>
        <w:spacing w:after="0" w:line="240" w:lineRule="auto"/>
        <w:jc w:val="both"/>
        <w:rPr>
          <w:rFonts w:ascii="Cambria" w:eastAsia="MS Gothic" w:hAnsi="Cambria" w:cs="Times New Roman"/>
          <w:i/>
          <w:sz w:val="20"/>
          <w:szCs w:val="20"/>
          <w:lang w:eastAsia="fr-FR" w:bidi="fr-FR"/>
        </w:rPr>
      </w:pPr>
    </w:p>
    <w:tbl>
      <w:tblPr>
        <w:tblStyle w:val="TableGrid"/>
        <w:tblpPr w:leftFromText="180" w:rightFromText="180" w:vertAnchor="text" w:tblpY="1"/>
        <w:tblOverlap w:val="never"/>
        <w:tblW w:w="0" w:type="auto"/>
        <w:tblLook w:val="04A0" w:firstRow="1" w:lastRow="0" w:firstColumn="1" w:lastColumn="0" w:noHBand="0" w:noVBand="1"/>
      </w:tblPr>
      <w:tblGrid>
        <w:gridCol w:w="507"/>
        <w:gridCol w:w="2574"/>
        <w:gridCol w:w="1949"/>
        <w:gridCol w:w="1941"/>
        <w:gridCol w:w="2089"/>
      </w:tblGrid>
      <w:tr w:rsidR="00A908FA" w:rsidRPr="00F0379B" w14:paraId="61FB9217" w14:textId="77777777" w:rsidTr="004D4D35">
        <w:trPr>
          <w:tblHeader/>
        </w:trPr>
        <w:tc>
          <w:tcPr>
            <w:tcW w:w="507" w:type="dxa"/>
          </w:tcPr>
          <w:p w14:paraId="1FFFFBA0" w14:textId="77777777" w:rsidR="00A908FA" w:rsidRPr="00F0379B" w:rsidRDefault="00A908FA" w:rsidP="00A908FA">
            <w:pPr>
              <w:widowControl w:val="0"/>
              <w:spacing w:line="240" w:lineRule="auto"/>
              <w:jc w:val="both"/>
              <w:rPr>
                <w:rFonts w:ascii="Cambria" w:hAnsi="Cambria"/>
                <w:sz w:val="20"/>
                <w:szCs w:val="20"/>
              </w:rPr>
            </w:pPr>
          </w:p>
        </w:tc>
        <w:tc>
          <w:tcPr>
            <w:tcW w:w="2574" w:type="dxa"/>
            <w:vAlign w:val="center"/>
          </w:tcPr>
          <w:p w14:paraId="3A64FC39" w14:textId="77777777" w:rsidR="00A908FA" w:rsidRPr="00F0379B" w:rsidRDefault="00A908FA" w:rsidP="00A908FA">
            <w:pPr>
              <w:widowControl w:val="0"/>
              <w:spacing w:line="240" w:lineRule="auto"/>
              <w:jc w:val="center"/>
              <w:rPr>
                <w:rFonts w:ascii="Cambria" w:hAnsi="Cambria"/>
                <w:i/>
                <w:sz w:val="20"/>
                <w:szCs w:val="20"/>
              </w:rPr>
            </w:pPr>
            <w:r w:rsidRPr="00F0379B">
              <w:rPr>
                <w:rFonts w:ascii="Cambria" w:hAnsi="Cambria"/>
                <w:i/>
                <w:sz w:val="20"/>
                <w:szCs w:val="20"/>
              </w:rPr>
              <w:t xml:space="preserve">Requisito ICCAT </w:t>
            </w:r>
          </w:p>
          <w:p w14:paraId="4F2CDB0B" w14:textId="77777777" w:rsidR="00A908FA" w:rsidRPr="00F0379B" w:rsidRDefault="00A908FA" w:rsidP="00A908FA">
            <w:pPr>
              <w:widowControl w:val="0"/>
              <w:spacing w:line="240" w:lineRule="auto"/>
              <w:jc w:val="center"/>
              <w:rPr>
                <w:rFonts w:ascii="Cambria" w:hAnsi="Cambria"/>
                <w:i/>
                <w:sz w:val="20"/>
                <w:szCs w:val="20"/>
              </w:rPr>
            </w:pPr>
            <w:r w:rsidRPr="00F0379B">
              <w:rPr>
                <w:rFonts w:ascii="Cambria" w:hAnsi="Cambria"/>
                <w:i/>
                <w:sz w:val="20"/>
                <w:szCs w:val="20"/>
              </w:rPr>
              <w:t xml:space="preserve">(según la </w:t>
            </w:r>
            <w:hyperlink r:id="rId253" w:history="1">
              <w:r w:rsidRPr="00F0379B">
                <w:rPr>
                  <w:rFonts w:ascii="Cambria" w:hAnsi="Cambria"/>
                  <w:i/>
                  <w:color w:val="0563C1"/>
                  <w:sz w:val="20"/>
                  <w:szCs w:val="20"/>
                </w:rPr>
                <w:t>Rec. 25-05</w:t>
              </w:r>
            </w:hyperlink>
            <w:r w:rsidRPr="00F0379B">
              <w:rPr>
                <w:rFonts w:ascii="Cambria" w:hAnsi="Cambria"/>
                <w:i/>
                <w:sz w:val="20"/>
                <w:szCs w:val="20"/>
              </w:rPr>
              <w:t>)</w:t>
            </w:r>
          </w:p>
        </w:tc>
        <w:tc>
          <w:tcPr>
            <w:tcW w:w="1949" w:type="dxa"/>
            <w:vAlign w:val="center"/>
          </w:tcPr>
          <w:p w14:paraId="06DC01A7" w14:textId="77777777" w:rsidR="00A908FA" w:rsidRPr="00F0379B" w:rsidRDefault="00A908FA" w:rsidP="00A908FA">
            <w:pPr>
              <w:widowControl w:val="0"/>
              <w:spacing w:line="240" w:lineRule="auto"/>
              <w:jc w:val="center"/>
              <w:rPr>
                <w:rFonts w:ascii="Cambria" w:hAnsi="Cambria"/>
                <w:i/>
                <w:sz w:val="20"/>
                <w:szCs w:val="20"/>
              </w:rPr>
            </w:pPr>
            <w:r w:rsidRPr="00F0379B">
              <w:rPr>
                <w:rFonts w:ascii="Cambria" w:hAnsi="Cambria"/>
                <w:i/>
                <w:sz w:val="20"/>
                <w:szCs w:val="20"/>
              </w:rPr>
              <w:t>Explicación de las acciones emprendidas por la CPC con fines de implementación</w:t>
            </w:r>
          </w:p>
        </w:tc>
        <w:tc>
          <w:tcPr>
            <w:tcW w:w="1941" w:type="dxa"/>
            <w:vAlign w:val="center"/>
          </w:tcPr>
          <w:p w14:paraId="4138102D" w14:textId="77777777" w:rsidR="00A908FA" w:rsidRPr="00F0379B" w:rsidRDefault="00A908FA" w:rsidP="00A908FA">
            <w:pPr>
              <w:widowControl w:val="0"/>
              <w:spacing w:line="240" w:lineRule="auto"/>
              <w:jc w:val="center"/>
              <w:rPr>
                <w:rFonts w:ascii="Cambria" w:hAnsi="Cambria"/>
                <w:i/>
                <w:sz w:val="20"/>
                <w:szCs w:val="20"/>
              </w:rPr>
            </w:pPr>
            <w:r w:rsidRPr="00F0379B">
              <w:rPr>
                <w:rFonts w:ascii="Cambria" w:hAnsi="Cambria"/>
                <w:i/>
                <w:sz w:val="20"/>
                <w:szCs w:val="20"/>
              </w:rPr>
              <w:t>Leyes o reglamentos internos pertinentes (si procede)</w:t>
            </w:r>
          </w:p>
        </w:tc>
        <w:tc>
          <w:tcPr>
            <w:tcW w:w="2089" w:type="dxa"/>
            <w:vAlign w:val="center"/>
          </w:tcPr>
          <w:p w14:paraId="1ED16425" w14:textId="77777777" w:rsidR="00A908FA" w:rsidRPr="00F0379B" w:rsidRDefault="00A908FA" w:rsidP="00A908FA">
            <w:pPr>
              <w:widowControl w:val="0"/>
              <w:spacing w:line="240" w:lineRule="auto"/>
              <w:jc w:val="center"/>
              <w:rPr>
                <w:rFonts w:ascii="Cambria" w:hAnsi="Cambria"/>
                <w:i/>
                <w:sz w:val="20"/>
                <w:szCs w:val="20"/>
              </w:rPr>
            </w:pPr>
            <w:r w:rsidRPr="00F0379B">
              <w:rPr>
                <w:rFonts w:ascii="Cambria" w:hAnsi="Cambria"/>
                <w:i/>
                <w:sz w:val="20"/>
                <w:szCs w:val="20"/>
              </w:rPr>
              <w:t>Notas</w:t>
            </w:r>
          </w:p>
        </w:tc>
      </w:tr>
      <w:tr w:rsidR="00A908FA" w:rsidRPr="00F0379B" w14:paraId="613C7962" w14:textId="77777777" w:rsidTr="004D4D35">
        <w:tc>
          <w:tcPr>
            <w:tcW w:w="507" w:type="dxa"/>
          </w:tcPr>
          <w:p w14:paraId="0B207478"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1</w:t>
            </w:r>
          </w:p>
        </w:tc>
        <w:tc>
          <w:tcPr>
            <w:tcW w:w="2574" w:type="dxa"/>
          </w:tcPr>
          <w:p w14:paraId="7720D996" w14:textId="77777777" w:rsidR="00A908FA" w:rsidRPr="00F0379B" w:rsidDel="00C371CA"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Límites de capacidad y esfuerzo (párr. 2)</w:t>
            </w:r>
          </w:p>
        </w:tc>
        <w:tc>
          <w:tcPr>
            <w:tcW w:w="1949" w:type="dxa"/>
          </w:tcPr>
          <w:p w14:paraId="42483FF6" w14:textId="77777777" w:rsidR="00A908FA" w:rsidRPr="00F0379B" w:rsidRDefault="00A908FA" w:rsidP="00A908FA">
            <w:pPr>
              <w:widowControl w:val="0"/>
              <w:spacing w:line="240" w:lineRule="auto"/>
              <w:jc w:val="both"/>
              <w:rPr>
                <w:rFonts w:ascii="Cambria" w:hAnsi="Cambria"/>
                <w:b/>
                <w:sz w:val="20"/>
                <w:szCs w:val="20"/>
              </w:rPr>
            </w:pPr>
          </w:p>
        </w:tc>
        <w:tc>
          <w:tcPr>
            <w:tcW w:w="1941" w:type="dxa"/>
          </w:tcPr>
          <w:p w14:paraId="68CA8C91" w14:textId="77777777" w:rsidR="00A908FA" w:rsidRPr="00F0379B" w:rsidRDefault="00A908FA" w:rsidP="00A908FA">
            <w:pPr>
              <w:widowControl w:val="0"/>
              <w:spacing w:line="240" w:lineRule="auto"/>
              <w:jc w:val="both"/>
              <w:rPr>
                <w:rFonts w:ascii="Cambria" w:hAnsi="Cambria"/>
                <w:sz w:val="20"/>
                <w:szCs w:val="20"/>
              </w:rPr>
            </w:pPr>
          </w:p>
        </w:tc>
        <w:tc>
          <w:tcPr>
            <w:tcW w:w="2089" w:type="dxa"/>
          </w:tcPr>
          <w:p w14:paraId="3D7F8C77" w14:textId="77777777" w:rsidR="00A908FA" w:rsidRPr="00F0379B" w:rsidRDefault="00A908FA" w:rsidP="00A908FA">
            <w:pPr>
              <w:widowControl w:val="0"/>
              <w:spacing w:line="240" w:lineRule="auto"/>
              <w:jc w:val="both"/>
              <w:rPr>
                <w:rFonts w:ascii="Cambria" w:hAnsi="Cambria"/>
                <w:i/>
                <w:iCs/>
                <w:sz w:val="20"/>
                <w:szCs w:val="20"/>
              </w:rPr>
            </w:pPr>
            <w:r w:rsidRPr="00F0379B">
              <w:rPr>
                <w:rFonts w:ascii="Cambria" w:hAnsi="Cambria"/>
                <w:i/>
                <w:iCs/>
                <w:sz w:val="20"/>
                <w:szCs w:val="20"/>
              </w:rPr>
              <w:t>Esta entrada no se aplica a las CPC que solo tienen cuota en el oeste.</w:t>
            </w:r>
          </w:p>
        </w:tc>
      </w:tr>
      <w:tr w:rsidR="00A908FA" w:rsidRPr="00F0379B" w14:paraId="29A523EC" w14:textId="77777777" w:rsidTr="004D4D35">
        <w:tc>
          <w:tcPr>
            <w:tcW w:w="507" w:type="dxa"/>
          </w:tcPr>
          <w:p w14:paraId="6809A1BB"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2</w:t>
            </w:r>
          </w:p>
        </w:tc>
        <w:tc>
          <w:tcPr>
            <w:tcW w:w="2574" w:type="dxa"/>
          </w:tcPr>
          <w:p w14:paraId="548E69CF"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Requisitos de datos y de comunicación de información</w:t>
            </w:r>
          </w:p>
          <w:p w14:paraId="767E1319"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(párrs. 18- 19, 21, 23)</w:t>
            </w:r>
          </w:p>
        </w:tc>
        <w:tc>
          <w:tcPr>
            <w:tcW w:w="1949" w:type="dxa"/>
          </w:tcPr>
          <w:p w14:paraId="5DAF8B4F" w14:textId="77777777" w:rsidR="00A908FA" w:rsidRPr="00F0379B" w:rsidRDefault="00A908FA" w:rsidP="00A908FA">
            <w:pPr>
              <w:widowControl w:val="0"/>
              <w:spacing w:line="240" w:lineRule="auto"/>
              <w:jc w:val="both"/>
              <w:rPr>
                <w:rFonts w:ascii="Cambria" w:hAnsi="Cambria"/>
                <w:sz w:val="20"/>
                <w:szCs w:val="20"/>
              </w:rPr>
            </w:pPr>
          </w:p>
        </w:tc>
        <w:tc>
          <w:tcPr>
            <w:tcW w:w="1941" w:type="dxa"/>
          </w:tcPr>
          <w:p w14:paraId="32803ED3" w14:textId="77777777" w:rsidR="00A908FA" w:rsidRPr="00F0379B" w:rsidRDefault="00A908FA" w:rsidP="00A908FA">
            <w:pPr>
              <w:widowControl w:val="0"/>
              <w:spacing w:line="240" w:lineRule="auto"/>
              <w:jc w:val="both"/>
              <w:rPr>
                <w:rFonts w:ascii="Cambria" w:hAnsi="Cambria"/>
                <w:sz w:val="20"/>
                <w:szCs w:val="20"/>
              </w:rPr>
            </w:pPr>
          </w:p>
        </w:tc>
        <w:tc>
          <w:tcPr>
            <w:tcW w:w="2089" w:type="dxa"/>
            <w:vAlign w:val="center"/>
          </w:tcPr>
          <w:p w14:paraId="7CF6F86B" w14:textId="4AD40A32" w:rsidR="00A908FA" w:rsidRPr="00F0379B" w:rsidRDefault="00A908FA" w:rsidP="00A908FA">
            <w:pPr>
              <w:widowControl w:val="0"/>
              <w:spacing w:line="240" w:lineRule="auto"/>
              <w:jc w:val="center"/>
              <w:rPr>
                <w:rFonts w:ascii="Cambria" w:hAnsi="Cambria"/>
                <w:sz w:val="20"/>
                <w:szCs w:val="20"/>
              </w:rPr>
            </w:pPr>
          </w:p>
        </w:tc>
      </w:tr>
      <w:tr w:rsidR="00A908FA" w:rsidRPr="00F0379B" w14:paraId="6D992C32" w14:textId="77777777" w:rsidTr="004D4D35">
        <w:tc>
          <w:tcPr>
            <w:tcW w:w="507" w:type="dxa"/>
          </w:tcPr>
          <w:p w14:paraId="3F5FE2BC"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3</w:t>
            </w:r>
          </w:p>
        </w:tc>
        <w:tc>
          <w:tcPr>
            <w:tcW w:w="2574" w:type="dxa"/>
          </w:tcPr>
          <w:p w14:paraId="5C8A2382"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Restricciones de zona y tiempo</w:t>
            </w:r>
          </w:p>
          <w:p w14:paraId="3A810A91"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(párr. 13)</w:t>
            </w:r>
          </w:p>
        </w:tc>
        <w:tc>
          <w:tcPr>
            <w:tcW w:w="1949" w:type="dxa"/>
          </w:tcPr>
          <w:p w14:paraId="037F3C70" w14:textId="77777777" w:rsidR="00A908FA" w:rsidRPr="00F0379B" w:rsidRDefault="00A908FA" w:rsidP="00A908FA">
            <w:pPr>
              <w:widowControl w:val="0"/>
              <w:spacing w:line="240" w:lineRule="auto"/>
              <w:jc w:val="both"/>
              <w:rPr>
                <w:rFonts w:ascii="Cambria" w:hAnsi="Cambria"/>
                <w:sz w:val="20"/>
                <w:szCs w:val="20"/>
              </w:rPr>
            </w:pPr>
          </w:p>
        </w:tc>
        <w:tc>
          <w:tcPr>
            <w:tcW w:w="1941" w:type="dxa"/>
          </w:tcPr>
          <w:p w14:paraId="433E4D69" w14:textId="77777777" w:rsidR="00A908FA" w:rsidRPr="00F0379B" w:rsidRDefault="00A908FA" w:rsidP="00A908FA">
            <w:pPr>
              <w:widowControl w:val="0"/>
              <w:spacing w:line="240" w:lineRule="auto"/>
              <w:jc w:val="both"/>
              <w:rPr>
                <w:rFonts w:ascii="Cambria" w:hAnsi="Cambria"/>
                <w:sz w:val="20"/>
                <w:szCs w:val="20"/>
              </w:rPr>
            </w:pPr>
          </w:p>
        </w:tc>
        <w:tc>
          <w:tcPr>
            <w:tcW w:w="2089" w:type="dxa"/>
          </w:tcPr>
          <w:p w14:paraId="482C7BE0" w14:textId="77777777" w:rsidR="00A908FA" w:rsidRPr="00F0379B" w:rsidRDefault="00A908FA" w:rsidP="00A908FA">
            <w:pPr>
              <w:widowControl w:val="0"/>
              <w:spacing w:line="240" w:lineRule="auto"/>
              <w:jc w:val="both"/>
              <w:rPr>
                <w:rFonts w:ascii="Cambria" w:hAnsi="Cambria"/>
                <w:sz w:val="20"/>
                <w:szCs w:val="20"/>
              </w:rPr>
            </w:pPr>
          </w:p>
        </w:tc>
      </w:tr>
      <w:tr w:rsidR="00A908FA" w:rsidRPr="00F0379B" w14:paraId="772D90C1" w14:textId="77777777" w:rsidTr="004D4D35">
        <w:tc>
          <w:tcPr>
            <w:tcW w:w="507" w:type="dxa"/>
          </w:tcPr>
          <w:p w14:paraId="2841629E"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4</w:t>
            </w:r>
          </w:p>
        </w:tc>
        <w:tc>
          <w:tcPr>
            <w:tcW w:w="2574" w:type="dxa"/>
          </w:tcPr>
          <w:p w14:paraId="6F7102F7"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bCs/>
                <w:sz w:val="20"/>
                <w:szCs w:val="20"/>
              </w:rPr>
              <w:t>Talla mínima de los peces y protección de los peces pequeños</w:t>
            </w:r>
            <w:r w:rsidRPr="00F0379B">
              <w:rPr>
                <w:rFonts w:ascii="Cambria" w:hAnsi="Cambria"/>
                <w:b/>
                <w:sz w:val="20"/>
                <w:szCs w:val="20"/>
              </w:rPr>
              <w:t xml:space="preserve">  </w:t>
            </w:r>
          </w:p>
          <w:p w14:paraId="5D8BA714"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(párrs. 9-10)</w:t>
            </w:r>
          </w:p>
        </w:tc>
        <w:tc>
          <w:tcPr>
            <w:tcW w:w="1949" w:type="dxa"/>
          </w:tcPr>
          <w:p w14:paraId="51959317" w14:textId="77777777" w:rsidR="00A908FA" w:rsidRPr="00F0379B" w:rsidRDefault="00A908FA" w:rsidP="00A908FA">
            <w:pPr>
              <w:widowControl w:val="0"/>
              <w:spacing w:line="240" w:lineRule="auto"/>
              <w:jc w:val="both"/>
              <w:rPr>
                <w:rFonts w:ascii="Cambria" w:hAnsi="Cambria"/>
                <w:sz w:val="20"/>
                <w:szCs w:val="20"/>
              </w:rPr>
            </w:pPr>
          </w:p>
        </w:tc>
        <w:tc>
          <w:tcPr>
            <w:tcW w:w="1941" w:type="dxa"/>
          </w:tcPr>
          <w:p w14:paraId="7238B79D" w14:textId="77777777" w:rsidR="00A908FA" w:rsidRPr="00F0379B" w:rsidRDefault="00A908FA" w:rsidP="00A908FA">
            <w:pPr>
              <w:widowControl w:val="0"/>
              <w:spacing w:line="240" w:lineRule="auto"/>
              <w:jc w:val="both"/>
              <w:rPr>
                <w:rFonts w:ascii="Cambria" w:hAnsi="Cambria"/>
                <w:sz w:val="20"/>
                <w:szCs w:val="20"/>
              </w:rPr>
            </w:pPr>
          </w:p>
        </w:tc>
        <w:tc>
          <w:tcPr>
            <w:tcW w:w="2089" w:type="dxa"/>
          </w:tcPr>
          <w:p w14:paraId="04E8EF36" w14:textId="77777777" w:rsidR="00A908FA" w:rsidRPr="00F0379B" w:rsidRDefault="00A908FA" w:rsidP="00A908FA">
            <w:pPr>
              <w:widowControl w:val="0"/>
              <w:spacing w:line="240" w:lineRule="auto"/>
              <w:jc w:val="both"/>
              <w:rPr>
                <w:rFonts w:ascii="Cambria" w:hAnsi="Cambria"/>
                <w:sz w:val="20"/>
                <w:szCs w:val="20"/>
              </w:rPr>
            </w:pPr>
          </w:p>
        </w:tc>
      </w:tr>
      <w:tr w:rsidR="00A908FA" w:rsidRPr="00F0379B" w14:paraId="55D7BAF4" w14:textId="77777777" w:rsidTr="004D4D35">
        <w:tc>
          <w:tcPr>
            <w:tcW w:w="507" w:type="dxa"/>
          </w:tcPr>
          <w:p w14:paraId="2A17276A"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5</w:t>
            </w:r>
          </w:p>
        </w:tc>
        <w:tc>
          <w:tcPr>
            <w:tcW w:w="2574" w:type="dxa"/>
          </w:tcPr>
          <w:p w14:paraId="554FC52E"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 xml:space="preserve">Capturas fortuitas </w:t>
            </w:r>
          </w:p>
          <w:p w14:paraId="704C4DF9"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 xml:space="preserve">(párr. 6) </w:t>
            </w:r>
          </w:p>
        </w:tc>
        <w:tc>
          <w:tcPr>
            <w:tcW w:w="1949" w:type="dxa"/>
          </w:tcPr>
          <w:p w14:paraId="3A58489C" w14:textId="77777777" w:rsidR="00A908FA" w:rsidRPr="00F0379B" w:rsidRDefault="00A908FA" w:rsidP="00A908FA">
            <w:pPr>
              <w:widowControl w:val="0"/>
              <w:spacing w:line="240" w:lineRule="auto"/>
              <w:jc w:val="both"/>
              <w:rPr>
                <w:rFonts w:ascii="Cambria" w:hAnsi="Cambria"/>
                <w:sz w:val="20"/>
                <w:szCs w:val="20"/>
              </w:rPr>
            </w:pPr>
          </w:p>
        </w:tc>
        <w:tc>
          <w:tcPr>
            <w:tcW w:w="1941" w:type="dxa"/>
          </w:tcPr>
          <w:p w14:paraId="67E66BF3" w14:textId="77777777" w:rsidR="00A908FA" w:rsidRPr="00F0379B" w:rsidRDefault="00A908FA" w:rsidP="00A908FA">
            <w:pPr>
              <w:widowControl w:val="0"/>
              <w:spacing w:line="240" w:lineRule="auto"/>
              <w:jc w:val="both"/>
              <w:rPr>
                <w:rFonts w:ascii="Cambria" w:hAnsi="Cambria"/>
                <w:sz w:val="20"/>
                <w:szCs w:val="20"/>
              </w:rPr>
            </w:pPr>
          </w:p>
        </w:tc>
        <w:tc>
          <w:tcPr>
            <w:tcW w:w="2089" w:type="dxa"/>
          </w:tcPr>
          <w:p w14:paraId="0DC83CF8" w14:textId="77777777" w:rsidR="00A908FA" w:rsidRPr="00F0379B" w:rsidRDefault="00A908FA" w:rsidP="00A908FA">
            <w:pPr>
              <w:widowControl w:val="0"/>
              <w:spacing w:line="240" w:lineRule="auto"/>
              <w:jc w:val="both"/>
              <w:rPr>
                <w:rFonts w:ascii="Cambria" w:hAnsi="Cambria"/>
                <w:i/>
                <w:iCs/>
                <w:sz w:val="20"/>
                <w:szCs w:val="20"/>
              </w:rPr>
            </w:pPr>
            <w:r w:rsidRPr="00F0379B">
              <w:rPr>
                <w:rFonts w:ascii="Cambria" w:hAnsi="Cambria"/>
                <w:i/>
                <w:iCs/>
                <w:sz w:val="20"/>
                <w:szCs w:val="20"/>
              </w:rPr>
              <w:t xml:space="preserve">Explique el uso real de la cuota de capturas fortuitas. </w:t>
            </w:r>
          </w:p>
        </w:tc>
      </w:tr>
      <w:tr w:rsidR="00A908FA" w:rsidRPr="00F0379B" w14:paraId="2329DA8B" w14:textId="77777777" w:rsidTr="004D4D35">
        <w:tc>
          <w:tcPr>
            <w:tcW w:w="507" w:type="dxa"/>
          </w:tcPr>
          <w:p w14:paraId="502BF9B5"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6</w:t>
            </w:r>
          </w:p>
        </w:tc>
        <w:tc>
          <w:tcPr>
            <w:tcW w:w="2574" w:type="dxa"/>
          </w:tcPr>
          <w:p w14:paraId="42177124"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 xml:space="preserve">Pesquerías [deportivas y] de recreo </w:t>
            </w:r>
          </w:p>
          <w:p w14:paraId="185C4A7F"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(párr. 11)</w:t>
            </w:r>
          </w:p>
        </w:tc>
        <w:tc>
          <w:tcPr>
            <w:tcW w:w="1949" w:type="dxa"/>
          </w:tcPr>
          <w:p w14:paraId="27A2AA80" w14:textId="77777777" w:rsidR="00A908FA" w:rsidRPr="00F0379B" w:rsidRDefault="00A908FA" w:rsidP="00A908FA">
            <w:pPr>
              <w:widowControl w:val="0"/>
              <w:spacing w:line="240" w:lineRule="auto"/>
              <w:jc w:val="both"/>
              <w:rPr>
                <w:rFonts w:ascii="Cambria" w:hAnsi="Cambria"/>
                <w:sz w:val="20"/>
                <w:szCs w:val="20"/>
              </w:rPr>
            </w:pPr>
          </w:p>
        </w:tc>
        <w:tc>
          <w:tcPr>
            <w:tcW w:w="1941" w:type="dxa"/>
          </w:tcPr>
          <w:p w14:paraId="2673CB77" w14:textId="77777777" w:rsidR="00A908FA" w:rsidRPr="00F0379B" w:rsidRDefault="00A908FA" w:rsidP="00A908FA">
            <w:pPr>
              <w:widowControl w:val="0"/>
              <w:spacing w:line="240" w:lineRule="auto"/>
              <w:jc w:val="both"/>
              <w:rPr>
                <w:rFonts w:ascii="Cambria" w:hAnsi="Cambria"/>
                <w:sz w:val="20"/>
                <w:szCs w:val="20"/>
              </w:rPr>
            </w:pPr>
          </w:p>
        </w:tc>
        <w:tc>
          <w:tcPr>
            <w:tcW w:w="2089" w:type="dxa"/>
          </w:tcPr>
          <w:p w14:paraId="43515B56" w14:textId="77777777" w:rsidR="00A908FA" w:rsidRPr="00F0379B" w:rsidRDefault="00A908FA" w:rsidP="00A908FA">
            <w:pPr>
              <w:widowControl w:val="0"/>
              <w:spacing w:line="240" w:lineRule="auto"/>
              <w:jc w:val="both"/>
              <w:rPr>
                <w:rFonts w:ascii="Cambria" w:hAnsi="Cambria"/>
                <w:sz w:val="20"/>
                <w:szCs w:val="20"/>
              </w:rPr>
            </w:pPr>
          </w:p>
        </w:tc>
      </w:tr>
      <w:tr w:rsidR="00A908FA" w:rsidRPr="00F0379B" w14:paraId="1E46E41C" w14:textId="77777777" w:rsidTr="004D4D35">
        <w:tc>
          <w:tcPr>
            <w:tcW w:w="507" w:type="dxa"/>
          </w:tcPr>
          <w:p w14:paraId="17B1DA58"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7</w:t>
            </w:r>
          </w:p>
        </w:tc>
        <w:tc>
          <w:tcPr>
            <w:tcW w:w="2574" w:type="dxa"/>
          </w:tcPr>
          <w:p w14:paraId="1D121F43" w14:textId="77777777" w:rsidR="00A908FA" w:rsidRPr="00F0379B" w:rsidRDefault="00A908FA" w:rsidP="00A908FA">
            <w:pPr>
              <w:widowControl w:val="0"/>
              <w:spacing w:line="240" w:lineRule="auto"/>
              <w:jc w:val="both"/>
              <w:rPr>
                <w:rFonts w:ascii="Cambria" w:hAnsi="Cambria"/>
                <w:b/>
                <w:sz w:val="20"/>
                <w:szCs w:val="20"/>
              </w:rPr>
            </w:pPr>
            <w:r w:rsidRPr="00F0379B">
              <w:rPr>
                <w:rFonts w:ascii="Cambria" w:hAnsi="Cambria"/>
                <w:b/>
                <w:sz w:val="20"/>
                <w:szCs w:val="20"/>
              </w:rPr>
              <w:t>Transbordo en el mar (párr. 14)</w:t>
            </w:r>
          </w:p>
        </w:tc>
        <w:tc>
          <w:tcPr>
            <w:tcW w:w="1949" w:type="dxa"/>
          </w:tcPr>
          <w:p w14:paraId="5B461725" w14:textId="77777777" w:rsidR="00A908FA" w:rsidRPr="00F0379B" w:rsidRDefault="00A908FA" w:rsidP="00A908FA">
            <w:pPr>
              <w:widowControl w:val="0"/>
              <w:spacing w:line="240" w:lineRule="auto"/>
              <w:jc w:val="both"/>
              <w:rPr>
                <w:rFonts w:ascii="Cambria" w:hAnsi="Cambria"/>
                <w:sz w:val="20"/>
                <w:szCs w:val="20"/>
              </w:rPr>
            </w:pPr>
          </w:p>
        </w:tc>
        <w:tc>
          <w:tcPr>
            <w:tcW w:w="1941" w:type="dxa"/>
          </w:tcPr>
          <w:p w14:paraId="2AF2BD0F" w14:textId="77777777" w:rsidR="00A908FA" w:rsidRPr="00F0379B" w:rsidRDefault="00A908FA" w:rsidP="00A908FA">
            <w:pPr>
              <w:widowControl w:val="0"/>
              <w:spacing w:line="240" w:lineRule="auto"/>
              <w:jc w:val="both"/>
              <w:rPr>
                <w:rFonts w:ascii="Cambria" w:hAnsi="Cambria"/>
                <w:sz w:val="20"/>
                <w:szCs w:val="20"/>
              </w:rPr>
            </w:pPr>
          </w:p>
        </w:tc>
        <w:tc>
          <w:tcPr>
            <w:tcW w:w="2089" w:type="dxa"/>
          </w:tcPr>
          <w:p w14:paraId="3D4BC164" w14:textId="77777777" w:rsidR="00A908FA" w:rsidRPr="00F0379B" w:rsidRDefault="00A908FA" w:rsidP="00A908FA">
            <w:pPr>
              <w:widowControl w:val="0"/>
              <w:spacing w:line="240" w:lineRule="auto"/>
              <w:jc w:val="both"/>
              <w:rPr>
                <w:rFonts w:ascii="Cambria" w:hAnsi="Cambria"/>
                <w:sz w:val="20"/>
                <w:szCs w:val="20"/>
              </w:rPr>
            </w:pPr>
          </w:p>
        </w:tc>
      </w:tr>
    </w:tbl>
    <w:p w14:paraId="43FD9F64" w14:textId="77777777" w:rsidR="00A908FA" w:rsidRPr="00F0379B" w:rsidRDefault="00A908FA" w:rsidP="00A908FA">
      <w:pPr>
        <w:widowControl w:val="0"/>
        <w:spacing w:after="0" w:line="240" w:lineRule="auto"/>
        <w:rPr>
          <w:rFonts w:ascii="Cambria" w:eastAsia="MS Gothic" w:hAnsi="Cambria" w:cs="Times New Roman"/>
          <w:sz w:val="20"/>
          <w:szCs w:val="20"/>
          <w:lang w:eastAsia="fr-FR" w:bidi="fr-FR"/>
        </w:rPr>
      </w:pPr>
      <w:r w:rsidRPr="00F0379B">
        <w:rPr>
          <w:rFonts w:ascii="Cambria" w:eastAsia="MS Gothic" w:hAnsi="Cambria" w:cs="Times New Roman"/>
          <w:color w:val="000000"/>
          <w:sz w:val="20"/>
          <w:szCs w:val="20"/>
          <w:lang w:eastAsia="fr-FR" w:bidi="fr-FR"/>
        </w:rPr>
        <w:br w:type="textWrapping" w:clear="all"/>
      </w:r>
    </w:p>
    <w:p w14:paraId="73D88D1A" w14:textId="77777777" w:rsidR="00A908FA" w:rsidRPr="00F0379B" w:rsidRDefault="00A908FA" w:rsidP="00A908FA">
      <w:pPr>
        <w:widowControl w:val="0"/>
        <w:spacing w:after="0" w:line="240" w:lineRule="auto"/>
        <w:jc w:val="both"/>
        <w:rPr>
          <w:rFonts w:ascii="Cambria" w:eastAsia="MS Gothic" w:hAnsi="Cambria" w:cs="Times New Roman"/>
          <w:i/>
          <w:sz w:val="20"/>
          <w:szCs w:val="20"/>
          <w:lang w:eastAsia="ja-JP" w:bidi="fr-FR"/>
        </w:rPr>
      </w:pPr>
    </w:p>
    <w:p w14:paraId="55AA0D1D" w14:textId="77777777" w:rsidR="00A908FA" w:rsidRPr="00F0379B" w:rsidRDefault="00A908FA" w:rsidP="00A908FA">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r w:rsidRPr="00F0379B">
        <w:rPr>
          <w:rFonts w:ascii="Cambria" w:eastAsia="MS Gothic" w:hAnsi="Cambria" w:cs="Times New Roman"/>
          <w:b/>
          <w:sz w:val="20"/>
          <w:szCs w:val="20"/>
          <w:lang w:eastAsia="fr-FR" w:bidi="fr-FR"/>
        </w:rPr>
        <w:t xml:space="preserve">3.  </w:t>
      </w:r>
      <w:r w:rsidRPr="00F0379B">
        <w:rPr>
          <w:rFonts w:ascii="Cambria" w:eastAsia="MS Gothic" w:hAnsi="Cambria" w:cs="Times New Roman"/>
          <w:b/>
          <w:sz w:val="20"/>
          <w:szCs w:val="20"/>
          <w:lang w:eastAsia="fr-FR" w:bidi="fr-FR"/>
        </w:rPr>
        <w:tab/>
        <w:t>Medidas adicionales utilizadas con fines de ejecución o de seguimiento, control e inspección (párr. 3)</w:t>
      </w:r>
    </w:p>
    <w:p w14:paraId="77C5F650" w14:textId="77777777" w:rsidR="00A908FA" w:rsidRPr="00F0379B" w:rsidRDefault="00A908FA" w:rsidP="00A908FA">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p>
    <w:p w14:paraId="008740AB" w14:textId="77777777" w:rsidR="00A908FA" w:rsidRPr="00F0379B" w:rsidRDefault="00A908FA" w:rsidP="00A908FA">
      <w:pPr>
        <w:widowControl w:val="0"/>
        <w:spacing w:after="0" w:line="240" w:lineRule="auto"/>
        <w:jc w:val="both"/>
        <w:rPr>
          <w:rFonts w:ascii="Cambria" w:eastAsia="MS Gothic" w:hAnsi="Cambria" w:cs="Times New Roman"/>
          <w:i/>
          <w:iCs/>
          <w:sz w:val="20"/>
          <w:szCs w:val="20"/>
          <w:lang w:eastAsia="fr-FR" w:bidi="fr-FR"/>
        </w:rPr>
      </w:pPr>
      <w:r w:rsidRPr="00F0379B">
        <w:rPr>
          <w:rFonts w:ascii="Cambria" w:eastAsia="MS Gothic" w:hAnsi="Cambria" w:cs="Times New Roman"/>
          <w:i/>
          <w:iCs/>
          <w:sz w:val="20"/>
          <w:szCs w:val="20"/>
          <w:lang w:eastAsia="fr-FR" w:bidi="fr-FR"/>
        </w:rPr>
        <w:t>Esta sección debería incluir cualquier medida adicional utilizada con fines de ejecución o de seguimiento, control e inspección.</w:t>
      </w:r>
    </w:p>
    <w:p w14:paraId="36DBE392" w14:textId="77777777" w:rsidR="00674209" w:rsidRPr="00F0379B" w:rsidRDefault="00674209" w:rsidP="008F6100">
      <w:pPr>
        <w:spacing w:after="0" w:line="240" w:lineRule="auto"/>
        <w:ind w:right="100"/>
        <w:jc w:val="center"/>
        <w:rPr>
          <w:rFonts w:ascii="Cambria" w:eastAsia="Yu Gothic" w:hAnsi="Cambria" w:cs="Times New Roman"/>
          <w:kern w:val="2"/>
          <w:sz w:val="20"/>
          <w:szCs w:val="20"/>
          <w14:ligatures w14:val="standardContextual"/>
        </w:rPr>
        <w:sectPr w:rsidR="00674209" w:rsidRPr="00F0379B" w:rsidSect="00216FF5">
          <w:footnotePr>
            <w:numRestart w:val="eachSect"/>
          </w:footnotePr>
          <w:pgSz w:w="11906" w:h="16838" w:code="9"/>
          <w:pgMar w:top="1418" w:right="1418" w:bottom="1418" w:left="1418" w:header="851" w:footer="1134" w:gutter="0"/>
          <w:cols w:space="425"/>
          <w:docGrid w:linePitch="360"/>
        </w:sectPr>
      </w:pPr>
    </w:p>
    <w:p w14:paraId="079272A5" w14:textId="3F2BC6A8" w:rsidR="006100DE" w:rsidRPr="00F0379B" w:rsidRDefault="006100DE" w:rsidP="006100DE">
      <w:pPr>
        <w:spacing w:after="0" w:line="240" w:lineRule="auto"/>
        <w:jc w:val="right"/>
        <w:rPr>
          <w:rFonts w:ascii="Cambria" w:eastAsia="Times New Roman" w:hAnsi="Cambria" w:cs="Times New Roman"/>
          <w:b/>
          <w:sz w:val="20"/>
          <w:szCs w:val="20"/>
        </w:rPr>
      </w:pPr>
      <w:r w:rsidRPr="00F0379B">
        <w:rPr>
          <w:rFonts w:ascii="Cambria" w:eastAsia="Times New Roman" w:hAnsi="Cambria" w:cs="Times New Roman"/>
          <w:b/>
          <w:sz w:val="20"/>
          <w:szCs w:val="20"/>
        </w:rPr>
        <w:t>Apéndice 5</w:t>
      </w:r>
    </w:p>
    <w:p w14:paraId="2A2F942B" w14:textId="61C617F8" w:rsidR="000C024B" w:rsidRPr="00F0379B" w:rsidRDefault="000C024B" w:rsidP="000C024B">
      <w:pPr>
        <w:spacing w:after="0" w:line="240" w:lineRule="auto"/>
        <w:jc w:val="center"/>
        <w:rPr>
          <w:rFonts w:ascii="Cambria" w:eastAsia="Times New Roman" w:hAnsi="Cambria" w:cs="Times New Roman"/>
          <w:b/>
          <w:bCs/>
          <w:sz w:val="20"/>
          <w:szCs w:val="20"/>
        </w:rPr>
      </w:pPr>
      <w:r w:rsidRPr="00F0379B">
        <w:rPr>
          <w:rFonts w:ascii="Cambria" w:eastAsia="Times New Roman" w:hAnsi="Cambria" w:cs="Times New Roman"/>
          <w:b/>
          <w:sz w:val="20"/>
          <w:szCs w:val="20"/>
        </w:rPr>
        <w:t xml:space="preserve">Solicitudes de aclaración de la </w:t>
      </w:r>
      <w:hyperlink r:id="rId254" w:history="1">
        <w:r w:rsidRPr="00F0379B">
          <w:rPr>
            <w:rFonts w:ascii="Cambria" w:eastAsia="Times New Roman" w:hAnsi="Cambria" w:cs="Times New Roman"/>
            <w:b/>
            <w:color w:val="0563C1" w:themeColor="hyperlink"/>
            <w:sz w:val="20"/>
            <w:szCs w:val="20"/>
          </w:rPr>
          <w:t>Rec. 25-04</w:t>
        </w:r>
      </w:hyperlink>
      <w:r w:rsidRPr="00F0379B">
        <w:rPr>
          <w:rFonts w:ascii="Cambria" w:eastAsia="Times New Roman" w:hAnsi="Cambria" w:cs="Times New Roman"/>
          <w:b/>
          <w:sz w:val="20"/>
          <w:szCs w:val="20"/>
        </w:rPr>
        <w:t xml:space="preserve"> por el </w:t>
      </w:r>
    </w:p>
    <w:p w14:paraId="7E53ECFD" w14:textId="45F69D90" w:rsidR="000C024B" w:rsidRPr="00F0379B" w:rsidRDefault="000C024B" w:rsidP="009224A5">
      <w:pPr>
        <w:tabs>
          <w:tab w:val="center" w:pos="4680"/>
          <w:tab w:val="left" w:pos="6520"/>
          <w:tab w:val="right" w:pos="9360"/>
          <w:tab w:val="right" w:pos="14240"/>
        </w:tabs>
        <w:jc w:val="center"/>
        <w:rPr>
          <w:rFonts w:ascii="Cambria" w:eastAsia="Calibri" w:hAnsi="Cambria"/>
          <w:b/>
          <w:bCs/>
          <w:sz w:val="20"/>
          <w:szCs w:val="20"/>
        </w:rPr>
      </w:pPr>
      <w:r w:rsidRPr="00F0379B">
        <w:rPr>
          <w:rFonts w:ascii="Cambria" w:eastAsia="Times New Roman" w:hAnsi="Cambria" w:cs="Times New Roman"/>
          <w:b/>
          <w:sz w:val="20"/>
          <w:szCs w:val="20"/>
        </w:rPr>
        <w:t>consorcio que implementa el programa regional de observadores de ICCAT para el atún rojo (ROP-BFT)</w:t>
      </w:r>
    </w:p>
    <w:tbl>
      <w:tblPr>
        <w:tblStyle w:val="TableNormal1"/>
        <w:tblpPr w:leftFromText="141" w:rightFromText="141" w:vertAnchor="text" w:tblpY="1"/>
        <w:tblOverlap w:val="never"/>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5"/>
        <w:gridCol w:w="1120"/>
        <w:gridCol w:w="2368"/>
        <w:gridCol w:w="2046"/>
        <w:gridCol w:w="2219"/>
        <w:gridCol w:w="2362"/>
        <w:gridCol w:w="2362"/>
      </w:tblGrid>
      <w:tr w:rsidR="00B76369" w:rsidRPr="00F0379B" w14:paraId="6A18A414" w14:textId="77777777" w:rsidTr="00860AE7">
        <w:trPr>
          <w:cantSplit/>
          <w:tblHeader/>
        </w:trPr>
        <w:tc>
          <w:tcPr>
            <w:tcW w:w="541" w:type="pct"/>
            <w:vAlign w:val="center"/>
            <w:hideMark/>
          </w:tcPr>
          <w:p w14:paraId="09DB934A" w14:textId="77777777" w:rsidR="00B76369" w:rsidRPr="00F0379B" w:rsidRDefault="00B76369" w:rsidP="00B76369">
            <w:pPr>
              <w:spacing w:line="231" w:lineRule="exact"/>
              <w:jc w:val="center"/>
              <w:rPr>
                <w:rFonts w:ascii="Cambria" w:hAnsi="Cambria" w:cs="Cambria"/>
                <w:i/>
                <w:iCs/>
                <w:sz w:val="20"/>
                <w:szCs w:val="20"/>
              </w:rPr>
            </w:pPr>
            <w:r w:rsidRPr="00F0379B">
              <w:rPr>
                <w:rFonts w:ascii="Cambria" w:eastAsia="Times New Roman" w:hAnsi="Cambria"/>
                <w:i/>
                <w:sz w:val="20"/>
                <w:szCs w:val="20"/>
              </w:rPr>
              <w:t>Tema</w:t>
            </w:r>
          </w:p>
        </w:tc>
        <w:tc>
          <w:tcPr>
            <w:tcW w:w="400" w:type="pct"/>
            <w:vAlign w:val="center"/>
          </w:tcPr>
          <w:p w14:paraId="47AE4298" w14:textId="77777777" w:rsidR="00B76369" w:rsidRPr="00F0379B" w:rsidRDefault="00B76369" w:rsidP="00B76369">
            <w:pPr>
              <w:spacing w:before="60" w:after="60" w:line="231" w:lineRule="exact"/>
              <w:ind w:left="102"/>
              <w:jc w:val="center"/>
              <w:rPr>
                <w:rFonts w:ascii="Cambria" w:hAnsi="Cambria"/>
                <w:i/>
                <w:iCs/>
                <w:spacing w:val="-1"/>
                <w:sz w:val="20"/>
                <w:szCs w:val="20"/>
              </w:rPr>
            </w:pPr>
            <w:r w:rsidRPr="00F0379B">
              <w:rPr>
                <w:rFonts w:ascii="Cambria" w:eastAsia="Times New Roman" w:hAnsi="Cambria"/>
                <w:i/>
                <w:sz w:val="20"/>
                <w:szCs w:val="20"/>
              </w:rPr>
              <w:t>Estado</w:t>
            </w:r>
          </w:p>
        </w:tc>
        <w:tc>
          <w:tcPr>
            <w:tcW w:w="846" w:type="pct"/>
            <w:vAlign w:val="center"/>
            <w:hideMark/>
          </w:tcPr>
          <w:p w14:paraId="033D8A5A" w14:textId="77777777" w:rsidR="00B76369" w:rsidRPr="00F0379B" w:rsidRDefault="00B76369" w:rsidP="00B76369">
            <w:pPr>
              <w:spacing w:before="60" w:after="60" w:line="231" w:lineRule="exact"/>
              <w:ind w:left="102"/>
              <w:jc w:val="center"/>
              <w:rPr>
                <w:rFonts w:ascii="Cambria" w:hAnsi="Cambria" w:cs="Cambria"/>
                <w:i/>
                <w:iCs/>
                <w:sz w:val="20"/>
                <w:szCs w:val="20"/>
              </w:rPr>
            </w:pPr>
            <w:r w:rsidRPr="00F0379B">
              <w:rPr>
                <w:rFonts w:ascii="Cambria" w:eastAsia="Times New Roman" w:hAnsi="Cambria"/>
                <w:i/>
                <w:sz w:val="20"/>
                <w:szCs w:val="20"/>
              </w:rPr>
              <w:t>Aclaración</w:t>
            </w:r>
          </w:p>
        </w:tc>
        <w:tc>
          <w:tcPr>
            <w:tcW w:w="731" w:type="pct"/>
            <w:vAlign w:val="center"/>
          </w:tcPr>
          <w:p w14:paraId="6AF15CF5" w14:textId="77777777" w:rsidR="00B76369" w:rsidRPr="00F0379B" w:rsidRDefault="00B76369" w:rsidP="00B76369">
            <w:pPr>
              <w:spacing w:before="60" w:after="60" w:line="231" w:lineRule="exact"/>
              <w:ind w:left="102"/>
              <w:jc w:val="center"/>
              <w:rPr>
                <w:rFonts w:ascii="Cambria" w:hAnsi="Cambria"/>
                <w:i/>
                <w:iCs/>
                <w:spacing w:val="-1"/>
                <w:sz w:val="20"/>
                <w:szCs w:val="20"/>
              </w:rPr>
            </w:pPr>
            <w:r w:rsidRPr="00F0379B">
              <w:rPr>
                <w:rFonts w:ascii="Cambria" w:eastAsia="Times New Roman" w:hAnsi="Cambria"/>
                <w:i/>
                <w:sz w:val="20"/>
                <w:szCs w:val="20"/>
              </w:rPr>
              <w:t>Respuesta de Türkiye</w:t>
            </w:r>
          </w:p>
        </w:tc>
        <w:tc>
          <w:tcPr>
            <w:tcW w:w="793" w:type="pct"/>
            <w:vAlign w:val="center"/>
          </w:tcPr>
          <w:p w14:paraId="48882109" w14:textId="77777777" w:rsidR="00B76369" w:rsidRPr="00F0379B" w:rsidRDefault="00B76369" w:rsidP="00B76369">
            <w:pPr>
              <w:spacing w:before="60" w:after="60" w:line="231" w:lineRule="exact"/>
              <w:ind w:left="102"/>
              <w:jc w:val="center"/>
              <w:rPr>
                <w:rFonts w:ascii="Cambria" w:eastAsia="Times New Roman" w:hAnsi="Cambria"/>
                <w:i/>
                <w:sz w:val="20"/>
                <w:szCs w:val="20"/>
              </w:rPr>
            </w:pPr>
            <w:r w:rsidRPr="00F0379B">
              <w:rPr>
                <w:rFonts w:ascii="Cambria" w:eastAsia="Times New Roman" w:hAnsi="Cambria"/>
                <w:i/>
                <w:sz w:val="20"/>
              </w:rPr>
              <w:t>Respuesta de la UE</w:t>
            </w:r>
          </w:p>
        </w:tc>
        <w:tc>
          <w:tcPr>
            <w:tcW w:w="844" w:type="pct"/>
            <w:vAlign w:val="center"/>
          </w:tcPr>
          <w:p w14:paraId="296834C1" w14:textId="77777777" w:rsidR="00B76369" w:rsidRPr="00F0379B" w:rsidRDefault="00B76369" w:rsidP="00B76369">
            <w:pPr>
              <w:spacing w:before="60" w:after="60" w:line="231" w:lineRule="exact"/>
              <w:ind w:left="102"/>
              <w:jc w:val="center"/>
              <w:rPr>
                <w:rFonts w:ascii="Cambria" w:eastAsia="Times New Roman" w:hAnsi="Cambria"/>
                <w:i/>
                <w:sz w:val="20"/>
              </w:rPr>
            </w:pPr>
            <w:r w:rsidRPr="00F0379B">
              <w:rPr>
                <w:rFonts w:ascii="Cambria" w:eastAsia="Times New Roman" w:hAnsi="Cambria"/>
                <w:i/>
                <w:sz w:val="20"/>
              </w:rPr>
              <w:t>Comentarios del ROP-BFT</w:t>
            </w:r>
            <w:r w:rsidRPr="00F0379B">
              <w:rPr>
                <w:rFonts w:ascii="Cambria" w:eastAsia="Times New Roman" w:hAnsi="Cambria"/>
                <w:i/>
                <w:sz w:val="20"/>
                <w:vertAlign w:val="superscript"/>
              </w:rPr>
              <w:footnoteReference w:id="36"/>
            </w:r>
          </w:p>
        </w:tc>
        <w:tc>
          <w:tcPr>
            <w:tcW w:w="844" w:type="pct"/>
            <w:vAlign w:val="center"/>
          </w:tcPr>
          <w:p w14:paraId="1DBCABD4" w14:textId="77777777" w:rsidR="00B76369" w:rsidRPr="00F0379B" w:rsidRDefault="00B76369" w:rsidP="00B76369">
            <w:pPr>
              <w:spacing w:before="60" w:after="60" w:line="231" w:lineRule="exact"/>
              <w:ind w:left="102"/>
              <w:jc w:val="center"/>
              <w:rPr>
                <w:rFonts w:ascii="Cambria" w:eastAsia="Times New Roman" w:hAnsi="Cambria"/>
                <w:i/>
                <w:sz w:val="20"/>
              </w:rPr>
            </w:pPr>
            <w:r w:rsidRPr="00F0379B">
              <w:rPr>
                <w:rFonts w:ascii="Cambria" w:eastAsia="Times New Roman" w:hAnsi="Cambria"/>
                <w:i/>
                <w:sz w:val="20"/>
              </w:rPr>
              <w:t>Respuesta de la Subcomisión 2</w:t>
            </w:r>
          </w:p>
        </w:tc>
      </w:tr>
      <w:tr w:rsidR="00B76369" w:rsidRPr="00F0379B" w14:paraId="66F09482" w14:textId="77777777" w:rsidTr="00860AE7">
        <w:trPr>
          <w:cantSplit/>
          <w:trHeight w:val="849"/>
        </w:trPr>
        <w:tc>
          <w:tcPr>
            <w:tcW w:w="541" w:type="pct"/>
            <w:vAlign w:val="center"/>
          </w:tcPr>
          <w:p w14:paraId="4E5B78B8" w14:textId="77777777" w:rsidR="00B76369" w:rsidRPr="00F0379B" w:rsidRDefault="00B76369" w:rsidP="00B76369">
            <w:pPr>
              <w:spacing w:line="233" w:lineRule="exact"/>
              <w:ind w:left="102"/>
              <w:rPr>
                <w:rFonts w:ascii="Cambria" w:eastAsia="Times New Roman" w:hAnsi="Cambria"/>
                <w:sz w:val="20"/>
                <w:szCs w:val="20"/>
              </w:rPr>
            </w:pPr>
            <w:r w:rsidRPr="00F0379B">
              <w:rPr>
                <w:rFonts w:ascii="Cambria" w:eastAsia="Times New Roman" w:hAnsi="Cambria"/>
                <w:sz w:val="20"/>
                <w:szCs w:val="20"/>
              </w:rPr>
              <w:t>Función del observador en el seguimiento de transferencias ulteriores</w:t>
            </w:r>
          </w:p>
          <w:p w14:paraId="26330270" w14:textId="77777777" w:rsidR="00B76369" w:rsidRPr="00F0379B" w:rsidRDefault="00B76369" w:rsidP="00B76369">
            <w:pPr>
              <w:spacing w:line="233" w:lineRule="exact"/>
              <w:ind w:left="102"/>
              <w:rPr>
                <w:rFonts w:ascii="Cambria" w:eastAsia="Times New Roman" w:hAnsi="Cambria"/>
                <w:sz w:val="20"/>
                <w:szCs w:val="20"/>
              </w:rPr>
            </w:pPr>
            <w:hyperlink r:id="rId255" w:history="1">
              <w:r w:rsidRPr="00F0379B">
                <w:rPr>
                  <w:rFonts w:ascii="Cambria" w:eastAsia="Times New Roman" w:hAnsi="Cambria"/>
                  <w:color w:val="0563C1" w:themeColor="hyperlink"/>
                  <w:sz w:val="20"/>
                  <w:szCs w:val="20"/>
                </w:rPr>
                <w:t>Rec. 25-04</w:t>
              </w:r>
            </w:hyperlink>
            <w:r w:rsidRPr="00F0379B">
              <w:rPr>
                <w:rFonts w:ascii="Cambria" w:eastAsia="Times New Roman" w:hAnsi="Cambria"/>
                <w:sz w:val="20"/>
                <w:szCs w:val="20"/>
              </w:rPr>
              <w:t>, párrs. 2k) y 2l); y párr. 101 – segundo punto.</w:t>
            </w:r>
            <w:r w:rsidRPr="00F0379B">
              <w:rPr>
                <w:rFonts w:ascii="Cambria" w:eastAsia="Times New Roman" w:hAnsi="Cambria"/>
                <w:sz w:val="20"/>
                <w:szCs w:val="20"/>
              </w:rPr>
              <w:br/>
            </w:r>
          </w:p>
          <w:p w14:paraId="0DF14321" w14:textId="77777777" w:rsidR="00B76369" w:rsidRPr="00F0379B" w:rsidRDefault="00B76369" w:rsidP="00B76369">
            <w:pPr>
              <w:spacing w:line="233" w:lineRule="exact"/>
              <w:ind w:left="102"/>
              <w:rPr>
                <w:rFonts w:ascii="Cambria" w:hAnsi="Cambria"/>
                <w:sz w:val="20"/>
                <w:szCs w:val="20"/>
              </w:rPr>
            </w:pPr>
            <w:r w:rsidRPr="00F0379B">
              <w:rPr>
                <w:rFonts w:ascii="Cambria" w:eastAsia="Times New Roman" w:hAnsi="Cambria"/>
                <w:sz w:val="20"/>
                <w:szCs w:val="20"/>
              </w:rPr>
              <w:t>Anexo 6 párrs. </w:t>
            </w:r>
            <w:proofErr w:type="spellStart"/>
            <w:r w:rsidRPr="00F0379B">
              <w:rPr>
                <w:rFonts w:ascii="Cambria" w:eastAsia="Times New Roman" w:hAnsi="Cambria"/>
                <w:sz w:val="20"/>
                <w:szCs w:val="20"/>
              </w:rPr>
              <w:t>viii-xvi</w:t>
            </w:r>
            <w:proofErr w:type="spellEnd"/>
          </w:p>
        </w:tc>
        <w:tc>
          <w:tcPr>
            <w:tcW w:w="400" w:type="pct"/>
            <w:vAlign w:val="center"/>
          </w:tcPr>
          <w:p w14:paraId="7BA9048E" w14:textId="77777777" w:rsidR="00B76369" w:rsidRPr="00F0379B" w:rsidRDefault="00B76369" w:rsidP="00B76369">
            <w:pPr>
              <w:spacing w:before="60" w:after="60" w:line="240" w:lineRule="auto"/>
              <w:ind w:left="102" w:right="102"/>
              <w:jc w:val="center"/>
              <w:rPr>
                <w:rFonts w:ascii="Cambria" w:hAnsi="Cambria"/>
                <w:sz w:val="20"/>
                <w:szCs w:val="20"/>
              </w:rPr>
            </w:pPr>
            <w:r w:rsidRPr="00F0379B">
              <w:rPr>
                <w:rFonts w:ascii="Cambria" w:eastAsia="Times New Roman" w:hAnsi="Cambria"/>
                <w:sz w:val="20"/>
                <w:szCs w:val="20"/>
              </w:rPr>
              <w:t>Nueva solicitud de aclaración</w:t>
            </w:r>
          </w:p>
        </w:tc>
        <w:tc>
          <w:tcPr>
            <w:tcW w:w="846" w:type="pct"/>
          </w:tcPr>
          <w:p w14:paraId="1E20A4F0"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szCs w:val="20"/>
              </w:rPr>
              <w:t>¿Puede el consorcio aclarar si el observador regional tiene alguna función en el seguimiento de operaciones de transferencia ulteriores, teniendo en cuenta que estas pueden producirse simultáneamente con la primera transferencia y que la Recomendación parece limitar explícitamente la función del observador al seguimiento de la primera transferencia únicamente?</w:t>
            </w:r>
          </w:p>
          <w:p w14:paraId="65644DA6" w14:textId="77777777" w:rsidR="00B76369" w:rsidRPr="00F0379B" w:rsidRDefault="00B76369" w:rsidP="00B76369">
            <w:pPr>
              <w:spacing w:before="60" w:after="60" w:line="240" w:lineRule="auto"/>
              <w:ind w:left="102" w:right="102"/>
              <w:rPr>
                <w:rFonts w:ascii="Cambria" w:hAnsi="Cambria"/>
                <w:sz w:val="20"/>
                <w:szCs w:val="20"/>
              </w:rPr>
            </w:pPr>
          </w:p>
          <w:p w14:paraId="5403B790"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szCs w:val="20"/>
              </w:rPr>
              <w:t>¿Existen situaciones en las que una transferencia ulterior deba supervisarse como si se tratara de una primera transferencia?</w:t>
            </w:r>
          </w:p>
        </w:tc>
        <w:tc>
          <w:tcPr>
            <w:tcW w:w="731" w:type="pct"/>
          </w:tcPr>
          <w:p w14:paraId="2DA5FC7C"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 xml:space="preserve">Las transferencias posteriores se realizan bajo la responsabilidad del observador de la CPC. </w:t>
            </w:r>
          </w:p>
          <w:p w14:paraId="53D3ED79"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En la práctica actual, no se ha considerado necesaria la participación del observador del ROP BFT en lo que respecta a las transferencias posteriores.</w:t>
            </w:r>
          </w:p>
          <w:p w14:paraId="044A1F4A" w14:textId="77777777" w:rsidR="00B76369" w:rsidRPr="00F0379B" w:rsidRDefault="00B76369" w:rsidP="00B76369">
            <w:pPr>
              <w:spacing w:before="60" w:after="60" w:line="240" w:lineRule="auto"/>
              <w:ind w:left="102" w:right="102"/>
              <w:rPr>
                <w:rFonts w:ascii="Cambria" w:hAnsi="Cambria"/>
                <w:sz w:val="20"/>
                <w:szCs w:val="20"/>
              </w:rPr>
            </w:pPr>
          </w:p>
          <w:p w14:paraId="2A9F15AD" w14:textId="77777777" w:rsidR="00B76369" w:rsidRPr="00F0379B" w:rsidRDefault="00B76369" w:rsidP="00B76369">
            <w:pPr>
              <w:spacing w:before="60" w:after="60" w:line="240" w:lineRule="auto"/>
              <w:ind w:left="102" w:right="102"/>
              <w:rPr>
                <w:rFonts w:ascii="Cambria" w:eastAsia="Times New Roman" w:hAnsi="Cambria"/>
                <w:sz w:val="20"/>
              </w:rPr>
            </w:pPr>
          </w:p>
          <w:p w14:paraId="340F65BD" w14:textId="77777777" w:rsidR="00B76369" w:rsidRPr="00F0379B" w:rsidRDefault="00B76369" w:rsidP="00B76369">
            <w:pPr>
              <w:spacing w:before="60" w:after="60" w:line="240" w:lineRule="auto"/>
              <w:ind w:left="102" w:right="102"/>
              <w:rPr>
                <w:rFonts w:ascii="Cambria" w:eastAsia="Times New Roman" w:hAnsi="Cambria"/>
                <w:sz w:val="20"/>
              </w:rPr>
            </w:pPr>
          </w:p>
          <w:p w14:paraId="4DBEDFF9"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La necesidad de la presencia de un observador del ROP BFT para transferencias posteriores nunca ha sido necesaria hasta ahora.</w:t>
            </w:r>
          </w:p>
        </w:tc>
        <w:tc>
          <w:tcPr>
            <w:tcW w:w="793" w:type="pct"/>
            <w:vAlign w:val="center"/>
          </w:tcPr>
          <w:p w14:paraId="2EA324E8"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 xml:space="preserve">Sí, las hay. Operaciones que se están llevando a cabo simultáneamente desde el cerquero (PS) al remolcador 1 (TW1) y remolcador 2 (TW2). El atún rojo cruza del TW1 al TW2 como en un túnel. Por último, el atún rojo se transfiere a ambas jaulas en una sola operación. El atún rojo en el TW2 ha pasado directamente del PS, ya que anteriormente no se encontraba en el TW1.   </w:t>
            </w:r>
          </w:p>
          <w:p w14:paraId="43CB9CC4" w14:textId="77777777" w:rsidR="00B76369" w:rsidRPr="00F0379B" w:rsidRDefault="00B76369" w:rsidP="00B76369">
            <w:pPr>
              <w:spacing w:before="60" w:after="60" w:line="240" w:lineRule="auto"/>
              <w:ind w:left="102" w:right="102"/>
              <w:rPr>
                <w:rFonts w:ascii="Cambria" w:hAnsi="Cambria"/>
                <w:sz w:val="20"/>
                <w:szCs w:val="20"/>
              </w:rPr>
            </w:pPr>
          </w:p>
          <w:p w14:paraId="7549E5CA" w14:textId="77777777" w:rsidR="00B76369" w:rsidRPr="00F0379B" w:rsidRDefault="00B76369" w:rsidP="00B76369">
            <w:pPr>
              <w:spacing w:before="60" w:after="60" w:line="240" w:lineRule="auto"/>
              <w:ind w:left="102" w:right="102"/>
              <w:rPr>
                <w:rFonts w:ascii="Cambria" w:eastAsia="Times New Roman" w:hAnsi="Cambria"/>
                <w:sz w:val="20"/>
              </w:rPr>
            </w:pPr>
            <w:r w:rsidRPr="00F0379B">
              <w:rPr>
                <w:rFonts w:ascii="Cambria" w:eastAsia="Times New Roman" w:hAnsi="Cambria"/>
                <w:sz w:val="20"/>
              </w:rPr>
              <w:t xml:space="preserve">En este caso, el observador regional (ROB) necesitaría conocer la cantidad en el TW2 y, por lo tanto, tendría que revisar el vídeo del atún rojo entrando en el TW2. De lo contrario, el ROB solo tendría constancia del atún rojo que pasa del PS al TW1, y no de la cantidad "retenida" en el TW1.  </w:t>
            </w:r>
          </w:p>
        </w:tc>
        <w:tc>
          <w:tcPr>
            <w:tcW w:w="844" w:type="pct"/>
          </w:tcPr>
          <w:p w14:paraId="2F016760"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 xml:space="preserve">Puede haber, y de hecho hay, casos en los que se realizan dos primeras transferencias consecutivas desde la red a la jaula. Ambas jaulas están unidas a la red una tras otra. En estos casos, el observador supervisa ambas y se producen dos ITD diferentes. </w:t>
            </w:r>
          </w:p>
          <w:p w14:paraId="63E7A46A" w14:textId="77777777" w:rsidR="00B76369" w:rsidRPr="00F0379B" w:rsidRDefault="00B76369" w:rsidP="00B76369">
            <w:pPr>
              <w:spacing w:before="60" w:after="60" w:line="240" w:lineRule="auto"/>
              <w:ind w:left="102" w:right="102"/>
              <w:rPr>
                <w:rFonts w:ascii="Cambria" w:hAnsi="Cambria"/>
                <w:sz w:val="20"/>
                <w:szCs w:val="20"/>
              </w:rPr>
            </w:pPr>
          </w:p>
          <w:p w14:paraId="489B6ED8"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Sin embargo, esto es distinto a las situaciones en las que la captura se transfiere inicialmente a la jaula mediante la primera transferencia, y luego se transfiere una cantidad menor a una segunda jaula conectada a la primera mediante una transferencia posterior.</w:t>
            </w:r>
          </w:p>
          <w:p w14:paraId="0DF8235F" w14:textId="77777777" w:rsidR="00B76369" w:rsidRPr="00F0379B" w:rsidRDefault="00B76369" w:rsidP="00B76369">
            <w:pPr>
              <w:spacing w:before="60" w:after="60" w:line="240" w:lineRule="auto"/>
              <w:ind w:left="102" w:right="102"/>
              <w:rPr>
                <w:rFonts w:ascii="Cambria" w:hAnsi="Cambria"/>
                <w:sz w:val="20"/>
                <w:szCs w:val="20"/>
              </w:rPr>
            </w:pPr>
          </w:p>
          <w:p w14:paraId="0371B142"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 xml:space="preserve">Por definición, es imposible transferir peces de la red a dos jaulas en una sola operación de transferencia. Tiene que haber una segunda primera transferencia desde la red a la segunda jaula, o una transferencia posterior desde la primera jaula a la segunda. Este segundo escenario se analiza en el informe anual con una imagen (PA2_601/2025, Anexo 1 – ROP-BFT: Informe de implementación del Consorcio. Sección 3.2.1.1.1, “Transferencias múltiples”, en la página 14). </w:t>
            </w:r>
          </w:p>
          <w:p w14:paraId="3BA9D7DD" w14:textId="77777777" w:rsidR="00B76369" w:rsidRPr="00F0379B" w:rsidRDefault="00B76369" w:rsidP="00B76369">
            <w:pPr>
              <w:spacing w:before="60" w:after="60" w:line="240" w:lineRule="auto"/>
              <w:ind w:left="102" w:right="102"/>
              <w:rPr>
                <w:rFonts w:ascii="Cambria" w:hAnsi="Cambria"/>
                <w:sz w:val="20"/>
                <w:szCs w:val="20"/>
              </w:rPr>
            </w:pPr>
          </w:p>
          <w:p w14:paraId="7DCB1D89"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En el escenario que describe la UE, ¿cómo se registraría la operación en la ITD?</w:t>
            </w:r>
          </w:p>
          <w:p w14:paraId="74391251" w14:textId="77777777" w:rsidR="00B76369" w:rsidRPr="00F0379B" w:rsidRDefault="00B76369" w:rsidP="00B76369">
            <w:pPr>
              <w:spacing w:before="60" w:after="60" w:line="240" w:lineRule="auto"/>
              <w:ind w:left="102" w:right="102"/>
              <w:rPr>
                <w:rFonts w:ascii="Cambria" w:hAnsi="Cambria"/>
                <w:sz w:val="20"/>
                <w:szCs w:val="20"/>
              </w:rPr>
            </w:pPr>
          </w:p>
          <w:p w14:paraId="4C80AFE0" w14:textId="77777777" w:rsidR="00B76369" w:rsidRPr="00F0379B" w:rsidRDefault="00B76369" w:rsidP="00B76369">
            <w:pPr>
              <w:spacing w:before="60" w:after="60" w:line="240" w:lineRule="auto"/>
              <w:ind w:left="102" w:right="102"/>
              <w:rPr>
                <w:rFonts w:ascii="Cambria" w:eastAsia="Times New Roman" w:hAnsi="Cambria"/>
                <w:sz w:val="20"/>
              </w:rPr>
            </w:pPr>
            <w:r w:rsidRPr="00F0379B">
              <w:rPr>
                <w:rFonts w:ascii="Cambria" w:eastAsia="Times New Roman" w:hAnsi="Cambria"/>
                <w:sz w:val="20"/>
              </w:rPr>
              <w:t>Si esta situación de dos transferencias físicas de peces a jaulas separadas se va a completar como una sola, es importante que quede claro cómo se debería registrar.</w:t>
            </w:r>
          </w:p>
          <w:p w14:paraId="7FE8075A" w14:textId="77777777" w:rsidR="00B76369" w:rsidRPr="00F0379B" w:rsidRDefault="00B76369" w:rsidP="00B76369">
            <w:pPr>
              <w:spacing w:before="60" w:after="60" w:line="240" w:lineRule="auto"/>
              <w:ind w:left="102" w:right="102"/>
              <w:rPr>
                <w:rFonts w:ascii="Cambria" w:eastAsia="Times New Roman" w:hAnsi="Cambria"/>
                <w:sz w:val="20"/>
              </w:rPr>
            </w:pPr>
          </w:p>
          <w:p w14:paraId="036F05E1" w14:textId="77777777" w:rsidR="00B76369" w:rsidRPr="00F0379B" w:rsidRDefault="00B76369" w:rsidP="00B76369">
            <w:pPr>
              <w:spacing w:before="60" w:after="60" w:line="240" w:lineRule="auto"/>
              <w:ind w:left="102" w:right="102"/>
              <w:rPr>
                <w:rFonts w:ascii="Cambria" w:eastAsia="Times New Roman" w:hAnsi="Cambria"/>
                <w:sz w:val="20"/>
              </w:rPr>
            </w:pPr>
            <w:r w:rsidRPr="00F0379B">
              <w:rPr>
                <w:rFonts w:ascii="Cambria" w:eastAsia="Times New Roman" w:hAnsi="Cambria"/>
                <w:b/>
                <w:bCs/>
                <w:sz w:val="20"/>
              </w:rPr>
              <w:t xml:space="preserve">Comentarios a la respuesta de la UE: </w:t>
            </w:r>
            <w:r w:rsidRPr="00F0379B">
              <w:rPr>
                <w:rFonts w:ascii="Cambria" w:eastAsia="Times New Roman" w:hAnsi="Cambria"/>
                <w:sz w:val="20"/>
              </w:rPr>
              <w:t>Esta interpretación no está respaldada por la Recomendación. TW1 a TW2 es una transferencia ulterior. El observador no es responsable de estimar cuántos peces quedan en la jaula, solo cuántos peces se han transferido.</w:t>
            </w:r>
          </w:p>
        </w:tc>
        <w:tc>
          <w:tcPr>
            <w:tcW w:w="844" w:type="pct"/>
          </w:tcPr>
          <w:p w14:paraId="554137B8"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La CPC informará al Consorcio sobre cómo se considerará la operación de transferencia a más de una jaula:</w:t>
            </w:r>
          </w:p>
          <w:p w14:paraId="42036369" w14:textId="77777777" w:rsidR="00B76369" w:rsidRPr="00F0379B" w:rsidRDefault="00B76369" w:rsidP="00CE0EC8">
            <w:pPr>
              <w:numPr>
                <w:ilvl w:val="0"/>
                <w:numId w:val="93"/>
              </w:numPr>
              <w:spacing w:before="60" w:after="60" w:line="240" w:lineRule="auto"/>
              <w:ind w:right="102"/>
              <w:rPr>
                <w:rFonts w:ascii="Cambria" w:hAnsi="Cambria"/>
                <w:sz w:val="20"/>
                <w:szCs w:val="20"/>
              </w:rPr>
            </w:pPr>
            <w:r w:rsidRPr="00F0379B">
              <w:rPr>
                <w:rFonts w:ascii="Cambria" w:hAnsi="Cambria"/>
                <w:sz w:val="20"/>
              </w:rPr>
              <w:t>Cuando se realizan dos primeras transferencias de la red a la jaula, una tras otra, y ambas jaulas se fijan a la red de forma secuencial. En estos casos, el ROP supervisa ambas transferencias y se generan dos ITD independientes.</w:t>
            </w:r>
          </w:p>
          <w:p w14:paraId="17099D9F" w14:textId="0999EF56" w:rsidR="00B76369" w:rsidRPr="00F0379B" w:rsidRDefault="00B76369" w:rsidP="00CE0EC8">
            <w:pPr>
              <w:numPr>
                <w:ilvl w:val="0"/>
                <w:numId w:val="93"/>
              </w:numPr>
              <w:spacing w:before="60" w:after="60" w:line="240" w:lineRule="auto"/>
              <w:ind w:right="102"/>
              <w:rPr>
                <w:rFonts w:ascii="Cambria" w:hAnsi="Cambria"/>
                <w:sz w:val="20"/>
              </w:rPr>
            </w:pPr>
            <w:r w:rsidRPr="00F0379B">
              <w:rPr>
                <w:rFonts w:ascii="Cambria" w:hAnsi="Cambria"/>
                <w:sz w:val="20"/>
              </w:rPr>
              <w:t xml:space="preserve">Cuando la captura se transfiere inicialmente a una primera jaula mediante una primera transferencia y, a continuación, se transfiere una cantidad </w:t>
            </w:r>
            <w:r w:rsidR="005B018B" w:rsidRPr="00F0379B">
              <w:rPr>
                <w:rFonts w:ascii="Cambria" w:hAnsi="Cambria"/>
                <w:sz w:val="20"/>
              </w:rPr>
              <w:t xml:space="preserve">simultáneamente </w:t>
            </w:r>
            <w:r w:rsidRPr="00F0379B">
              <w:rPr>
                <w:rFonts w:ascii="Cambria" w:hAnsi="Cambria"/>
                <w:sz w:val="20"/>
              </w:rPr>
              <w:t>a una segunda jaula acoplada a la primera en el marco de la misma transferencia</w:t>
            </w:r>
            <w:r w:rsidR="00FB0845" w:rsidRPr="00F0379B">
              <w:rPr>
                <w:rFonts w:ascii="Cambria" w:hAnsi="Cambria"/>
                <w:sz w:val="20"/>
              </w:rPr>
              <w:t xml:space="preserve">, </w:t>
            </w:r>
            <w:r w:rsidR="00D53E73" w:rsidRPr="00F0379B">
              <w:rPr>
                <w:rFonts w:ascii="Cambria" w:hAnsi="Cambria"/>
                <w:sz w:val="20"/>
              </w:rPr>
              <w:t>e</w:t>
            </w:r>
            <w:r w:rsidRPr="00F0379B">
              <w:rPr>
                <w:rFonts w:ascii="Cambria" w:hAnsi="Cambria"/>
                <w:sz w:val="20"/>
              </w:rPr>
              <w:t>n este caso, se considera</w:t>
            </w:r>
            <w:r w:rsidR="009F7245" w:rsidRPr="00F0379B">
              <w:rPr>
                <w:rFonts w:ascii="Cambria" w:hAnsi="Cambria"/>
                <w:sz w:val="20"/>
              </w:rPr>
              <w:t>n</w:t>
            </w:r>
            <w:r w:rsidRPr="00F0379B">
              <w:rPr>
                <w:rFonts w:ascii="Cambria" w:hAnsi="Cambria"/>
                <w:sz w:val="20"/>
              </w:rPr>
              <w:t xml:space="preserve"> </w:t>
            </w:r>
            <w:r w:rsidR="009F7245" w:rsidRPr="00F0379B">
              <w:rPr>
                <w:rFonts w:ascii="Cambria" w:hAnsi="Cambria"/>
                <w:sz w:val="20"/>
              </w:rPr>
              <w:t xml:space="preserve">dos </w:t>
            </w:r>
            <w:r w:rsidRPr="00F0379B">
              <w:rPr>
                <w:rFonts w:ascii="Cambria" w:hAnsi="Cambria"/>
                <w:sz w:val="20"/>
              </w:rPr>
              <w:t>primera</w:t>
            </w:r>
            <w:r w:rsidR="009F7245" w:rsidRPr="00F0379B">
              <w:rPr>
                <w:rFonts w:ascii="Cambria" w:hAnsi="Cambria"/>
                <w:sz w:val="20"/>
              </w:rPr>
              <w:t>s</w:t>
            </w:r>
            <w:r w:rsidRPr="00F0379B">
              <w:rPr>
                <w:rFonts w:ascii="Cambria" w:hAnsi="Cambria"/>
                <w:sz w:val="20"/>
              </w:rPr>
              <w:t xml:space="preserve"> transferencia</w:t>
            </w:r>
            <w:r w:rsidR="009F7245" w:rsidRPr="00F0379B">
              <w:rPr>
                <w:rFonts w:ascii="Cambria" w:hAnsi="Cambria"/>
                <w:sz w:val="20"/>
              </w:rPr>
              <w:t>s</w:t>
            </w:r>
            <w:r w:rsidRPr="00F0379B">
              <w:rPr>
                <w:rFonts w:ascii="Cambria" w:hAnsi="Cambria"/>
                <w:sz w:val="20"/>
              </w:rPr>
              <w:t xml:space="preserve"> para ambas jaulas y el proceso debe ser supervisado íntegramente por el ROP.</w:t>
            </w:r>
          </w:p>
        </w:tc>
      </w:tr>
      <w:tr w:rsidR="00B76369" w:rsidRPr="00F0379B" w14:paraId="397427CD" w14:textId="77777777" w:rsidTr="00860AE7">
        <w:trPr>
          <w:cantSplit/>
        </w:trPr>
        <w:tc>
          <w:tcPr>
            <w:tcW w:w="541" w:type="pct"/>
            <w:vAlign w:val="center"/>
          </w:tcPr>
          <w:p w14:paraId="367E1E76" w14:textId="77777777" w:rsidR="00B76369" w:rsidRPr="00F0379B" w:rsidRDefault="00B76369" w:rsidP="00B76369">
            <w:pPr>
              <w:spacing w:line="240" w:lineRule="auto"/>
              <w:ind w:left="102" w:right="-8"/>
              <w:rPr>
                <w:rFonts w:ascii="Cambria" w:eastAsia="Times New Roman" w:hAnsi="Cambria"/>
                <w:sz w:val="20"/>
                <w:szCs w:val="20"/>
              </w:rPr>
            </w:pPr>
            <w:r w:rsidRPr="00F0379B">
              <w:rPr>
                <w:rFonts w:ascii="Cambria" w:eastAsia="Times New Roman" w:hAnsi="Cambria"/>
                <w:sz w:val="20"/>
                <w:szCs w:val="20"/>
              </w:rPr>
              <w:t>Normas mínimas para los procedimientos de grabación de vídeo: Visualización del número de jaula</w:t>
            </w:r>
          </w:p>
          <w:p w14:paraId="1F63698A" w14:textId="77777777" w:rsidR="00B76369" w:rsidRPr="00F0379B" w:rsidRDefault="00B76369" w:rsidP="00B76369">
            <w:pPr>
              <w:spacing w:line="233" w:lineRule="exact"/>
              <w:ind w:left="102" w:right="125"/>
              <w:rPr>
                <w:rFonts w:ascii="Cambria" w:hAnsi="Cambria"/>
                <w:sz w:val="20"/>
                <w:szCs w:val="20"/>
              </w:rPr>
            </w:pPr>
            <w:hyperlink r:id="rId256" w:history="1">
              <w:r w:rsidRPr="00F0379B">
                <w:rPr>
                  <w:rFonts w:ascii="Cambria" w:eastAsia="Times New Roman" w:hAnsi="Cambria"/>
                  <w:color w:val="0563C1" w:themeColor="hyperlink"/>
                  <w:sz w:val="20"/>
                  <w:szCs w:val="20"/>
                </w:rPr>
                <w:t>Rec. 25-04</w:t>
              </w:r>
            </w:hyperlink>
            <w:r w:rsidRPr="00F0379B">
              <w:rPr>
                <w:rFonts w:ascii="Cambria" w:eastAsia="Times New Roman" w:hAnsi="Cambria"/>
                <w:sz w:val="20"/>
                <w:szCs w:val="20"/>
              </w:rPr>
              <w:t>, Anexo 8, párr. 1a</w:t>
            </w:r>
          </w:p>
        </w:tc>
        <w:tc>
          <w:tcPr>
            <w:tcW w:w="400" w:type="pct"/>
            <w:vAlign w:val="center"/>
          </w:tcPr>
          <w:p w14:paraId="43D49059" w14:textId="77777777" w:rsidR="00B76369" w:rsidRPr="00F0379B" w:rsidRDefault="00B76369" w:rsidP="00B76369">
            <w:pPr>
              <w:spacing w:before="60" w:after="60" w:line="240" w:lineRule="auto"/>
              <w:ind w:left="94" w:right="135"/>
              <w:jc w:val="center"/>
              <w:rPr>
                <w:rFonts w:ascii="Cambria" w:hAnsi="Cambria" w:cs="Cambria"/>
                <w:sz w:val="20"/>
                <w:szCs w:val="20"/>
              </w:rPr>
            </w:pPr>
            <w:r w:rsidRPr="00F0379B">
              <w:rPr>
                <w:rFonts w:ascii="Cambria" w:eastAsia="Times New Roman" w:hAnsi="Cambria"/>
                <w:sz w:val="20"/>
                <w:szCs w:val="20"/>
              </w:rPr>
              <w:t>Nueva solicitud de aclaración</w:t>
            </w:r>
          </w:p>
        </w:tc>
        <w:tc>
          <w:tcPr>
            <w:tcW w:w="846" w:type="pct"/>
          </w:tcPr>
          <w:p w14:paraId="4CB28F88" w14:textId="77777777" w:rsidR="00B76369" w:rsidRPr="00F0379B" w:rsidRDefault="00B76369" w:rsidP="00B76369">
            <w:pPr>
              <w:spacing w:before="60" w:after="60" w:line="240" w:lineRule="auto"/>
              <w:ind w:left="94" w:right="135"/>
              <w:rPr>
                <w:rFonts w:ascii="Cambria" w:hAnsi="Cambria" w:cs="Cambria"/>
                <w:sz w:val="20"/>
                <w:szCs w:val="20"/>
              </w:rPr>
            </w:pPr>
            <w:r w:rsidRPr="00F0379B">
              <w:rPr>
                <w:rFonts w:ascii="Cambria" w:eastAsia="Times New Roman" w:hAnsi="Cambria"/>
                <w:sz w:val="20"/>
                <w:szCs w:val="20"/>
              </w:rPr>
              <w:t>El anexo 8 se aplica a las operaciones de transferencia, de introducción en jaula y de liberación.</w:t>
            </w:r>
          </w:p>
          <w:p w14:paraId="79392F24" w14:textId="77777777" w:rsidR="00B76369" w:rsidRPr="00F0379B" w:rsidRDefault="00B76369" w:rsidP="00B76369">
            <w:pPr>
              <w:spacing w:before="60" w:after="60" w:line="240" w:lineRule="auto"/>
              <w:ind w:left="94" w:right="135"/>
              <w:rPr>
                <w:rFonts w:ascii="Cambria" w:hAnsi="Cambria" w:cs="Cambria"/>
                <w:sz w:val="20"/>
                <w:szCs w:val="20"/>
              </w:rPr>
            </w:pPr>
            <w:r w:rsidRPr="00F0379B">
              <w:rPr>
                <w:rFonts w:ascii="Cambria" w:eastAsia="Times New Roman" w:hAnsi="Cambria"/>
                <w:sz w:val="20"/>
                <w:szCs w:val="20"/>
              </w:rPr>
              <w:t>El párrafo 1a exige que el número de jaula (tal y como se indica en la ITD) aparezca al principio y/o al final del vídeo.</w:t>
            </w:r>
          </w:p>
          <w:p w14:paraId="21D27702" w14:textId="77777777" w:rsidR="00B76369" w:rsidRPr="00F0379B" w:rsidRDefault="00B76369" w:rsidP="00B76369">
            <w:pPr>
              <w:spacing w:before="60" w:after="60" w:line="240" w:lineRule="auto"/>
              <w:ind w:left="94" w:right="135"/>
              <w:rPr>
                <w:rFonts w:ascii="Cambria" w:hAnsi="Cambria" w:cs="Cambria"/>
                <w:sz w:val="20"/>
                <w:szCs w:val="20"/>
              </w:rPr>
            </w:pPr>
          </w:p>
          <w:p w14:paraId="222C562E" w14:textId="77777777" w:rsidR="00B76369" w:rsidRPr="00F0379B" w:rsidRDefault="00B76369" w:rsidP="00B76369">
            <w:pPr>
              <w:spacing w:before="60" w:after="60" w:line="240" w:lineRule="auto"/>
              <w:ind w:left="94" w:right="135"/>
              <w:rPr>
                <w:rFonts w:ascii="Cambria" w:hAnsi="Cambria" w:cs="Cambria"/>
                <w:sz w:val="20"/>
                <w:szCs w:val="20"/>
              </w:rPr>
            </w:pPr>
            <w:r w:rsidRPr="00F0379B">
              <w:rPr>
                <w:rFonts w:ascii="Cambria" w:eastAsia="Times New Roman" w:hAnsi="Cambria"/>
                <w:sz w:val="20"/>
                <w:szCs w:val="20"/>
              </w:rPr>
              <w:t>En el caso de las introducciones en jaula y antes de las segregaciones previas a la liberación, teniendo en cuenta que no se produce ninguna ITD, ¿debe el consorcio asumir que el número de jaula indicado es el de la jaula receptora?</w:t>
            </w:r>
          </w:p>
        </w:tc>
        <w:tc>
          <w:tcPr>
            <w:tcW w:w="731" w:type="pct"/>
          </w:tcPr>
          <w:p w14:paraId="19F2DD02" w14:textId="77777777" w:rsidR="00B76369" w:rsidRPr="00F0379B" w:rsidRDefault="00B76369" w:rsidP="00B76369">
            <w:pPr>
              <w:spacing w:before="60" w:after="60" w:line="240" w:lineRule="auto"/>
              <w:ind w:left="94" w:right="135"/>
              <w:rPr>
                <w:rFonts w:ascii="Cambria" w:hAnsi="Cambria" w:cs="Cambria"/>
                <w:sz w:val="20"/>
                <w:szCs w:val="20"/>
              </w:rPr>
            </w:pPr>
            <w:r w:rsidRPr="00F0379B">
              <w:rPr>
                <w:rFonts w:ascii="Cambria" w:eastAsia="Times New Roman" w:hAnsi="Cambria"/>
                <w:sz w:val="20"/>
              </w:rPr>
              <w:t>El número de jaula receptora puede aparecer en el vídeo de las operaciones de introducción en jaula y en las segregaciones previas a la liberación en las que no se produce ninguna declaración de transferencia de ICCAT (ITD).</w:t>
            </w:r>
          </w:p>
        </w:tc>
        <w:tc>
          <w:tcPr>
            <w:tcW w:w="793" w:type="pct"/>
            <w:vAlign w:val="center"/>
          </w:tcPr>
          <w:p w14:paraId="15155558" w14:textId="77777777" w:rsidR="00B76369" w:rsidRPr="00F0379B" w:rsidRDefault="00B76369" w:rsidP="00B76369">
            <w:pPr>
              <w:spacing w:before="60" w:after="60" w:line="240" w:lineRule="auto"/>
              <w:ind w:left="94" w:right="135"/>
              <w:rPr>
                <w:rFonts w:ascii="Cambria" w:hAnsi="Cambria" w:cs="Cambria"/>
                <w:i/>
                <w:iCs/>
                <w:sz w:val="20"/>
                <w:szCs w:val="20"/>
              </w:rPr>
            </w:pPr>
            <w:r w:rsidRPr="00F0379B">
              <w:rPr>
                <w:rFonts w:ascii="Cambria" w:eastAsia="Times New Roman" w:hAnsi="Cambria"/>
                <w:i/>
                <w:sz w:val="20"/>
              </w:rPr>
              <w:t>1a) al comienzo y/o final de cada vídeo, según se requiera, deberá aparecer el número de la autorización ICCAT de transferencia o de operación de introducción en jaula o de orden de liberación y el número de la(s) jaula(s) (tal y como se indica en la declaración de transferencia - ITD);</w:t>
            </w:r>
            <w:r w:rsidRPr="00F0379B">
              <w:rPr>
                <w:rFonts w:ascii="Cambria" w:eastAsia="Times New Roman" w:hAnsi="Cambria"/>
                <w:i/>
                <w:sz w:val="20"/>
              </w:rPr>
              <w:br/>
            </w:r>
          </w:p>
          <w:p w14:paraId="6E77CC9C" w14:textId="77777777" w:rsidR="00B76369" w:rsidRPr="00F0379B" w:rsidRDefault="00B76369" w:rsidP="00B76369">
            <w:pPr>
              <w:spacing w:before="60" w:after="60" w:line="240" w:lineRule="auto"/>
              <w:ind w:left="94" w:right="135"/>
              <w:rPr>
                <w:rFonts w:ascii="Cambria" w:eastAsia="Times New Roman" w:hAnsi="Cambria"/>
                <w:sz w:val="20"/>
              </w:rPr>
            </w:pPr>
            <w:r w:rsidRPr="00F0379B">
              <w:rPr>
                <w:rFonts w:ascii="Cambria" w:eastAsia="Times New Roman" w:hAnsi="Cambria"/>
                <w:sz w:val="20"/>
              </w:rPr>
              <w:t>El objetivo es identificar de forma inequívoca la grabación de vídeo con la operación. Para garantizar la coherencia con las transferencias, ambas jaulas (donante y receptora) deben ser identificables en la grabación de vídeo.</w:t>
            </w:r>
          </w:p>
        </w:tc>
        <w:tc>
          <w:tcPr>
            <w:tcW w:w="844" w:type="pct"/>
          </w:tcPr>
          <w:p w14:paraId="04F16CFE" w14:textId="77777777" w:rsidR="00B76369" w:rsidRPr="00F0379B" w:rsidRDefault="00B76369" w:rsidP="00B76369">
            <w:pPr>
              <w:spacing w:before="60" w:after="60" w:line="240" w:lineRule="auto"/>
              <w:ind w:left="94" w:right="135"/>
              <w:rPr>
                <w:rFonts w:ascii="Cambria" w:eastAsia="Times New Roman" w:hAnsi="Cambria"/>
                <w:i/>
                <w:sz w:val="20"/>
              </w:rPr>
            </w:pPr>
          </w:p>
        </w:tc>
        <w:tc>
          <w:tcPr>
            <w:tcW w:w="844" w:type="pct"/>
          </w:tcPr>
          <w:p w14:paraId="3CEF0A8A" w14:textId="77777777" w:rsidR="00B76369" w:rsidRPr="00F0379B" w:rsidRDefault="00B76369" w:rsidP="00B76369">
            <w:pPr>
              <w:spacing w:before="60" w:after="60" w:line="240" w:lineRule="auto"/>
              <w:ind w:left="94" w:right="135"/>
              <w:rPr>
                <w:rFonts w:ascii="Cambria" w:eastAsia="Times New Roman" w:hAnsi="Cambria"/>
                <w:i/>
                <w:sz w:val="20"/>
              </w:rPr>
            </w:pPr>
            <w:r w:rsidRPr="00F0379B">
              <w:rPr>
                <w:rFonts w:ascii="Cambria" w:eastAsia="Times New Roman" w:hAnsi="Cambria"/>
                <w:sz w:val="20"/>
              </w:rPr>
              <w:t xml:space="preserve">Los números de identificación de ambas jaulas, donante y </w:t>
            </w:r>
            <w:proofErr w:type="gramStart"/>
            <w:r w:rsidRPr="00F0379B">
              <w:rPr>
                <w:rFonts w:ascii="Cambria" w:eastAsia="Times New Roman" w:hAnsi="Cambria"/>
                <w:sz w:val="20"/>
              </w:rPr>
              <w:t>receptora,</w:t>
            </w:r>
            <w:proofErr w:type="gramEnd"/>
            <w:r w:rsidRPr="00F0379B">
              <w:rPr>
                <w:rFonts w:ascii="Cambria" w:eastAsia="Times New Roman" w:hAnsi="Cambria"/>
                <w:sz w:val="20"/>
              </w:rPr>
              <w:t xml:space="preserve"> deben ser visibles en la grabación de vídeo.</w:t>
            </w:r>
          </w:p>
        </w:tc>
      </w:tr>
      <w:tr w:rsidR="00B76369" w:rsidRPr="00F0379B" w14:paraId="232DFC77" w14:textId="77777777" w:rsidTr="00860AE7">
        <w:trPr>
          <w:cantSplit/>
          <w:trHeight w:val="849"/>
        </w:trPr>
        <w:tc>
          <w:tcPr>
            <w:tcW w:w="541" w:type="pct"/>
            <w:vAlign w:val="center"/>
          </w:tcPr>
          <w:p w14:paraId="3827AAE1" w14:textId="77777777" w:rsidR="00B76369" w:rsidRPr="00F0379B" w:rsidRDefault="00B76369" w:rsidP="00B76369">
            <w:pPr>
              <w:spacing w:line="233" w:lineRule="exact"/>
              <w:ind w:left="102"/>
              <w:rPr>
                <w:rFonts w:ascii="Cambria" w:hAnsi="Cambria"/>
                <w:sz w:val="20"/>
                <w:szCs w:val="20"/>
              </w:rPr>
            </w:pPr>
            <w:r w:rsidRPr="00F0379B">
              <w:rPr>
                <w:rFonts w:ascii="Cambria" w:eastAsia="Times New Roman" w:hAnsi="Cambria"/>
                <w:sz w:val="20"/>
                <w:szCs w:val="20"/>
              </w:rPr>
              <w:t>Estimaciones de los observadores sobre el atún introducido en jaula y transferido durante las segregaciones previas a la liberación.</w:t>
            </w:r>
          </w:p>
          <w:p w14:paraId="64D3578C" w14:textId="77777777" w:rsidR="00B76369" w:rsidRPr="00F0379B" w:rsidRDefault="00B76369" w:rsidP="00B76369">
            <w:pPr>
              <w:spacing w:line="233" w:lineRule="exact"/>
              <w:ind w:left="102" w:right="150"/>
              <w:rPr>
                <w:rFonts w:ascii="Cambria" w:hAnsi="Cambria"/>
                <w:sz w:val="20"/>
                <w:szCs w:val="20"/>
              </w:rPr>
            </w:pPr>
            <w:hyperlink r:id="rId257" w:history="1">
              <w:r w:rsidRPr="00F0379B">
                <w:rPr>
                  <w:rFonts w:ascii="Cambria" w:eastAsia="Times New Roman" w:hAnsi="Cambria"/>
                  <w:color w:val="0563C1" w:themeColor="hyperlink"/>
                  <w:sz w:val="20"/>
                  <w:szCs w:val="20"/>
                </w:rPr>
                <w:t>Rec. 25-04</w:t>
              </w:r>
            </w:hyperlink>
            <w:r w:rsidRPr="00F0379B">
              <w:rPr>
                <w:rFonts w:ascii="Cambria" w:eastAsia="Times New Roman" w:hAnsi="Cambria"/>
                <w:sz w:val="20"/>
                <w:szCs w:val="20"/>
              </w:rPr>
              <w:t xml:space="preserve">, Anexo 6, párr. </w:t>
            </w:r>
            <w:proofErr w:type="spellStart"/>
            <w:r w:rsidRPr="00F0379B">
              <w:rPr>
                <w:rFonts w:ascii="Cambria" w:eastAsia="Times New Roman" w:hAnsi="Cambria"/>
                <w:sz w:val="20"/>
                <w:szCs w:val="20"/>
              </w:rPr>
              <w:t>xx</w:t>
            </w:r>
            <w:proofErr w:type="spellEnd"/>
            <w:r w:rsidRPr="00F0379B">
              <w:rPr>
                <w:rFonts w:ascii="Cambria" w:eastAsia="Times New Roman" w:hAnsi="Cambria"/>
                <w:sz w:val="20"/>
                <w:szCs w:val="20"/>
              </w:rPr>
              <w:t>.</w:t>
            </w:r>
          </w:p>
        </w:tc>
        <w:tc>
          <w:tcPr>
            <w:tcW w:w="400" w:type="pct"/>
            <w:vAlign w:val="center"/>
          </w:tcPr>
          <w:p w14:paraId="1AD27F96" w14:textId="77777777" w:rsidR="00B76369" w:rsidRPr="00F0379B" w:rsidRDefault="00B76369" w:rsidP="00B76369">
            <w:pPr>
              <w:spacing w:before="60" w:after="60" w:line="240" w:lineRule="auto"/>
              <w:ind w:left="102" w:right="102"/>
              <w:jc w:val="center"/>
              <w:rPr>
                <w:rFonts w:ascii="Cambria" w:hAnsi="Cambria"/>
                <w:sz w:val="20"/>
                <w:szCs w:val="20"/>
              </w:rPr>
            </w:pPr>
            <w:r w:rsidRPr="00F0379B">
              <w:rPr>
                <w:rFonts w:ascii="Cambria" w:eastAsia="Times New Roman" w:hAnsi="Cambria"/>
                <w:sz w:val="20"/>
                <w:szCs w:val="20"/>
              </w:rPr>
              <w:t>Nueva solicitud de aclaración</w:t>
            </w:r>
          </w:p>
        </w:tc>
        <w:tc>
          <w:tcPr>
            <w:tcW w:w="846" w:type="pct"/>
          </w:tcPr>
          <w:p w14:paraId="18755C49"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szCs w:val="20"/>
              </w:rPr>
              <w:t xml:space="preserve">No existe una guía explícita sobre la diferencia aceptable entre las estimaciones de los observadores y las estimaciones de las granjas para la introducción en jaula y las segregaciones previas a la liberación (como la hay para las transferencias). </w:t>
            </w:r>
          </w:p>
          <w:p w14:paraId="6962183C" w14:textId="77777777" w:rsidR="00B76369" w:rsidRPr="00F0379B" w:rsidRDefault="00B76369" w:rsidP="00B76369">
            <w:pPr>
              <w:spacing w:before="60" w:after="60" w:line="240" w:lineRule="auto"/>
              <w:ind w:left="102" w:right="102"/>
              <w:rPr>
                <w:rFonts w:ascii="Cambria" w:hAnsi="Cambria"/>
                <w:sz w:val="20"/>
                <w:szCs w:val="20"/>
              </w:rPr>
            </w:pPr>
          </w:p>
          <w:p w14:paraId="7348AD14"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szCs w:val="20"/>
              </w:rPr>
              <w:t xml:space="preserve">¿Debería el consorcio considerar cualquier diferencia superior al 10 % como incoherente con sus propias observaciones y, por lo tanto, no firmar la declaración de introducción en jaula, el eBCD o la orden de liberación, de conformidad con el párrafo </w:t>
            </w:r>
            <w:proofErr w:type="spellStart"/>
            <w:r w:rsidRPr="00F0379B">
              <w:rPr>
                <w:rFonts w:ascii="Cambria" w:eastAsia="Times New Roman" w:hAnsi="Cambria"/>
                <w:sz w:val="20"/>
                <w:szCs w:val="20"/>
              </w:rPr>
              <w:t>xx</w:t>
            </w:r>
            <w:proofErr w:type="spellEnd"/>
            <w:r w:rsidRPr="00F0379B">
              <w:rPr>
                <w:rFonts w:ascii="Cambria" w:eastAsia="Times New Roman" w:hAnsi="Cambria"/>
                <w:sz w:val="20"/>
                <w:szCs w:val="20"/>
              </w:rPr>
              <w:t xml:space="preserve"> del anexo 6?</w:t>
            </w:r>
          </w:p>
        </w:tc>
        <w:tc>
          <w:tcPr>
            <w:tcW w:w="731" w:type="pct"/>
          </w:tcPr>
          <w:p w14:paraId="4624DF10"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 xml:space="preserve">El observador no debería firmar la declaración de introducción en jaula ni el eBCD cuando la diferencia es superior al 10 %.  </w:t>
            </w:r>
          </w:p>
          <w:p w14:paraId="0F8E39F7"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Además, la orden de liberación no debería firmarse si la diferencia es superior al 10 %.</w:t>
            </w:r>
          </w:p>
          <w:p w14:paraId="5E526157" w14:textId="77777777" w:rsidR="00B76369" w:rsidRPr="00F0379B" w:rsidRDefault="00B76369" w:rsidP="00B76369">
            <w:pPr>
              <w:spacing w:before="60" w:after="60" w:line="240" w:lineRule="auto"/>
              <w:ind w:left="102" w:right="102"/>
              <w:rPr>
                <w:rFonts w:ascii="Cambria" w:hAnsi="Cambria"/>
                <w:sz w:val="20"/>
                <w:szCs w:val="20"/>
              </w:rPr>
            </w:pPr>
          </w:p>
        </w:tc>
        <w:tc>
          <w:tcPr>
            <w:tcW w:w="793" w:type="pct"/>
          </w:tcPr>
          <w:p w14:paraId="196D31AE" w14:textId="77777777" w:rsidR="00B76369" w:rsidRPr="00F0379B" w:rsidRDefault="00B76369" w:rsidP="00B76369">
            <w:pPr>
              <w:spacing w:before="60" w:after="60" w:line="240" w:lineRule="auto"/>
              <w:ind w:left="102" w:right="102"/>
              <w:rPr>
                <w:rFonts w:ascii="Cambria" w:eastAsia="Times New Roman" w:hAnsi="Cambria"/>
                <w:sz w:val="20"/>
              </w:rPr>
            </w:pPr>
            <w:r w:rsidRPr="00F0379B">
              <w:rPr>
                <w:rFonts w:ascii="Cambria" w:eastAsia="Times New Roman" w:hAnsi="Cambria"/>
                <w:sz w:val="20"/>
              </w:rPr>
              <w:t>El ROP tiene la función de analizar la grabación de vídeo.  Las posibles diferencias superiores al 10 % son objeto de investigación por parte de las autoridades de la CPC, tal y como se establece en los párrafos 171 y 172. El ROP debería tener esto en cuenta, al igual que en el caso de la ITD. La operación en cuestión no se ajusta a las medidas de conservación y ordenación de ICCAT, por lo que en tales casos no deberían firmarse los documentos.</w:t>
            </w:r>
          </w:p>
        </w:tc>
        <w:tc>
          <w:tcPr>
            <w:tcW w:w="844" w:type="pct"/>
          </w:tcPr>
          <w:p w14:paraId="0D17A958" w14:textId="77777777" w:rsidR="00B76369" w:rsidRPr="00F0379B" w:rsidRDefault="00B76369" w:rsidP="00B76369">
            <w:pPr>
              <w:spacing w:before="60" w:after="60" w:line="240" w:lineRule="auto"/>
              <w:ind w:left="102" w:right="102"/>
              <w:rPr>
                <w:rFonts w:ascii="Cambria" w:eastAsia="Times New Roman" w:hAnsi="Cambria"/>
                <w:b/>
                <w:bCs/>
                <w:sz w:val="20"/>
              </w:rPr>
            </w:pPr>
            <w:r w:rsidRPr="00F0379B">
              <w:rPr>
                <w:rFonts w:ascii="Cambria" w:eastAsia="Times New Roman" w:hAnsi="Cambria"/>
                <w:b/>
                <w:bCs/>
                <w:sz w:val="20"/>
              </w:rPr>
              <w:t xml:space="preserve">Comentarios a la respuesta de la UE: </w:t>
            </w:r>
            <w:r w:rsidRPr="00F0379B">
              <w:rPr>
                <w:rFonts w:ascii="Cambria" w:eastAsia="Times New Roman" w:hAnsi="Cambria"/>
                <w:sz w:val="20"/>
              </w:rPr>
              <w:t>Esto se refiere a la revisión de vídeos con cámaras estereoscópicas por parte de las autoridades de la CPC, no del ROP. Sin embargo, estamos de acuerdo con seguir aplicando el mismo principio.</w:t>
            </w:r>
          </w:p>
        </w:tc>
        <w:tc>
          <w:tcPr>
            <w:tcW w:w="844" w:type="pct"/>
          </w:tcPr>
          <w:p w14:paraId="5FC8533C" w14:textId="77777777" w:rsidR="00B76369" w:rsidRPr="00F0379B" w:rsidRDefault="00B76369" w:rsidP="00B76369">
            <w:pPr>
              <w:spacing w:before="60" w:after="60" w:line="240" w:lineRule="auto"/>
              <w:ind w:left="102" w:right="102"/>
              <w:rPr>
                <w:rFonts w:ascii="Cambria" w:eastAsia="Times New Roman" w:hAnsi="Cambria"/>
                <w:sz w:val="20"/>
              </w:rPr>
            </w:pPr>
            <w:r w:rsidRPr="00F0379B">
              <w:rPr>
                <w:rFonts w:ascii="Cambria" w:eastAsia="Times New Roman" w:hAnsi="Cambria"/>
                <w:sz w:val="20"/>
              </w:rPr>
              <w:t>Si la diferencia entre las estimaciones del ROP y las estimaciones de la granja para la introducción en jaula, antes de las segregaciones de liberación, es superior al 10 %, el ROP no debería firmar la declaración de introducción en jaulas, el eBCD ni la orden de liberación.</w:t>
            </w:r>
          </w:p>
        </w:tc>
      </w:tr>
      <w:tr w:rsidR="00B76369" w:rsidRPr="00F0379B" w14:paraId="56686CDA" w14:textId="77777777" w:rsidTr="00860AE7">
        <w:trPr>
          <w:cantSplit/>
          <w:trHeight w:val="317"/>
        </w:trPr>
        <w:tc>
          <w:tcPr>
            <w:tcW w:w="541" w:type="pct"/>
            <w:vAlign w:val="center"/>
          </w:tcPr>
          <w:p w14:paraId="363B28A3" w14:textId="77777777" w:rsidR="00B76369" w:rsidRPr="00F0379B" w:rsidRDefault="00B76369" w:rsidP="00B76369">
            <w:pPr>
              <w:spacing w:line="233" w:lineRule="exact"/>
              <w:ind w:left="102"/>
              <w:rPr>
                <w:rFonts w:ascii="Cambria" w:eastAsia="Times New Roman" w:hAnsi="Cambria"/>
                <w:sz w:val="20"/>
                <w:szCs w:val="20"/>
              </w:rPr>
            </w:pPr>
            <w:r w:rsidRPr="00F0379B">
              <w:rPr>
                <w:rFonts w:ascii="Cambria" w:eastAsia="Times New Roman" w:hAnsi="Cambria"/>
                <w:sz w:val="20"/>
                <w:szCs w:val="20"/>
              </w:rPr>
              <w:t>Operaciones de segregación previas a la liberación</w:t>
            </w:r>
          </w:p>
          <w:p w14:paraId="1692D307" w14:textId="77777777" w:rsidR="00B76369" w:rsidRPr="00F0379B" w:rsidRDefault="00B76369" w:rsidP="00B76369">
            <w:pPr>
              <w:spacing w:line="233" w:lineRule="exact"/>
              <w:ind w:left="102"/>
              <w:rPr>
                <w:rFonts w:ascii="Cambria" w:eastAsia="Times New Roman" w:hAnsi="Cambria"/>
                <w:sz w:val="20"/>
                <w:szCs w:val="20"/>
                <w:lang w:val="pt-BR"/>
              </w:rPr>
            </w:pPr>
            <w:hyperlink r:id="rId258" w:history="1">
              <w:r w:rsidRPr="00F0379B">
                <w:rPr>
                  <w:rFonts w:ascii="Cambria" w:eastAsia="Times New Roman" w:hAnsi="Cambria"/>
                  <w:color w:val="0563C1" w:themeColor="hyperlink"/>
                  <w:sz w:val="20"/>
                  <w:szCs w:val="20"/>
                  <w:lang w:val="pt-BR"/>
                </w:rPr>
                <w:t>Rec. 25-04</w:t>
              </w:r>
            </w:hyperlink>
            <w:r w:rsidRPr="00F0379B">
              <w:rPr>
                <w:rFonts w:ascii="Cambria" w:eastAsia="Times New Roman" w:hAnsi="Cambria"/>
                <w:sz w:val="20"/>
                <w:szCs w:val="20"/>
                <w:lang w:val="pt-BR"/>
              </w:rPr>
              <w:t xml:space="preserve">, Anexo 6, </w:t>
            </w:r>
            <w:proofErr w:type="spellStart"/>
            <w:r w:rsidRPr="00F0379B">
              <w:rPr>
                <w:rFonts w:ascii="Cambria" w:eastAsia="Times New Roman" w:hAnsi="Cambria"/>
                <w:sz w:val="20"/>
                <w:szCs w:val="20"/>
                <w:lang w:val="pt-BR"/>
              </w:rPr>
              <w:t>párr</w:t>
            </w:r>
            <w:proofErr w:type="spellEnd"/>
            <w:r w:rsidRPr="00F0379B">
              <w:rPr>
                <w:rFonts w:ascii="Cambria" w:eastAsia="Times New Roman" w:hAnsi="Cambria"/>
                <w:sz w:val="20"/>
                <w:szCs w:val="20"/>
                <w:lang w:val="pt-BR"/>
              </w:rPr>
              <w:t>. </w:t>
            </w:r>
            <w:proofErr w:type="spellStart"/>
            <w:r w:rsidRPr="00F0379B">
              <w:rPr>
                <w:rFonts w:ascii="Cambria" w:eastAsia="Times New Roman" w:hAnsi="Cambria"/>
                <w:sz w:val="20"/>
                <w:szCs w:val="20"/>
                <w:lang w:val="pt-BR"/>
              </w:rPr>
              <w:t>xxii</w:t>
            </w:r>
            <w:proofErr w:type="spellEnd"/>
          </w:p>
          <w:p w14:paraId="19B676E8" w14:textId="77777777" w:rsidR="00B76369" w:rsidRPr="00F0379B" w:rsidRDefault="00B76369" w:rsidP="00B76369">
            <w:pPr>
              <w:spacing w:line="233" w:lineRule="exact"/>
              <w:ind w:left="102" w:right="150"/>
              <w:rPr>
                <w:rFonts w:ascii="Cambria" w:hAnsi="Cambria"/>
                <w:sz w:val="20"/>
                <w:szCs w:val="20"/>
              </w:rPr>
            </w:pPr>
            <w:r w:rsidRPr="00F0379B">
              <w:rPr>
                <w:rFonts w:ascii="Cambria" w:eastAsia="Times New Roman" w:hAnsi="Cambria"/>
                <w:sz w:val="20"/>
                <w:szCs w:val="20"/>
                <w:lang w:val="pt-BR"/>
              </w:rPr>
              <w:t xml:space="preserve">Anexo 10, </w:t>
            </w:r>
            <w:proofErr w:type="spellStart"/>
            <w:r w:rsidRPr="00F0379B">
              <w:rPr>
                <w:rFonts w:ascii="Cambria" w:eastAsia="Times New Roman" w:hAnsi="Cambria"/>
                <w:sz w:val="20"/>
                <w:szCs w:val="20"/>
                <w:lang w:val="pt-BR"/>
              </w:rPr>
              <w:t>párr</w:t>
            </w:r>
            <w:proofErr w:type="spellEnd"/>
            <w:r w:rsidRPr="00F0379B">
              <w:rPr>
                <w:rFonts w:ascii="Cambria" w:eastAsia="Times New Roman" w:hAnsi="Cambria"/>
                <w:sz w:val="20"/>
                <w:szCs w:val="20"/>
                <w:lang w:val="pt-BR"/>
              </w:rPr>
              <w:t xml:space="preserve">. </w:t>
            </w:r>
            <w:r w:rsidRPr="00F0379B">
              <w:rPr>
                <w:rFonts w:ascii="Cambria" w:eastAsia="Times New Roman" w:hAnsi="Cambria"/>
                <w:sz w:val="20"/>
                <w:szCs w:val="20"/>
              </w:rPr>
              <w:t>3</w:t>
            </w:r>
          </w:p>
        </w:tc>
        <w:tc>
          <w:tcPr>
            <w:tcW w:w="400" w:type="pct"/>
            <w:vAlign w:val="center"/>
          </w:tcPr>
          <w:p w14:paraId="07FC6113" w14:textId="77777777" w:rsidR="00B76369" w:rsidRPr="00F0379B" w:rsidRDefault="00B76369" w:rsidP="00B76369">
            <w:pPr>
              <w:spacing w:before="60" w:after="60" w:line="240" w:lineRule="auto"/>
              <w:ind w:left="102" w:right="102"/>
              <w:jc w:val="center"/>
              <w:rPr>
                <w:rFonts w:ascii="Cambria" w:hAnsi="Cambria"/>
                <w:sz w:val="20"/>
                <w:szCs w:val="20"/>
              </w:rPr>
            </w:pPr>
            <w:r w:rsidRPr="00F0379B">
              <w:rPr>
                <w:rFonts w:ascii="Cambria" w:eastAsia="Times New Roman" w:hAnsi="Cambria"/>
                <w:sz w:val="20"/>
                <w:szCs w:val="20"/>
              </w:rPr>
              <w:t>Nueva solicitud de aclaración</w:t>
            </w:r>
          </w:p>
        </w:tc>
        <w:tc>
          <w:tcPr>
            <w:tcW w:w="846" w:type="pct"/>
            <w:vAlign w:val="center"/>
          </w:tcPr>
          <w:p w14:paraId="7824D19E"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szCs w:val="20"/>
              </w:rPr>
              <w:t xml:space="preserve">Las segregaciones previas a la liberación suelen implicar varias operaciones de ida y vuelta entre la jaula donante y la jaula de remolque. </w:t>
            </w:r>
          </w:p>
          <w:p w14:paraId="378A91AF" w14:textId="77777777" w:rsidR="00B76369" w:rsidRPr="00F0379B" w:rsidRDefault="00B76369" w:rsidP="00B76369">
            <w:pPr>
              <w:spacing w:before="60" w:after="60" w:line="240" w:lineRule="auto"/>
              <w:ind w:left="102" w:right="102"/>
              <w:rPr>
                <w:rFonts w:ascii="Cambria" w:hAnsi="Cambria"/>
                <w:sz w:val="20"/>
                <w:szCs w:val="20"/>
              </w:rPr>
            </w:pPr>
          </w:p>
          <w:p w14:paraId="5A03C701"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szCs w:val="20"/>
              </w:rPr>
              <w:t>¿Debería el observador considerar, para ser coherente con sus observaciones, que el número final calculado en la jaula de remolque, teniendo en cuenta las entradas y salidas durante el transcurso de las operaciones de segregación previas a la liberación, es el número que debe compararse con la cantidad registrada en el informe de liberación?</w:t>
            </w:r>
          </w:p>
        </w:tc>
        <w:tc>
          <w:tcPr>
            <w:tcW w:w="731" w:type="pct"/>
            <w:vAlign w:val="center"/>
          </w:tcPr>
          <w:p w14:paraId="5DF668CC"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La primera operación de introducción en jaula debería completarse y la declaración de introducción en jaula/eBCD deberían finalizarse/firmarse.</w:t>
            </w:r>
          </w:p>
          <w:p w14:paraId="511F487A"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 xml:space="preserve">A continuación, basándose en los recuentos finales, se deberían completar las operaciones de segregación previas a la liberación y las operaciones de liberación.  </w:t>
            </w:r>
          </w:p>
          <w:p w14:paraId="382C5F84"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Se considera que, al aplicar este procedimiento, no habrá ninguna confusión sobre los números/recuentos.</w:t>
            </w:r>
          </w:p>
        </w:tc>
        <w:tc>
          <w:tcPr>
            <w:tcW w:w="793" w:type="pct"/>
            <w:vAlign w:val="center"/>
          </w:tcPr>
          <w:p w14:paraId="195913B6"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 xml:space="preserve">Sí, las cifras relativas a la jaula de transporte son las que deben utilizarse para el informe de liberación. </w:t>
            </w:r>
          </w:p>
          <w:p w14:paraId="0955EEE8" w14:textId="77777777" w:rsidR="00B76369" w:rsidRPr="00F0379B" w:rsidRDefault="00B76369" w:rsidP="00B76369">
            <w:pPr>
              <w:spacing w:before="60" w:after="60" w:line="240" w:lineRule="auto"/>
              <w:ind w:left="102" w:right="102"/>
              <w:rPr>
                <w:rFonts w:ascii="Cambria" w:eastAsia="Times New Roman" w:hAnsi="Cambria"/>
                <w:sz w:val="20"/>
              </w:rPr>
            </w:pPr>
            <w:r w:rsidRPr="00F0379B">
              <w:rPr>
                <w:rFonts w:ascii="Cambria" w:eastAsia="Times New Roman" w:hAnsi="Cambria"/>
                <w:sz w:val="20"/>
              </w:rPr>
              <w:t xml:space="preserve">(Dado que el párrafo 5 del anexo 10 no establece que la liberación del atún rojo de la jaula de transporte en el mar deba realizarse de conformidad con las normas mínimas establecidas en el anexo 8, el número que se comparará será el número final en la jaula de remolque. Es muy probable que la grabación de la operación de liberación no permita obtener cifras precisas. </w:t>
            </w:r>
          </w:p>
          <w:p w14:paraId="40BB0031" w14:textId="77777777" w:rsidR="00B76369" w:rsidRPr="00F0379B" w:rsidRDefault="00B76369" w:rsidP="00B76369">
            <w:pPr>
              <w:spacing w:before="60" w:after="60" w:line="240" w:lineRule="auto"/>
              <w:ind w:left="102" w:right="102"/>
              <w:rPr>
                <w:rFonts w:ascii="Cambria" w:eastAsia="Times New Roman" w:hAnsi="Cambria"/>
                <w:sz w:val="20"/>
              </w:rPr>
            </w:pPr>
          </w:p>
        </w:tc>
        <w:tc>
          <w:tcPr>
            <w:tcW w:w="844" w:type="pct"/>
          </w:tcPr>
          <w:p w14:paraId="61031D55" w14:textId="77777777" w:rsidR="00B76369" w:rsidRPr="00F0379B" w:rsidRDefault="00B76369" w:rsidP="00B76369">
            <w:pPr>
              <w:spacing w:before="60" w:after="60" w:line="240" w:lineRule="auto"/>
              <w:ind w:left="102" w:right="102"/>
              <w:rPr>
                <w:rFonts w:ascii="Cambria" w:eastAsia="Times New Roman" w:hAnsi="Cambria"/>
                <w:sz w:val="20"/>
              </w:rPr>
            </w:pPr>
            <w:r w:rsidRPr="00F0379B">
              <w:rPr>
                <w:rFonts w:ascii="Cambria" w:eastAsia="Times New Roman" w:hAnsi="Cambria"/>
                <w:b/>
                <w:bCs/>
                <w:sz w:val="20"/>
              </w:rPr>
              <w:t xml:space="preserve">Comentarios a la respuesta de la UE: </w:t>
            </w:r>
            <w:r w:rsidRPr="00F0379B">
              <w:rPr>
                <w:rFonts w:ascii="Cambria" w:eastAsia="Times New Roman" w:hAnsi="Cambria"/>
                <w:sz w:val="20"/>
              </w:rPr>
              <w:t>No estamos seguros de que esto haya respondido a la pregunta. La pregunta es saber si la comparación de las cifras debería basarse en el importe final estimado, en los distintos movimientos hacia adelante y hacia atrás, o en cada operación por separado.</w:t>
            </w:r>
          </w:p>
          <w:p w14:paraId="4F89354C" w14:textId="77777777" w:rsidR="00B76369" w:rsidRPr="00F0379B" w:rsidRDefault="00B76369" w:rsidP="00B76369">
            <w:pPr>
              <w:spacing w:before="60" w:after="60" w:line="240" w:lineRule="auto"/>
              <w:ind w:left="102" w:right="102"/>
              <w:rPr>
                <w:rFonts w:ascii="Cambria" w:eastAsia="Times New Roman" w:hAnsi="Cambria"/>
                <w:sz w:val="20"/>
              </w:rPr>
            </w:pPr>
          </w:p>
        </w:tc>
        <w:tc>
          <w:tcPr>
            <w:tcW w:w="844" w:type="pct"/>
          </w:tcPr>
          <w:p w14:paraId="5DCE8245" w14:textId="77777777" w:rsidR="00B76369" w:rsidRPr="00F0379B" w:rsidRDefault="00B76369" w:rsidP="00B76369">
            <w:pPr>
              <w:spacing w:before="60" w:after="60" w:line="240" w:lineRule="auto"/>
              <w:ind w:left="102" w:right="102"/>
              <w:rPr>
                <w:rFonts w:ascii="Cambria" w:eastAsia="Times New Roman" w:hAnsi="Cambria"/>
                <w:sz w:val="20"/>
              </w:rPr>
            </w:pPr>
            <w:r w:rsidRPr="00F0379B">
              <w:rPr>
                <w:rFonts w:ascii="Cambria" w:eastAsia="Times New Roman" w:hAnsi="Cambria"/>
                <w:sz w:val="20"/>
              </w:rPr>
              <w:t>La respuesta a la pregunta planteada por el Consorcio es «sí».</w:t>
            </w:r>
          </w:p>
        </w:tc>
      </w:tr>
      <w:tr w:rsidR="00B76369" w:rsidRPr="00F0379B" w14:paraId="7F47C2CD" w14:textId="77777777" w:rsidTr="00860AE7">
        <w:trPr>
          <w:cantSplit/>
          <w:trHeight w:val="849"/>
        </w:trPr>
        <w:tc>
          <w:tcPr>
            <w:tcW w:w="541" w:type="pct"/>
            <w:vAlign w:val="center"/>
          </w:tcPr>
          <w:p w14:paraId="7F24D496" w14:textId="77777777" w:rsidR="00B76369" w:rsidRPr="00F0379B" w:rsidRDefault="00B76369" w:rsidP="00B76369">
            <w:pPr>
              <w:spacing w:line="233" w:lineRule="exact"/>
              <w:ind w:left="102"/>
              <w:rPr>
                <w:rFonts w:ascii="Cambria" w:eastAsia="Times New Roman" w:hAnsi="Cambria"/>
                <w:sz w:val="20"/>
                <w:szCs w:val="20"/>
              </w:rPr>
            </w:pPr>
            <w:r w:rsidRPr="00F0379B">
              <w:rPr>
                <w:rFonts w:ascii="Cambria" w:eastAsia="Times New Roman" w:hAnsi="Cambria"/>
                <w:sz w:val="20"/>
                <w:szCs w:val="20"/>
              </w:rPr>
              <w:t>Requisitos de consignación de información en el cuaderno de pesca</w:t>
            </w:r>
          </w:p>
          <w:p w14:paraId="42FC8630" w14:textId="77777777" w:rsidR="00B76369" w:rsidRPr="00F0379B" w:rsidRDefault="00B76369" w:rsidP="00B76369">
            <w:pPr>
              <w:spacing w:line="233" w:lineRule="exact"/>
              <w:ind w:left="102"/>
              <w:rPr>
                <w:rFonts w:ascii="Cambria" w:eastAsia="Times New Roman" w:hAnsi="Cambria"/>
                <w:sz w:val="20"/>
                <w:szCs w:val="20"/>
              </w:rPr>
            </w:pPr>
            <w:hyperlink r:id="rId259" w:history="1">
              <w:r w:rsidRPr="00F0379B">
                <w:rPr>
                  <w:rFonts w:ascii="Cambria" w:eastAsia="Times New Roman" w:hAnsi="Cambria"/>
                  <w:color w:val="0563C1" w:themeColor="hyperlink"/>
                  <w:sz w:val="20"/>
                  <w:szCs w:val="20"/>
                </w:rPr>
                <w:t>Rec.</w:t>
              </w:r>
            </w:hyperlink>
            <w:hyperlink r:id="rId260" w:history="1">
              <w:r w:rsidRPr="00F0379B">
                <w:rPr>
                  <w:rFonts w:ascii="Cambria" w:eastAsia="Times New Roman" w:hAnsi="Cambria"/>
                  <w:color w:val="0563C1" w:themeColor="hyperlink"/>
                  <w:sz w:val="20"/>
                  <w:szCs w:val="20"/>
                </w:rPr>
                <w:t xml:space="preserve"> 25-04</w:t>
              </w:r>
            </w:hyperlink>
            <w:r w:rsidRPr="00F0379B">
              <w:rPr>
                <w:rFonts w:ascii="Cambria" w:eastAsia="Times New Roman" w:hAnsi="Cambria"/>
                <w:sz w:val="20"/>
                <w:szCs w:val="20"/>
              </w:rPr>
              <w:t xml:space="preserve">, párr. 74 y Anexo 2 Especificaciones mínimas para los cuadernos de pesca, párr. 2 </w:t>
            </w:r>
          </w:p>
        </w:tc>
        <w:tc>
          <w:tcPr>
            <w:tcW w:w="400" w:type="pct"/>
            <w:vAlign w:val="center"/>
          </w:tcPr>
          <w:p w14:paraId="6CB4B77A" w14:textId="77777777" w:rsidR="00B76369" w:rsidRPr="00F0379B" w:rsidRDefault="00B76369" w:rsidP="00B76369">
            <w:pPr>
              <w:spacing w:before="60" w:after="60" w:line="240" w:lineRule="auto"/>
              <w:ind w:left="102" w:right="102"/>
              <w:jc w:val="center"/>
              <w:rPr>
                <w:rFonts w:ascii="Cambria" w:hAnsi="Cambria"/>
                <w:sz w:val="20"/>
                <w:szCs w:val="20"/>
              </w:rPr>
            </w:pPr>
            <w:r w:rsidRPr="00F0379B">
              <w:rPr>
                <w:rFonts w:ascii="Cambria" w:eastAsia="Times New Roman" w:hAnsi="Cambria"/>
                <w:sz w:val="20"/>
                <w:szCs w:val="20"/>
              </w:rPr>
              <w:t>Nueva solicitud de aclaración</w:t>
            </w:r>
          </w:p>
        </w:tc>
        <w:tc>
          <w:tcPr>
            <w:tcW w:w="846" w:type="pct"/>
            <w:vAlign w:val="center"/>
          </w:tcPr>
          <w:p w14:paraId="6BEFAD91" w14:textId="77777777" w:rsidR="00B76369" w:rsidRPr="00F0379B" w:rsidRDefault="00B76369" w:rsidP="00B76369">
            <w:pPr>
              <w:spacing w:before="60" w:after="60" w:line="240" w:lineRule="auto"/>
              <w:ind w:left="102" w:right="102"/>
              <w:rPr>
                <w:rFonts w:ascii="Cambria" w:eastAsia="Times New Roman" w:hAnsi="Cambria"/>
                <w:sz w:val="20"/>
                <w:szCs w:val="20"/>
              </w:rPr>
            </w:pPr>
            <w:r w:rsidRPr="00F0379B">
              <w:rPr>
                <w:rFonts w:ascii="Cambria" w:eastAsia="Times New Roman" w:hAnsi="Cambria"/>
                <w:sz w:val="20"/>
                <w:szCs w:val="20"/>
              </w:rPr>
              <w:t xml:space="preserve">El anexo 2 exige que el cuaderno de pesca se complete cada día antes de medianoche. </w:t>
            </w:r>
          </w:p>
          <w:p w14:paraId="64E28364" w14:textId="77777777" w:rsidR="00B76369" w:rsidRPr="00F0379B" w:rsidRDefault="00B76369" w:rsidP="00B76369">
            <w:pPr>
              <w:spacing w:before="60" w:after="60" w:line="240" w:lineRule="auto"/>
              <w:ind w:left="102" w:right="102"/>
              <w:rPr>
                <w:rFonts w:ascii="Cambria" w:eastAsia="Times New Roman" w:hAnsi="Cambria"/>
                <w:sz w:val="20"/>
                <w:szCs w:val="20"/>
              </w:rPr>
            </w:pPr>
          </w:p>
          <w:p w14:paraId="60D78CEF"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szCs w:val="20"/>
              </w:rPr>
              <w:t>Teniendo en cuenta que es posible que los detalles de las operaciones de pesca no se conozcan antes de la operación de transferencia posterior, que puede tener lugar al día siguiente o días posteriores, ¿debe el observador considerar que los registros del cuaderno de pesca correspondientes a las operaciones de pesca deben completarse antes de la medianoche del mismo día en que finaliza la serie de operaciones, es decir, cuando finaliza la transferencia?</w:t>
            </w:r>
          </w:p>
        </w:tc>
        <w:tc>
          <w:tcPr>
            <w:tcW w:w="731" w:type="pct"/>
          </w:tcPr>
          <w:p w14:paraId="4846A575"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En tales circunstancias, cuando los datos pertinentes solo estén disponibles en una fase posterior, se debería permitir al operador del buque y al observador actualizar o corregir los registros en consecuencia, siempre que dichas modificaciones estén debidamente justificadas y documentadas.</w:t>
            </w:r>
          </w:p>
        </w:tc>
        <w:tc>
          <w:tcPr>
            <w:tcW w:w="793" w:type="pct"/>
          </w:tcPr>
          <w:p w14:paraId="59466447" w14:textId="77777777" w:rsidR="00B76369" w:rsidRPr="00F0379B" w:rsidRDefault="00B76369" w:rsidP="00B76369">
            <w:pPr>
              <w:spacing w:before="60" w:after="60" w:line="240" w:lineRule="auto"/>
              <w:ind w:right="102"/>
              <w:rPr>
                <w:rFonts w:ascii="Cambria" w:hAnsi="Cambria"/>
                <w:color w:val="FF0000"/>
                <w:sz w:val="20"/>
                <w:szCs w:val="20"/>
              </w:rPr>
            </w:pPr>
            <w:r w:rsidRPr="00F0379B">
              <w:rPr>
                <w:rFonts w:ascii="Cambria" w:eastAsia="Times New Roman" w:hAnsi="Cambria"/>
                <w:sz w:val="20"/>
              </w:rPr>
              <w:t>Para cumplir con la obligación de comunicación de la información antes de la medianoche, la declaración de las capturas en el cuaderno de pesca debería basarse en estimaciones realizadas por el operador.</w:t>
            </w:r>
          </w:p>
        </w:tc>
        <w:tc>
          <w:tcPr>
            <w:tcW w:w="844" w:type="pct"/>
          </w:tcPr>
          <w:p w14:paraId="7C81CB69" w14:textId="77777777" w:rsidR="00B76369" w:rsidRPr="00F0379B" w:rsidRDefault="00B76369" w:rsidP="00B76369">
            <w:pPr>
              <w:spacing w:before="60" w:after="60" w:line="240" w:lineRule="auto"/>
              <w:ind w:right="102"/>
              <w:rPr>
                <w:rFonts w:ascii="Cambria" w:eastAsia="Times New Roman" w:hAnsi="Cambria"/>
                <w:sz w:val="20"/>
              </w:rPr>
            </w:pPr>
            <w:r w:rsidRPr="00F0379B">
              <w:rPr>
                <w:rFonts w:ascii="Cambria" w:eastAsia="Times New Roman" w:hAnsi="Cambria"/>
                <w:b/>
                <w:bCs/>
                <w:sz w:val="20"/>
              </w:rPr>
              <w:t xml:space="preserve">Comentarios a la respuesta de la UE: </w:t>
            </w:r>
            <w:r w:rsidRPr="00F0379B">
              <w:rPr>
                <w:rFonts w:ascii="Cambria" w:eastAsia="Times New Roman" w:hAnsi="Cambria"/>
                <w:sz w:val="20"/>
              </w:rPr>
              <w:t>El problema es que estas estimaciones no siempre están disponibles hasta el día siguiente, lo que justifica esta aclaración.</w:t>
            </w:r>
          </w:p>
          <w:p w14:paraId="1A657043" w14:textId="77777777" w:rsidR="00B76369" w:rsidRPr="00F0379B" w:rsidRDefault="00B76369" w:rsidP="00B76369">
            <w:pPr>
              <w:spacing w:before="60" w:after="60" w:line="240" w:lineRule="auto"/>
              <w:ind w:right="102"/>
              <w:rPr>
                <w:rFonts w:ascii="Cambria" w:eastAsia="Times New Roman" w:hAnsi="Cambria"/>
                <w:b/>
                <w:bCs/>
                <w:sz w:val="20"/>
              </w:rPr>
            </w:pPr>
          </w:p>
        </w:tc>
        <w:tc>
          <w:tcPr>
            <w:tcW w:w="844" w:type="pct"/>
          </w:tcPr>
          <w:p w14:paraId="40906A38" w14:textId="77777777" w:rsidR="00B76369" w:rsidRPr="00F0379B" w:rsidRDefault="00B76369" w:rsidP="00B76369">
            <w:pPr>
              <w:spacing w:before="60" w:after="60" w:line="240" w:lineRule="auto"/>
              <w:ind w:right="102"/>
              <w:rPr>
                <w:rFonts w:ascii="Cambria" w:eastAsia="Times New Roman" w:hAnsi="Cambria"/>
                <w:sz w:val="20"/>
              </w:rPr>
            </w:pPr>
            <w:r w:rsidRPr="00F0379B">
              <w:rPr>
                <w:rFonts w:ascii="Cambria" w:eastAsia="Times New Roman" w:hAnsi="Cambria"/>
                <w:sz w:val="20"/>
              </w:rPr>
              <w:t>De conformidad con la Recomendación 25-04, párrafo 112, el patrón del buque deberá completar el cuaderno de pesca con el número y el peso estimado del atún rojo que se va a transferir antes de la medianoche del día de la pesca. Estas cifras podrán modificarse tras el examen de las grabaciones de vídeo de la primera transferencia.</w:t>
            </w:r>
          </w:p>
        </w:tc>
      </w:tr>
      <w:tr w:rsidR="00B76369" w:rsidRPr="00F0379B" w14:paraId="363728A6" w14:textId="77777777" w:rsidTr="00860AE7">
        <w:trPr>
          <w:cantSplit/>
          <w:trHeight w:val="849"/>
        </w:trPr>
        <w:tc>
          <w:tcPr>
            <w:tcW w:w="541" w:type="pct"/>
            <w:vAlign w:val="center"/>
          </w:tcPr>
          <w:p w14:paraId="7F093837" w14:textId="77777777" w:rsidR="00B76369" w:rsidRPr="00F0379B" w:rsidRDefault="00B76369" w:rsidP="00B76369">
            <w:pPr>
              <w:spacing w:line="233" w:lineRule="exact"/>
              <w:ind w:left="102"/>
              <w:rPr>
                <w:rFonts w:ascii="Cambria" w:eastAsia="Times New Roman" w:hAnsi="Cambria"/>
                <w:sz w:val="20"/>
                <w:szCs w:val="20"/>
              </w:rPr>
            </w:pPr>
            <w:r w:rsidRPr="00F0379B">
              <w:rPr>
                <w:rFonts w:ascii="Cambria" w:eastAsia="Times New Roman" w:hAnsi="Cambria"/>
                <w:sz w:val="20"/>
                <w:szCs w:val="20"/>
              </w:rPr>
              <w:t>Transferencias inversas desde la almadraba a la jaula.</w:t>
            </w:r>
          </w:p>
          <w:p w14:paraId="1FBE9F07" w14:textId="77777777" w:rsidR="00B76369" w:rsidRPr="00F0379B" w:rsidRDefault="00B76369" w:rsidP="00B76369">
            <w:pPr>
              <w:spacing w:line="233" w:lineRule="exact"/>
              <w:ind w:left="102"/>
              <w:rPr>
                <w:rFonts w:ascii="Cambria" w:eastAsia="Times New Roman" w:hAnsi="Cambria"/>
                <w:sz w:val="20"/>
                <w:szCs w:val="20"/>
                <w:lang w:val="pt-PT"/>
              </w:rPr>
            </w:pPr>
            <w:hyperlink r:id="rId261" w:history="1">
              <w:r w:rsidRPr="00F0379B">
                <w:rPr>
                  <w:rFonts w:ascii="Cambria" w:eastAsia="Times New Roman" w:hAnsi="Cambria"/>
                  <w:color w:val="0563C1" w:themeColor="hyperlink"/>
                  <w:sz w:val="20"/>
                  <w:szCs w:val="20"/>
                  <w:lang w:val="pt-PT"/>
                </w:rPr>
                <w:t>Rec. 25-04</w:t>
              </w:r>
            </w:hyperlink>
            <w:r w:rsidRPr="00F0379B">
              <w:rPr>
                <w:rFonts w:ascii="Cambria" w:eastAsia="Times New Roman" w:hAnsi="Cambria"/>
                <w:sz w:val="20"/>
                <w:szCs w:val="20"/>
                <w:lang w:val="pt-PT"/>
              </w:rPr>
              <w:t>, párr. 2i segundo punto</w:t>
            </w:r>
          </w:p>
          <w:p w14:paraId="6EE78B8F" w14:textId="77777777" w:rsidR="00B76369" w:rsidRPr="00F0379B" w:rsidRDefault="00B76369" w:rsidP="00B76369">
            <w:pPr>
              <w:spacing w:line="233" w:lineRule="exact"/>
              <w:ind w:left="102"/>
              <w:rPr>
                <w:rFonts w:ascii="Cambria" w:eastAsia="Times New Roman" w:hAnsi="Cambria"/>
                <w:sz w:val="20"/>
                <w:szCs w:val="20"/>
                <w:lang w:val="pt-PT"/>
              </w:rPr>
            </w:pPr>
            <w:r w:rsidRPr="00F0379B">
              <w:rPr>
                <w:rFonts w:ascii="Cambria" w:eastAsia="Times New Roman" w:hAnsi="Cambria"/>
                <w:sz w:val="20"/>
                <w:szCs w:val="20"/>
                <w:lang w:val="pt-PT"/>
              </w:rPr>
              <w:t>Anexo 4</w:t>
            </w:r>
          </w:p>
        </w:tc>
        <w:tc>
          <w:tcPr>
            <w:tcW w:w="400" w:type="pct"/>
            <w:vAlign w:val="center"/>
          </w:tcPr>
          <w:p w14:paraId="43E1D9BF" w14:textId="77777777" w:rsidR="00B76369" w:rsidRPr="00F0379B" w:rsidRDefault="00B76369" w:rsidP="00B76369">
            <w:pPr>
              <w:spacing w:before="60" w:after="60" w:line="240" w:lineRule="auto"/>
              <w:ind w:left="102" w:right="102"/>
              <w:jc w:val="center"/>
              <w:rPr>
                <w:rFonts w:ascii="Cambria" w:hAnsi="Cambria"/>
                <w:sz w:val="20"/>
                <w:szCs w:val="20"/>
              </w:rPr>
            </w:pPr>
            <w:r w:rsidRPr="00F0379B">
              <w:rPr>
                <w:rFonts w:ascii="Cambria" w:eastAsia="Times New Roman" w:hAnsi="Cambria"/>
                <w:sz w:val="20"/>
                <w:szCs w:val="20"/>
              </w:rPr>
              <w:t>Nueva solicitud de aclaración</w:t>
            </w:r>
          </w:p>
        </w:tc>
        <w:tc>
          <w:tcPr>
            <w:tcW w:w="846" w:type="pct"/>
            <w:vAlign w:val="center"/>
          </w:tcPr>
          <w:p w14:paraId="4A6B4456" w14:textId="77777777" w:rsidR="00B76369" w:rsidRPr="00F0379B" w:rsidRDefault="00B76369" w:rsidP="00B76369">
            <w:pPr>
              <w:spacing w:before="60" w:after="60" w:line="240" w:lineRule="auto"/>
              <w:ind w:left="102" w:right="102"/>
              <w:rPr>
                <w:rFonts w:ascii="Cambria" w:eastAsia="Times New Roman" w:hAnsi="Cambria"/>
                <w:sz w:val="20"/>
                <w:szCs w:val="20"/>
              </w:rPr>
            </w:pPr>
            <w:r w:rsidRPr="00F0379B">
              <w:rPr>
                <w:rFonts w:ascii="Cambria" w:eastAsia="Times New Roman" w:hAnsi="Cambria"/>
                <w:sz w:val="20"/>
                <w:szCs w:val="20"/>
              </w:rPr>
              <w:t>La Recomendación no prevé una transferencia de devolución de los peces transferidos desde la almadraba, de vuelta desde la granja conectada a la almadraba.</w:t>
            </w:r>
          </w:p>
          <w:p w14:paraId="102969D1" w14:textId="77777777" w:rsidR="00B76369" w:rsidRPr="00F0379B" w:rsidRDefault="00B76369" w:rsidP="00B76369">
            <w:pPr>
              <w:spacing w:before="60" w:after="60" w:line="240" w:lineRule="auto"/>
              <w:ind w:left="102" w:right="102"/>
              <w:rPr>
                <w:rFonts w:ascii="Cambria" w:eastAsia="Times New Roman" w:hAnsi="Cambria"/>
                <w:sz w:val="20"/>
                <w:szCs w:val="20"/>
              </w:rPr>
            </w:pPr>
          </w:p>
          <w:p w14:paraId="1FCD30D9" w14:textId="77777777" w:rsidR="00B76369" w:rsidRPr="00F0379B" w:rsidRDefault="00B76369" w:rsidP="00B76369">
            <w:pPr>
              <w:spacing w:before="60" w:after="60" w:line="240" w:lineRule="auto"/>
              <w:ind w:left="102" w:right="102"/>
              <w:rPr>
                <w:rFonts w:ascii="Cambria" w:eastAsia="Times New Roman" w:hAnsi="Cambria"/>
                <w:sz w:val="20"/>
                <w:szCs w:val="20"/>
              </w:rPr>
            </w:pPr>
            <w:r w:rsidRPr="00F0379B">
              <w:rPr>
                <w:rFonts w:ascii="Cambria" w:eastAsia="Times New Roman" w:hAnsi="Cambria"/>
                <w:sz w:val="20"/>
                <w:szCs w:val="20"/>
              </w:rPr>
              <w:t>Como ha ocurrido en el pasado, en tal caso, se elaboró una declaración de transferencia a medida que documentaba esta operación, y el observador firmó para confirmar su presencia sin confirmar necesariamente que la operación se ajustara a las medidas de conservación y ordenación de ICCAT, que no parecen cubrir este caso.</w:t>
            </w:r>
          </w:p>
          <w:p w14:paraId="1DD7B7F8" w14:textId="77777777" w:rsidR="00B76369" w:rsidRPr="00F0379B" w:rsidRDefault="00B76369" w:rsidP="00B76369">
            <w:pPr>
              <w:spacing w:before="60" w:after="60" w:line="240" w:lineRule="auto"/>
              <w:ind w:left="102" w:right="102"/>
              <w:rPr>
                <w:rFonts w:ascii="Cambria" w:eastAsia="Times New Roman" w:hAnsi="Cambria"/>
                <w:sz w:val="20"/>
                <w:szCs w:val="20"/>
              </w:rPr>
            </w:pPr>
          </w:p>
          <w:p w14:paraId="77B97557"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szCs w:val="20"/>
              </w:rPr>
              <w:t>Si se repite un caso similar, ¿deberá el observador seguir actuando de la misma manera? ¿Es necesario presentar un PNC teniendo en cuenta que esta operación no está prevista en la Recomendación?</w:t>
            </w:r>
          </w:p>
        </w:tc>
        <w:tc>
          <w:tcPr>
            <w:tcW w:w="731" w:type="pct"/>
            <w:vAlign w:val="center"/>
          </w:tcPr>
          <w:p w14:paraId="20D7790D"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No aplicable para Türkiye</w:t>
            </w:r>
          </w:p>
        </w:tc>
        <w:tc>
          <w:tcPr>
            <w:tcW w:w="793" w:type="pct"/>
            <w:vAlign w:val="center"/>
          </w:tcPr>
          <w:p w14:paraId="054BB7AD" w14:textId="77777777" w:rsidR="00B76369" w:rsidRPr="00F0379B" w:rsidRDefault="00B76369" w:rsidP="00B76369">
            <w:pPr>
              <w:spacing w:before="60" w:after="60" w:line="240" w:lineRule="auto"/>
              <w:ind w:left="102" w:right="102"/>
              <w:rPr>
                <w:rFonts w:ascii="Cambria" w:eastAsia="Times New Roman" w:hAnsi="Cambria"/>
                <w:sz w:val="20"/>
              </w:rPr>
            </w:pPr>
            <w:r w:rsidRPr="00F0379B">
              <w:rPr>
                <w:rFonts w:ascii="Cambria" w:eastAsia="Times New Roman" w:hAnsi="Cambria"/>
                <w:sz w:val="20"/>
              </w:rPr>
              <w:t xml:space="preserve">A pesar de que esta definición no se tiene en cuenta en la Recomendación y de que la operación es una transferencia de peces de una jaula de la granja a una almadraba, se debería exigir la presencia del ROP para mantener la coherencia en todas las operaciones de la granja.  </w:t>
            </w:r>
          </w:p>
        </w:tc>
        <w:tc>
          <w:tcPr>
            <w:tcW w:w="844" w:type="pct"/>
          </w:tcPr>
          <w:p w14:paraId="44D2140E" w14:textId="77777777" w:rsidR="00B76369" w:rsidRPr="00F0379B" w:rsidRDefault="00B76369" w:rsidP="00B76369">
            <w:pPr>
              <w:spacing w:before="60" w:after="60" w:line="240" w:lineRule="auto"/>
              <w:ind w:left="102" w:right="102"/>
              <w:rPr>
                <w:rFonts w:ascii="Cambria" w:eastAsia="Times New Roman" w:hAnsi="Cambria"/>
                <w:sz w:val="20"/>
              </w:rPr>
            </w:pPr>
          </w:p>
        </w:tc>
        <w:tc>
          <w:tcPr>
            <w:tcW w:w="844" w:type="pct"/>
          </w:tcPr>
          <w:p w14:paraId="4A583D5E" w14:textId="77777777" w:rsidR="00B76369" w:rsidRPr="00F0379B" w:rsidRDefault="00B76369" w:rsidP="00B76369">
            <w:pPr>
              <w:spacing w:before="60" w:after="60" w:line="240" w:lineRule="auto"/>
              <w:ind w:left="102" w:right="102"/>
              <w:rPr>
                <w:rFonts w:ascii="Cambria" w:eastAsia="Times New Roman" w:hAnsi="Cambria"/>
                <w:sz w:val="20"/>
              </w:rPr>
            </w:pPr>
            <w:r w:rsidRPr="00F0379B">
              <w:rPr>
                <w:rFonts w:ascii="Cambria" w:eastAsia="Times New Roman" w:hAnsi="Cambria"/>
                <w:sz w:val="20"/>
              </w:rPr>
              <w:t>En tal caso, no contemplado en la Recomendación pertinente, se deberá elaborar una declaración de transferencia personalizada que documente esta operación, y el observador deberá firmarla para confirmar su presencia sin necesidad de confirmar que la operación se ha realizado de conformidad con las medidas de control y seguimiento de ICCAT. No se considerará un PNC.</w:t>
            </w:r>
          </w:p>
        </w:tc>
      </w:tr>
      <w:tr w:rsidR="00B76369" w:rsidRPr="00F0379B" w14:paraId="2E37B5BD" w14:textId="77777777" w:rsidTr="00860AE7">
        <w:trPr>
          <w:cantSplit/>
          <w:trHeight w:val="849"/>
        </w:trPr>
        <w:tc>
          <w:tcPr>
            <w:tcW w:w="541" w:type="pct"/>
            <w:vAlign w:val="center"/>
          </w:tcPr>
          <w:p w14:paraId="7D1F388D" w14:textId="77777777" w:rsidR="00B76369" w:rsidRPr="00F0379B" w:rsidRDefault="00B76369" w:rsidP="00B76369">
            <w:pPr>
              <w:spacing w:line="233" w:lineRule="exact"/>
              <w:ind w:left="102"/>
              <w:rPr>
                <w:rFonts w:ascii="Cambria" w:eastAsia="Times New Roman" w:hAnsi="Cambria"/>
                <w:sz w:val="20"/>
                <w:szCs w:val="20"/>
              </w:rPr>
            </w:pPr>
            <w:r w:rsidRPr="00F0379B">
              <w:rPr>
                <w:rFonts w:ascii="Cambria" w:eastAsia="Times New Roman" w:hAnsi="Cambria"/>
                <w:sz w:val="20"/>
                <w:szCs w:val="20"/>
              </w:rPr>
              <w:t>Liberaciones desde las granjas</w:t>
            </w:r>
          </w:p>
          <w:p w14:paraId="31C967AB" w14:textId="77777777" w:rsidR="00B76369" w:rsidRPr="00F0379B" w:rsidRDefault="00B76369" w:rsidP="00B76369">
            <w:pPr>
              <w:spacing w:line="233" w:lineRule="exact"/>
              <w:ind w:left="102"/>
              <w:rPr>
                <w:rFonts w:ascii="Cambria" w:eastAsia="Times New Roman" w:hAnsi="Cambria"/>
                <w:sz w:val="20"/>
                <w:szCs w:val="20"/>
              </w:rPr>
            </w:pPr>
            <w:hyperlink r:id="rId262" w:history="1">
              <w:r w:rsidRPr="00F0379B">
                <w:rPr>
                  <w:rFonts w:ascii="Cambria" w:eastAsia="Times New Roman" w:hAnsi="Cambria"/>
                  <w:color w:val="0563C1" w:themeColor="hyperlink"/>
                  <w:sz w:val="20"/>
                  <w:szCs w:val="20"/>
                </w:rPr>
                <w:t>Rec. 25-04</w:t>
              </w:r>
            </w:hyperlink>
            <w:r w:rsidRPr="00F0379B">
              <w:rPr>
                <w:rFonts w:ascii="Cambria" w:eastAsia="Times New Roman" w:hAnsi="Cambria"/>
                <w:sz w:val="20"/>
                <w:szCs w:val="20"/>
              </w:rPr>
              <w:t>, Anexo 10, párr. 9</w:t>
            </w:r>
          </w:p>
        </w:tc>
        <w:tc>
          <w:tcPr>
            <w:tcW w:w="400" w:type="pct"/>
            <w:vAlign w:val="center"/>
          </w:tcPr>
          <w:p w14:paraId="169ADB13" w14:textId="77777777" w:rsidR="00B76369" w:rsidRPr="00F0379B" w:rsidRDefault="00B76369" w:rsidP="00B76369">
            <w:pPr>
              <w:spacing w:before="60" w:after="60" w:line="240" w:lineRule="auto"/>
              <w:ind w:left="102" w:right="102"/>
              <w:jc w:val="center"/>
              <w:rPr>
                <w:rFonts w:ascii="Cambria" w:hAnsi="Cambria"/>
                <w:sz w:val="20"/>
                <w:szCs w:val="20"/>
              </w:rPr>
            </w:pPr>
            <w:r w:rsidRPr="00F0379B">
              <w:rPr>
                <w:rFonts w:ascii="Cambria" w:eastAsia="Times New Roman" w:hAnsi="Cambria"/>
                <w:sz w:val="20"/>
                <w:szCs w:val="20"/>
              </w:rPr>
              <w:t>Nueva solicitud de aclaración</w:t>
            </w:r>
          </w:p>
        </w:tc>
        <w:tc>
          <w:tcPr>
            <w:tcW w:w="846" w:type="pct"/>
            <w:vAlign w:val="center"/>
          </w:tcPr>
          <w:p w14:paraId="4DD3141C"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szCs w:val="20"/>
              </w:rPr>
              <w:t>¿Existen circunstancias, fuera de aquellas granjas directamente conectadas a las almadrabas, en las que las liberaciones puedan producirse directamente desde la granja en lugar de ser remolcadas la distancia mínima hasta el mar?</w:t>
            </w:r>
          </w:p>
        </w:tc>
        <w:tc>
          <w:tcPr>
            <w:tcW w:w="731" w:type="pct"/>
            <w:vAlign w:val="center"/>
          </w:tcPr>
          <w:p w14:paraId="35B75675"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No aplicable para Türkiye</w:t>
            </w:r>
          </w:p>
        </w:tc>
        <w:tc>
          <w:tcPr>
            <w:tcW w:w="793" w:type="pct"/>
            <w:vAlign w:val="center"/>
          </w:tcPr>
          <w:p w14:paraId="557C89A4" w14:textId="77777777" w:rsidR="00B76369" w:rsidRPr="00F0379B" w:rsidRDefault="00B76369" w:rsidP="00B76369">
            <w:pPr>
              <w:spacing w:before="60" w:after="60" w:line="240" w:lineRule="auto"/>
              <w:ind w:left="102" w:right="102"/>
              <w:rPr>
                <w:rFonts w:ascii="Cambria" w:eastAsia="Times New Roman" w:hAnsi="Cambria"/>
                <w:sz w:val="20"/>
              </w:rPr>
            </w:pPr>
            <w:r w:rsidRPr="00F0379B">
              <w:rPr>
                <w:rFonts w:ascii="Cambria" w:eastAsia="Times New Roman" w:hAnsi="Cambria"/>
                <w:sz w:val="20"/>
              </w:rPr>
              <w:t>La UE no tiene conocimiento de tales circunstancias. En cualquier caso, la distancia mínima al mar es relevante para aumentar las posibilidades de retorno al stock salvaje. Además, las liberaciones cercanas a la costa podrían afectar a las actividades pesqueras realizadas por otros segmentos de la flota costera.</w:t>
            </w:r>
          </w:p>
        </w:tc>
        <w:tc>
          <w:tcPr>
            <w:tcW w:w="844" w:type="pct"/>
          </w:tcPr>
          <w:p w14:paraId="25B928D4" w14:textId="77777777" w:rsidR="00B76369" w:rsidRPr="00F0379B" w:rsidRDefault="00B76369" w:rsidP="00B76369">
            <w:pPr>
              <w:spacing w:before="60" w:after="60" w:line="240" w:lineRule="auto"/>
              <w:ind w:left="102" w:right="102"/>
              <w:rPr>
                <w:rFonts w:ascii="Cambria" w:eastAsia="Times New Roman" w:hAnsi="Cambria"/>
                <w:b/>
                <w:bCs/>
                <w:sz w:val="20"/>
              </w:rPr>
            </w:pPr>
            <w:r w:rsidRPr="00F0379B">
              <w:rPr>
                <w:rFonts w:ascii="Cambria" w:eastAsia="Times New Roman" w:hAnsi="Cambria"/>
                <w:b/>
                <w:bCs/>
                <w:sz w:val="20"/>
              </w:rPr>
              <w:t>Comentarios a la respuesta de la UE:</w:t>
            </w:r>
            <w:r w:rsidRPr="00F0379B">
              <w:rPr>
                <w:rFonts w:ascii="Cambria" w:eastAsia="Times New Roman" w:hAnsi="Cambria"/>
                <w:sz w:val="20"/>
              </w:rPr>
              <w:t xml:space="preserve"> Se han enviado varios PNC a la UE al respecto, según los cuales los peces se liberan directamente desde la granja.</w:t>
            </w:r>
          </w:p>
          <w:p w14:paraId="4B601519" w14:textId="77777777" w:rsidR="00B76369" w:rsidRPr="00F0379B" w:rsidRDefault="00B76369" w:rsidP="00B76369">
            <w:pPr>
              <w:spacing w:before="60" w:after="60" w:line="240" w:lineRule="auto"/>
              <w:ind w:left="102" w:right="102"/>
              <w:rPr>
                <w:rFonts w:ascii="Cambria" w:eastAsia="Times New Roman" w:hAnsi="Cambria"/>
                <w:sz w:val="20"/>
              </w:rPr>
            </w:pPr>
          </w:p>
        </w:tc>
        <w:tc>
          <w:tcPr>
            <w:tcW w:w="844" w:type="pct"/>
          </w:tcPr>
          <w:p w14:paraId="40162FE2" w14:textId="77777777" w:rsidR="00B76369" w:rsidRPr="00F0379B" w:rsidRDefault="00B76369" w:rsidP="00B76369">
            <w:pPr>
              <w:spacing w:before="60" w:after="60" w:line="240" w:lineRule="auto"/>
              <w:ind w:left="102" w:right="102"/>
              <w:rPr>
                <w:rFonts w:ascii="Cambria" w:eastAsia="Times New Roman" w:hAnsi="Cambria"/>
                <w:sz w:val="20"/>
              </w:rPr>
            </w:pPr>
            <w:r w:rsidRPr="00F0379B">
              <w:rPr>
                <w:rFonts w:ascii="Cambria" w:eastAsia="Times New Roman" w:hAnsi="Cambria"/>
                <w:sz w:val="20"/>
              </w:rPr>
              <w:t>De conformidad con la Recomendación 25-04, Anexo 10, párrafos 9 y 14, aparte de las granjas conectadas directamente a una almadraba, todas las operaciones de liberación desde granjas deben realizarse a una distancia mínima. De lo contrario, esto se considerará un PNC.</w:t>
            </w:r>
          </w:p>
        </w:tc>
      </w:tr>
      <w:tr w:rsidR="00B76369" w:rsidRPr="00F0379B" w14:paraId="51FE59C1" w14:textId="77777777" w:rsidTr="00860AE7">
        <w:trPr>
          <w:cantSplit/>
          <w:trHeight w:val="849"/>
        </w:trPr>
        <w:tc>
          <w:tcPr>
            <w:tcW w:w="541" w:type="pct"/>
            <w:vAlign w:val="center"/>
          </w:tcPr>
          <w:p w14:paraId="2A43D5D3" w14:textId="77777777" w:rsidR="00B76369" w:rsidRPr="00F0379B" w:rsidRDefault="00B76369" w:rsidP="00B76369">
            <w:pPr>
              <w:spacing w:line="233" w:lineRule="exact"/>
              <w:ind w:left="102"/>
              <w:rPr>
                <w:rFonts w:ascii="Cambria" w:eastAsia="Times New Roman" w:hAnsi="Cambria"/>
                <w:sz w:val="20"/>
                <w:szCs w:val="20"/>
              </w:rPr>
            </w:pPr>
            <w:r w:rsidRPr="00F0379B">
              <w:rPr>
                <w:rFonts w:ascii="Cambria" w:eastAsia="Times New Roman" w:hAnsi="Cambria"/>
                <w:sz w:val="20"/>
                <w:szCs w:val="20"/>
              </w:rPr>
              <w:t>Precintos en granjas durante la asignación que cubre el sacrificio</w:t>
            </w:r>
          </w:p>
          <w:p w14:paraId="076EC20B" w14:textId="77777777" w:rsidR="00B76369" w:rsidRPr="00F0379B" w:rsidRDefault="00B76369" w:rsidP="00B76369">
            <w:pPr>
              <w:spacing w:line="233" w:lineRule="exact"/>
              <w:ind w:left="102"/>
              <w:rPr>
                <w:rFonts w:ascii="Cambria" w:eastAsia="Times New Roman" w:hAnsi="Cambria"/>
                <w:sz w:val="20"/>
                <w:szCs w:val="20"/>
              </w:rPr>
            </w:pPr>
            <w:hyperlink r:id="rId263" w:history="1">
              <w:r w:rsidRPr="00F0379B">
                <w:rPr>
                  <w:rFonts w:ascii="Cambria" w:eastAsia="Times New Roman" w:hAnsi="Cambria"/>
                  <w:color w:val="0563C1" w:themeColor="hyperlink"/>
                  <w:sz w:val="20"/>
                  <w:szCs w:val="20"/>
                </w:rPr>
                <w:t>Rec. 25-04</w:t>
              </w:r>
            </w:hyperlink>
            <w:r w:rsidRPr="00F0379B">
              <w:rPr>
                <w:rFonts w:ascii="Cambria" w:eastAsia="Times New Roman" w:hAnsi="Cambria"/>
                <w:sz w:val="20"/>
                <w:szCs w:val="20"/>
              </w:rPr>
              <w:t>, párr. 159</w:t>
            </w:r>
          </w:p>
        </w:tc>
        <w:tc>
          <w:tcPr>
            <w:tcW w:w="400" w:type="pct"/>
            <w:vAlign w:val="center"/>
          </w:tcPr>
          <w:p w14:paraId="3F16D0ED" w14:textId="77777777" w:rsidR="00B76369" w:rsidRPr="00F0379B" w:rsidRDefault="00B76369" w:rsidP="00B76369">
            <w:pPr>
              <w:spacing w:before="60" w:after="60" w:line="240" w:lineRule="auto"/>
              <w:ind w:left="102" w:right="102"/>
              <w:jc w:val="center"/>
              <w:rPr>
                <w:rFonts w:ascii="Cambria" w:hAnsi="Cambria"/>
                <w:sz w:val="20"/>
                <w:szCs w:val="20"/>
              </w:rPr>
            </w:pPr>
            <w:r w:rsidRPr="00F0379B">
              <w:rPr>
                <w:rFonts w:ascii="Cambria" w:eastAsia="Times New Roman" w:hAnsi="Cambria"/>
                <w:sz w:val="20"/>
                <w:szCs w:val="20"/>
              </w:rPr>
              <w:t>Nueva solicitud de aclaración</w:t>
            </w:r>
          </w:p>
        </w:tc>
        <w:tc>
          <w:tcPr>
            <w:tcW w:w="846" w:type="pct"/>
            <w:vAlign w:val="center"/>
          </w:tcPr>
          <w:p w14:paraId="6959DF06"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szCs w:val="20"/>
              </w:rPr>
              <w:t xml:space="preserve">La Recomendación no prevé el uso de precintos en la granja, ni durante las operaciones de sacrificio ni durante las operaciones de introducción en jaula. ¿Puede el consorcio dejar de poner los precintos a disposición del observador del ROP durante estas operaciones, sabiendo que los precintos de la CPC seguirán disponibles para el observador nacional en la granja?  </w:t>
            </w:r>
          </w:p>
        </w:tc>
        <w:tc>
          <w:tcPr>
            <w:tcW w:w="731" w:type="pct"/>
            <w:vAlign w:val="center"/>
          </w:tcPr>
          <w:p w14:paraId="37CDDB99" w14:textId="77777777" w:rsidR="00B76369" w:rsidRPr="00F0379B" w:rsidRDefault="00B76369" w:rsidP="00B76369">
            <w:pPr>
              <w:spacing w:before="60" w:after="60" w:line="240" w:lineRule="auto"/>
              <w:ind w:left="102" w:right="102"/>
              <w:rPr>
                <w:rFonts w:ascii="Cambria" w:hAnsi="Cambria"/>
                <w:sz w:val="20"/>
                <w:szCs w:val="20"/>
              </w:rPr>
            </w:pPr>
            <w:r w:rsidRPr="00F0379B">
              <w:rPr>
                <w:rFonts w:ascii="Cambria" w:eastAsia="Times New Roman" w:hAnsi="Cambria"/>
                <w:sz w:val="20"/>
              </w:rPr>
              <w:t>Es aceptable para Türkiye, ya que la autoridad competente turca proporciona precintos de la CPC para jaulas utilizadas en las operaciones de cría, tal y como sabe el Consorcio.</w:t>
            </w:r>
          </w:p>
        </w:tc>
        <w:tc>
          <w:tcPr>
            <w:tcW w:w="793" w:type="pct"/>
            <w:vAlign w:val="center"/>
          </w:tcPr>
          <w:p w14:paraId="6F6E3E11" w14:textId="77777777" w:rsidR="00B76369" w:rsidRPr="00F0379B" w:rsidRDefault="00B76369" w:rsidP="00B76369">
            <w:pPr>
              <w:spacing w:before="60" w:after="60" w:line="240" w:lineRule="auto"/>
              <w:ind w:left="102" w:right="102"/>
              <w:rPr>
                <w:rFonts w:ascii="Cambria" w:eastAsia="Times New Roman" w:hAnsi="Cambria"/>
                <w:sz w:val="20"/>
              </w:rPr>
            </w:pPr>
            <w:r w:rsidRPr="00F0379B">
              <w:rPr>
                <w:rFonts w:ascii="Cambria" w:eastAsia="Times New Roman" w:hAnsi="Cambria"/>
                <w:sz w:val="20"/>
              </w:rPr>
              <w:t>Las autoridades de control son las encargadas del control en las granjas. Se encargan de precintar y desprecintar las jaulas.</w:t>
            </w:r>
          </w:p>
        </w:tc>
        <w:tc>
          <w:tcPr>
            <w:tcW w:w="844" w:type="pct"/>
          </w:tcPr>
          <w:p w14:paraId="735008EF" w14:textId="77777777" w:rsidR="00B76369" w:rsidRPr="00F0379B" w:rsidRDefault="00B76369" w:rsidP="00B76369">
            <w:pPr>
              <w:spacing w:before="60" w:after="60" w:line="240" w:lineRule="auto"/>
              <w:ind w:left="102" w:right="102"/>
              <w:rPr>
                <w:rFonts w:ascii="Cambria" w:eastAsia="Times New Roman" w:hAnsi="Cambria"/>
                <w:sz w:val="20"/>
              </w:rPr>
            </w:pPr>
            <w:r w:rsidRPr="00F0379B">
              <w:rPr>
                <w:rFonts w:ascii="Cambria" w:eastAsia="Times New Roman" w:hAnsi="Cambria"/>
                <w:b/>
                <w:bCs/>
                <w:sz w:val="20"/>
              </w:rPr>
              <w:t xml:space="preserve">Comentarios a la respuesta de la UE: </w:t>
            </w:r>
            <w:r w:rsidRPr="00F0379B">
              <w:rPr>
                <w:rFonts w:ascii="Cambria" w:eastAsia="Times New Roman" w:hAnsi="Cambria"/>
                <w:sz w:val="20"/>
              </w:rPr>
              <w:t>La orientación anterior era la siguiente: las transferencias pueden realizarse desde las granjas que, por definición, pueden requerir precintos de jaulas de ICCAT. Anteriormente, la orientación también era que se podía solicitar a los observadores que proporcionaran precintos fuera de las situaciones establecidas en la Recomendación. No obstante, estamos de acuerdo con esta interpretación.</w:t>
            </w:r>
          </w:p>
        </w:tc>
        <w:tc>
          <w:tcPr>
            <w:tcW w:w="844" w:type="pct"/>
          </w:tcPr>
          <w:p w14:paraId="6073B547" w14:textId="77777777" w:rsidR="00B76369" w:rsidRPr="00F0379B" w:rsidRDefault="00B76369" w:rsidP="00B76369">
            <w:pPr>
              <w:spacing w:before="60" w:after="60" w:line="240" w:lineRule="auto"/>
              <w:ind w:left="102" w:right="102"/>
              <w:rPr>
                <w:rFonts w:ascii="Cambria" w:eastAsia="Times New Roman" w:hAnsi="Cambria"/>
                <w:sz w:val="20"/>
              </w:rPr>
            </w:pPr>
            <w:r w:rsidRPr="00F0379B">
              <w:rPr>
                <w:rFonts w:ascii="Cambria" w:eastAsia="Times New Roman" w:hAnsi="Cambria"/>
                <w:sz w:val="20"/>
              </w:rPr>
              <w:t>Sí, el consorcio puede dejar de poner los precintos a disposición del observador del ROP durante estas operaciones, ya que las autoridades nacionales de control son responsables del control en las granjas y proporcionarán precintos de la CPC para las jaulas para las operaciones en las granjas.</w:t>
            </w:r>
          </w:p>
        </w:tc>
      </w:tr>
    </w:tbl>
    <w:p w14:paraId="343A7767" w14:textId="77777777" w:rsidR="000C024B" w:rsidRPr="00F0379B" w:rsidRDefault="000C024B" w:rsidP="000C024B">
      <w:pPr>
        <w:spacing w:after="0" w:line="240" w:lineRule="auto"/>
        <w:rPr>
          <w:rFonts w:ascii="Cambria" w:eastAsia="Times New Roman" w:hAnsi="Cambria" w:cs="Times New Roman"/>
          <w:sz w:val="20"/>
          <w:szCs w:val="20"/>
        </w:rPr>
      </w:pPr>
    </w:p>
    <w:p w14:paraId="63F866A0" w14:textId="77777777" w:rsidR="000A6591" w:rsidRPr="00F0379B" w:rsidRDefault="000A6591" w:rsidP="008F6100">
      <w:pPr>
        <w:spacing w:after="0" w:line="240" w:lineRule="auto"/>
        <w:ind w:right="100"/>
        <w:jc w:val="center"/>
        <w:rPr>
          <w:rFonts w:ascii="Cambria" w:eastAsia="Yu Gothic" w:hAnsi="Cambria" w:cs="Times New Roman"/>
          <w:kern w:val="2"/>
          <w:sz w:val="20"/>
          <w:szCs w:val="20"/>
          <w14:ligatures w14:val="standardContextual"/>
        </w:rPr>
        <w:sectPr w:rsidR="000A6591" w:rsidRPr="00F0379B" w:rsidSect="000C024B">
          <w:headerReference w:type="default" r:id="rId264"/>
          <w:footerReference w:type="default" r:id="rId265"/>
          <w:footnotePr>
            <w:numRestart w:val="eachSect"/>
          </w:footnotePr>
          <w:pgSz w:w="16838" w:h="11906" w:orient="landscape"/>
          <w:pgMar w:top="1418" w:right="1418" w:bottom="1418" w:left="1418" w:header="851" w:footer="1134" w:gutter="0"/>
          <w:cols w:space="708"/>
          <w:docGrid w:linePitch="360"/>
        </w:sectPr>
      </w:pPr>
    </w:p>
    <w:p w14:paraId="6558974B" w14:textId="1155BAD5" w:rsidR="008F6100" w:rsidRPr="00F0379B" w:rsidRDefault="00BB0590" w:rsidP="00BB0590">
      <w:pPr>
        <w:spacing w:after="0" w:line="240" w:lineRule="auto"/>
        <w:ind w:right="100"/>
        <w:jc w:val="right"/>
        <w:rPr>
          <w:rFonts w:ascii="Cambria" w:eastAsia="Yu Gothic" w:hAnsi="Cambria" w:cs="Times New Roman"/>
          <w:b/>
          <w:bCs/>
          <w:kern w:val="2"/>
          <w:sz w:val="20"/>
          <w:szCs w:val="20"/>
          <w14:ligatures w14:val="standardContextual"/>
        </w:rPr>
      </w:pPr>
      <w:r w:rsidRPr="00F0379B">
        <w:rPr>
          <w:rFonts w:ascii="Cambria" w:eastAsia="Yu Gothic" w:hAnsi="Cambria" w:cs="Times New Roman"/>
          <w:b/>
          <w:bCs/>
          <w:kern w:val="2"/>
          <w:sz w:val="20"/>
          <w:szCs w:val="20"/>
          <w14:ligatures w14:val="standardContextual"/>
        </w:rPr>
        <w:t>Apéndice 6</w:t>
      </w:r>
    </w:p>
    <w:p w14:paraId="71208165" w14:textId="77777777" w:rsidR="000F3542" w:rsidRPr="00F0379B" w:rsidRDefault="000F3542" w:rsidP="00BB0590">
      <w:pPr>
        <w:spacing w:after="0" w:line="240" w:lineRule="auto"/>
        <w:ind w:right="100"/>
        <w:jc w:val="right"/>
        <w:rPr>
          <w:rFonts w:ascii="Cambria" w:eastAsia="Yu Gothic" w:hAnsi="Cambria" w:cs="Times New Roman"/>
          <w:b/>
          <w:bCs/>
          <w:kern w:val="2"/>
          <w:sz w:val="20"/>
          <w:szCs w:val="20"/>
          <w14:ligatures w14:val="standardContextual"/>
        </w:rPr>
      </w:pPr>
    </w:p>
    <w:p w14:paraId="165A47D7" w14:textId="2107774E" w:rsidR="00AB1C70" w:rsidRPr="00F0379B" w:rsidRDefault="00AB1C70" w:rsidP="009224A5">
      <w:pPr>
        <w:pStyle w:val="Header"/>
        <w:jc w:val="center"/>
        <w:rPr>
          <w:rFonts w:ascii="Cambria" w:hAnsi="Cambria"/>
          <w:b/>
          <w:bCs/>
          <w:sz w:val="20"/>
          <w:szCs w:val="20"/>
        </w:rPr>
      </w:pPr>
      <w:r w:rsidRPr="00F0379B">
        <w:rPr>
          <w:rFonts w:ascii="Cambria" w:hAnsi="Cambria"/>
          <w:b/>
          <w:sz w:val="20"/>
        </w:rPr>
        <w:t>Aclaraciones solicitadas sobre las Recomendaciones 24-05 y 25-04</w:t>
      </w:r>
    </w:p>
    <w:p w14:paraId="2082BAC8" w14:textId="77777777" w:rsidR="00AB1C70" w:rsidRPr="00F0379B" w:rsidRDefault="00AB1C70" w:rsidP="00AB1C70">
      <w:pPr>
        <w:spacing w:after="0" w:line="240" w:lineRule="auto"/>
        <w:jc w:val="center"/>
        <w:rPr>
          <w:rFonts w:ascii="Cambria" w:eastAsia="Yu Mincho" w:hAnsi="Cambria" w:cs="Times New Roman"/>
          <w:sz w:val="20"/>
          <w:szCs w:val="20"/>
        </w:rPr>
      </w:pPr>
    </w:p>
    <w:p w14:paraId="1ED412BE" w14:textId="77777777" w:rsidR="00AB1C70" w:rsidRPr="00F0379B" w:rsidRDefault="00AB1C70" w:rsidP="00AB1C70">
      <w:pPr>
        <w:spacing w:after="0" w:line="240" w:lineRule="auto"/>
        <w:jc w:val="center"/>
        <w:rPr>
          <w:rFonts w:ascii="Cambria" w:eastAsia="Yu Mincho" w:hAnsi="Cambria" w:cs="Times New Roman"/>
          <w:b/>
          <w:bCs/>
          <w:sz w:val="20"/>
          <w:szCs w:val="20"/>
        </w:rPr>
      </w:pPr>
    </w:p>
    <w:p w14:paraId="48DFBFDD" w14:textId="77777777" w:rsidR="00AB1C70" w:rsidRPr="00F0379B" w:rsidRDefault="00AB1C70" w:rsidP="00AB1C70">
      <w:pPr>
        <w:spacing w:after="0" w:line="240" w:lineRule="auto"/>
        <w:jc w:val="both"/>
        <w:rPr>
          <w:rFonts w:ascii="Cambria" w:eastAsia="Yu Mincho" w:hAnsi="Cambria" w:cs="Times New Roman"/>
          <w:sz w:val="20"/>
          <w:szCs w:val="20"/>
        </w:rPr>
      </w:pPr>
      <w:r w:rsidRPr="00F0379B">
        <w:rPr>
          <w:rFonts w:ascii="Cambria" w:hAnsi="Cambria"/>
          <w:sz w:val="20"/>
        </w:rPr>
        <w:t>Durante la 29ª reunión ordinaria de la Comisión, la Secretaría presentó el documento "Aclaraciones solicitadas sobre la Recomendación 24-05" (</w:t>
      </w:r>
      <w:hyperlink r:id="rId266" w:history="1">
        <w:r w:rsidRPr="00F0379B">
          <w:rPr>
            <w:rStyle w:val="Hyperlink"/>
            <w:rFonts w:ascii="Cambria" w:hAnsi="Cambria"/>
            <w:sz w:val="20"/>
            <w:u w:val="none"/>
          </w:rPr>
          <w:t>PA2_606/2025</w:t>
        </w:r>
      </w:hyperlink>
      <w:r w:rsidRPr="00F0379B">
        <w:rPr>
          <w:rFonts w:ascii="Cambria" w:hAnsi="Cambria"/>
          <w:sz w:val="20"/>
        </w:rPr>
        <w:t xml:space="preserve">). Debido a la necesidad de debatir temas más importantes en la Subcomisión 2, estas aclaraciones no se abordaron durante las sesiones de la Subcomisión 2. </w:t>
      </w:r>
    </w:p>
    <w:p w14:paraId="4AD06E01" w14:textId="77777777" w:rsidR="00AB1C70" w:rsidRPr="00F0379B" w:rsidRDefault="00AB1C70" w:rsidP="00AB1C70">
      <w:pPr>
        <w:spacing w:after="0" w:line="240" w:lineRule="auto"/>
        <w:jc w:val="both"/>
        <w:rPr>
          <w:rFonts w:ascii="Cambria" w:eastAsia="Yu Mincho" w:hAnsi="Cambria" w:cs="Times New Roman"/>
          <w:sz w:val="20"/>
          <w:szCs w:val="20"/>
        </w:rPr>
      </w:pPr>
    </w:p>
    <w:p w14:paraId="39190BB5" w14:textId="77777777" w:rsidR="00AB1C70" w:rsidRPr="00F0379B" w:rsidRDefault="00AB1C70" w:rsidP="00AB1C70">
      <w:pPr>
        <w:spacing w:after="0" w:line="240" w:lineRule="auto"/>
        <w:jc w:val="both"/>
        <w:rPr>
          <w:rFonts w:ascii="Cambria" w:eastAsia="Yu Mincho" w:hAnsi="Cambria" w:cs="Times New Roman"/>
          <w:sz w:val="20"/>
          <w:szCs w:val="20"/>
        </w:rPr>
      </w:pPr>
      <w:r w:rsidRPr="00F0379B">
        <w:rPr>
          <w:rFonts w:ascii="Cambria" w:hAnsi="Cambria"/>
          <w:sz w:val="20"/>
        </w:rPr>
        <w:t>En vista de lo anterior, la Secretaría, a través de la Circular n.º 00652/2026 de ICCAT, volvió a solicitar a los miembros de la Subcomisión 2 que formularan sus observaciones y recibió comentarios en el plazo establecido de la Unión Europea y Egipto sobre esta cuestión.</w:t>
      </w:r>
    </w:p>
    <w:p w14:paraId="10E2F573" w14:textId="77777777" w:rsidR="00AB1C70" w:rsidRPr="00F0379B" w:rsidRDefault="00AB1C70" w:rsidP="00AB1C70">
      <w:pPr>
        <w:spacing w:after="0" w:line="240" w:lineRule="auto"/>
        <w:jc w:val="both"/>
        <w:rPr>
          <w:rFonts w:ascii="Cambria" w:eastAsia="Yu Mincho" w:hAnsi="Cambria" w:cs="Times New Roman"/>
          <w:sz w:val="20"/>
          <w:szCs w:val="20"/>
        </w:rPr>
      </w:pPr>
    </w:p>
    <w:p w14:paraId="6DEEF652" w14:textId="77777777" w:rsidR="00AB1C70" w:rsidRPr="00F0379B" w:rsidRDefault="00AB1C70" w:rsidP="00AB1C70">
      <w:pPr>
        <w:spacing w:after="0" w:line="240" w:lineRule="auto"/>
        <w:jc w:val="both"/>
        <w:rPr>
          <w:rFonts w:ascii="Cambria" w:eastAsia="Yu Mincho" w:hAnsi="Cambria" w:cs="Times New Roman"/>
          <w:sz w:val="20"/>
          <w:szCs w:val="20"/>
        </w:rPr>
      </w:pPr>
      <w:r w:rsidRPr="00F0379B">
        <w:rPr>
          <w:rFonts w:ascii="Cambria" w:hAnsi="Cambria"/>
          <w:sz w:val="20"/>
        </w:rPr>
        <w:t xml:space="preserve">Los nuevos comentarios se han incorporado al documento revisado, junto con los ya presentados en el documento </w:t>
      </w:r>
      <w:hyperlink r:id="rId267" w:history="1">
        <w:r w:rsidRPr="00F0379B">
          <w:rPr>
            <w:rStyle w:val="Hyperlink"/>
            <w:rFonts w:ascii="Cambria" w:hAnsi="Cambria"/>
            <w:sz w:val="20"/>
            <w:u w:val="none"/>
          </w:rPr>
          <w:t>PA2_606/2025</w:t>
        </w:r>
      </w:hyperlink>
      <w:r w:rsidRPr="00F0379B">
        <w:rPr>
          <w:rFonts w:ascii="Cambria" w:hAnsi="Cambria"/>
          <w:sz w:val="20"/>
        </w:rPr>
        <w:t>, que figura en la Tabla 1 del presente documento.</w:t>
      </w:r>
    </w:p>
    <w:p w14:paraId="036C94D0" w14:textId="77777777" w:rsidR="00AB1C70" w:rsidRPr="00F0379B" w:rsidRDefault="00AB1C70" w:rsidP="00AB1C70">
      <w:pPr>
        <w:spacing w:after="0" w:line="240" w:lineRule="auto"/>
        <w:jc w:val="both"/>
        <w:rPr>
          <w:rFonts w:ascii="Cambria" w:eastAsia="Yu Mincho" w:hAnsi="Cambria" w:cs="Times New Roman"/>
          <w:sz w:val="20"/>
          <w:szCs w:val="20"/>
        </w:rPr>
      </w:pPr>
    </w:p>
    <w:p w14:paraId="7795AE20" w14:textId="77777777" w:rsidR="00AB1C70" w:rsidRPr="00F0379B" w:rsidRDefault="00AB1C70" w:rsidP="00AB1C70">
      <w:pPr>
        <w:spacing w:after="0" w:line="240" w:lineRule="auto"/>
        <w:jc w:val="both"/>
        <w:rPr>
          <w:rFonts w:ascii="Cambria" w:eastAsia="Yu Mincho" w:hAnsi="Cambria" w:cs="Times New Roman"/>
          <w:sz w:val="20"/>
          <w:szCs w:val="20"/>
        </w:rPr>
      </w:pPr>
      <w:r w:rsidRPr="00F0379B">
        <w:rPr>
          <w:rFonts w:ascii="Cambria" w:hAnsi="Cambria"/>
          <w:sz w:val="20"/>
        </w:rPr>
        <w:t xml:space="preserve">Tenga en cuenta que las cuestiones pendientes también son aplicables a la </w:t>
      </w:r>
      <w:hyperlink r:id="rId268" w:history="1">
        <w:r w:rsidRPr="00F0379B">
          <w:rPr>
            <w:rStyle w:val="Hyperlink"/>
            <w:rFonts w:ascii="Cambria" w:hAnsi="Cambria"/>
            <w:i/>
            <w:iCs/>
            <w:sz w:val="20"/>
            <w:u w:val="none"/>
          </w:rPr>
          <w:t>Recomendación de ICCAT que reemplaza la Recomendación 24-05 que establece un plan de ordenación plurianual para el atún rojo en el Atlántico este y el Mediterráneo</w:t>
        </w:r>
        <w:r w:rsidRPr="00F0379B">
          <w:rPr>
            <w:rStyle w:val="Hyperlink"/>
            <w:rFonts w:ascii="Cambria" w:hAnsi="Cambria"/>
            <w:sz w:val="20"/>
            <w:u w:val="none"/>
          </w:rPr>
          <w:t xml:space="preserve"> (Rec. 25-04)</w:t>
        </w:r>
      </w:hyperlink>
      <w:r w:rsidRPr="00F0379B">
        <w:rPr>
          <w:rFonts w:ascii="Cambria" w:hAnsi="Cambria"/>
          <w:sz w:val="20"/>
        </w:rPr>
        <w:t>, que, tras consultar con el presidente de la Subcomisión 2 y de conformidad con la Circular n.º 12095/2025 de ICCAT, se utilizará como única referencia para la temporada de pesca de 2026 de atún rojo del Atlántico este y Mediterráneo.</w:t>
      </w:r>
    </w:p>
    <w:p w14:paraId="4445F52A" w14:textId="77777777" w:rsidR="00AB1C70" w:rsidRPr="00F0379B" w:rsidRDefault="00AB1C70" w:rsidP="00AB1C70">
      <w:pPr>
        <w:spacing w:after="0" w:line="240" w:lineRule="auto"/>
        <w:jc w:val="both"/>
        <w:rPr>
          <w:rFonts w:ascii="Cambria" w:eastAsia="Yu Mincho" w:hAnsi="Cambria" w:cs="Times New Roman"/>
          <w:sz w:val="20"/>
          <w:szCs w:val="20"/>
        </w:rPr>
      </w:pPr>
    </w:p>
    <w:p w14:paraId="4ADB29B1" w14:textId="77777777" w:rsidR="00AB1C70" w:rsidRPr="00F0379B" w:rsidRDefault="00AB1C70" w:rsidP="00AB1C70">
      <w:pPr>
        <w:spacing w:after="0" w:line="240" w:lineRule="auto"/>
        <w:jc w:val="both"/>
        <w:rPr>
          <w:rFonts w:ascii="Cambria" w:eastAsia="Yu Mincho" w:hAnsi="Cambria" w:cs="Times New Roman"/>
          <w:sz w:val="20"/>
          <w:szCs w:val="20"/>
        </w:rPr>
      </w:pPr>
    </w:p>
    <w:p w14:paraId="54DB588C" w14:textId="77777777" w:rsidR="00AB1C70" w:rsidRPr="00F0379B" w:rsidRDefault="00AB1C70" w:rsidP="00AB1C70">
      <w:pPr>
        <w:spacing w:after="0" w:line="240" w:lineRule="auto"/>
        <w:jc w:val="both"/>
        <w:rPr>
          <w:rFonts w:ascii="Cambria" w:eastAsia="Yu Mincho" w:hAnsi="Cambria" w:cs="Times New Roman"/>
          <w:sz w:val="20"/>
          <w:szCs w:val="20"/>
        </w:rPr>
      </w:pPr>
    </w:p>
    <w:p w14:paraId="7DE0C640" w14:textId="77777777" w:rsidR="00AB1C70" w:rsidRPr="00F0379B" w:rsidRDefault="00AB1C70" w:rsidP="00AB1C70">
      <w:pPr>
        <w:spacing w:after="0" w:line="240" w:lineRule="auto"/>
        <w:jc w:val="both"/>
        <w:rPr>
          <w:rFonts w:ascii="Cambria" w:eastAsia="Yu Mincho" w:hAnsi="Cambria" w:cs="Times New Roman"/>
          <w:sz w:val="20"/>
          <w:szCs w:val="20"/>
        </w:rPr>
      </w:pPr>
    </w:p>
    <w:p w14:paraId="33228BD3" w14:textId="77777777" w:rsidR="00AB1C70" w:rsidRPr="00F0379B" w:rsidRDefault="00AB1C70" w:rsidP="00AB1C70">
      <w:pPr>
        <w:spacing w:after="0" w:line="240" w:lineRule="auto"/>
        <w:jc w:val="both"/>
        <w:rPr>
          <w:rFonts w:ascii="Cambria" w:eastAsia="Yu Mincho" w:hAnsi="Cambria" w:cs="Times New Roman"/>
          <w:sz w:val="20"/>
          <w:szCs w:val="20"/>
        </w:rPr>
      </w:pPr>
    </w:p>
    <w:p w14:paraId="4F5AD9D2" w14:textId="77777777" w:rsidR="00AB1C70" w:rsidRPr="00F0379B" w:rsidRDefault="00AB1C70" w:rsidP="00AB1C70">
      <w:pPr>
        <w:spacing w:after="0" w:line="240" w:lineRule="auto"/>
        <w:jc w:val="both"/>
        <w:rPr>
          <w:rFonts w:ascii="Cambria" w:eastAsia="Yu Mincho" w:hAnsi="Cambria" w:cs="Times New Roman"/>
          <w:sz w:val="20"/>
          <w:szCs w:val="20"/>
        </w:rPr>
      </w:pPr>
    </w:p>
    <w:p w14:paraId="6B6321A8" w14:textId="77777777" w:rsidR="00AB1C70" w:rsidRPr="00F0379B" w:rsidRDefault="00AB1C70" w:rsidP="00AB1C70">
      <w:pPr>
        <w:spacing w:after="0" w:line="240" w:lineRule="auto"/>
        <w:jc w:val="both"/>
        <w:rPr>
          <w:rFonts w:ascii="Cambria" w:eastAsia="Yu Mincho" w:hAnsi="Cambria" w:cs="Times New Roman"/>
          <w:sz w:val="20"/>
          <w:szCs w:val="20"/>
        </w:rPr>
      </w:pPr>
    </w:p>
    <w:p w14:paraId="550F181A" w14:textId="77777777" w:rsidR="00AB1C70" w:rsidRPr="00F0379B" w:rsidRDefault="00AB1C70" w:rsidP="00AB1C70">
      <w:pPr>
        <w:spacing w:after="0" w:line="240" w:lineRule="auto"/>
        <w:jc w:val="both"/>
        <w:rPr>
          <w:rFonts w:ascii="Cambria" w:eastAsia="Yu Mincho" w:hAnsi="Cambria" w:cs="Times New Roman"/>
          <w:sz w:val="20"/>
          <w:szCs w:val="20"/>
        </w:rPr>
      </w:pPr>
    </w:p>
    <w:p w14:paraId="3F1C70D7" w14:textId="77777777" w:rsidR="00AB1C70" w:rsidRPr="00F0379B" w:rsidRDefault="00AB1C70" w:rsidP="00AB1C70">
      <w:pPr>
        <w:spacing w:after="0" w:line="240" w:lineRule="auto"/>
        <w:jc w:val="both"/>
        <w:rPr>
          <w:rFonts w:ascii="Cambria" w:eastAsia="Yu Mincho" w:hAnsi="Cambria" w:cs="Times New Roman"/>
          <w:sz w:val="20"/>
          <w:szCs w:val="20"/>
        </w:rPr>
      </w:pPr>
    </w:p>
    <w:p w14:paraId="4121C850" w14:textId="77777777" w:rsidR="00AB1C70" w:rsidRPr="00F0379B" w:rsidRDefault="00AB1C70" w:rsidP="00AB1C70">
      <w:pPr>
        <w:spacing w:after="0" w:line="240" w:lineRule="auto"/>
        <w:jc w:val="both"/>
        <w:rPr>
          <w:rFonts w:ascii="Cambria" w:eastAsia="Yu Mincho" w:hAnsi="Cambria" w:cs="Times New Roman"/>
          <w:sz w:val="20"/>
          <w:szCs w:val="20"/>
        </w:rPr>
      </w:pPr>
    </w:p>
    <w:p w14:paraId="480E8798" w14:textId="77777777" w:rsidR="00AB1C70" w:rsidRPr="00F0379B" w:rsidRDefault="00AB1C70" w:rsidP="00AB1C70">
      <w:pPr>
        <w:spacing w:after="0" w:line="240" w:lineRule="auto"/>
        <w:jc w:val="both"/>
        <w:rPr>
          <w:rFonts w:ascii="Cambria" w:eastAsia="Yu Mincho" w:hAnsi="Cambria" w:cs="Times New Roman"/>
          <w:sz w:val="20"/>
          <w:szCs w:val="20"/>
        </w:rPr>
      </w:pPr>
    </w:p>
    <w:p w14:paraId="7074A696" w14:textId="77777777" w:rsidR="00AB1C70" w:rsidRPr="00F0379B" w:rsidRDefault="00AB1C70" w:rsidP="00AB1C70">
      <w:pPr>
        <w:spacing w:after="0" w:line="240" w:lineRule="auto"/>
        <w:jc w:val="both"/>
        <w:rPr>
          <w:rFonts w:ascii="Cambria" w:eastAsia="Yu Mincho" w:hAnsi="Cambria" w:cs="Times New Roman"/>
          <w:sz w:val="20"/>
          <w:szCs w:val="20"/>
        </w:rPr>
      </w:pPr>
    </w:p>
    <w:p w14:paraId="4627B690" w14:textId="77777777" w:rsidR="00AB1C70" w:rsidRPr="00F0379B" w:rsidRDefault="00AB1C70" w:rsidP="00AB1C70">
      <w:pPr>
        <w:spacing w:after="0" w:line="240" w:lineRule="auto"/>
        <w:jc w:val="both"/>
        <w:rPr>
          <w:rFonts w:ascii="Cambria" w:eastAsia="Yu Mincho" w:hAnsi="Cambria" w:cs="Times New Roman"/>
          <w:sz w:val="20"/>
          <w:szCs w:val="20"/>
        </w:rPr>
      </w:pPr>
    </w:p>
    <w:p w14:paraId="7C9385B4" w14:textId="77777777" w:rsidR="00AB1C70" w:rsidRPr="00F0379B" w:rsidRDefault="00AB1C70" w:rsidP="00AB1C70">
      <w:pPr>
        <w:spacing w:after="0" w:line="240" w:lineRule="auto"/>
        <w:jc w:val="both"/>
        <w:rPr>
          <w:rFonts w:ascii="Cambria" w:eastAsia="Yu Mincho" w:hAnsi="Cambria" w:cs="Times New Roman"/>
          <w:sz w:val="20"/>
          <w:szCs w:val="20"/>
        </w:rPr>
      </w:pPr>
    </w:p>
    <w:p w14:paraId="427D50F6" w14:textId="77777777" w:rsidR="00AB1C70" w:rsidRPr="00F0379B" w:rsidRDefault="00AB1C70" w:rsidP="00AB1C70">
      <w:pPr>
        <w:spacing w:after="0" w:line="240" w:lineRule="auto"/>
        <w:jc w:val="both"/>
        <w:rPr>
          <w:rFonts w:ascii="Cambria" w:eastAsia="Yu Mincho" w:hAnsi="Cambria" w:cs="Times New Roman"/>
          <w:sz w:val="20"/>
          <w:szCs w:val="20"/>
        </w:rPr>
      </w:pPr>
    </w:p>
    <w:p w14:paraId="5C97CFE5" w14:textId="77777777" w:rsidR="00AB1C70" w:rsidRPr="00F0379B" w:rsidRDefault="00AB1C70" w:rsidP="00AB1C70">
      <w:pPr>
        <w:spacing w:after="0" w:line="240" w:lineRule="auto"/>
        <w:jc w:val="both"/>
        <w:rPr>
          <w:rFonts w:ascii="Cambria" w:eastAsia="Yu Mincho" w:hAnsi="Cambria" w:cs="Times New Roman"/>
          <w:sz w:val="20"/>
          <w:szCs w:val="20"/>
        </w:rPr>
      </w:pPr>
    </w:p>
    <w:p w14:paraId="470F7EED" w14:textId="77777777" w:rsidR="00AB1C70" w:rsidRPr="00F0379B" w:rsidRDefault="00AB1C70" w:rsidP="00AB1C70">
      <w:pPr>
        <w:spacing w:after="0" w:line="240" w:lineRule="auto"/>
        <w:jc w:val="both"/>
        <w:rPr>
          <w:rFonts w:ascii="Cambria" w:eastAsia="Yu Mincho" w:hAnsi="Cambria" w:cs="Times New Roman"/>
          <w:sz w:val="20"/>
          <w:szCs w:val="20"/>
        </w:rPr>
      </w:pPr>
    </w:p>
    <w:p w14:paraId="388511CE" w14:textId="77777777" w:rsidR="00AB1C70" w:rsidRPr="00F0379B" w:rsidRDefault="00AB1C70" w:rsidP="00AB1C70">
      <w:pPr>
        <w:spacing w:after="0" w:line="240" w:lineRule="auto"/>
        <w:jc w:val="both"/>
        <w:rPr>
          <w:rFonts w:ascii="Cambria" w:eastAsia="Yu Mincho" w:hAnsi="Cambria" w:cs="Times New Roman"/>
          <w:sz w:val="20"/>
          <w:szCs w:val="20"/>
        </w:rPr>
      </w:pPr>
    </w:p>
    <w:p w14:paraId="6408DF28" w14:textId="77777777" w:rsidR="00AB1C70" w:rsidRPr="00F0379B" w:rsidRDefault="00AB1C70" w:rsidP="00AB1C70">
      <w:pPr>
        <w:spacing w:after="0" w:line="240" w:lineRule="auto"/>
        <w:jc w:val="both"/>
        <w:rPr>
          <w:rFonts w:ascii="Cambria" w:eastAsia="Yu Mincho" w:hAnsi="Cambria" w:cs="Times New Roman"/>
          <w:sz w:val="20"/>
          <w:szCs w:val="20"/>
        </w:rPr>
      </w:pPr>
    </w:p>
    <w:p w14:paraId="4365DAC5" w14:textId="77777777" w:rsidR="00AB1C70" w:rsidRPr="00F0379B" w:rsidRDefault="00AB1C70" w:rsidP="00AB1C70">
      <w:pPr>
        <w:spacing w:after="0" w:line="240" w:lineRule="auto"/>
        <w:jc w:val="both"/>
        <w:rPr>
          <w:rFonts w:ascii="Cambria" w:eastAsia="Yu Mincho" w:hAnsi="Cambria" w:cs="Times New Roman"/>
          <w:sz w:val="20"/>
          <w:szCs w:val="20"/>
        </w:rPr>
      </w:pPr>
    </w:p>
    <w:p w14:paraId="35869E38" w14:textId="77777777" w:rsidR="00AB1C70" w:rsidRPr="00F0379B" w:rsidRDefault="00AB1C70" w:rsidP="00AB1C70">
      <w:pPr>
        <w:spacing w:after="0" w:line="240" w:lineRule="auto"/>
        <w:jc w:val="both"/>
        <w:rPr>
          <w:rFonts w:ascii="Cambria" w:eastAsia="Yu Mincho" w:hAnsi="Cambria" w:cs="Times New Roman"/>
          <w:sz w:val="20"/>
          <w:szCs w:val="20"/>
        </w:rPr>
      </w:pPr>
    </w:p>
    <w:p w14:paraId="08709E58" w14:textId="77777777" w:rsidR="00AB1C70" w:rsidRPr="00F0379B" w:rsidRDefault="00AB1C70" w:rsidP="00AB1C70">
      <w:pPr>
        <w:spacing w:after="0" w:line="240" w:lineRule="auto"/>
        <w:jc w:val="both"/>
        <w:rPr>
          <w:rFonts w:ascii="Cambria" w:eastAsia="Yu Mincho" w:hAnsi="Cambria" w:cs="Times New Roman"/>
          <w:sz w:val="20"/>
          <w:szCs w:val="20"/>
        </w:rPr>
      </w:pPr>
    </w:p>
    <w:p w14:paraId="63773AD5" w14:textId="77777777" w:rsidR="00AB1C70" w:rsidRPr="00F0379B" w:rsidRDefault="00AB1C70" w:rsidP="00AB1C70">
      <w:pPr>
        <w:spacing w:after="0" w:line="240" w:lineRule="auto"/>
        <w:jc w:val="both"/>
        <w:rPr>
          <w:rFonts w:ascii="Cambria" w:eastAsia="Yu Mincho" w:hAnsi="Cambria" w:cs="Times New Roman"/>
          <w:sz w:val="20"/>
          <w:szCs w:val="20"/>
        </w:rPr>
      </w:pPr>
    </w:p>
    <w:p w14:paraId="7018E54D" w14:textId="77777777" w:rsidR="00AB1C70" w:rsidRPr="00F0379B" w:rsidRDefault="00AB1C70" w:rsidP="00AB1C70">
      <w:pPr>
        <w:spacing w:after="0" w:line="240" w:lineRule="auto"/>
        <w:jc w:val="both"/>
        <w:rPr>
          <w:rFonts w:ascii="Cambria" w:eastAsia="Yu Mincho" w:hAnsi="Cambria" w:cs="Times New Roman"/>
          <w:sz w:val="20"/>
          <w:szCs w:val="20"/>
        </w:rPr>
      </w:pPr>
    </w:p>
    <w:p w14:paraId="0621B8B5" w14:textId="77777777" w:rsidR="00AB1C70" w:rsidRPr="00F0379B" w:rsidRDefault="00AB1C70" w:rsidP="00AB1C70">
      <w:pPr>
        <w:spacing w:after="0" w:line="240" w:lineRule="auto"/>
        <w:jc w:val="both"/>
        <w:rPr>
          <w:rFonts w:ascii="Cambria" w:eastAsia="Yu Mincho" w:hAnsi="Cambria" w:cs="Times New Roman"/>
          <w:sz w:val="20"/>
          <w:szCs w:val="20"/>
        </w:rPr>
      </w:pPr>
    </w:p>
    <w:p w14:paraId="56B7A370" w14:textId="77777777" w:rsidR="00AB1C70" w:rsidRPr="00F0379B" w:rsidRDefault="00AB1C70" w:rsidP="00AB1C70">
      <w:pPr>
        <w:spacing w:after="0" w:line="240" w:lineRule="auto"/>
        <w:jc w:val="both"/>
        <w:rPr>
          <w:rFonts w:ascii="Cambria" w:eastAsia="Yu Mincho" w:hAnsi="Cambria" w:cs="Times New Roman"/>
          <w:sz w:val="20"/>
          <w:szCs w:val="20"/>
        </w:rPr>
      </w:pPr>
    </w:p>
    <w:p w14:paraId="5E05D58E" w14:textId="77777777" w:rsidR="00AB1C70" w:rsidRPr="00F0379B" w:rsidRDefault="00AB1C70" w:rsidP="00AB1C70">
      <w:pPr>
        <w:spacing w:after="0" w:line="240" w:lineRule="auto"/>
        <w:jc w:val="both"/>
        <w:rPr>
          <w:rFonts w:ascii="Cambria" w:eastAsia="Yu Mincho" w:hAnsi="Cambria" w:cs="Times New Roman"/>
          <w:sz w:val="20"/>
          <w:szCs w:val="20"/>
        </w:rPr>
      </w:pPr>
    </w:p>
    <w:p w14:paraId="20DE8892" w14:textId="77777777" w:rsidR="00AB1C70" w:rsidRPr="00F0379B" w:rsidRDefault="00AB1C70" w:rsidP="00AB1C70">
      <w:pPr>
        <w:spacing w:after="0" w:line="240" w:lineRule="auto"/>
        <w:jc w:val="both"/>
        <w:rPr>
          <w:rFonts w:ascii="Cambria" w:eastAsia="Yu Mincho" w:hAnsi="Cambria" w:cs="Times New Roman"/>
          <w:sz w:val="20"/>
          <w:szCs w:val="20"/>
        </w:rPr>
      </w:pPr>
    </w:p>
    <w:p w14:paraId="142A16AB" w14:textId="77777777" w:rsidR="00AB1C70" w:rsidRPr="00F0379B" w:rsidRDefault="00AB1C70" w:rsidP="00AB1C70">
      <w:pPr>
        <w:spacing w:after="0" w:line="240" w:lineRule="auto"/>
        <w:jc w:val="both"/>
        <w:rPr>
          <w:rFonts w:ascii="Cambria" w:eastAsia="Yu Mincho" w:hAnsi="Cambria" w:cs="Times New Roman"/>
          <w:sz w:val="20"/>
          <w:szCs w:val="20"/>
        </w:rPr>
      </w:pPr>
    </w:p>
    <w:p w14:paraId="2DB4587E" w14:textId="77777777" w:rsidR="00AB1C70" w:rsidRPr="00F0379B" w:rsidRDefault="00AB1C70" w:rsidP="00AB1C70">
      <w:pPr>
        <w:spacing w:after="0" w:line="240" w:lineRule="auto"/>
        <w:jc w:val="both"/>
        <w:rPr>
          <w:rFonts w:ascii="Cambria" w:eastAsia="Yu Mincho" w:hAnsi="Cambria" w:cs="Times New Roman"/>
          <w:sz w:val="20"/>
          <w:szCs w:val="20"/>
        </w:rPr>
      </w:pPr>
    </w:p>
    <w:p w14:paraId="7AB3A05A" w14:textId="77777777" w:rsidR="00AB1C70" w:rsidRPr="00F0379B" w:rsidRDefault="00AB1C70" w:rsidP="00AB1C70">
      <w:pPr>
        <w:spacing w:after="0" w:line="240" w:lineRule="auto"/>
        <w:jc w:val="both"/>
        <w:rPr>
          <w:rFonts w:ascii="Cambria" w:eastAsia="Yu Mincho" w:hAnsi="Cambria" w:cs="Times New Roman"/>
          <w:sz w:val="20"/>
          <w:szCs w:val="20"/>
        </w:rPr>
      </w:pPr>
    </w:p>
    <w:p w14:paraId="581BA0F1" w14:textId="77777777" w:rsidR="00AB1C70" w:rsidRPr="00F0379B" w:rsidRDefault="00AB1C70" w:rsidP="00AB1C70">
      <w:pPr>
        <w:spacing w:after="0" w:line="240" w:lineRule="auto"/>
        <w:jc w:val="both"/>
        <w:rPr>
          <w:rFonts w:ascii="Cambria" w:eastAsia="Yu Mincho" w:hAnsi="Cambria" w:cs="Times New Roman"/>
          <w:sz w:val="20"/>
          <w:szCs w:val="20"/>
        </w:rPr>
      </w:pPr>
    </w:p>
    <w:p w14:paraId="36FA2E52" w14:textId="77777777" w:rsidR="00AB1C70" w:rsidRPr="00F0379B" w:rsidRDefault="00AB1C70" w:rsidP="00AB1C70">
      <w:pPr>
        <w:spacing w:after="0" w:line="240" w:lineRule="auto"/>
        <w:jc w:val="both"/>
        <w:rPr>
          <w:rFonts w:ascii="Cambria" w:eastAsia="Yu Mincho" w:hAnsi="Cambria" w:cs="Times New Roman"/>
          <w:sz w:val="20"/>
          <w:szCs w:val="20"/>
        </w:rPr>
      </w:pPr>
    </w:p>
    <w:p w14:paraId="36CFC16D" w14:textId="77777777" w:rsidR="00AB1C70" w:rsidRPr="00F0379B" w:rsidRDefault="00AB1C70" w:rsidP="00AB1C70">
      <w:pPr>
        <w:spacing w:after="0" w:line="240" w:lineRule="auto"/>
        <w:jc w:val="both"/>
        <w:rPr>
          <w:rFonts w:ascii="Cambria" w:eastAsia="Yu Mincho" w:hAnsi="Cambria" w:cs="Times New Roman"/>
          <w:sz w:val="20"/>
          <w:szCs w:val="20"/>
        </w:rPr>
      </w:pPr>
    </w:p>
    <w:p w14:paraId="5B3C50EE" w14:textId="77777777" w:rsidR="00AB1C70" w:rsidRPr="00F0379B" w:rsidRDefault="00AB1C70" w:rsidP="00AB1C70">
      <w:pPr>
        <w:spacing w:after="0" w:line="240" w:lineRule="auto"/>
        <w:jc w:val="both"/>
        <w:rPr>
          <w:rFonts w:ascii="Cambria" w:eastAsia="Yu Mincho" w:hAnsi="Cambria" w:cs="Times New Roman"/>
          <w:sz w:val="20"/>
          <w:szCs w:val="20"/>
        </w:rPr>
      </w:pPr>
    </w:p>
    <w:p w14:paraId="33F9AE9A" w14:textId="77777777" w:rsidR="00AB1C70" w:rsidRPr="00F0379B" w:rsidRDefault="00AB1C70" w:rsidP="00AB1C70">
      <w:pPr>
        <w:spacing w:after="0" w:line="240" w:lineRule="auto"/>
        <w:jc w:val="both"/>
        <w:rPr>
          <w:rFonts w:ascii="Cambria" w:eastAsia="Yu Mincho" w:hAnsi="Cambria" w:cs="Times New Roman"/>
          <w:sz w:val="20"/>
          <w:szCs w:val="20"/>
        </w:rPr>
      </w:pPr>
    </w:p>
    <w:p w14:paraId="0CAC1241" w14:textId="77777777" w:rsidR="00AB1C70" w:rsidRPr="00F0379B" w:rsidRDefault="00AB1C70" w:rsidP="00AB1C70">
      <w:pPr>
        <w:spacing w:after="0" w:line="240" w:lineRule="auto"/>
        <w:jc w:val="both"/>
        <w:rPr>
          <w:rFonts w:ascii="Cambria" w:eastAsia="Yu Mincho" w:hAnsi="Cambria" w:cs="Times New Roman"/>
          <w:sz w:val="20"/>
          <w:szCs w:val="20"/>
        </w:rPr>
        <w:sectPr w:rsidR="00AB1C70" w:rsidRPr="00F0379B" w:rsidSect="00AB1C70">
          <w:headerReference w:type="default" r:id="rId269"/>
          <w:footerReference w:type="default" r:id="rId270"/>
          <w:pgSz w:w="11907" w:h="16840" w:code="9"/>
          <w:pgMar w:top="1418" w:right="1418" w:bottom="1418" w:left="1418" w:header="851" w:footer="1134" w:gutter="0"/>
          <w:cols w:space="720"/>
          <w:docGrid w:linePitch="360"/>
        </w:sectPr>
      </w:pPr>
    </w:p>
    <w:p w14:paraId="33024047" w14:textId="77777777" w:rsidR="00AB1C70" w:rsidRPr="00F0379B" w:rsidRDefault="00AB1C70" w:rsidP="00AB1C70">
      <w:pPr>
        <w:spacing w:after="0" w:line="240" w:lineRule="auto"/>
        <w:jc w:val="right"/>
        <w:rPr>
          <w:rFonts w:ascii="Cambria" w:eastAsia="Yu Mincho" w:hAnsi="Cambria" w:cs="Times New Roman"/>
          <w:b/>
          <w:bCs/>
          <w:sz w:val="20"/>
          <w:szCs w:val="20"/>
        </w:rPr>
      </w:pPr>
      <w:r w:rsidRPr="00F0379B">
        <w:rPr>
          <w:rFonts w:ascii="Cambria" w:hAnsi="Cambria"/>
          <w:b/>
          <w:sz w:val="20"/>
          <w:szCs w:val="20"/>
        </w:rPr>
        <w:t>Tabla 1</w:t>
      </w:r>
    </w:p>
    <w:p w14:paraId="7868A713" w14:textId="77777777" w:rsidR="00AB1C70" w:rsidRPr="00F0379B" w:rsidRDefault="00AB1C70" w:rsidP="00AB1C70">
      <w:pPr>
        <w:spacing w:after="0" w:line="240" w:lineRule="auto"/>
        <w:jc w:val="center"/>
        <w:rPr>
          <w:rFonts w:ascii="Cambria" w:eastAsia="Cambria" w:hAnsi="Cambria" w:cs="Cambria"/>
          <w:b/>
          <w:bCs/>
          <w:sz w:val="20"/>
          <w:szCs w:val="20"/>
        </w:rPr>
      </w:pPr>
    </w:p>
    <w:p w14:paraId="61DE8873" w14:textId="77777777" w:rsidR="00AB1C70" w:rsidRPr="00F0379B" w:rsidRDefault="00AB1C70" w:rsidP="00AB1C70">
      <w:pPr>
        <w:spacing w:after="0" w:line="240" w:lineRule="auto"/>
        <w:jc w:val="center"/>
        <w:rPr>
          <w:rFonts w:ascii="Cambria" w:eastAsia="Yu Mincho" w:hAnsi="Cambria" w:cs="Times New Roman"/>
          <w:b/>
          <w:bCs/>
          <w:sz w:val="20"/>
          <w:szCs w:val="20"/>
        </w:rPr>
      </w:pPr>
      <w:r w:rsidRPr="00F0379B">
        <w:rPr>
          <w:rFonts w:ascii="Cambria" w:hAnsi="Cambria"/>
          <w:b/>
          <w:sz w:val="20"/>
          <w:szCs w:val="20"/>
        </w:rPr>
        <w:t>Aclaraciones solicitadas sobre las Recomendaciones 24-05 y 25-04</w:t>
      </w:r>
    </w:p>
    <w:p w14:paraId="31258A0E" w14:textId="77777777" w:rsidR="00AB1C70" w:rsidRPr="00F0379B" w:rsidRDefault="00AB1C70" w:rsidP="00AB1C70">
      <w:pPr>
        <w:spacing w:after="0" w:line="240" w:lineRule="auto"/>
        <w:jc w:val="center"/>
        <w:rPr>
          <w:rFonts w:ascii="Cambria" w:hAnsi="Cambria"/>
          <w:sz w:val="20"/>
          <w:szCs w:val="20"/>
        </w:rPr>
      </w:pPr>
      <w:r w:rsidRPr="00F0379B">
        <w:rPr>
          <w:rFonts w:ascii="Cambria" w:hAnsi="Cambria"/>
          <w:sz w:val="20"/>
          <w:szCs w:val="20"/>
        </w:rPr>
        <w:tab/>
      </w:r>
    </w:p>
    <w:tbl>
      <w:tblPr>
        <w:tblStyle w:val="TableGrid2"/>
        <w:tblW w:w="5164" w:type="pct"/>
        <w:tblLook w:val="04A0" w:firstRow="1" w:lastRow="0" w:firstColumn="1" w:lastColumn="0" w:noHBand="0" w:noVBand="1"/>
      </w:tblPr>
      <w:tblGrid>
        <w:gridCol w:w="1403"/>
        <w:gridCol w:w="2394"/>
        <w:gridCol w:w="1616"/>
        <w:gridCol w:w="1720"/>
        <w:gridCol w:w="2215"/>
        <w:gridCol w:w="1647"/>
        <w:gridCol w:w="1604"/>
        <w:gridCol w:w="1852"/>
      </w:tblGrid>
      <w:tr w:rsidR="00AB1C70" w:rsidRPr="00F0379B" w14:paraId="7AD311BD" w14:textId="77777777" w:rsidTr="00CA749B">
        <w:trPr>
          <w:trHeight w:val="142"/>
          <w:tblHeader/>
        </w:trPr>
        <w:tc>
          <w:tcPr>
            <w:tcW w:w="484" w:type="pct"/>
          </w:tcPr>
          <w:p w14:paraId="082E129B" w14:textId="77777777" w:rsidR="00AB1C70" w:rsidRPr="00F0379B" w:rsidRDefault="00AB1C70" w:rsidP="00CA749B">
            <w:pPr>
              <w:ind w:left="426"/>
              <w:contextualSpacing/>
              <w:rPr>
                <w:rFonts w:ascii="Cambria" w:eastAsia="Yu Mincho" w:hAnsi="Cambria"/>
                <w:b/>
                <w:bCs/>
                <w:sz w:val="20"/>
                <w:szCs w:val="20"/>
              </w:rPr>
            </w:pPr>
          </w:p>
        </w:tc>
        <w:tc>
          <w:tcPr>
            <w:tcW w:w="830" w:type="pct"/>
          </w:tcPr>
          <w:p w14:paraId="6A8C7DC7" w14:textId="77777777" w:rsidR="00AB1C70" w:rsidRPr="00F0379B" w:rsidRDefault="00AB1C70" w:rsidP="00CA749B">
            <w:pPr>
              <w:ind w:left="426"/>
              <w:contextualSpacing/>
              <w:jc w:val="center"/>
              <w:rPr>
                <w:rFonts w:ascii="Cambria" w:eastAsia="Yu Mincho" w:hAnsi="Cambria"/>
                <w:b/>
                <w:bCs/>
                <w:i/>
                <w:iCs/>
                <w:sz w:val="20"/>
                <w:szCs w:val="20"/>
              </w:rPr>
            </w:pPr>
            <w:r w:rsidRPr="00F0379B">
              <w:rPr>
                <w:rFonts w:ascii="Cambria" w:hAnsi="Cambria"/>
                <w:b/>
                <w:i/>
                <w:sz w:val="20"/>
                <w:szCs w:val="20"/>
              </w:rPr>
              <w:t>Cuestión</w:t>
            </w:r>
          </w:p>
        </w:tc>
        <w:tc>
          <w:tcPr>
            <w:tcW w:w="561" w:type="pct"/>
          </w:tcPr>
          <w:p w14:paraId="2AC22159" w14:textId="77777777" w:rsidR="00AB1C70" w:rsidRPr="00F0379B" w:rsidRDefault="00AB1C70" w:rsidP="00CA749B">
            <w:pPr>
              <w:ind w:left="426"/>
              <w:jc w:val="center"/>
              <w:rPr>
                <w:rFonts w:ascii="Cambria" w:eastAsia="Yu Mincho" w:hAnsi="Cambria"/>
                <w:b/>
                <w:bCs/>
                <w:i/>
                <w:iCs/>
                <w:sz w:val="20"/>
                <w:szCs w:val="20"/>
              </w:rPr>
            </w:pPr>
            <w:r w:rsidRPr="00F0379B">
              <w:rPr>
                <w:rFonts w:ascii="Cambria" w:hAnsi="Cambria"/>
                <w:b/>
                <w:i/>
                <w:sz w:val="20"/>
                <w:szCs w:val="20"/>
              </w:rPr>
              <w:t>Solicitud</w:t>
            </w:r>
          </w:p>
        </w:tc>
        <w:tc>
          <w:tcPr>
            <w:tcW w:w="594" w:type="pct"/>
          </w:tcPr>
          <w:p w14:paraId="748615F1" w14:textId="77777777" w:rsidR="00AB1C70" w:rsidRPr="00F0379B" w:rsidRDefault="00AB1C70" w:rsidP="00CA749B">
            <w:pPr>
              <w:ind w:left="108" w:hanging="108"/>
              <w:jc w:val="center"/>
              <w:rPr>
                <w:rFonts w:ascii="Cambria" w:eastAsia="Yu Mincho" w:hAnsi="Cambria"/>
                <w:b/>
                <w:bCs/>
                <w:i/>
                <w:iCs/>
                <w:sz w:val="20"/>
                <w:szCs w:val="20"/>
              </w:rPr>
            </w:pPr>
            <w:r w:rsidRPr="00F0379B">
              <w:rPr>
                <w:rFonts w:ascii="Cambria" w:hAnsi="Cambria"/>
                <w:b/>
                <w:i/>
                <w:sz w:val="20"/>
                <w:szCs w:val="20"/>
              </w:rPr>
              <w:t>Comentarios de Türkiye</w:t>
            </w:r>
          </w:p>
        </w:tc>
        <w:tc>
          <w:tcPr>
            <w:tcW w:w="764" w:type="pct"/>
          </w:tcPr>
          <w:p w14:paraId="5704AABF" w14:textId="77777777" w:rsidR="00AB1C70" w:rsidRPr="00F0379B" w:rsidRDefault="00AB1C70" w:rsidP="00CA749B">
            <w:pPr>
              <w:ind w:left="23"/>
              <w:jc w:val="center"/>
              <w:rPr>
                <w:rFonts w:ascii="Cambria" w:eastAsia="Yu Mincho" w:hAnsi="Cambria"/>
                <w:b/>
                <w:bCs/>
                <w:i/>
                <w:iCs/>
                <w:sz w:val="20"/>
                <w:szCs w:val="20"/>
              </w:rPr>
            </w:pPr>
            <w:r w:rsidRPr="00F0379B">
              <w:rPr>
                <w:rFonts w:ascii="Cambria" w:hAnsi="Cambria"/>
                <w:b/>
                <w:i/>
                <w:sz w:val="20"/>
                <w:szCs w:val="20"/>
              </w:rPr>
              <w:t>Comentarios de Japón</w:t>
            </w:r>
          </w:p>
        </w:tc>
        <w:tc>
          <w:tcPr>
            <w:tcW w:w="570" w:type="pct"/>
          </w:tcPr>
          <w:p w14:paraId="69174650" w14:textId="77777777" w:rsidR="00AB1C70" w:rsidRPr="00F0379B" w:rsidRDefault="00AB1C70" w:rsidP="00CA749B">
            <w:pPr>
              <w:ind w:left="23"/>
              <w:jc w:val="center"/>
              <w:rPr>
                <w:rFonts w:ascii="Cambria" w:eastAsia="Yu Mincho" w:hAnsi="Cambria"/>
                <w:b/>
                <w:bCs/>
                <w:i/>
                <w:iCs/>
                <w:sz w:val="20"/>
                <w:szCs w:val="20"/>
              </w:rPr>
            </w:pPr>
            <w:r w:rsidRPr="00F0379B">
              <w:rPr>
                <w:rFonts w:ascii="Cambria" w:hAnsi="Cambria"/>
                <w:b/>
                <w:i/>
                <w:sz w:val="20"/>
                <w:szCs w:val="20"/>
              </w:rPr>
              <w:t>Comentarios de la EU</w:t>
            </w:r>
          </w:p>
        </w:tc>
        <w:tc>
          <w:tcPr>
            <w:tcW w:w="555" w:type="pct"/>
          </w:tcPr>
          <w:p w14:paraId="3CF15E9A" w14:textId="77777777" w:rsidR="00AB1C70" w:rsidRPr="00F0379B" w:rsidRDefault="00AB1C70" w:rsidP="00CA749B">
            <w:pPr>
              <w:ind w:left="23"/>
              <w:jc w:val="center"/>
              <w:rPr>
                <w:rFonts w:ascii="Cambria" w:eastAsia="Yu Mincho" w:hAnsi="Cambria"/>
                <w:b/>
                <w:bCs/>
                <w:i/>
                <w:iCs/>
                <w:sz w:val="20"/>
                <w:szCs w:val="20"/>
              </w:rPr>
            </w:pPr>
            <w:r w:rsidRPr="00F0379B">
              <w:rPr>
                <w:rFonts w:ascii="Cambria" w:hAnsi="Cambria"/>
                <w:b/>
                <w:i/>
                <w:sz w:val="20"/>
                <w:szCs w:val="20"/>
              </w:rPr>
              <w:t>Comentarios de Egipto</w:t>
            </w:r>
          </w:p>
        </w:tc>
        <w:tc>
          <w:tcPr>
            <w:tcW w:w="642" w:type="pct"/>
          </w:tcPr>
          <w:p w14:paraId="12C7173C" w14:textId="77777777" w:rsidR="00AB1C70" w:rsidRPr="00F0379B" w:rsidRDefault="00AB1C70" w:rsidP="00CA749B">
            <w:pPr>
              <w:ind w:left="23"/>
              <w:jc w:val="center"/>
              <w:rPr>
                <w:rFonts w:ascii="Cambria" w:hAnsi="Cambria"/>
                <w:b/>
                <w:i/>
                <w:sz w:val="20"/>
                <w:szCs w:val="20"/>
              </w:rPr>
            </w:pPr>
            <w:r w:rsidRPr="00F0379B">
              <w:rPr>
                <w:rFonts w:ascii="Cambria" w:hAnsi="Cambria"/>
                <w:b/>
                <w:i/>
                <w:sz w:val="20"/>
                <w:szCs w:val="20"/>
              </w:rPr>
              <w:t>Respuesta de la Subcomisión 2</w:t>
            </w:r>
          </w:p>
        </w:tc>
      </w:tr>
      <w:tr w:rsidR="00AB1C70" w:rsidRPr="00F0379B" w14:paraId="5B484E9A" w14:textId="77777777" w:rsidTr="00CA749B">
        <w:trPr>
          <w:trHeight w:val="142"/>
        </w:trPr>
        <w:tc>
          <w:tcPr>
            <w:tcW w:w="484" w:type="pct"/>
          </w:tcPr>
          <w:p w14:paraId="0E5C81AA" w14:textId="77777777" w:rsidR="00AB1C70" w:rsidRPr="00F0379B" w:rsidRDefault="00AB1C70" w:rsidP="00CA749B">
            <w:pPr>
              <w:contextualSpacing/>
              <w:rPr>
                <w:rFonts w:ascii="Cambria" w:eastAsia="Yu Mincho" w:hAnsi="Cambria"/>
                <w:b/>
                <w:bCs/>
                <w:sz w:val="20"/>
                <w:szCs w:val="20"/>
              </w:rPr>
            </w:pPr>
            <w:r w:rsidRPr="00F0379B">
              <w:rPr>
                <w:rFonts w:ascii="Cambria" w:hAnsi="Cambria"/>
                <w:b/>
                <w:sz w:val="20"/>
                <w:szCs w:val="20"/>
              </w:rPr>
              <w:t>1. Informes sobre introducción en jaulas de atún rojo</w:t>
            </w:r>
          </w:p>
        </w:tc>
        <w:tc>
          <w:tcPr>
            <w:tcW w:w="830" w:type="pct"/>
          </w:tcPr>
          <w:p w14:paraId="0DE70FEE" w14:textId="77777777" w:rsidR="00AB1C70" w:rsidRPr="00F0379B" w:rsidRDefault="00AB1C70" w:rsidP="00CA749B">
            <w:pPr>
              <w:pStyle w:val="BodyText"/>
              <w:spacing w:line="256" w:lineRule="auto"/>
              <w:ind w:right="132"/>
              <w:rPr>
                <w:rFonts w:ascii="Cambria" w:hAnsi="Cambria"/>
                <w:sz w:val="20"/>
              </w:rPr>
            </w:pPr>
            <w:r w:rsidRPr="00F0379B">
              <w:rPr>
                <w:rFonts w:ascii="Cambria" w:hAnsi="Cambria"/>
                <w:sz w:val="20"/>
              </w:rPr>
              <w:t xml:space="preserve">En lo que respecta a los plazos y a la comunicación de datos en virtud de los requisitos </w:t>
            </w:r>
            <w:proofErr w:type="gramStart"/>
            <w:r w:rsidRPr="00F0379B">
              <w:rPr>
                <w:rFonts w:ascii="Cambria" w:hAnsi="Cambria"/>
                <w:sz w:val="20"/>
              </w:rPr>
              <w:t>M:BFT</w:t>
            </w:r>
            <w:proofErr w:type="gramEnd"/>
            <w:r w:rsidRPr="00F0379B">
              <w:rPr>
                <w:rFonts w:ascii="Cambria" w:hAnsi="Cambria"/>
                <w:sz w:val="20"/>
              </w:rPr>
              <w:t xml:space="preserve">02 y </w:t>
            </w:r>
            <w:proofErr w:type="gramStart"/>
            <w:r w:rsidRPr="00F0379B">
              <w:rPr>
                <w:rFonts w:ascii="Cambria" w:hAnsi="Cambria"/>
                <w:sz w:val="20"/>
              </w:rPr>
              <w:t>M:BFT</w:t>
            </w:r>
            <w:proofErr w:type="gramEnd"/>
            <w:r w:rsidRPr="00F0379B">
              <w:rPr>
                <w:rFonts w:ascii="Cambria" w:hAnsi="Cambria"/>
                <w:sz w:val="20"/>
              </w:rPr>
              <w:t>04, cabe señalar que tras la adopción de la Recomendación 21-08, que sustituyó a la Recomendación 06-07, ya no existe un plazo específico para comunicar los datos de introducción en jaulas y de cría.</w:t>
            </w:r>
          </w:p>
          <w:p w14:paraId="745AE7A3" w14:textId="77777777" w:rsidR="00AB1C70" w:rsidRPr="00F0379B" w:rsidRDefault="00AB1C70" w:rsidP="00CA749B">
            <w:pPr>
              <w:pStyle w:val="BodyText"/>
              <w:spacing w:line="256" w:lineRule="auto"/>
              <w:ind w:right="132"/>
              <w:rPr>
                <w:rFonts w:ascii="Cambria" w:hAnsi="Cambria"/>
                <w:sz w:val="20"/>
              </w:rPr>
            </w:pPr>
          </w:p>
          <w:p w14:paraId="5E7551AC" w14:textId="77777777" w:rsidR="00AB1C70" w:rsidRPr="00F0379B" w:rsidRDefault="00AB1C70" w:rsidP="00CA749B">
            <w:pPr>
              <w:pStyle w:val="BodyText"/>
              <w:spacing w:line="256" w:lineRule="auto"/>
              <w:ind w:right="132"/>
              <w:rPr>
                <w:rFonts w:ascii="Cambria" w:hAnsi="Cambria"/>
                <w:sz w:val="20"/>
              </w:rPr>
            </w:pPr>
            <w:r w:rsidRPr="00F0379B">
              <w:rPr>
                <w:rFonts w:ascii="Cambria" w:hAnsi="Cambria"/>
                <w:sz w:val="20"/>
              </w:rPr>
              <w:t xml:space="preserve">De acuerdo con lo establecido en los párrafos 24 y 188 de la </w:t>
            </w:r>
            <w:r w:rsidRPr="00F0379B">
              <w:rPr>
                <w:rFonts w:ascii="Cambria" w:hAnsi="Cambria"/>
                <w:i/>
                <w:iCs/>
                <w:sz w:val="20"/>
              </w:rPr>
              <w:t xml:space="preserve">Recomendación de ICCAT que enmienda la Recomendación 22-08 que establece un plan de ordenación plurianual para el atún rojo en el Atlántico este y el Mediterráneo </w:t>
            </w:r>
            <w:r w:rsidRPr="00F0379B">
              <w:rPr>
                <w:rFonts w:ascii="Cambria" w:hAnsi="Cambria"/>
                <w:sz w:val="20"/>
              </w:rPr>
              <w:t>(Rec. 24-05):</w:t>
            </w:r>
          </w:p>
          <w:p w14:paraId="55CB1E42" w14:textId="77777777" w:rsidR="00AB1C70" w:rsidRPr="00F0379B" w:rsidRDefault="00AB1C70" w:rsidP="00CA749B">
            <w:pPr>
              <w:pStyle w:val="BodyText"/>
              <w:spacing w:line="256" w:lineRule="auto"/>
              <w:ind w:right="132"/>
              <w:rPr>
                <w:rFonts w:ascii="Cambria" w:hAnsi="Cambria"/>
                <w:sz w:val="20"/>
              </w:rPr>
            </w:pPr>
          </w:p>
          <w:p w14:paraId="6C549D98" w14:textId="77777777" w:rsidR="00AB1C70" w:rsidRPr="00F0379B" w:rsidRDefault="00AB1C70" w:rsidP="00CA749B">
            <w:pPr>
              <w:pStyle w:val="BodyText"/>
              <w:spacing w:line="256" w:lineRule="auto"/>
              <w:ind w:right="132"/>
              <w:rPr>
                <w:rFonts w:ascii="Cambria" w:hAnsi="Cambria"/>
                <w:sz w:val="20"/>
              </w:rPr>
            </w:pPr>
            <w:proofErr w:type="gramStart"/>
            <w:r w:rsidRPr="00F0379B">
              <w:rPr>
                <w:rFonts w:ascii="Cambria" w:hAnsi="Cambria"/>
                <w:sz w:val="20"/>
              </w:rPr>
              <w:t>“ 24</w:t>
            </w:r>
            <w:proofErr w:type="gramEnd"/>
            <w:r w:rsidRPr="00F0379B">
              <w:rPr>
                <w:rFonts w:ascii="Cambria" w:hAnsi="Cambria"/>
                <w:sz w:val="20"/>
              </w:rPr>
              <w:t>. La Secretaría de ICCAT recopilará estadísticas sobre la cantidad anual de introducción en jaulas (entrada de peces capturados en estado salvaje), de sacrificio y de exportación, por CPC de la granja, utilizando los datos del sistema eBCD.  El Grupo de trabajo permanente sobre sistemas de documentación de capturas (CDS WG) considerará el desarrollo de dicha función de extracción de datos y, hasta que dicha función esté disponible, cada CPC de la granja comunicará estas estadísticas a la Secretaría de ICCAT.  Estas estadísticas estarán disponibles en el sitio web de ICCAT y estarán sujetas a requisitos de confidencialidad.</w:t>
            </w:r>
          </w:p>
          <w:p w14:paraId="052EC556" w14:textId="77777777" w:rsidR="00AB1C70" w:rsidRPr="00F0379B" w:rsidRDefault="00AB1C70" w:rsidP="00CA749B">
            <w:pPr>
              <w:pStyle w:val="BodyText"/>
              <w:spacing w:line="256" w:lineRule="auto"/>
              <w:ind w:right="132"/>
              <w:rPr>
                <w:rFonts w:ascii="Cambria" w:hAnsi="Cambria"/>
                <w:sz w:val="20"/>
              </w:rPr>
            </w:pPr>
          </w:p>
          <w:p w14:paraId="313FA6CF" w14:textId="77777777" w:rsidR="0056673F" w:rsidRPr="00F0379B" w:rsidRDefault="0056673F" w:rsidP="00CA749B">
            <w:pPr>
              <w:pStyle w:val="BodyText"/>
              <w:spacing w:line="256" w:lineRule="auto"/>
              <w:ind w:right="132"/>
              <w:rPr>
                <w:rFonts w:ascii="Cambria" w:hAnsi="Cambria"/>
                <w:b/>
                <w:sz w:val="20"/>
              </w:rPr>
            </w:pPr>
          </w:p>
          <w:p w14:paraId="6E55241E" w14:textId="1DF3E908" w:rsidR="00AB1C70" w:rsidRPr="00F0379B" w:rsidRDefault="00AB1C70" w:rsidP="00CA749B">
            <w:pPr>
              <w:pStyle w:val="BodyText"/>
              <w:spacing w:line="256" w:lineRule="auto"/>
              <w:ind w:right="132"/>
              <w:rPr>
                <w:rFonts w:ascii="Cambria" w:hAnsi="Cambria"/>
                <w:b/>
                <w:bCs/>
                <w:sz w:val="20"/>
              </w:rPr>
            </w:pPr>
            <w:r w:rsidRPr="00F0379B">
              <w:rPr>
                <w:rFonts w:ascii="Cambria" w:hAnsi="Cambria"/>
                <w:b/>
                <w:sz w:val="20"/>
              </w:rPr>
              <w:t>Informe de introducción en jaula</w:t>
            </w:r>
          </w:p>
          <w:p w14:paraId="535795B9" w14:textId="77777777" w:rsidR="00AB1C70" w:rsidRPr="00F0379B" w:rsidRDefault="00AB1C70" w:rsidP="00CA749B">
            <w:pPr>
              <w:pStyle w:val="BodyText"/>
              <w:spacing w:line="256" w:lineRule="auto"/>
              <w:ind w:right="132"/>
              <w:rPr>
                <w:rFonts w:ascii="Cambria" w:hAnsi="Cambria"/>
                <w:sz w:val="20"/>
              </w:rPr>
            </w:pPr>
          </w:p>
          <w:p w14:paraId="6217B9BD" w14:textId="77777777" w:rsidR="00AB1C70" w:rsidRPr="00F0379B" w:rsidRDefault="00AB1C70" w:rsidP="00CA749B">
            <w:pPr>
              <w:pStyle w:val="BodyText"/>
              <w:tabs>
                <w:tab w:val="left" w:pos="368"/>
              </w:tabs>
              <w:spacing w:line="256" w:lineRule="auto"/>
              <w:ind w:right="132"/>
              <w:rPr>
                <w:rFonts w:ascii="Cambria" w:hAnsi="Cambria"/>
                <w:sz w:val="20"/>
              </w:rPr>
            </w:pPr>
            <w:r w:rsidRPr="00F0379B">
              <w:rPr>
                <w:rFonts w:ascii="Cambria" w:hAnsi="Cambria"/>
                <w:sz w:val="20"/>
              </w:rPr>
              <w:t xml:space="preserve">188. </w:t>
            </w:r>
            <w:r w:rsidRPr="00F0379B">
              <w:rPr>
                <w:rFonts w:ascii="Cambria" w:hAnsi="Cambria"/>
                <w:sz w:val="20"/>
              </w:rPr>
              <w:tab/>
              <w:t>En los 15 días posteriores a la finalización de las órdenes de liberación, la autoridad competente de la CPC de la granja expedirá un informe de introducción en jaula para cada operación de introducción en jaula individual o, en el caso de una JFO o de almadrabas de la misma CPC/Estado miembro de la UE, para el conjunto completo de operaciones de introducción en jaulas relacionado con dicha JFO o dichas almadrabas.  El informe de introducción en jaula incluirá la información mencionada en el párrafo 3 del Anexo 9 y se comunicará a la autoridad competente de la CPC del pabellón de captura o de la almadraba y a la Secretaría de ICCAT</w:t>
            </w:r>
            <w:r w:rsidRPr="00F0379B">
              <w:rPr>
                <w:rFonts w:ascii="Cambria" w:hAnsi="Cambria"/>
                <w:i/>
                <w:iCs/>
                <w:sz w:val="20"/>
              </w:rPr>
              <w:t>.”</w:t>
            </w:r>
          </w:p>
          <w:p w14:paraId="433D7834" w14:textId="77777777" w:rsidR="00AB1C70" w:rsidRPr="00F0379B" w:rsidRDefault="00AB1C70" w:rsidP="00CA749B">
            <w:pPr>
              <w:pStyle w:val="BodyText"/>
              <w:ind w:firstLine="720"/>
              <w:rPr>
                <w:rFonts w:ascii="Cambria" w:hAnsi="Cambria"/>
                <w:sz w:val="20"/>
              </w:rPr>
            </w:pPr>
          </w:p>
          <w:p w14:paraId="283935FD" w14:textId="77777777" w:rsidR="00AB1C70" w:rsidRPr="00F0379B" w:rsidRDefault="00AB1C70" w:rsidP="00CA749B">
            <w:pPr>
              <w:pStyle w:val="BodyText"/>
              <w:spacing w:before="4"/>
              <w:rPr>
                <w:rFonts w:ascii="Cambria" w:hAnsi="Cambria"/>
                <w:sz w:val="20"/>
              </w:rPr>
            </w:pPr>
            <w:r w:rsidRPr="00F0379B">
              <w:rPr>
                <w:rFonts w:ascii="Cambria" w:hAnsi="Cambria"/>
                <w:sz w:val="20"/>
              </w:rPr>
              <w:t xml:space="preserve">La Secretaría considera que </w:t>
            </w:r>
            <w:proofErr w:type="gramStart"/>
            <w:r w:rsidRPr="00F0379B">
              <w:rPr>
                <w:rFonts w:ascii="Cambria" w:hAnsi="Cambria"/>
                <w:sz w:val="20"/>
              </w:rPr>
              <w:t>M:BFT</w:t>
            </w:r>
            <w:proofErr w:type="gramEnd"/>
            <w:r w:rsidRPr="00F0379B">
              <w:rPr>
                <w:rFonts w:ascii="Cambria" w:hAnsi="Cambria"/>
                <w:sz w:val="20"/>
              </w:rPr>
              <w:t xml:space="preserve">02 y </w:t>
            </w:r>
            <w:proofErr w:type="gramStart"/>
            <w:r w:rsidRPr="00F0379B">
              <w:rPr>
                <w:rFonts w:ascii="Cambria" w:hAnsi="Cambria"/>
                <w:sz w:val="20"/>
              </w:rPr>
              <w:t>M:BFT</w:t>
            </w:r>
            <w:proofErr w:type="gramEnd"/>
            <w:r w:rsidRPr="00F0379B">
              <w:rPr>
                <w:rFonts w:ascii="Cambria" w:hAnsi="Cambria"/>
                <w:sz w:val="20"/>
              </w:rPr>
              <w:t>04 representan requisitos de comunicación de información relacionados pero distintos:</w:t>
            </w:r>
          </w:p>
          <w:p w14:paraId="35D8EF3F" w14:textId="77777777" w:rsidR="00AB1C70" w:rsidRPr="00F0379B" w:rsidRDefault="00AB1C70" w:rsidP="00CA749B">
            <w:pPr>
              <w:pStyle w:val="BodyText"/>
              <w:spacing w:before="4"/>
              <w:ind w:left="360"/>
              <w:rPr>
                <w:rFonts w:ascii="Cambria" w:hAnsi="Cambria"/>
                <w:sz w:val="20"/>
              </w:rPr>
            </w:pPr>
          </w:p>
          <w:p w14:paraId="5E5F1089" w14:textId="77777777" w:rsidR="00AB1C70" w:rsidRPr="00F0379B" w:rsidRDefault="00AB1C70" w:rsidP="00CE0EC8">
            <w:pPr>
              <w:pStyle w:val="BodyText"/>
              <w:widowControl w:val="0"/>
              <w:numPr>
                <w:ilvl w:val="0"/>
                <w:numId w:val="94"/>
              </w:numPr>
              <w:autoSpaceDE w:val="0"/>
              <w:autoSpaceDN w:val="0"/>
              <w:spacing w:before="4"/>
              <w:rPr>
                <w:rFonts w:ascii="Cambria" w:hAnsi="Cambria"/>
                <w:sz w:val="20"/>
              </w:rPr>
            </w:pPr>
            <w:proofErr w:type="gramStart"/>
            <w:r w:rsidRPr="00F0379B">
              <w:rPr>
                <w:rFonts w:ascii="Cambria" w:hAnsi="Cambria"/>
                <w:sz w:val="20"/>
              </w:rPr>
              <w:t>M:BFT</w:t>
            </w:r>
            <w:proofErr w:type="gramEnd"/>
            <w:r w:rsidRPr="00F0379B">
              <w:rPr>
                <w:rFonts w:ascii="Cambria" w:hAnsi="Cambria"/>
                <w:sz w:val="20"/>
              </w:rPr>
              <w:t>04 - El informe de introducción en jaula de atún rojo se refiere únicamente a la información sobre la introducción en jaula, que incluye tanto las operaciones de liberación como las operaciones de introducción en jaula subsiguientes, o sólo las de introducción en jaula cuando no se produce liberación. El plazo se establece explícitamente como 15 días después de la finalización de la liberación o, si no hay liberación, implica 15 días después de la operación de introducción en jaulas.</w:t>
            </w:r>
          </w:p>
          <w:p w14:paraId="000A5102" w14:textId="77777777" w:rsidR="00AB1C70" w:rsidRPr="00F0379B" w:rsidRDefault="00AB1C70" w:rsidP="00CE0EC8">
            <w:pPr>
              <w:pStyle w:val="BodyText"/>
              <w:widowControl w:val="0"/>
              <w:numPr>
                <w:ilvl w:val="0"/>
                <w:numId w:val="94"/>
              </w:numPr>
              <w:autoSpaceDE w:val="0"/>
              <w:autoSpaceDN w:val="0"/>
              <w:spacing w:before="4"/>
              <w:rPr>
                <w:rFonts w:ascii="Cambria" w:hAnsi="Cambria"/>
                <w:sz w:val="20"/>
              </w:rPr>
            </w:pPr>
            <w:proofErr w:type="gramStart"/>
            <w:r w:rsidRPr="00F0379B">
              <w:rPr>
                <w:rFonts w:ascii="Cambria" w:hAnsi="Cambria"/>
                <w:sz w:val="20"/>
              </w:rPr>
              <w:t>M:BFT</w:t>
            </w:r>
            <w:proofErr w:type="gramEnd"/>
            <w:r w:rsidRPr="00F0379B">
              <w:rPr>
                <w:rFonts w:ascii="Cambria" w:hAnsi="Cambria"/>
                <w:sz w:val="20"/>
              </w:rPr>
              <w:t>02 - Informes de cría de atún rojo, se refiere a otras actividades de cría dentro de la granja, como transferencias dentro de la granja, traspasos, sacrificios, etc., tal y como figuran en la tabla de eventos del formulario CP09. No están explícitamente contemplados en la actual Recomendación con un plazo definido.</w:t>
            </w:r>
          </w:p>
        </w:tc>
        <w:tc>
          <w:tcPr>
            <w:tcW w:w="561" w:type="pct"/>
          </w:tcPr>
          <w:p w14:paraId="26D26928"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 xml:space="preserve">Aunque el sitio web de ICCAT indica actualmente una fecha límite para </w:t>
            </w:r>
            <w:proofErr w:type="gramStart"/>
            <w:r w:rsidRPr="00F0379B">
              <w:rPr>
                <w:rFonts w:ascii="Cambria" w:hAnsi="Cambria"/>
                <w:sz w:val="20"/>
                <w:szCs w:val="20"/>
              </w:rPr>
              <w:t>M:BFT</w:t>
            </w:r>
            <w:proofErr w:type="gramEnd"/>
            <w:r w:rsidRPr="00F0379B">
              <w:rPr>
                <w:rFonts w:ascii="Cambria" w:hAnsi="Cambria"/>
                <w:sz w:val="20"/>
                <w:szCs w:val="20"/>
              </w:rPr>
              <w:t xml:space="preserve">02, esto puede parecer vago o redundante, ya que las operaciones de introducción en jaulas y liberación ya se abordan en el requisito </w:t>
            </w:r>
            <w:proofErr w:type="gramStart"/>
            <w:r w:rsidRPr="00F0379B">
              <w:rPr>
                <w:rFonts w:ascii="Cambria" w:hAnsi="Cambria"/>
                <w:sz w:val="20"/>
                <w:szCs w:val="20"/>
              </w:rPr>
              <w:t>M:BFT</w:t>
            </w:r>
            <w:proofErr w:type="gramEnd"/>
            <w:r w:rsidRPr="00F0379B">
              <w:rPr>
                <w:rFonts w:ascii="Cambria" w:hAnsi="Cambria"/>
                <w:sz w:val="20"/>
                <w:szCs w:val="20"/>
              </w:rPr>
              <w:t xml:space="preserve">04. La falta de un plazo claramente definido en la Recomendación actual podría inducir a confusión. </w:t>
            </w:r>
          </w:p>
          <w:p w14:paraId="7118FC8B" w14:textId="77777777" w:rsidR="00AB1C70" w:rsidRPr="00F0379B" w:rsidRDefault="00AB1C70" w:rsidP="00CA749B">
            <w:pPr>
              <w:jc w:val="both"/>
              <w:rPr>
                <w:rFonts w:ascii="Cambria" w:eastAsia="Yu Mincho" w:hAnsi="Cambria"/>
                <w:sz w:val="20"/>
                <w:szCs w:val="20"/>
              </w:rPr>
            </w:pPr>
          </w:p>
          <w:p w14:paraId="669D663E" w14:textId="77777777" w:rsidR="00AB1C70" w:rsidRPr="00F0379B" w:rsidRDefault="00AB1C70" w:rsidP="00CA749B">
            <w:pPr>
              <w:jc w:val="both"/>
              <w:rPr>
                <w:rFonts w:ascii="Cambria" w:eastAsia="Times New Roman" w:hAnsi="Cambria"/>
                <w:sz w:val="20"/>
                <w:szCs w:val="20"/>
              </w:rPr>
            </w:pPr>
            <w:r w:rsidRPr="00F0379B">
              <w:rPr>
                <w:rFonts w:ascii="Cambria" w:hAnsi="Cambria"/>
                <w:sz w:val="20"/>
                <w:szCs w:val="20"/>
              </w:rPr>
              <w:t>La Secretaría agradecería que el Grupo de trabajo permanente para la mejora de las estadísticas y normas de conservación de ICCAT (GTP) y/o la Subcomisión 2 proporcionasen directrices para aclarar los datos específicos requeridos para cada requisito, y para establecer un plazo explícito para estas operaciones adicionales en la nueva Recomendación para el atún rojo del este que se desarrollará este año.</w:t>
            </w:r>
          </w:p>
        </w:tc>
        <w:tc>
          <w:tcPr>
            <w:tcW w:w="594" w:type="pct"/>
          </w:tcPr>
          <w:p w14:paraId="3F683B34"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 xml:space="preserve">Türkiye apoya el establecimiento de un plazo para la comunicación de datos sobre la introducción en jaula y la cría, tal y como se establece en las recomendaciones anteriores. </w:t>
            </w:r>
          </w:p>
          <w:p w14:paraId="1CB41C33" w14:textId="77777777" w:rsidR="00AB1C70" w:rsidRPr="00F0379B" w:rsidRDefault="00AB1C70" w:rsidP="00CA749B">
            <w:pPr>
              <w:jc w:val="both"/>
              <w:rPr>
                <w:rFonts w:ascii="Cambria" w:eastAsia="Yu Mincho" w:hAnsi="Cambria"/>
                <w:sz w:val="20"/>
                <w:szCs w:val="20"/>
              </w:rPr>
            </w:pPr>
          </w:p>
        </w:tc>
        <w:tc>
          <w:tcPr>
            <w:tcW w:w="764" w:type="pct"/>
          </w:tcPr>
          <w:p w14:paraId="44AA8FFE" w14:textId="77777777" w:rsidR="00AB1C70" w:rsidRPr="00F0379B" w:rsidRDefault="00AB1C70" w:rsidP="00CA749B">
            <w:pPr>
              <w:jc w:val="both"/>
              <w:rPr>
                <w:rFonts w:ascii="Cambria" w:eastAsia="Yu Mincho" w:hAnsi="Cambria"/>
                <w:sz w:val="20"/>
                <w:szCs w:val="20"/>
              </w:rPr>
            </w:pPr>
          </w:p>
        </w:tc>
        <w:tc>
          <w:tcPr>
            <w:tcW w:w="570" w:type="pct"/>
          </w:tcPr>
          <w:p w14:paraId="5E62D757"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La UE considera importante recopilar y publicar información general sobre las actividades de cría (es decir, la información establecida en el párrafo 24, que puede incluso complementarse con otra información extraída del eBCD, para ofrecer una visión completa de las diferentes etapas de la actividad de cría). Sin embargo, enviar informes individuales sobre cada operación de introducción en jaula y cada liberación, o enviar la información contenida en el modelo CP09, supone una carga significativa e innecesaria para las CPC. Esto supondría una duplicación de las obligaciones de comunicación de información para las CPC, ya que estas ya comunican esta información en el eBCD. La Secretaría tiene acceso a toda la información necesaria a través del eBCD, aunque todavía no sea técnicamente posible extraerla del sistema. Sin embargo, la UE no está de acuerdo en que esto signifique que las CPC deban soportar la importante carga administrativa que supondría una doble comunicación de la información.</w:t>
            </w:r>
          </w:p>
        </w:tc>
        <w:tc>
          <w:tcPr>
            <w:tcW w:w="555" w:type="pct"/>
          </w:tcPr>
          <w:p w14:paraId="10EC1D2B"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Egipto coincide con la Secretaría en que existe una falta de claridad en cuanto a los plazos para comunicar los datos sobre la introducción en jaula y los datos de cría en virtud de la Recomendación actual. Para evitar confusiones y garantizar una implementación coherente, apoyamos:</w:t>
            </w:r>
          </w:p>
          <w:p w14:paraId="4D27B810" w14:textId="77777777" w:rsidR="00AB1C70" w:rsidRPr="00F0379B" w:rsidRDefault="00AB1C70" w:rsidP="00CA749B">
            <w:pPr>
              <w:jc w:val="both"/>
              <w:rPr>
                <w:rFonts w:ascii="Cambria" w:eastAsia="Yu Mincho" w:hAnsi="Cambria"/>
                <w:sz w:val="20"/>
                <w:szCs w:val="20"/>
              </w:rPr>
            </w:pPr>
          </w:p>
          <w:p w14:paraId="07CD158F"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 xml:space="preserve">- Distinguir claramente entre </w:t>
            </w:r>
            <w:proofErr w:type="gramStart"/>
            <w:r w:rsidRPr="00F0379B">
              <w:rPr>
                <w:rFonts w:ascii="Cambria" w:hAnsi="Cambria"/>
                <w:sz w:val="20"/>
                <w:szCs w:val="20"/>
              </w:rPr>
              <w:t>M:BFT</w:t>
            </w:r>
            <w:proofErr w:type="gramEnd"/>
            <w:r w:rsidRPr="00F0379B">
              <w:rPr>
                <w:rFonts w:ascii="Cambria" w:hAnsi="Cambria"/>
                <w:sz w:val="20"/>
                <w:szCs w:val="20"/>
              </w:rPr>
              <w:t xml:space="preserve">02 (operaciones de cría) y </w:t>
            </w:r>
            <w:proofErr w:type="gramStart"/>
            <w:r w:rsidRPr="00F0379B">
              <w:rPr>
                <w:rFonts w:ascii="Cambria" w:hAnsi="Cambria"/>
                <w:sz w:val="20"/>
                <w:szCs w:val="20"/>
              </w:rPr>
              <w:t>M:BFT</w:t>
            </w:r>
            <w:proofErr w:type="gramEnd"/>
            <w:r w:rsidRPr="00F0379B">
              <w:rPr>
                <w:rFonts w:ascii="Cambria" w:hAnsi="Cambria"/>
                <w:sz w:val="20"/>
                <w:szCs w:val="20"/>
              </w:rPr>
              <w:t>04 (informes sobre introducción en jaula).</w:t>
            </w:r>
          </w:p>
          <w:p w14:paraId="61C0B6F6" w14:textId="77777777" w:rsidR="00AB1C70" w:rsidRPr="00F0379B" w:rsidRDefault="00AB1C70" w:rsidP="00CA749B">
            <w:pPr>
              <w:jc w:val="both"/>
              <w:rPr>
                <w:rFonts w:ascii="Cambria" w:eastAsia="Yu Mincho" w:hAnsi="Cambria"/>
                <w:sz w:val="20"/>
                <w:szCs w:val="20"/>
              </w:rPr>
            </w:pPr>
          </w:p>
          <w:p w14:paraId="3937D50F"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 xml:space="preserve">- Establecer un plazo específico para </w:t>
            </w:r>
            <w:proofErr w:type="gramStart"/>
            <w:r w:rsidRPr="00F0379B">
              <w:rPr>
                <w:rFonts w:ascii="Cambria" w:hAnsi="Cambria"/>
                <w:sz w:val="20"/>
                <w:szCs w:val="20"/>
              </w:rPr>
              <w:t>M:BFT</w:t>
            </w:r>
            <w:proofErr w:type="gramEnd"/>
            <w:r w:rsidRPr="00F0379B">
              <w:rPr>
                <w:rFonts w:ascii="Cambria" w:hAnsi="Cambria"/>
                <w:sz w:val="20"/>
                <w:szCs w:val="20"/>
              </w:rPr>
              <w:t xml:space="preserve">02, similar al plazo de 15 días que ya se aplica a </w:t>
            </w:r>
            <w:proofErr w:type="gramStart"/>
            <w:r w:rsidRPr="00F0379B">
              <w:rPr>
                <w:rFonts w:ascii="Cambria" w:hAnsi="Cambria"/>
                <w:sz w:val="20"/>
                <w:szCs w:val="20"/>
              </w:rPr>
              <w:t>M:BFT</w:t>
            </w:r>
            <w:proofErr w:type="gramEnd"/>
            <w:r w:rsidRPr="00F0379B">
              <w:rPr>
                <w:rFonts w:ascii="Cambria" w:hAnsi="Cambria"/>
                <w:sz w:val="20"/>
                <w:szCs w:val="20"/>
              </w:rPr>
              <w:t>04.</w:t>
            </w:r>
          </w:p>
          <w:p w14:paraId="2DF56430" w14:textId="77777777" w:rsidR="00AB1C70" w:rsidRPr="00F0379B" w:rsidRDefault="00AB1C70" w:rsidP="00CA749B">
            <w:pPr>
              <w:jc w:val="both"/>
              <w:rPr>
                <w:rFonts w:ascii="Cambria" w:eastAsia="Yu Mincho" w:hAnsi="Cambria"/>
                <w:sz w:val="20"/>
                <w:szCs w:val="20"/>
              </w:rPr>
            </w:pPr>
          </w:p>
          <w:p w14:paraId="3A1140B5"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Incluir estas aclaraciones en la próxima recomendación revisada sobre ordenación de atún rojo.</w:t>
            </w:r>
          </w:p>
        </w:tc>
        <w:tc>
          <w:tcPr>
            <w:tcW w:w="642" w:type="pct"/>
          </w:tcPr>
          <w:p w14:paraId="42EC2D3B" w14:textId="77777777" w:rsidR="00AB1C70" w:rsidRPr="00F0379B" w:rsidRDefault="00AB1C70" w:rsidP="00CA749B">
            <w:pPr>
              <w:jc w:val="both"/>
              <w:rPr>
                <w:rFonts w:ascii="Cambria" w:hAnsi="Cambria"/>
                <w:sz w:val="20"/>
                <w:szCs w:val="20"/>
              </w:rPr>
            </w:pPr>
            <w:r w:rsidRPr="00F0379B">
              <w:rPr>
                <w:rFonts w:ascii="Cambria" w:hAnsi="Cambria"/>
                <w:sz w:val="20"/>
                <w:szCs w:val="20"/>
              </w:rPr>
              <w:t>Consenso sobre el establecimiento de plazos para la comunicación de datos relativos a la introducción en jaulas y la cría.</w:t>
            </w:r>
          </w:p>
          <w:p w14:paraId="7990033A" w14:textId="77777777" w:rsidR="00AB1C70" w:rsidRPr="00F0379B" w:rsidRDefault="00AB1C70" w:rsidP="00CA749B">
            <w:pPr>
              <w:jc w:val="both"/>
              <w:rPr>
                <w:rFonts w:ascii="Cambria" w:hAnsi="Cambria"/>
                <w:sz w:val="20"/>
                <w:szCs w:val="20"/>
              </w:rPr>
            </w:pPr>
            <w:r w:rsidRPr="00F0379B">
              <w:rPr>
                <w:rFonts w:ascii="Cambria" w:hAnsi="Cambria"/>
                <w:sz w:val="20"/>
                <w:szCs w:val="20"/>
              </w:rPr>
              <w:t>Esto se incluirá en la próxima modificación o sustitución de la actual Recomendación para el atún rojo del este.</w:t>
            </w:r>
          </w:p>
          <w:p w14:paraId="24D8BD43" w14:textId="77777777" w:rsidR="00AB1C70" w:rsidRPr="00F0379B" w:rsidRDefault="00AB1C70" w:rsidP="00CA749B">
            <w:pPr>
              <w:rPr>
                <w:rFonts w:ascii="Cambria" w:hAnsi="Cambria"/>
                <w:sz w:val="20"/>
                <w:szCs w:val="20"/>
              </w:rPr>
            </w:pPr>
          </w:p>
          <w:p w14:paraId="29E16A1D" w14:textId="77777777" w:rsidR="00AB1C70" w:rsidRPr="00F0379B" w:rsidRDefault="00AB1C70" w:rsidP="00CA749B">
            <w:pPr>
              <w:rPr>
                <w:rFonts w:ascii="Cambria" w:hAnsi="Cambria"/>
                <w:sz w:val="20"/>
                <w:szCs w:val="20"/>
              </w:rPr>
            </w:pPr>
          </w:p>
          <w:p w14:paraId="47B0ABE8" w14:textId="77777777" w:rsidR="00AB1C70" w:rsidRPr="00F0379B" w:rsidRDefault="00AB1C70" w:rsidP="00CA749B">
            <w:pPr>
              <w:rPr>
                <w:rFonts w:ascii="Cambria" w:hAnsi="Cambria"/>
                <w:sz w:val="20"/>
                <w:szCs w:val="20"/>
              </w:rPr>
            </w:pPr>
          </w:p>
          <w:p w14:paraId="5FBFC729" w14:textId="77777777" w:rsidR="00AB1C70" w:rsidRPr="00F0379B" w:rsidRDefault="00AB1C70" w:rsidP="00CA749B">
            <w:pPr>
              <w:jc w:val="center"/>
              <w:rPr>
                <w:rFonts w:ascii="Cambria" w:hAnsi="Cambria"/>
                <w:sz w:val="20"/>
                <w:szCs w:val="20"/>
              </w:rPr>
            </w:pPr>
          </w:p>
        </w:tc>
      </w:tr>
      <w:tr w:rsidR="00AB1C70" w:rsidRPr="00F0379B" w14:paraId="24AA242A" w14:textId="77777777" w:rsidTr="0056673F">
        <w:trPr>
          <w:trHeight w:val="1466"/>
        </w:trPr>
        <w:tc>
          <w:tcPr>
            <w:tcW w:w="484" w:type="pct"/>
          </w:tcPr>
          <w:p w14:paraId="7FFC5A8F" w14:textId="77777777" w:rsidR="00AB1C70" w:rsidRPr="00F0379B" w:rsidRDefault="00AB1C70" w:rsidP="00CA749B">
            <w:pPr>
              <w:contextualSpacing/>
              <w:rPr>
                <w:rFonts w:ascii="Cambria" w:eastAsia="Yu Mincho" w:hAnsi="Cambria"/>
                <w:b/>
                <w:bCs/>
                <w:sz w:val="20"/>
                <w:szCs w:val="20"/>
              </w:rPr>
            </w:pPr>
            <w:r w:rsidRPr="00F0379B">
              <w:rPr>
                <w:rFonts w:ascii="Cambria" w:hAnsi="Cambria"/>
                <w:b/>
                <w:sz w:val="20"/>
                <w:szCs w:val="20"/>
              </w:rPr>
              <w:t>2. Cuotas de atún rojo para buques de captura de más de 24 m</w:t>
            </w:r>
          </w:p>
          <w:p w14:paraId="0F2B2061" w14:textId="77777777" w:rsidR="00AB1C70" w:rsidRPr="00F0379B" w:rsidRDefault="00AB1C70" w:rsidP="00CA749B">
            <w:pPr>
              <w:contextualSpacing/>
              <w:rPr>
                <w:rFonts w:ascii="Cambria" w:eastAsia="Yu Mincho" w:hAnsi="Cambria"/>
                <w:b/>
                <w:bCs/>
                <w:sz w:val="20"/>
                <w:szCs w:val="20"/>
              </w:rPr>
            </w:pPr>
          </w:p>
        </w:tc>
        <w:tc>
          <w:tcPr>
            <w:tcW w:w="830" w:type="pct"/>
          </w:tcPr>
          <w:p w14:paraId="0485E99B"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 xml:space="preserve">De conformidad con el párrafo 3 de la </w:t>
            </w:r>
            <w:r w:rsidRPr="00F0379B">
              <w:rPr>
                <w:rFonts w:ascii="Cambria" w:hAnsi="Cambria"/>
                <w:i/>
                <w:iCs/>
                <w:sz w:val="20"/>
                <w:szCs w:val="20"/>
              </w:rPr>
              <w:t xml:space="preserve">Recomendación de ICCAT que enmienda la Recomendación 22-08 que establece un plan de ordenación plurianual para el atún rojo en el Atlántico este y Mediterráneo </w:t>
            </w:r>
            <w:r w:rsidRPr="00F0379B">
              <w:rPr>
                <w:rFonts w:ascii="Cambria" w:hAnsi="Cambria"/>
                <w:sz w:val="20"/>
                <w:szCs w:val="20"/>
              </w:rPr>
              <w:t>(Rec. 24-05)</w:t>
            </w:r>
          </w:p>
          <w:p w14:paraId="205F93E9" w14:textId="77777777" w:rsidR="00AB1C70" w:rsidRPr="00F0379B" w:rsidRDefault="00AB1C70" w:rsidP="00CA749B">
            <w:pPr>
              <w:jc w:val="both"/>
              <w:rPr>
                <w:rFonts w:ascii="Cambria" w:eastAsia="Yu Mincho" w:hAnsi="Cambria"/>
                <w:sz w:val="20"/>
                <w:szCs w:val="20"/>
              </w:rPr>
            </w:pPr>
          </w:p>
          <w:p w14:paraId="0DBA18C1"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"3. Cada CPC adoptará las medidas necesarias para garantizar que el esfuerzo pesquero de sus buques de captura y de sus almadrabas se corresponda con las posibilidades de pesca de atún rojo disponibles para dicha CPC en el Atlántico este y el Mediterráneo, lo que incluye mediante el establecimiento de cuotas individuales para sus buques de captura de más de 24 m incluidos en la lista mencionada en el párrafo 48 a) de esta Recomendación."</w:t>
            </w:r>
          </w:p>
          <w:p w14:paraId="3754660D" w14:textId="77777777" w:rsidR="00AB1C70" w:rsidRPr="00F0379B" w:rsidRDefault="00AB1C70" w:rsidP="00CA749B">
            <w:pPr>
              <w:jc w:val="both"/>
              <w:rPr>
                <w:rFonts w:ascii="Cambria" w:eastAsia="Yu Mincho" w:hAnsi="Cambria"/>
                <w:sz w:val="20"/>
                <w:szCs w:val="20"/>
              </w:rPr>
            </w:pPr>
          </w:p>
          <w:p w14:paraId="3BDBD491"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A la luz de lo anterior, la Secretaría interpreta que todos los buques de captura de más de 24 m de eslora total (LOA) que pescan activamente atún rojo, es decir, aquellos que dirigen su actividad al atún rojo durante una temporada de pesca determinada y que, por lo tanto, están activos en el Registro ICCAT de buques de captura de atún rojo, deben tener asignada una cuota válida, que no debe ser nula o igual a cero. Esto último puede tener implicaciones, sobre todo teniendo en cuenta las interconexiones con otros sistemas vinculados al Registro de buques, como el eBCD.</w:t>
            </w:r>
          </w:p>
          <w:p w14:paraId="7B76A254" w14:textId="77777777" w:rsidR="00AB1C70" w:rsidRPr="00F0379B" w:rsidRDefault="00AB1C70" w:rsidP="00CA749B">
            <w:pPr>
              <w:jc w:val="both"/>
              <w:rPr>
                <w:rFonts w:ascii="Cambria" w:eastAsia="Yu Mincho" w:hAnsi="Cambria"/>
                <w:sz w:val="20"/>
                <w:szCs w:val="20"/>
              </w:rPr>
            </w:pPr>
          </w:p>
          <w:p w14:paraId="113E60B0" w14:textId="77777777" w:rsidR="00AB1C70" w:rsidRPr="00F0379B" w:rsidRDefault="00AB1C70" w:rsidP="00CA749B">
            <w:pPr>
              <w:contextualSpacing/>
              <w:jc w:val="both"/>
              <w:rPr>
                <w:rFonts w:ascii="Cambria" w:eastAsia="Yu Mincho" w:hAnsi="Cambria"/>
                <w:sz w:val="20"/>
                <w:szCs w:val="20"/>
              </w:rPr>
            </w:pPr>
            <w:r w:rsidRPr="00F0379B">
              <w:rPr>
                <w:rFonts w:ascii="Cambria" w:hAnsi="Cambria"/>
                <w:sz w:val="20"/>
                <w:szCs w:val="20"/>
              </w:rPr>
              <w:t>Sin embargo, algunas CPC han solicitado que la Secretaría mantenga en la citada lista los buques cuya cuota es igual a cero.</w:t>
            </w:r>
          </w:p>
          <w:p w14:paraId="210FF045" w14:textId="77777777" w:rsidR="00AB1C70" w:rsidRPr="00F0379B" w:rsidRDefault="00AB1C70" w:rsidP="00CA749B">
            <w:pPr>
              <w:contextualSpacing/>
              <w:jc w:val="both"/>
              <w:rPr>
                <w:rFonts w:ascii="Cambria" w:eastAsia="Times New Roman" w:hAnsi="Cambria"/>
                <w:sz w:val="20"/>
                <w:szCs w:val="20"/>
              </w:rPr>
            </w:pPr>
          </w:p>
        </w:tc>
        <w:tc>
          <w:tcPr>
            <w:tcW w:w="561" w:type="pct"/>
          </w:tcPr>
          <w:p w14:paraId="7B81409C" w14:textId="77777777" w:rsidR="00AB1C70" w:rsidRPr="00F0379B" w:rsidRDefault="00AB1C70" w:rsidP="00CA749B">
            <w:pPr>
              <w:jc w:val="both"/>
              <w:rPr>
                <w:rFonts w:ascii="Cambria" w:eastAsia="Times New Roman" w:hAnsi="Cambria"/>
                <w:sz w:val="20"/>
                <w:szCs w:val="20"/>
              </w:rPr>
            </w:pPr>
            <w:r w:rsidRPr="00F0379B">
              <w:rPr>
                <w:rFonts w:ascii="Cambria" w:hAnsi="Cambria"/>
                <w:sz w:val="20"/>
                <w:szCs w:val="20"/>
              </w:rPr>
              <w:t>La Secretaría agradecería que el GTP y/o la Subcomisión 2 proporcionasen orientaciones sobre cómo proceder y si una cuota nula o cero es aceptable como cuota individual para los buques de captura de más de 24 m.</w:t>
            </w:r>
          </w:p>
        </w:tc>
        <w:tc>
          <w:tcPr>
            <w:tcW w:w="594" w:type="pct"/>
          </w:tcPr>
          <w:p w14:paraId="28988DB2" w14:textId="77777777" w:rsidR="00AB1C70" w:rsidRPr="00F0379B" w:rsidRDefault="00AB1C70" w:rsidP="00CA749B">
            <w:pPr>
              <w:jc w:val="both"/>
              <w:rPr>
                <w:rFonts w:ascii="Cambria" w:eastAsia="Yu Mincho" w:hAnsi="Cambria"/>
                <w:sz w:val="20"/>
                <w:szCs w:val="20"/>
              </w:rPr>
            </w:pPr>
          </w:p>
        </w:tc>
        <w:tc>
          <w:tcPr>
            <w:tcW w:w="764" w:type="pct"/>
          </w:tcPr>
          <w:p w14:paraId="7F80A43A"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Japón entiende que, aunque los buques pesqueros estarán registrados con una cuota válida en el Registro ICCAT de buques de captura de atún rojo, los buques podrán permanecer en el Registro incluso después de que la cuota asignada se haya agotado o transferido, con el fin de que los buques puedan recibir futuras transferencias de cuota.</w:t>
            </w:r>
          </w:p>
          <w:p w14:paraId="0529389D"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 xml:space="preserve">Japón designa, al comienzo de la temporada de pesca, los buques que participarán en la pesca de atún rojo durante ese año, de conformidad con el párrafo 52 de la Recomendación 24-05. Todos los buques disponen de cuotas válidas; sin embargo, es posible que algunos buques tengan que transferir su cuota antes de que finalice la campaña de pesca.  Dado que el párrafo 53 de la Rec. 24-05 restringe los registros retroactivos de buques, los buques receptores deben estar registrados antes del inicio de la actividad pesquera. En algunos casos, los buques que han consumido/transferido íntegramente su cuota desean recibir dicha transferencia. Se debería permitir que dichos buques figuren en el Registro incluso después de haber agotado toda la cuota inicial, es decir, cuota cero.  </w:t>
            </w:r>
          </w:p>
          <w:p w14:paraId="196D961C" w14:textId="77777777" w:rsidR="00AB1C70" w:rsidRPr="00F0379B" w:rsidRDefault="00AB1C70" w:rsidP="00CA749B">
            <w:pPr>
              <w:jc w:val="both"/>
              <w:rPr>
                <w:rFonts w:ascii="Cambria" w:eastAsia="Yu Mincho" w:hAnsi="Cambria"/>
                <w:sz w:val="20"/>
                <w:szCs w:val="20"/>
              </w:rPr>
            </w:pPr>
          </w:p>
        </w:tc>
        <w:tc>
          <w:tcPr>
            <w:tcW w:w="570" w:type="pct"/>
          </w:tcPr>
          <w:p w14:paraId="1C24770E"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En lo que respecta a las cuotas de atún rojo para los buques de captura de más de 24 metros, la UE está de acuerdo con la interpretación proporcionada por la Secretaría de ICCAT de que los buques de captura de más de 24 metros que figuran en el Registro ICCAT de buques deberían tener asignada una cuota, que no debería ser cero. No seguir esta interpretación convierte al registro en una herramienta poco fiable para determinar quién está autorizado a pescar atún rojo. Cuando un buque está inscrito en el registro, asumimos que puede pescar atún rojo y, para ello, debe tener asignada una cuota. Esto es especialmente importante en el caso de un programa de inspección conjunta, en el que es esencial saber si un buque puede o no pescar atún rojo.</w:t>
            </w:r>
          </w:p>
        </w:tc>
        <w:tc>
          <w:tcPr>
            <w:tcW w:w="555" w:type="pct"/>
          </w:tcPr>
          <w:p w14:paraId="3DF8277B"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Egipto comprende la necesidad de flexibilidad en el registro de buques y la gestión de las cuotas. Apoyamos la opinión de que:</w:t>
            </w:r>
          </w:p>
          <w:p w14:paraId="740F79E3" w14:textId="77777777" w:rsidR="00AB1C70" w:rsidRPr="00F0379B" w:rsidRDefault="00AB1C70" w:rsidP="00CA749B">
            <w:pPr>
              <w:jc w:val="both"/>
              <w:rPr>
                <w:rFonts w:ascii="Cambria" w:eastAsia="Yu Mincho" w:hAnsi="Cambria"/>
                <w:sz w:val="20"/>
                <w:szCs w:val="20"/>
              </w:rPr>
            </w:pPr>
          </w:p>
          <w:p w14:paraId="10C4025D"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Se debería permitir que los buques permanezcan en el Registro ICCAT de buques de captura de atún rojo, incluso si su cuota individual es temporalmente cero, siempre que se prevea que recibirán transferencias de cuota más adelante en la temporada.</w:t>
            </w:r>
          </w:p>
          <w:p w14:paraId="4A9B57DE" w14:textId="77777777" w:rsidR="00AB1C70" w:rsidRPr="00F0379B" w:rsidRDefault="00AB1C70" w:rsidP="00CA749B">
            <w:pPr>
              <w:jc w:val="both"/>
              <w:rPr>
                <w:rFonts w:ascii="Cambria" w:eastAsia="Yu Mincho" w:hAnsi="Cambria"/>
                <w:sz w:val="20"/>
                <w:szCs w:val="20"/>
              </w:rPr>
            </w:pPr>
          </w:p>
          <w:p w14:paraId="4486AE53"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Esto es coherente con la necesidad de flexibilidad operativa y evita cargas administrativas innecesarias.</w:t>
            </w:r>
          </w:p>
          <w:p w14:paraId="7DDA7559" w14:textId="77777777" w:rsidR="00AB1C70" w:rsidRPr="00F0379B" w:rsidRDefault="00AB1C70" w:rsidP="00CA749B">
            <w:pPr>
              <w:jc w:val="both"/>
              <w:rPr>
                <w:rFonts w:ascii="Cambria" w:eastAsia="Yu Mincho" w:hAnsi="Cambria"/>
                <w:sz w:val="20"/>
                <w:szCs w:val="20"/>
              </w:rPr>
            </w:pPr>
          </w:p>
          <w:p w14:paraId="40D4D74F"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Sin embargo, deben establecerse salvaguardias para garantizar que los buques con cuota cero no realicen actividades pesqueras hasta que se les transfiera una cuota válida.</w:t>
            </w:r>
          </w:p>
          <w:p w14:paraId="4054D4D4" w14:textId="77777777" w:rsidR="00AB1C70" w:rsidRPr="00F0379B" w:rsidRDefault="00AB1C70" w:rsidP="00CA749B">
            <w:pPr>
              <w:jc w:val="both"/>
              <w:rPr>
                <w:rFonts w:ascii="Cambria" w:eastAsia="Yu Mincho" w:hAnsi="Cambria"/>
                <w:sz w:val="20"/>
                <w:szCs w:val="20"/>
              </w:rPr>
            </w:pPr>
          </w:p>
          <w:p w14:paraId="1175AEC5"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Instamos a la Subcomisión a que proporcione una orientación clara sobre esta cuestión para garantizar una aplicación armonizada en todas las CPC.</w:t>
            </w:r>
          </w:p>
          <w:p w14:paraId="6ABE88AA" w14:textId="77777777" w:rsidR="00AB1C70" w:rsidRPr="00F0379B" w:rsidRDefault="00AB1C70" w:rsidP="00CA749B">
            <w:pPr>
              <w:jc w:val="both"/>
              <w:rPr>
                <w:rFonts w:ascii="Cambria" w:eastAsia="Yu Mincho" w:hAnsi="Cambria"/>
                <w:sz w:val="20"/>
                <w:szCs w:val="20"/>
              </w:rPr>
            </w:pPr>
          </w:p>
          <w:p w14:paraId="2A8DDE71" w14:textId="77777777" w:rsidR="00AB1C70" w:rsidRPr="00F0379B" w:rsidRDefault="00AB1C70" w:rsidP="00CA749B">
            <w:pPr>
              <w:jc w:val="both"/>
              <w:rPr>
                <w:rFonts w:ascii="Cambria" w:eastAsia="Yu Mincho" w:hAnsi="Cambria"/>
                <w:sz w:val="20"/>
                <w:szCs w:val="20"/>
              </w:rPr>
            </w:pPr>
            <w:r w:rsidRPr="00F0379B">
              <w:rPr>
                <w:rFonts w:ascii="Cambria" w:hAnsi="Cambria"/>
                <w:sz w:val="20"/>
                <w:szCs w:val="20"/>
              </w:rPr>
              <w:t>Creemos que esto mejorará el cumplimiento y la calidad de los datos.</w:t>
            </w:r>
          </w:p>
        </w:tc>
        <w:tc>
          <w:tcPr>
            <w:tcW w:w="642" w:type="pct"/>
          </w:tcPr>
          <w:p w14:paraId="1F9B521F" w14:textId="77777777" w:rsidR="00AB1C70" w:rsidRPr="00F0379B" w:rsidRDefault="00AB1C70" w:rsidP="00CA749B">
            <w:pPr>
              <w:jc w:val="both"/>
              <w:rPr>
                <w:rFonts w:ascii="Cambria" w:hAnsi="Cambria"/>
                <w:sz w:val="20"/>
                <w:szCs w:val="20"/>
              </w:rPr>
            </w:pPr>
            <w:r w:rsidRPr="00F0379B">
              <w:rPr>
                <w:rFonts w:ascii="Cambria" w:hAnsi="Cambria"/>
                <w:sz w:val="20"/>
                <w:szCs w:val="20"/>
              </w:rPr>
              <w:t>No se alcanzó un consenso.</w:t>
            </w:r>
          </w:p>
        </w:tc>
      </w:tr>
    </w:tbl>
    <w:p w14:paraId="731DD7B1" w14:textId="77777777" w:rsidR="006D33EA" w:rsidRPr="00F0379B" w:rsidRDefault="006D33EA" w:rsidP="00BB0590">
      <w:pPr>
        <w:spacing w:after="0" w:line="240" w:lineRule="auto"/>
        <w:ind w:right="100"/>
        <w:jc w:val="center"/>
        <w:rPr>
          <w:rFonts w:ascii="Cambria" w:eastAsia="Yu Gothic" w:hAnsi="Cambria" w:cs="Times New Roman"/>
          <w:b/>
          <w:bCs/>
          <w:kern w:val="2"/>
          <w:sz w:val="20"/>
          <w:szCs w:val="20"/>
          <w14:ligatures w14:val="standardContextual"/>
        </w:rPr>
        <w:sectPr w:rsidR="006D33EA" w:rsidRPr="00F0379B" w:rsidSect="00AB1C70">
          <w:pgSz w:w="16838" w:h="11906" w:orient="landscape"/>
          <w:pgMar w:top="1418" w:right="1418" w:bottom="1418" w:left="1418" w:header="851" w:footer="1134" w:gutter="0"/>
          <w:cols w:space="708"/>
          <w:docGrid w:linePitch="360"/>
        </w:sectPr>
      </w:pPr>
    </w:p>
    <w:p w14:paraId="48F356A6" w14:textId="5117758F" w:rsidR="00BB0590" w:rsidRPr="00F0379B" w:rsidRDefault="006D33EA" w:rsidP="006D33EA">
      <w:pPr>
        <w:spacing w:after="0" w:line="240" w:lineRule="auto"/>
        <w:ind w:right="100"/>
        <w:jc w:val="right"/>
        <w:rPr>
          <w:rFonts w:ascii="Cambria" w:eastAsia="Yu Gothic" w:hAnsi="Cambria" w:cs="Times New Roman"/>
          <w:b/>
          <w:bCs/>
          <w:kern w:val="2"/>
          <w:sz w:val="20"/>
          <w:szCs w:val="20"/>
          <w14:ligatures w14:val="standardContextual"/>
        </w:rPr>
      </w:pPr>
      <w:r w:rsidRPr="00F0379B">
        <w:rPr>
          <w:rFonts w:ascii="Cambria" w:eastAsia="Yu Gothic" w:hAnsi="Cambria" w:cs="Times New Roman"/>
          <w:b/>
          <w:bCs/>
          <w:kern w:val="2"/>
          <w:sz w:val="20"/>
          <w:szCs w:val="20"/>
          <w14:ligatures w14:val="standardContextual"/>
        </w:rPr>
        <w:t>Apéndice </w:t>
      </w:r>
      <w:r w:rsidR="009F48A7" w:rsidRPr="00F0379B">
        <w:rPr>
          <w:rFonts w:ascii="Cambria" w:eastAsia="Yu Gothic" w:hAnsi="Cambria" w:cs="Times New Roman"/>
          <w:b/>
          <w:bCs/>
          <w:kern w:val="2"/>
          <w:sz w:val="20"/>
          <w:szCs w:val="20"/>
          <w14:ligatures w14:val="standardContextual"/>
        </w:rPr>
        <w:t>7</w:t>
      </w:r>
    </w:p>
    <w:p w14:paraId="0C05C352" w14:textId="3678A495" w:rsidR="009F48A7" w:rsidRPr="00F0379B" w:rsidRDefault="009F48A7" w:rsidP="009224A5">
      <w:pPr>
        <w:spacing w:after="0" w:line="240" w:lineRule="auto"/>
        <w:jc w:val="center"/>
        <w:rPr>
          <w:rFonts w:ascii="Cambria" w:hAnsi="Cambria"/>
          <w:bCs/>
          <w:sz w:val="20"/>
        </w:rPr>
      </w:pPr>
      <w:r w:rsidRPr="00F0379B">
        <w:rPr>
          <w:rFonts w:ascii="Cambria" w:hAnsi="Cambria"/>
          <w:b/>
          <w:sz w:val="20"/>
        </w:rPr>
        <w:t>Examen de las solicitudes de la Comisión al SCRS</w:t>
      </w:r>
    </w:p>
    <w:p w14:paraId="5A3E2375" w14:textId="77777777" w:rsidR="009F48A7" w:rsidRPr="00F0379B" w:rsidRDefault="009F48A7" w:rsidP="009F48A7">
      <w:pPr>
        <w:spacing w:after="0" w:line="240" w:lineRule="auto"/>
        <w:jc w:val="center"/>
        <w:rPr>
          <w:rFonts w:ascii="Cambria" w:hAnsi="Cambria"/>
          <w:b/>
          <w:sz w:val="16"/>
          <w:szCs w:val="18"/>
        </w:rPr>
      </w:pPr>
    </w:p>
    <w:tbl>
      <w:tblPr>
        <w:tblStyle w:val="TableGrid"/>
        <w:tblW w:w="0" w:type="auto"/>
        <w:tblLook w:val="04A0" w:firstRow="1" w:lastRow="0" w:firstColumn="1" w:lastColumn="0" w:noHBand="0" w:noVBand="1"/>
      </w:tblPr>
      <w:tblGrid>
        <w:gridCol w:w="8217"/>
        <w:gridCol w:w="5386"/>
      </w:tblGrid>
      <w:tr w:rsidR="00471BAB" w:rsidRPr="00F0379B" w14:paraId="56784D6C" w14:textId="77777777" w:rsidTr="00DD4D11">
        <w:trPr>
          <w:tblHeader/>
        </w:trPr>
        <w:tc>
          <w:tcPr>
            <w:tcW w:w="8217" w:type="dxa"/>
          </w:tcPr>
          <w:p w14:paraId="151E3731" w14:textId="77777777" w:rsidR="00471BAB" w:rsidRPr="00F0379B" w:rsidRDefault="00471BAB" w:rsidP="00DD4D11">
            <w:pPr>
              <w:widowControl w:val="0"/>
              <w:jc w:val="center"/>
              <w:rPr>
                <w:rFonts w:ascii="Cambria" w:eastAsia="Yu Mincho" w:hAnsi="Cambria"/>
                <w:i/>
                <w:iCs/>
                <w:sz w:val="20"/>
                <w:szCs w:val="20"/>
              </w:rPr>
            </w:pPr>
            <w:r w:rsidRPr="00F0379B">
              <w:rPr>
                <w:rFonts w:ascii="Cambria" w:hAnsi="Cambria"/>
                <w:i/>
                <w:sz w:val="20"/>
              </w:rPr>
              <w:t>Solicitudes de la Subcomisión 2</w:t>
            </w:r>
          </w:p>
        </w:tc>
        <w:tc>
          <w:tcPr>
            <w:tcW w:w="5386" w:type="dxa"/>
          </w:tcPr>
          <w:p w14:paraId="43380082" w14:textId="77777777" w:rsidR="00471BAB" w:rsidRPr="00F0379B" w:rsidRDefault="00471BAB" w:rsidP="00DD4D11">
            <w:pPr>
              <w:widowControl w:val="0"/>
              <w:jc w:val="center"/>
              <w:rPr>
                <w:rFonts w:ascii="Cambria" w:eastAsia="Yu Mincho" w:hAnsi="Cambria"/>
                <w:i/>
                <w:iCs/>
                <w:sz w:val="20"/>
                <w:szCs w:val="20"/>
              </w:rPr>
            </w:pPr>
            <w:r w:rsidRPr="00F0379B">
              <w:rPr>
                <w:rFonts w:ascii="Cambria" w:hAnsi="Cambria"/>
                <w:i/>
                <w:sz w:val="20"/>
              </w:rPr>
              <w:t>Respuesta del SCRS y/o comentario</w:t>
            </w:r>
          </w:p>
        </w:tc>
      </w:tr>
      <w:tr w:rsidR="00471BAB" w:rsidRPr="00F0379B" w14:paraId="13104908" w14:textId="77777777" w:rsidTr="00DD4D11">
        <w:tc>
          <w:tcPr>
            <w:tcW w:w="8217" w:type="dxa"/>
          </w:tcPr>
          <w:p w14:paraId="603F0C0A" w14:textId="77777777" w:rsidR="00471BAB" w:rsidRPr="00F0379B" w:rsidRDefault="00471BAB" w:rsidP="00DD4D11">
            <w:pPr>
              <w:widowControl w:val="0"/>
              <w:jc w:val="both"/>
              <w:rPr>
                <w:rFonts w:ascii="Cambria" w:eastAsia="Yu Mincho" w:hAnsi="Cambria"/>
                <w:b/>
                <w:bCs/>
                <w:i/>
                <w:iCs/>
                <w:sz w:val="20"/>
                <w:szCs w:val="20"/>
              </w:rPr>
            </w:pPr>
            <w:r w:rsidRPr="00F0379B">
              <w:rPr>
                <w:rFonts w:ascii="Cambria" w:hAnsi="Cambria"/>
                <w:b/>
                <w:i/>
                <w:sz w:val="20"/>
              </w:rPr>
              <w:t xml:space="preserve">19.5 El SCRS evaluará la existencia de circunstancias excepcionales (EC) y la Comisión actuará de conformidad con el Protocolo sobre circunstancias excepcionales establecido en el Anexo 2, </w:t>
            </w:r>
            <w:hyperlink r:id="rId271" w:history="1">
              <w:r w:rsidRPr="00F0379B">
                <w:rPr>
                  <w:rStyle w:val="Hyperlink"/>
                  <w:rFonts w:ascii="Cambria" w:hAnsi="Cambria"/>
                  <w:b/>
                  <w:i/>
                  <w:sz w:val="20"/>
                  <w:u w:val="none"/>
                </w:rPr>
                <w:t>Rec. 21-04</w:t>
              </w:r>
            </w:hyperlink>
            <w:r w:rsidRPr="00F0379B">
              <w:rPr>
                <w:rFonts w:ascii="Cambria" w:hAnsi="Cambria"/>
                <w:b/>
                <w:i/>
                <w:sz w:val="20"/>
              </w:rPr>
              <w:t>, párr. 4</w:t>
            </w:r>
          </w:p>
          <w:p w14:paraId="6DBDB35F" w14:textId="77777777" w:rsidR="00471BAB" w:rsidRPr="00F0379B" w:rsidRDefault="00471BAB" w:rsidP="00DD4D11">
            <w:pPr>
              <w:widowControl w:val="0"/>
              <w:jc w:val="both"/>
              <w:rPr>
                <w:rFonts w:ascii="Cambria" w:eastAsia="Yu Mincho" w:hAnsi="Cambria"/>
                <w:b/>
                <w:bCs/>
                <w:i/>
                <w:iCs/>
                <w:sz w:val="20"/>
                <w:szCs w:val="20"/>
              </w:rPr>
            </w:pPr>
          </w:p>
          <w:p w14:paraId="21973841" w14:textId="77777777" w:rsidR="00471BAB" w:rsidRPr="00F0379B" w:rsidRDefault="00471BAB" w:rsidP="00DD4D11">
            <w:pPr>
              <w:widowControl w:val="0"/>
              <w:jc w:val="both"/>
              <w:rPr>
                <w:rFonts w:ascii="Cambria" w:eastAsia="Yu Mincho" w:hAnsi="Cambria"/>
                <w:sz w:val="20"/>
                <w:szCs w:val="20"/>
              </w:rPr>
            </w:pPr>
            <w:r w:rsidRPr="00F0379B">
              <w:rPr>
                <w:rFonts w:ascii="Cambria" w:hAnsi="Cambria"/>
                <w:sz w:val="20"/>
              </w:rPr>
              <w:t>El SCRS evaluará la existencia de circunstancias excepcionales (EC) y la Comisión actuará de conformidad con el Protocolo sobre circunstancias excepcionales que figura en el Anexo 2.</w:t>
            </w:r>
          </w:p>
        </w:tc>
        <w:tc>
          <w:tcPr>
            <w:tcW w:w="5386" w:type="dxa"/>
            <w:vAlign w:val="center"/>
          </w:tcPr>
          <w:p w14:paraId="4155C917" w14:textId="77777777" w:rsidR="00471BAB" w:rsidRPr="00F0379B" w:rsidRDefault="00471BAB" w:rsidP="00DD4D11">
            <w:pPr>
              <w:widowControl w:val="0"/>
              <w:rPr>
                <w:rFonts w:ascii="Cambria" w:eastAsia="Yu Mincho" w:hAnsi="Cambria"/>
                <w:sz w:val="20"/>
                <w:szCs w:val="20"/>
              </w:rPr>
            </w:pPr>
            <w:r w:rsidRPr="00F0379B">
              <w:rPr>
                <w:rFonts w:ascii="Cambria" w:hAnsi="Cambria"/>
                <w:sz w:val="20"/>
              </w:rPr>
              <w:t>Comentario: Se trata de una tarea rutinaria y debe mantenerse.</w:t>
            </w:r>
          </w:p>
        </w:tc>
      </w:tr>
      <w:tr w:rsidR="00471BAB" w:rsidRPr="00F0379B" w14:paraId="2F9D1639" w14:textId="77777777" w:rsidTr="00DD4D11">
        <w:tc>
          <w:tcPr>
            <w:tcW w:w="8217" w:type="dxa"/>
          </w:tcPr>
          <w:p w14:paraId="72CE6AEE" w14:textId="77777777" w:rsidR="00471BAB" w:rsidRPr="00F0379B" w:rsidRDefault="00471BAB" w:rsidP="00DD4D11">
            <w:pPr>
              <w:widowControl w:val="0"/>
              <w:jc w:val="both"/>
              <w:rPr>
                <w:rFonts w:ascii="Cambria" w:eastAsia="Yu Mincho" w:hAnsi="Cambria"/>
                <w:b/>
                <w:bCs/>
                <w:i/>
                <w:iCs/>
                <w:sz w:val="20"/>
                <w:szCs w:val="20"/>
              </w:rPr>
            </w:pPr>
            <w:r w:rsidRPr="00F0379B">
              <w:rPr>
                <w:rFonts w:ascii="Cambria" w:hAnsi="Cambria"/>
                <w:b/>
                <w:i/>
                <w:sz w:val="20"/>
              </w:rPr>
              <w:t xml:space="preserve">19.6 El SCRS facilitará una evaluación actualizada del estado del stock basándose en los datos más recientes disponibles, </w:t>
            </w:r>
            <w:hyperlink r:id="rId272" w:history="1">
              <w:r w:rsidRPr="00F0379B">
                <w:rPr>
                  <w:rStyle w:val="Hyperlink"/>
                  <w:rFonts w:ascii="Cambria" w:hAnsi="Cambria"/>
                  <w:b/>
                  <w:i/>
                  <w:sz w:val="20"/>
                  <w:u w:val="none"/>
                </w:rPr>
                <w:t>Rec. 24-08</w:t>
              </w:r>
            </w:hyperlink>
            <w:r w:rsidRPr="00F0379B">
              <w:rPr>
                <w:rFonts w:ascii="Cambria" w:hAnsi="Cambria"/>
                <w:b/>
                <w:i/>
                <w:sz w:val="20"/>
              </w:rPr>
              <w:t>, párr. 11</w:t>
            </w:r>
          </w:p>
          <w:p w14:paraId="73E9210C" w14:textId="77777777" w:rsidR="00471BAB" w:rsidRPr="00F0379B" w:rsidRDefault="00471BAB" w:rsidP="00DD4D11">
            <w:pPr>
              <w:widowControl w:val="0"/>
              <w:jc w:val="both"/>
              <w:rPr>
                <w:rFonts w:ascii="Cambria" w:eastAsia="Yu Mincho" w:hAnsi="Cambria"/>
                <w:b/>
                <w:bCs/>
                <w:i/>
                <w:iCs/>
                <w:sz w:val="20"/>
                <w:szCs w:val="20"/>
              </w:rPr>
            </w:pPr>
          </w:p>
          <w:p w14:paraId="51A5BB79" w14:textId="77777777" w:rsidR="00471BAB" w:rsidRPr="00F0379B" w:rsidRDefault="00471BAB" w:rsidP="00DD4D11">
            <w:pPr>
              <w:widowControl w:val="0"/>
              <w:jc w:val="both"/>
              <w:rPr>
                <w:rFonts w:ascii="Cambria" w:hAnsi="Cambria"/>
                <w:sz w:val="20"/>
              </w:rPr>
            </w:pPr>
            <w:r w:rsidRPr="00F0379B">
              <w:rPr>
                <w:rFonts w:ascii="Cambria" w:hAnsi="Cambria"/>
                <w:sz w:val="20"/>
              </w:rPr>
              <w:t>En 2026, o en cualquier año posterior identificado por el SCRS en 2025 debido a limitaciones de datos que le impidan continuar con su trabajo, el SCRS facilitará una evaluación actualizada del estado del stock basándose en los datos más recientes disponibles.</w:t>
            </w:r>
          </w:p>
          <w:p w14:paraId="5E16035F" w14:textId="77777777" w:rsidR="00471BAB" w:rsidRPr="00F0379B" w:rsidRDefault="00471BAB" w:rsidP="00DD4D11">
            <w:pPr>
              <w:widowControl w:val="0"/>
              <w:jc w:val="both"/>
              <w:rPr>
                <w:rFonts w:ascii="Cambria" w:hAnsi="Cambria"/>
                <w:sz w:val="20"/>
              </w:rPr>
            </w:pPr>
          </w:p>
          <w:p w14:paraId="0D8C3B5E" w14:textId="77777777" w:rsidR="00471BAB" w:rsidRPr="00F0379B" w:rsidRDefault="00471BAB" w:rsidP="00DD4D11">
            <w:pPr>
              <w:widowControl w:val="0"/>
              <w:jc w:val="both"/>
              <w:rPr>
                <w:rFonts w:ascii="Cambria" w:hAnsi="Cambria"/>
                <w:sz w:val="20"/>
              </w:rPr>
            </w:pPr>
            <w:r w:rsidRPr="00F0379B">
              <w:rPr>
                <w:rFonts w:ascii="Cambria" w:hAnsi="Cambria"/>
                <w:sz w:val="20"/>
              </w:rPr>
              <w:t>Evaluará la eficacia de este plan de recuperación y facilitará asesoramiento sobre posibles enmiendas de las diferentes medidas incluidas en este plan. El SCRS asesorará a la Comisión sobre las características apropiadas del arte de pesca, el periodo de cierre mencionado en el párrafo 9, así como sobre la talla mínima que se tiene que implementar para el atún blanco del Mediterráneo.</w:t>
            </w:r>
          </w:p>
        </w:tc>
        <w:tc>
          <w:tcPr>
            <w:tcW w:w="5386" w:type="dxa"/>
          </w:tcPr>
          <w:p w14:paraId="57CE2F2F" w14:textId="77777777" w:rsidR="00471BAB" w:rsidRPr="00F0379B" w:rsidRDefault="00471BAB" w:rsidP="00DD4D11">
            <w:pPr>
              <w:widowControl w:val="0"/>
              <w:jc w:val="both"/>
              <w:rPr>
                <w:rFonts w:ascii="Cambria" w:eastAsia="Yu Mincho" w:hAnsi="Cambria"/>
                <w:sz w:val="20"/>
                <w:szCs w:val="20"/>
              </w:rPr>
            </w:pPr>
            <w:r w:rsidRPr="00F0379B">
              <w:rPr>
                <w:rFonts w:ascii="Cambria" w:hAnsi="Cambria"/>
                <w:sz w:val="20"/>
              </w:rPr>
              <w:t xml:space="preserve">En 2025, el SCRS aconsejó que la próxima evaluación completa se programe no antes de 2027 y cuando se resuelvan estas importantes incertidumbres. </w:t>
            </w:r>
          </w:p>
          <w:p w14:paraId="1BF4F418" w14:textId="77777777" w:rsidR="00471BAB" w:rsidRPr="00F0379B" w:rsidRDefault="00471BAB" w:rsidP="00DD4D11">
            <w:pPr>
              <w:widowControl w:val="0"/>
              <w:jc w:val="both"/>
              <w:rPr>
                <w:rFonts w:ascii="Cambria" w:eastAsia="Yu Mincho" w:hAnsi="Cambria"/>
                <w:sz w:val="20"/>
                <w:szCs w:val="20"/>
              </w:rPr>
            </w:pPr>
          </w:p>
          <w:p w14:paraId="1F450447" w14:textId="77777777" w:rsidR="00471BAB" w:rsidRPr="00F0379B" w:rsidRDefault="00471BAB" w:rsidP="00DD4D11">
            <w:pPr>
              <w:widowControl w:val="0"/>
              <w:jc w:val="both"/>
              <w:rPr>
                <w:rFonts w:ascii="Cambria" w:eastAsia="Yu Mincho" w:hAnsi="Cambria"/>
                <w:sz w:val="20"/>
                <w:szCs w:val="20"/>
              </w:rPr>
            </w:pPr>
            <w:r w:rsidRPr="00F0379B">
              <w:rPr>
                <w:rFonts w:ascii="Cambria" w:hAnsi="Cambria"/>
                <w:sz w:val="20"/>
              </w:rPr>
              <w:t>Comentario: El SCRS puede repetir esta frase en su informe de 2026.</w:t>
            </w:r>
          </w:p>
          <w:p w14:paraId="35C1DD2D" w14:textId="77777777" w:rsidR="00471BAB" w:rsidRPr="00F0379B" w:rsidRDefault="00471BAB" w:rsidP="00DD4D11">
            <w:pPr>
              <w:widowControl w:val="0"/>
              <w:jc w:val="both"/>
              <w:rPr>
                <w:rFonts w:ascii="Cambria" w:eastAsia="Yu Mincho" w:hAnsi="Cambria"/>
                <w:sz w:val="20"/>
                <w:szCs w:val="20"/>
              </w:rPr>
            </w:pPr>
          </w:p>
          <w:p w14:paraId="694EE8D4" w14:textId="77777777" w:rsidR="00471BAB" w:rsidRPr="00F0379B" w:rsidRDefault="00471BAB" w:rsidP="00DD4D11">
            <w:pPr>
              <w:widowControl w:val="0"/>
              <w:jc w:val="both"/>
              <w:rPr>
                <w:rFonts w:ascii="Cambria" w:eastAsia="Yu Mincho" w:hAnsi="Cambria"/>
                <w:sz w:val="20"/>
                <w:szCs w:val="20"/>
              </w:rPr>
            </w:pPr>
            <w:r w:rsidRPr="00F0379B">
              <w:rPr>
                <w:rFonts w:ascii="Cambria" w:hAnsi="Cambria"/>
                <w:sz w:val="20"/>
              </w:rPr>
              <w:t>El SCRS consideró que los cambios en los artes de pesca aportarían pocos beneficios, ya que la mayoría de las capturas superan la talla de primera madurez, y señaló que las vedas de otoño-invierno adoptadas en 2022 podrían estar contribuyendo a reducir el esfuerzo pesquero, aunque su efecto aún no puede cuantificarse. En cuanto a la talla mínima, el Comité reiteró que tal medida tendría un beneficio limitado o nulo dada la composición actual de las capturas y la probable elevada mortalidad por descarte. Todavía no puede evaluarse la eficacia del plan de recuperación, ya que los datos disponibles no reflejan su reciente implementación.</w:t>
            </w:r>
          </w:p>
          <w:p w14:paraId="1346F2EC" w14:textId="77777777" w:rsidR="00471BAB" w:rsidRPr="00F0379B" w:rsidRDefault="00471BAB" w:rsidP="00DD4D11">
            <w:pPr>
              <w:widowControl w:val="0"/>
              <w:jc w:val="both"/>
              <w:rPr>
                <w:rFonts w:ascii="Cambria" w:eastAsia="Yu Mincho" w:hAnsi="Cambria"/>
                <w:sz w:val="20"/>
                <w:szCs w:val="20"/>
              </w:rPr>
            </w:pPr>
          </w:p>
          <w:p w14:paraId="23E1FC69" w14:textId="77777777" w:rsidR="00471BAB" w:rsidRPr="00F0379B" w:rsidRDefault="00471BAB" w:rsidP="00DD4D11">
            <w:pPr>
              <w:widowControl w:val="0"/>
              <w:jc w:val="both"/>
              <w:rPr>
                <w:rFonts w:ascii="Cambria" w:eastAsia="Yu Mincho" w:hAnsi="Cambria"/>
                <w:sz w:val="20"/>
                <w:szCs w:val="20"/>
              </w:rPr>
            </w:pPr>
            <w:r w:rsidRPr="00F0379B">
              <w:rPr>
                <w:rFonts w:ascii="Cambria" w:hAnsi="Cambria"/>
                <w:sz w:val="20"/>
              </w:rPr>
              <w:t xml:space="preserve">Comentario: Si bien el SCRS declaró que esperará varios años más para ver los efectos del actual plan de recuperación, afirmó claramente que no es necesario establecer un requisito de talla mínima, ya que la mayoría de las capturas superan la talla en la primera madurez. Por lo tanto, el SCRS no tiene que responder a este punto en 2026 ni en años posteriores. </w:t>
            </w:r>
          </w:p>
        </w:tc>
      </w:tr>
      <w:tr w:rsidR="00471BAB" w:rsidRPr="00F0379B" w14:paraId="53B295B0" w14:textId="77777777" w:rsidTr="00DD4D11">
        <w:tc>
          <w:tcPr>
            <w:tcW w:w="8217" w:type="dxa"/>
          </w:tcPr>
          <w:p w14:paraId="386A4686" w14:textId="77777777" w:rsidR="00471BAB" w:rsidRPr="00F0379B" w:rsidRDefault="00471BAB" w:rsidP="00DD4D11">
            <w:pPr>
              <w:widowControl w:val="0"/>
              <w:jc w:val="both"/>
              <w:rPr>
                <w:rFonts w:ascii="Cambria" w:eastAsia="Yu Mincho" w:hAnsi="Cambria"/>
                <w:sz w:val="20"/>
                <w:szCs w:val="20"/>
              </w:rPr>
            </w:pPr>
            <w:r w:rsidRPr="00F0379B">
              <w:rPr>
                <w:rFonts w:ascii="Cambria" w:hAnsi="Cambria"/>
                <w:b/>
                <w:bCs/>
                <w:i/>
                <w:sz w:val="20"/>
              </w:rPr>
              <w:t xml:space="preserve">19.10 De acuerdo con el calendario establecido en el Anexo 3, el SCRS ejecutará el MP especificado en el Anexo 2 y comunicará a la Comisión el TAC resultante tanto para la zona de ordenación occidental como para la zona de ordenación oriental, </w:t>
            </w:r>
            <w:hyperlink r:id="rId273" w:history="1">
              <w:r w:rsidRPr="00F0379B">
                <w:rPr>
                  <w:rStyle w:val="Hyperlink"/>
                  <w:rFonts w:ascii="Cambria" w:hAnsi="Cambria"/>
                  <w:b/>
                  <w:bCs/>
                  <w:i/>
                  <w:sz w:val="20"/>
                  <w:u w:val="none"/>
                </w:rPr>
                <w:t>Rec. 23-07</w:t>
              </w:r>
            </w:hyperlink>
            <w:r w:rsidRPr="00F0379B">
              <w:rPr>
                <w:rFonts w:ascii="Cambria" w:hAnsi="Cambria"/>
                <w:b/>
                <w:bCs/>
                <w:i/>
                <w:sz w:val="20"/>
              </w:rPr>
              <w:t>, párr. 7</w:t>
            </w:r>
          </w:p>
        </w:tc>
        <w:tc>
          <w:tcPr>
            <w:tcW w:w="5386" w:type="dxa"/>
          </w:tcPr>
          <w:p w14:paraId="602056E6" w14:textId="77777777" w:rsidR="00471BAB" w:rsidRPr="00F0379B" w:rsidRDefault="00471BAB" w:rsidP="00DD4D11">
            <w:pPr>
              <w:widowControl w:val="0"/>
              <w:jc w:val="both"/>
              <w:rPr>
                <w:rFonts w:ascii="Cambria" w:eastAsia="Yu Mincho" w:hAnsi="Cambria"/>
                <w:sz w:val="20"/>
                <w:szCs w:val="20"/>
              </w:rPr>
            </w:pPr>
            <w:r w:rsidRPr="00F0379B">
              <w:rPr>
                <w:rFonts w:ascii="Cambria" w:hAnsi="Cambria"/>
                <w:sz w:val="20"/>
              </w:rPr>
              <w:t>Comentario: El próximo cálculo del MP es en 2028. El SCRS no tiene que hacer referencia a este punto en su informe de 2026.</w:t>
            </w:r>
          </w:p>
        </w:tc>
      </w:tr>
      <w:tr w:rsidR="00471BAB" w:rsidRPr="00F0379B" w14:paraId="0E49404D" w14:textId="77777777" w:rsidTr="00DD4D11">
        <w:tc>
          <w:tcPr>
            <w:tcW w:w="8217" w:type="dxa"/>
          </w:tcPr>
          <w:p w14:paraId="05255C81" w14:textId="77777777" w:rsidR="00471BAB" w:rsidRPr="00F0379B" w:rsidRDefault="00471BAB" w:rsidP="00DD4D11">
            <w:pPr>
              <w:widowControl w:val="0"/>
              <w:autoSpaceDE w:val="0"/>
              <w:autoSpaceDN w:val="0"/>
              <w:adjustRightInd w:val="0"/>
              <w:jc w:val="both"/>
              <w:rPr>
                <w:rFonts w:ascii="Cambria" w:eastAsia="Yu Mincho" w:hAnsi="Cambria" w:cs="Cambria"/>
                <w:b/>
                <w:bCs/>
                <w:i/>
                <w:iCs/>
                <w:sz w:val="20"/>
                <w:szCs w:val="20"/>
              </w:rPr>
            </w:pPr>
            <w:r w:rsidRPr="00F0379B">
              <w:rPr>
                <w:rFonts w:ascii="Cambria" w:hAnsi="Cambria"/>
                <w:b/>
                <w:i/>
                <w:sz w:val="20"/>
              </w:rPr>
              <w:t xml:space="preserve">19.12 El SCRS debería considerar revisar y actualizar la tabla de crecimiento publicada en 2022 lo antes posible, y debería presentar estos resultados a la Comisión, </w:t>
            </w:r>
            <w:hyperlink r:id="rId274" w:history="1">
              <w:r w:rsidRPr="00F0379B">
                <w:rPr>
                  <w:rStyle w:val="Hyperlink"/>
                  <w:rFonts w:ascii="Cambria" w:hAnsi="Cambria"/>
                  <w:b/>
                  <w:i/>
                  <w:sz w:val="20"/>
                  <w:u w:val="none"/>
                </w:rPr>
                <w:t>Rec. 24-05</w:t>
              </w:r>
            </w:hyperlink>
            <w:r w:rsidRPr="00F0379B">
              <w:rPr>
                <w:rFonts w:ascii="Cambria" w:hAnsi="Cambria"/>
                <w:b/>
                <w:i/>
                <w:sz w:val="20"/>
              </w:rPr>
              <w:t xml:space="preserve">, párr. 25; el SCRS deberá evaluar la precisión del software de análisis de vídeo que incorpora la inteligencia artificial y que estima la talla del atún rojo, y asesorará a la Comisión para su consideración, </w:t>
            </w:r>
            <w:hyperlink r:id="rId275" w:history="1">
              <w:r w:rsidRPr="00F0379B">
                <w:rPr>
                  <w:rStyle w:val="Hyperlink"/>
                  <w:rFonts w:ascii="Cambria" w:hAnsi="Cambria"/>
                  <w:b/>
                  <w:i/>
                  <w:sz w:val="20"/>
                  <w:u w:val="none"/>
                </w:rPr>
                <w:t>Rec. 24-05</w:t>
              </w:r>
            </w:hyperlink>
            <w:r w:rsidRPr="00F0379B">
              <w:rPr>
                <w:rFonts w:ascii="Cambria" w:hAnsi="Cambria"/>
                <w:b/>
                <w:i/>
                <w:sz w:val="20"/>
              </w:rPr>
              <w:t xml:space="preserve">, párr. 173 </w:t>
            </w:r>
          </w:p>
          <w:p w14:paraId="055A72FF" w14:textId="77777777" w:rsidR="00471BAB" w:rsidRPr="00F0379B" w:rsidRDefault="00471BAB" w:rsidP="00DD4D11">
            <w:pPr>
              <w:widowControl w:val="0"/>
              <w:autoSpaceDE w:val="0"/>
              <w:autoSpaceDN w:val="0"/>
              <w:adjustRightInd w:val="0"/>
              <w:rPr>
                <w:rFonts w:ascii="Cambria" w:eastAsia="Yu Mincho" w:hAnsi="Cambria" w:cs="Cambria"/>
                <w:sz w:val="14"/>
                <w:szCs w:val="14"/>
              </w:rPr>
            </w:pPr>
          </w:p>
          <w:p w14:paraId="79FA419A" w14:textId="77777777" w:rsidR="00471BAB" w:rsidRPr="00F0379B" w:rsidRDefault="00471BAB" w:rsidP="00DD4D11">
            <w:pPr>
              <w:widowControl w:val="0"/>
              <w:autoSpaceDE w:val="0"/>
              <w:autoSpaceDN w:val="0"/>
              <w:adjustRightInd w:val="0"/>
              <w:jc w:val="both"/>
              <w:rPr>
                <w:rFonts w:ascii="Cambria" w:eastAsia="Yu Mincho" w:hAnsi="Cambria" w:cs="Cambria"/>
                <w:sz w:val="20"/>
                <w:szCs w:val="20"/>
              </w:rPr>
            </w:pPr>
            <w:r w:rsidRPr="00F0379B">
              <w:rPr>
                <w:rFonts w:ascii="Cambria" w:hAnsi="Cambria"/>
                <w:sz w:val="20"/>
              </w:rPr>
              <w:t xml:space="preserve">párr. 25 Basándose en la nueva información científica disponible, lo que incluye, cuando proceda, los resultados de los ensayos sobre inteligencia artificial (IA) a que se refiere el párrafo 167, el SCRS debería considerar revisar y actualizar la tabla de crecimiento publicada en 2022 lo antes posible y debería presentar estos resultados a la Comisión. </w:t>
            </w:r>
          </w:p>
          <w:p w14:paraId="10B3AE27" w14:textId="77777777" w:rsidR="00471BAB" w:rsidRPr="00F0379B" w:rsidRDefault="00471BAB" w:rsidP="00DD4D11">
            <w:pPr>
              <w:widowControl w:val="0"/>
              <w:autoSpaceDE w:val="0"/>
              <w:autoSpaceDN w:val="0"/>
              <w:adjustRightInd w:val="0"/>
              <w:rPr>
                <w:rFonts w:ascii="Cambria" w:eastAsia="Yu Mincho" w:hAnsi="Cambria" w:cs="Cambria"/>
                <w:sz w:val="14"/>
                <w:szCs w:val="14"/>
              </w:rPr>
            </w:pPr>
          </w:p>
          <w:p w14:paraId="582CD5B9" w14:textId="77777777" w:rsidR="00471BAB" w:rsidRPr="00F0379B" w:rsidRDefault="00471BAB" w:rsidP="00DD4D11">
            <w:pPr>
              <w:widowControl w:val="0"/>
              <w:jc w:val="both"/>
              <w:rPr>
                <w:rFonts w:ascii="Cambria" w:eastAsia="Yu Mincho" w:hAnsi="Cambria"/>
                <w:sz w:val="20"/>
                <w:szCs w:val="20"/>
              </w:rPr>
            </w:pPr>
            <w:r w:rsidRPr="00F0379B">
              <w:rPr>
                <w:rFonts w:ascii="Cambria" w:hAnsi="Cambria"/>
                <w:sz w:val="20"/>
              </w:rPr>
              <w:t>párr. 173 Tan pronto como se considere que los avances tecnológicos son sólidos y están listos para su aplicación comercial, así como cuando el SCRS establezca los criterios técnicos y las directrices para su selección, el SCRS evaluará la precisión del software de análisis de vídeo que incorpora inteligencia artificial y que estima la talla del atún rojo, y asesorará a la Comisión para su consideración.</w:t>
            </w:r>
          </w:p>
        </w:tc>
        <w:tc>
          <w:tcPr>
            <w:tcW w:w="5386" w:type="dxa"/>
          </w:tcPr>
          <w:p w14:paraId="4B1005F4" w14:textId="77777777" w:rsidR="00471BAB" w:rsidRPr="00F0379B" w:rsidRDefault="00471BAB" w:rsidP="00DD4D11">
            <w:pPr>
              <w:widowControl w:val="0"/>
              <w:jc w:val="both"/>
              <w:rPr>
                <w:rFonts w:ascii="Cambria" w:eastAsia="Yu Mincho" w:hAnsi="Cambria"/>
                <w:sz w:val="20"/>
                <w:szCs w:val="20"/>
              </w:rPr>
            </w:pPr>
            <w:r w:rsidRPr="00F0379B">
              <w:rPr>
                <w:rFonts w:ascii="Cambria" w:hAnsi="Cambria"/>
                <w:sz w:val="20"/>
              </w:rPr>
              <w:t>Comentario: El SCRS debería revisar y actualizar la tabla de crecimiento en 2022. Cabe tener en cuenta que en el informe del SCRS de 2025 (19.12), el SCRS recomendó utilizar el intervalo de confianza superior del 75 %, correspondiente al percentil 87,5, como indicador de crecimiento atípico. Esto debería utilizarse hasta que el SCRS actualice la tabla.</w:t>
            </w:r>
          </w:p>
          <w:p w14:paraId="40C1431F" w14:textId="77777777" w:rsidR="00471BAB" w:rsidRPr="00F0379B" w:rsidRDefault="00471BAB" w:rsidP="00DD4D11">
            <w:pPr>
              <w:widowControl w:val="0"/>
              <w:jc w:val="both"/>
              <w:rPr>
                <w:rFonts w:ascii="Cambria" w:eastAsia="Yu Mincho" w:hAnsi="Cambria"/>
                <w:sz w:val="20"/>
                <w:szCs w:val="20"/>
              </w:rPr>
            </w:pPr>
          </w:p>
          <w:p w14:paraId="5138E22A" w14:textId="77777777" w:rsidR="00471BAB" w:rsidRPr="00F0379B" w:rsidRDefault="00471BAB" w:rsidP="00DD4D11">
            <w:pPr>
              <w:widowControl w:val="0"/>
              <w:jc w:val="both"/>
              <w:rPr>
                <w:rFonts w:ascii="Cambria" w:eastAsia="Yu Mincho" w:hAnsi="Cambria"/>
                <w:sz w:val="20"/>
                <w:szCs w:val="20"/>
              </w:rPr>
            </w:pPr>
            <w:r w:rsidRPr="00F0379B">
              <w:rPr>
                <w:rFonts w:ascii="Cambria" w:hAnsi="Cambria"/>
                <w:sz w:val="20"/>
              </w:rPr>
              <w:t>El SCRS ya ha evaluado la precisión del software de análisis de vídeo que incorpora IA y estima la talla del atún rojo y ha proporcionado asesoramiento a la Comisión para su consideración. El SCRS no considera que sea necesaria una evaluación más detallada.</w:t>
            </w:r>
          </w:p>
        </w:tc>
      </w:tr>
      <w:tr w:rsidR="00471BAB" w:rsidRPr="00F0379B" w14:paraId="5EEB9FF7" w14:textId="77777777" w:rsidTr="00DD4D11">
        <w:tc>
          <w:tcPr>
            <w:tcW w:w="8217" w:type="dxa"/>
          </w:tcPr>
          <w:p w14:paraId="2B3471B0" w14:textId="77777777" w:rsidR="00471BAB" w:rsidRPr="00F0379B" w:rsidRDefault="00471BAB" w:rsidP="00DD4D11">
            <w:pPr>
              <w:widowControl w:val="0"/>
              <w:autoSpaceDE w:val="0"/>
              <w:autoSpaceDN w:val="0"/>
              <w:adjustRightInd w:val="0"/>
              <w:rPr>
                <w:rFonts w:ascii="Cambria" w:eastAsia="Yu Mincho" w:hAnsi="Cambria" w:cs="Cambria"/>
                <w:b/>
                <w:bCs/>
                <w:i/>
                <w:iCs/>
                <w:sz w:val="20"/>
                <w:szCs w:val="20"/>
              </w:rPr>
            </w:pPr>
            <w:r w:rsidRPr="00F0379B">
              <w:rPr>
                <w:rFonts w:ascii="Cambria" w:hAnsi="Cambria"/>
                <w:b/>
                <w:i/>
                <w:sz w:val="20"/>
              </w:rPr>
              <w:t xml:space="preserve">19.13 Las CPC de la granja se esforzarán para garantizar que las tasas de crecimiento derivadas de los eBCD sean coherentes con las tasas de crecimiento publicadas por el SCRS en 2022. Si se detectan discrepancias significativas entre las tablas del SCRS de 2022 y las tasas de crecimiento observadas, dicha información debería enviarse al SCRS para que la analice, </w:t>
            </w:r>
            <w:hyperlink r:id="rId276" w:history="1">
              <w:r w:rsidRPr="00F0379B">
                <w:rPr>
                  <w:rStyle w:val="Hyperlink"/>
                  <w:rFonts w:ascii="Cambria" w:hAnsi="Cambria"/>
                  <w:b/>
                  <w:i/>
                  <w:sz w:val="20"/>
                  <w:u w:val="none"/>
                </w:rPr>
                <w:t>Rec. 24-05</w:t>
              </w:r>
            </w:hyperlink>
            <w:r w:rsidRPr="00F0379B">
              <w:rPr>
                <w:rFonts w:ascii="Cambria" w:hAnsi="Cambria"/>
                <w:b/>
                <w:i/>
                <w:sz w:val="20"/>
              </w:rPr>
              <w:t xml:space="preserve">, párr. 26 </w:t>
            </w:r>
          </w:p>
          <w:p w14:paraId="15FA2AC2" w14:textId="77777777" w:rsidR="00471BAB" w:rsidRPr="00F0379B" w:rsidRDefault="00471BAB" w:rsidP="00DD4D11">
            <w:pPr>
              <w:widowControl w:val="0"/>
              <w:autoSpaceDE w:val="0"/>
              <w:autoSpaceDN w:val="0"/>
              <w:adjustRightInd w:val="0"/>
              <w:rPr>
                <w:rFonts w:ascii="Cambria" w:eastAsia="Yu Mincho" w:hAnsi="Cambria" w:cs="Cambria"/>
                <w:sz w:val="12"/>
                <w:szCs w:val="12"/>
              </w:rPr>
            </w:pPr>
          </w:p>
          <w:p w14:paraId="39470255" w14:textId="77777777" w:rsidR="00471BAB" w:rsidRPr="00F0379B" w:rsidRDefault="00471BAB" w:rsidP="00DD4D11">
            <w:pPr>
              <w:widowControl w:val="0"/>
              <w:jc w:val="both"/>
              <w:rPr>
                <w:rFonts w:ascii="Cambria" w:eastAsia="Yu Mincho" w:hAnsi="Cambria"/>
                <w:sz w:val="20"/>
                <w:szCs w:val="20"/>
              </w:rPr>
            </w:pPr>
            <w:r w:rsidRPr="00F0379B">
              <w:rPr>
                <w:rFonts w:ascii="Cambria" w:hAnsi="Cambria"/>
                <w:sz w:val="20"/>
              </w:rPr>
              <w:t>Las CPC de la granja se esforzarán para garantizar que las tasas de crecimiento derivadas de los eBCD sean coherentes con las tasas de crecimiento publicadas por el SCRS en 2022. Si se detectan discrepancias significativas entre las tablas del SCRS de 2022 y las tasas de crecimiento observadas, dicha información debería enviarse al SCRS para que la analice. Se instará a las CPC importadoras y a las CPC de la granja a cooperar en el seguimiento de las tasas de crecimiento de manera exhaustiva mediante el intercambio de datos pertinentes, sin perjuicio de las normas aplicables en materia de protección de datos personales, y a comunicar el resultado del seguimiento a la Subcomisión 2, según proceda.</w:t>
            </w:r>
          </w:p>
        </w:tc>
        <w:tc>
          <w:tcPr>
            <w:tcW w:w="5386" w:type="dxa"/>
          </w:tcPr>
          <w:p w14:paraId="74315702" w14:textId="77777777" w:rsidR="00471BAB" w:rsidRPr="00F0379B" w:rsidRDefault="00471BAB" w:rsidP="00DD4D11">
            <w:pPr>
              <w:widowControl w:val="0"/>
              <w:jc w:val="both"/>
              <w:rPr>
                <w:rFonts w:ascii="Cambria" w:eastAsia="Yu Mincho" w:hAnsi="Cambria"/>
                <w:sz w:val="20"/>
                <w:szCs w:val="20"/>
              </w:rPr>
            </w:pPr>
            <w:r w:rsidRPr="00F0379B">
              <w:rPr>
                <w:rFonts w:ascii="Cambria" w:hAnsi="Cambria"/>
                <w:sz w:val="20"/>
              </w:rPr>
              <w:t>El SCRS declaró que no había recibido ningún dato que permita evaluar que las tasas de crecimiento derivadas de los eBCD son coherentes con las tasas de crecimiento publicadas por el SCRS en 2022.</w:t>
            </w:r>
          </w:p>
          <w:p w14:paraId="23E3E9A7" w14:textId="77777777" w:rsidR="00471BAB" w:rsidRPr="00F0379B" w:rsidRDefault="00471BAB" w:rsidP="00DD4D11">
            <w:pPr>
              <w:widowControl w:val="0"/>
              <w:jc w:val="both"/>
              <w:rPr>
                <w:rFonts w:ascii="Cambria" w:eastAsia="Yu Mincho" w:hAnsi="Cambria"/>
                <w:sz w:val="20"/>
                <w:szCs w:val="20"/>
              </w:rPr>
            </w:pPr>
          </w:p>
          <w:p w14:paraId="7987844E" w14:textId="77777777" w:rsidR="00471BAB" w:rsidRPr="00F0379B" w:rsidRDefault="00471BAB" w:rsidP="00DD4D11">
            <w:pPr>
              <w:widowControl w:val="0"/>
              <w:jc w:val="both"/>
              <w:rPr>
                <w:rFonts w:ascii="Cambria" w:eastAsia="Yu Mincho" w:hAnsi="Cambria"/>
                <w:sz w:val="20"/>
                <w:szCs w:val="20"/>
              </w:rPr>
            </w:pPr>
            <w:r w:rsidRPr="00F0379B">
              <w:rPr>
                <w:rFonts w:ascii="Cambria" w:hAnsi="Cambria"/>
                <w:sz w:val="20"/>
              </w:rPr>
              <w:t xml:space="preserve">Comentario: Si esta tendencia continúa, el párrafo 26 debería eliminarse de la </w:t>
            </w:r>
            <w:hyperlink r:id="rId277" w:history="1">
              <w:r w:rsidRPr="00F0379B">
                <w:rPr>
                  <w:rStyle w:val="Hyperlink"/>
                  <w:rFonts w:ascii="Cambria" w:hAnsi="Cambria"/>
                  <w:sz w:val="20"/>
                  <w:u w:val="none"/>
                </w:rPr>
                <w:t>Rec. 24-05</w:t>
              </w:r>
            </w:hyperlink>
            <w:r w:rsidRPr="00F0379B">
              <w:rPr>
                <w:rFonts w:ascii="Cambria" w:hAnsi="Cambria"/>
                <w:sz w:val="20"/>
              </w:rPr>
              <w:t xml:space="preserve"> (ahora </w:t>
            </w:r>
            <w:hyperlink r:id="rId278" w:history="1">
              <w:r w:rsidRPr="00F0379B">
                <w:rPr>
                  <w:rStyle w:val="Hyperlink"/>
                  <w:rFonts w:ascii="Cambria" w:hAnsi="Cambria"/>
                  <w:sz w:val="20"/>
                  <w:u w:val="none"/>
                </w:rPr>
                <w:t>Rec. 25-04</w:t>
              </w:r>
            </w:hyperlink>
            <w:r w:rsidRPr="00F0379B">
              <w:rPr>
                <w:rFonts w:ascii="Cambria" w:hAnsi="Cambria"/>
                <w:sz w:val="20"/>
              </w:rPr>
              <w:t>).</w:t>
            </w:r>
          </w:p>
        </w:tc>
      </w:tr>
      <w:tr w:rsidR="00471BAB" w:rsidRPr="00F0379B" w14:paraId="726EF9B5" w14:textId="77777777" w:rsidTr="00DD4D11">
        <w:tc>
          <w:tcPr>
            <w:tcW w:w="8217" w:type="dxa"/>
          </w:tcPr>
          <w:p w14:paraId="1064BBD9" w14:textId="77777777" w:rsidR="00471BAB" w:rsidRPr="00F0379B" w:rsidRDefault="00471BAB" w:rsidP="00DD4D11">
            <w:pPr>
              <w:widowControl w:val="0"/>
              <w:jc w:val="both"/>
              <w:rPr>
                <w:rFonts w:ascii="Cambria" w:eastAsia="Yu Mincho" w:hAnsi="Cambria"/>
                <w:sz w:val="20"/>
                <w:szCs w:val="20"/>
              </w:rPr>
            </w:pPr>
            <w:r w:rsidRPr="00F0379B">
              <w:rPr>
                <w:rFonts w:ascii="Cambria" w:hAnsi="Cambria"/>
                <w:b/>
                <w:i/>
                <w:sz w:val="20"/>
              </w:rPr>
              <w:t>19.14 Solicitudes de la Subcomisión 2 al SCRS, reunión intersesiones de la Subcomisión 2 de 2025 (si es aceptable o no un traspaso del 20 %)</w:t>
            </w:r>
          </w:p>
        </w:tc>
        <w:tc>
          <w:tcPr>
            <w:tcW w:w="5386" w:type="dxa"/>
          </w:tcPr>
          <w:p w14:paraId="038723A4" w14:textId="77777777" w:rsidR="00471BAB" w:rsidRPr="00F0379B" w:rsidRDefault="00471BAB" w:rsidP="00DD4D11">
            <w:pPr>
              <w:widowControl w:val="0"/>
              <w:jc w:val="both"/>
              <w:rPr>
                <w:rFonts w:ascii="Cambria" w:eastAsia="Yu Mincho" w:hAnsi="Cambria"/>
                <w:sz w:val="20"/>
                <w:szCs w:val="20"/>
              </w:rPr>
            </w:pPr>
            <w:r w:rsidRPr="00F0379B">
              <w:rPr>
                <w:rFonts w:ascii="Cambria" w:hAnsi="Cambria"/>
                <w:sz w:val="20"/>
              </w:rPr>
              <w:t>Comentario: Esta cuestión se respondió en 2025. No se requieren más acciones.</w:t>
            </w:r>
          </w:p>
        </w:tc>
      </w:tr>
    </w:tbl>
    <w:p w14:paraId="03CB8756" w14:textId="77777777" w:rsidR="006D33EA" w:rsidRPr="00F0379B" w:rsidRDefault="006D33EA" w:rsidP="00FB08FE">
      <w:pPr>
        <w:spacing w:after="0" w:line="240" w:lineRule="auto"/>
        <w:ind w:right="100"/>
        <w:rPr>
          <w:rFonts w:ascii="Cambria" w:eastAsia="Yu Gothic" w:hAnsi="Cambria" w:cs="Times New Roman"/>
          <w:b/>
          <w:bCs/>
          <w:kern w:val="2"/>
          <w:sz w:val="20"/>
          <w:szCs w:val="20"/>
          <w14:ligatures w14:val="standardContextual"/>
        </w:rPr>
      </w:pPr>
    </w:p>
    <w:sectPr w:rsidR="006D33EA" w:rsidRPr="00F0379B" w:rsidSect="00AB1C70">
      <w:pgSz w:w="16838" w:h="11906" w:orient="landscape"/>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68DB2" w14:textId="77777777" w:rsidR="00CE0EC8" w:rsidRDefault="00CE0EC8" w:rsidP="002830A6">
      <w:pPr>
        <w:spacing w:after="0" w:line="240" w:lineRule="auto"/>
      </w:pPr>
      <w:r>
        <w:separator/>
      </w:r>
    </w:p>
  </w:endnote>
  <w:endnote w:type="continuationSeparator" w:id="0">
    <w:p w14:paraId="59E7B93D" w14:textId="77777777" w:rsidR="00CE0EC8" w:rsidRDefault="00CE0EC8" w:rsidP="002830A6">
      <w:pPr>
        <w:spacing w:after="0" w:line="240" w:lineRule="auto"/>
      </w:pPr>
      <w:r>
        <w:continuationSeparator/>
      </w:r>
    </w:p>
  </w:endnote>
  <w:endnote w:type="continuationNotice" w:id="1">
    <w:p w14:paraId="69DE3AAA" w14:textId="77777777" w:rsidR="00CE0EC8" w:rsidRDefault="00CE0E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font1300">
    <w:altName w:val="Times New Roman"/>
    <w:charset w:val="01"/>
    <w:family w:val="auto"/>
    <w:pitch w:val="variable"/>
  </w:font>
  <w:font w:name="Century">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Trebuchet MS">
    <w:panose1 w:val="020B0603020202020204"/>
    <w:charset w:val="00"/>
    <w:family w:val="swiss"/>
    <w:pitch w:val="variable"/>
    <w:sig w:usb0="000006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17131" w14:textId="1861F1C4" w:rsidR="009123AC" w:rsidRPr="00F912AA" w:rsidRDefault="00F912AA" w:rsidP="00F912AA">
    <w:pPr>
      <w:tabs>
        <w:tab w:val="center" w:pos="4680"/>
        <w:tab w:val="right" w:pos="9360"/>
      </w:tabs>
      <w:spacing w:after="0" w:line="240" w:lineRule="auto"/>
      <w:jc w:val="center"/>
      <w:rPr>
        <w:rFonts w:ascii="Cambria" w:eastAsia="Cambria" w:hAnsi="Cambria" w:cs="Cambria"/>
        <w:color w:val="000000"/>
        <w:kern w:val="2"/>
        <w:sz w:val="20"/>
        <w:lang w:val="en-US"/>
        <w14:ligatures w14:val="standardContextual"/>
      </w:rPr>
    </w:pPr>
    <w:sdt>
      <w:sdtPr>
        <w:rPr>
          <w:rFonts w:eastAsia="Calibri"/>
          <w:color w:val="000000"/>
          <w:kern w:val="2"/>
          <w:sz w:val="20"/>
          <w:szCs w:val="20"/>
          <w:lang w:val="en-US"/>
          <w14:ligatures w14:val="standardContextual"/>
        </w:rPr>
        <w:id w:val="856775711"/>
        <w:docPartObj>
          <w:docPartGallery w:val="Page Numbers (Top of Page)"/>
          <w:docPartUnique/>
        </w:docPartObj>
      </w:sdtPr>
      <w:sdtContent>
        <w:r w:rsidRPr="00025F23">
          <w:rPr>
            <w:rFonts w:ascii="Cambria" w:eastAsia="Calibri" w:hAnsi="Cambria"/>
            <w:color w:val="000000"/>
            <w:kern w:val="2"/>
            <w:sz w:val="20"/>
            <w:szCs w:val="20"/>
            <w:lang w:val="en-US"/>
            <w14:ligatures w14:val="standardContextual"/>
          </w:rPr>
          <w:fldChar w:fldCharType="begin"/>
        </w:r>
        <w:r w:rsidRPr="00025F23">
          <w:rPr>
            <w:rFonts w:ascii="Cambria" w:eastAsia="Calibri" w:hAnsi="Cambria"/>
            <w:color w:val="000000"/>
            <w:kern w:val="2"/>
            <w:sz w:val="20"/>
            <w:szCs w:val="20"/>
            <w:lang w:val="en-US"/>
            <w14:ligatures w14:val="standardContextual"/>
          </w:rPr>
          <w:instrText xml:space="preserve"> PAGE </w:instrText>
        </w:r>
        <w:r w:rsidRPr="00025F23">
          <w:rPr>
            <w:rFonts w:ascii="Cambria" w:eastAsia="Calibri" w:hAnsi="Cambria"/>
            <w:color w:val="000000"/>
            <w:kern w:val="2"/>
            <w:sz w:val="20"/>
            <w:szCs w:val="20"/>
            <w:lang w:val="en-US"/>
            <w14:ligatures w14:val="standardContextual"/>
          </w:rPr>
          <w:fldChar w:fldCharType="separate"/>
        </w:r>
        <w:r>
          <w:rPr>
            <w:rFonts w:ascii="Cambria" w:eastAsia="Calibri" w:hAnsi="Cambria"/>
            <w:color w:val="000000"/>
            <w:kern w:val="2"/>
            <w:sz w:val="20"/>
            <w:szCs w:val="20"/>
            <w:lang w:val="en-US"/>
            <w14:ligatures w14:val="standardContextual"/>
          </w:rPr>
          <w:t>1</w:t>
        </w:r>
        <w:r w:rsidRPr="00025F23">
          <w:rPr>
            <w:rFonts w:ascii="Cambria" w:eastAsia="Calibri" w:hAnsi="Cambria"/>
            <w:color w:val="000000"/>
            <w:kern w:val="2"/>
            <w:sz w:val="20"/>
            <w:szCs w:val="20"/>
            <w:lang w:val="en-US"/>
            <w14:ligatures w14:val="standardContextual"/>
          </w:rPr>
          <w:fldChar w:fldCharType="end"/>
        </w:r>
        <w:r w:rsidRPr="00025F23">
          <w:rPr>
            <w:rFonts w:ascii="Cambria" w:eastAsia="Calibri" w:hAnsi="Cambria"/>
            <w:color w:val="000000"/>
            <w:kern w:val="2"/>
            <w:sz w:val="20"/>
            <w:szCs w:val="20"/>
            <w:lang w:val="en-US"/>
            <w14:ligatures w14:val="standardContextual"/>
          </w:rPr>
          <w:t xml:space="preserve"> / </w:t>
        </w:r>
        <w:r w:rsidRPr="00025F23">
          <w:rPr>
            <w:rFonts w:ascii="Cambria" w:eastAsia="Calibri" w:hAnsi="Cambria"/>
            <w:color w:val="000000"/>
            <w:kern w:val="2"/>
            <w:sz w:val="20"/>
            <w:szCs w:val="20"/>
            <w:lang w:val="en-US"/>
            <w14:ligatures w14:val="standardContextual"/>
          </w:rPr>
          <w:fldChar w:fldCharType="begin"/>
        </w:r>
        <w:r w:rsidRPr="00025F23">
          <w:rPr>
            <w:rFonts w:ascii="Cambria" w:eastAsia="Calibri" w:hAnsi="Cambria"/>
            <w:color w:val="000000"/>
            <w:kern w:val="2"/>
            <w:sz w:val="20"/>
            <w:szCs w:val="20"/>
            <w:lang w:val="en-US"/>
            <w14:ligatures w14:val="standardContextual"/>
          </w:rPr>
          <w:instrText xml:space="preserve"> NUMPAGES  </w:instrText>
        </w:r>
        <w:r w:rsidRPr="00025F23">
          <w:rPr>
            <w:rFonts w:ascii="Cambria" w:eastAsia="Calibri" w:hAnsi="Cambria"/>
            <w:color w:val="000000"/>
            <w:kern w:val="2"/>
            <w:sz w:val="20"/>
            <w:szCs w:val="20"/>
            <w:lang w:val="en-US"/>
            <w14:ligatures w14:val="standardContextual"/>
          </w:rPr>
          <w:fldChar w:fldCharType="separate"/>
        </w:r>
        <w:r>
          <w:rPr>
            <w:rFonts w:ascii="Cambria" w:eastAsia="Calibri" w:hAnsi="Cambria"/>
            <w:color w:val="000000"/>
            <w:kern w:val="2"/>
            <w:sz w:val="20"/>
            <w:szCs w:val="20"/>
            <w:lang w:val="en-US"/>
            <w14:ligatures w14:val="standardContextual"/>
          </w:rPr>
          <w:t>106</w:t>
        </w:r>
        <w:r w:rsidRPr="00025F23">
          <w:rPr>
            <w:rFonts w:ascii="Cambria" w:eastAsia="Calibri" w:hAnsi="Cambria"/>
            <w:color w:val="000000"/>
            <w:kern w:val="2"/>
            <w:sz w:val="20"/>
            <w:szCs w:val="20"/>
            <w:lang w:val="en-US"/>
            <w14:ligatures w14:val="standardContextual"/>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8651205"/>
      <w:docPartObj>
        <w:docPartGallery w:val="Page Numbers (Bottom of Page)"/>
        <w:docPartUnique/>
      </w:docPartObj>
    </w:sdtPr>
    <w:sdtEndPr>
      <w:rPr>
        <w:rFonts w:ascii="Cambria" w:hAnsi="Cambria"/>
        <w:noProof/>
        <w:sz w:val="20"/>
        <w:szCs w:val="20"/>
      </w:rPr>
    </w:sdtEndPr>
    <w:sdtContent>
      <w:p w14:paraId="73576B74" w14:textId="669A0B3E" w:rsidR="009123AC" w:rsidRPr="00ED5294" w:rsidRDefault="00272CAD" w:rsidP="00ED5294">
        <w:pPr>
          <w:pStyle w:val="Footer"/>
          <w:jc w:val="center"/>
          <w:rPr>
            <w:rFonts w:ascii="Cambria" w:hAnsi="Cambria"/>
            <w:sz w:val="20"/>
            <w:szCs w:val="20"/>
          </w:rPr>
        </w:pPr>
        <w:r w:rsidRPr="001D4F97">
          <w:rPr>
            <w:rFonts w:ascii="Cambria" w:hAnsi="Cambria"/>
            <w:sz w:val="20"/>
            <w:szCs w:val="20"/>
          </w:rPr>
          <w:fldChar w:fldCharType="begin"/>
        </w:r>
        <w:r w:rsidRPr="001D4F97">
          <w:rPr>
            <w:rFonts w:ascii="Cambria" w:hAnsi="Cambria"/>
            <w:sz w:val="20"/>
            <w:szCs w:val="20"/>
          </w:rPr>
          <w:instrText xml:space="preserve"> PAGE   \* MERGEFORMAT </w:instrText>
        </w:r>
        <w:r w:rsidRPr="001D4F97">
          <w:rPr>
            <w:rFonts w:ascii="Cambria" w:hAnsi="Cambria"/>
            <w:sz w:val="20"/>
            <w:szCs w:val="20"/>
          </w:rPr>
          <w:fldChar w:fldCharType="separate"/>
        </w:r>
        <w:r>
          <w:rPr>
            <w:rFonts w:ascii="Cambria" w:hAnsi="Cambria"/>
            <w:sz w:val="20"/>
            <w:szCs w:val="20"/>
          </w:rPr>
          <w:t>27</w:t>
        </w:r>
        <w:r w:rsidRPr="001D4F97">
          <w:rPr>
            <w:rFonts w:ascii="Cambria" w:hAnsi="Cambria"/>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738543"/>
      <w:docPartObj>
        <w:docPartGallery w:val="Page Numbers (Bottom of Page)"/>
        <w:docPartUnique/>
      </w:docPartObj>
    </w:sdtPr>
    <w:sdtEndPr/>
    <w:sdtContent>
      <w:sdt>
        <w:sdtPr>
          <w:id w:val="107863525"/>
          <w:docPartObj>
            <w:docPartGallery w:val="Page Numbers (Top of Page)"/>
            <w:docPartUnique/>
          </w:docPartObj>
        </w:sdtPr>
        <w:sdtEndPr/>
        <w:sdtContent>
          <w:p w14:paraId="15F79BB0" w14:textId="77777777" w:rsidR="009123AC" w:rsidRDefault="009123AC" w:rsidP="002813AE">
            <w:pPr>
              <w:pStyle w:val="Footer"/>
              <w:jc w:val="center"/>
            </w:pPr>
            <w:r w:rsidRPr="002813AE">
              <w:rPr>
                <w:rFonts w:ascii="Cambria" w:hAnsi="Cambria"/>
                <w:bCs/>
                <w:sz w:val="20"/>
                <w:szCs w:val="20"/>
              </w:rPr>
              <w:fldChar w:fldCharType="begin"/>
            </w:r>
            <w:r w:rsidRPr="002813AE">
              <w:rPr>
                <w:rFonts w:ascii="Cambria" w:hAnsi="Cambria"/>
                <w:bCs/>
                <w:sz w:val="20"/>
                <w:szCs w:val="20"/>
              </w:rPr>
              <w:instrText xml:space="preserve"> PAGE </w:instrText>
            </w:r>
            <w:r w:rsidRPr="002813AE">
              <w:rPr>
                <w:rFonts w:ascii="Cambria" w:hAnsi="Cambria"/>
                <w:bCs/>
                <w:sz w:val="20"/>
                <w:szCs w:val="20"/>
              </w:rPr>
              <w:fldChar w:fldCharType="separate"/>
            </w:r>
            <w:r>
              <w:rPr>
                <w:rFonts w:ascii="Cambria" w:hAnsi="Cambria"/>
                <w:bCs/>
                <w:sz w:val="20"/>
                <w:szCs w:val="20"/>
              </w:rPr>
              <w:t>1</w:t>
            </w:r>
            <w:r w:rsidRPr="002813AE">
              <w:rPr>
                <w:rFonts w:ascii="Cambria" w:hAnsi="Cambria"/>
                <w:bCs/>
                <w:sz w:val="20"/>
                <w:szCs w:val="20"/>
              </w:rPr>
              <w:fldChar w:fldCharType="end"/>
            </w:r>
            <w:r>
              <w:rPr>
                <w:rFonts w:ascii="Cambria" w:hAnsi="Cambria"/>
                <w:sz w:val="20"/>
                <w:szCs w:val="20"/>
              </w:rPr>
              <w:t xml:space="preserve"> </w:t>
            </w:r>
            <w:r>
              <w:t>/</w:t>
            </w:r>
            <w:r>
              <w:rPr>
                <w:rFonts w:ascii="Cambria" w:hAnsi="Cambria"/>
                <w:sz w:val="20"/>
                <w:szCs w:val="20"/>
              </w:rPr>
              <w:t xml:space="preserve"> </w:t>
            </w:r>
            <w:r w:rsidRPr="002813AE">
              <w:rPr>
                <w:rFonts w:ascii="Cambria" w:hAnsi="Cambria"/>
                <w:bCs/>
                <w:sz w:val="20"/>
                <w:szCs w:val="20"/>
              </w:rPr>
              <w:fldChar w:fldCharType="begin"/>
            </w:r>
            <w:r w:rsidRPr="002813AE">
              <w:rPr>
                <w:rFonts w:ascii="Cambria" w:hAnsi="Cambria"/>
                <w:bCs/>
                <w:sz w:val="20"/>
                <w:szCs w:val="20"/>
              </w:rPr>
              <w:instrText xml:space="preserve"> NUMPAGES  </w:instrText>
            </w:r>
            <w:r w:rsidRPr="002813AE">
              <w:rPr>
                <w:rFonts w:ascii="Cambria" w:hAnsi="Cambria"/>
                <w:bCs/>
                <w:sz w:val="20"/>
                <w:szCs w:val="20"/>
              </w:rPr>
              <w:fldChar w:fldCharType="separate"/>
            </w:r>
            <w:r>
              <w:rPr>
                <w:rFonts w:ascii="Cambria" w:hAnsi="Cambria"/>
                <w:bCs/>
                <w:sz w:val="20"/>
                <w:szCs w:val="20"/>
              </w:rPr>
              <w:t>3</w:t>
            </w:r>
            <w:r w:rsidRPr="002813AE">
              <w:rPr>
                <w:rFonts w:ascii="Cambria" w:hAnsi="Cambria"/>
                <w:bCs/>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8355402"/>
      <w:docPartObj>
        <w:docPartGallery w:val="Page Numbers (Bottom of Page)"/>
        <w:docPartUnique/>
      </w:docPartObj>
    </w:sdtPr>
    <w:sdtEndPr>
      <w:rPr>
        <w:rFonts w:ascii="Cambria" w:hAnsi="Cambria"/>
        <w:noProof/>
        <w:sz w:val="20"/>
        <w:szCs w:val="20"/>
      </w:rPr>
    </w:sdtEndPr>
    <w:sdtContent>
      <w:p w14:paraId="14FFDB61" w14:textId="218C0BAC" w:rsidR="009123AC" w:rsidRPr="00ED5294" w:rsidRDefault="00ED5294" w:rsidP="00ED5294">
        <w:pPr>
          <w:pStyle w:val="Footer"/>
          <w:jc w:val="center"/>
          <w:rPr>
            <w:rFonts w:ascii="Cambria" w:hAnsi="Cambria"/>
            <w:sz w:val="20"/>
            <w:szCs w:val="20"/>
          </w:rPr>
        </w:pPr>
        <w:r w:rsidRPr="001D4F97">
          <w:rPr>
            <w:rFonts w:ascii="Cambria" w:hAnsi="Cambria"/>
            <w:sz w:val="20"/>
            <w:szCs w:val="20"/>
          </w:rPr>
          <w:fldChar w:fldCharType="begin"/>
        </w:r>
        <w:r w:rsidRPr="001D4F97">
          <w:rPr>
            <w:rFonts w:ascii="Cambria" w:hAnsi="Cambria"/>
            <w:sz w:val="20"/>
            <w:szCs w:val="20"/>
          </w:rPr>
          <w:instrText xml:space="preserve"> PAGE   \* MERGEFORMAT </w:instrText>
        </w:r>
        <w:r w:rsidRPr="001D4F97">
          <w:rPr>
            <w:rFonts w:ascii="Cambria" w:hAnsi="Cambria"/>
            <w:sz w:val="20"/>
            <w:szCs w:val="20"/>
          </w:rPr>
          <w:fldChar w:fldCharType="separate"/>
        </w:r>
        <w:r>
          <w:rPr>
            <w:rFonts w:ascii="Cambria" w:hAnsi="Cambria"/>
            <w:sz w:val="20"/>
            <w:szCs w:val="20"/>
          </w:rPr>
          <w:t>27</w:t>
        </w:r>
        <w:r w:rsidRPr="001D4F97">
          <w:rPr>
            <w:rFonts w:ascii="Cambria" w:hAnsi="Cambria"/>
            <w:noProof/>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678494"/>
      <w:docPartObj>
        <w:docPartGallery w:val="Page Numbers (Bottom of Page)"/>
        <w:docPartUnique/>
      </w:docPartObj>
    </w:sdtPr>
    <w:sdtEndPr/>
    <w:sdtContent>
      <w:sdt>
        <w:sdtPr>
          <w:id w:val="-758529544"/>
          <w:docPartObj>
            <w:docPartGallery w:val="Page Numbers (Top of Page)"/>
            <w:docPartUnique/>
          </w:docPartObj>
        </w:sdtPr>
        <w:sdtEndPr/>
        <w:sdtContent>
          <w:p w14:paraId="19761A99" w14:textId="77777777" w:rsidR="009123AC" w:rsidRDefault="009123AC" w:rsidP="002813AE">
            <w:pPr>
              <w:pStyle w:val="Footer"/>
              <w:jc w:val="center"/>
            </w:pPr>
            <w:r w:rsidRPr="002813AE">
              <w:rPr>
                <w:rFonts w:ascii="Cambria" w:hAnsi="Cambria"/>
                <w:sz w:val="20"/>
              </w:rPr>
              <w:fldChar w:fldCharType="begin"/>
            </w:r>
            <w:r w:rsidRPr="002813AE">
              <w:rPr>
                <w:rFonts w:ascii="Cambria" w:hAnsi="Cambria"/>
                <w:sz w:val="20"/>
              </w:rPr>
              <w:instrText xml:space="preserve"> PAGE </w:instrText>
            </w:r>
            <w:r w:rsidRPr="002813AE">
              <w:rPr>
                <w:rFonts w:ascii="Cambria" w:hAnsi="Cambria"/>
                <w:sz w:val="20"/>
              </w:rPr>
              <w:fldChar w:fldCharType="separate"/>
            </w:r>
            <w:r>
              <w:rPr>
                <w:rFonts w:ascii="Cambria" w:hAnsi="Cambria"/>
                <w:sz w:val="20"/>
              </w:rPr>
              <w:t>1</w:t>
            </w:r>
            <w:r w:rsidRPr="002813AE">
              <w:rPr>
                <w:rFonts w:ascii="Cambria" w:hAnsi="Cambria"/>
                <w:sz w:val="20"/>
              </w:rPr>
              <w:fldChar w:fldCharType="end"/>
            </w:r>
            <w:r>
              <w:rPr>
                <w:rFonts w:ascii="Cambria" w:hAnsi="Cambria"/>
                <w:sz w:val="20"/>
              </w:rPr>
              <w:t xml:space="preserve">  / </w:t>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9BB64" w14:textId="78F28D19" w:rsidR="009123AC" w:rsidRPr="00525C4F" w:rsidRDefault="00CE0EC8" w:rsidP="00525C4F">
    <w:pPr>
      <w:tabs>
        <w:tab w:val="center" w:pos="4535"/>
        <w:tab w:val="center" w:pos="4680"/>
        <w:tab w:val="left" w:pos="6150"/>
        <w:tab w:val="right" w:pos="9360"/>
      </w:tabs>
      <w:jc w:val="center"/>
      <w:rPr>
        <w:rFonts w:ascii="Cambria" w:eastAsia="Calibri" w:hAnsi="Cambria"/>
        <w:sz w:val="20"/>
      </w:rPr>
    </w:pPr>
    <w:sdt>
      <w:sdtPr>
        <w:rPr>
          <w:rFonts w:ascii="Calibri" w:eastAsia="Calibri" w:hAnsi="Calibri"/>
          <w:sz w:val="20"/>
          <w:szCs w:val="20"/>
        </w:rPr>
        <w:id w:val="810910487"/>
        <w:docPartObj>
          <w:docPartGallery w:val="Page Numbers (Top of Page)"/>
          <w:docPartUnique/>
        </w:docPartObj>
      </w:sdtPr>
      <w:sdtEndPr/>
      <w:sdtContent>
        <w:r w:rsidR="009123AC" w:rsidRPr="00525C4F">
          <w:rPr>
            <w:rFonts w:ascii="Cambria" w:eastAsia="Calibri" w:hAnsi="Cambria"/>
            <w:sz w:val="20"/>
            <w:szCs w:val="20"/>
            <w:lang w:val="en-US"/>
          </w:rPr>
          <w:fldChar w:fldCharType="begin"/>
        </w:r>
        <w:r w:rsidR="009123AC" w:rsidRPr="00525C4F">
          <w:rPr>
            <w:rFonts w:ascii="Cambria" w:eastAsia="Calibri" w:hAnsi="Cambria"/>
            <w:sz w:val="20"/>
            <w:szCs w:val="20"/>
            <w:lang w:val="en-US"/>
          </w:rPr>
          <w:instrText xml:space="preserve"> PAGE </w:instrText>
        </w:r>
        <w:r w:rsidR="009123AC" w:rsidRPr="00525C4F">
          <w:rPr>
            <w:rFonts w:ascii="Cambria" w:eastAsia="Calibri" w:hAnsi="Cambria"/>
            <w:sz w:val="20"/>
            <w:szCs w:val="20"/>
            <w:lang w:val="en-US"/>
          </w:rPr>
          <w:fldChar w:fldCharType="separate"/>
        </w:r>
        <w:r w:rsidR="009123AC" w:rsidRPr="00525C4F">
          <w:rPr>
            <w:rFonts w:ascii="Cambria" w:eastAsia="Calibri" w:hAnsi="Cambria"/>
            <w:sz w:val="20"/>
            <w:szCs w:val="20"/>
            <w:lang w:val="en-US"/>
          </w:rPr>
          <w:t>1</w:t>
        </w:r>
        <w:r w:rsidR="009123AC" w:rsidRPr="00525C4F">
          <w:rPr>
            <w:rFonts w:ascii="Cambria" w:eastAsia="Calibri" w:hAnsi="Cambria"/>
            <w:sz w:val="20"/>
            <w:szCs w:val="20"/>
            <w:lang w:val="en-US"/>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8449633"/>
      <w:docPartObj>
        <w:docPartGallery w:val="Page Numbers (Bottom of Page)"/>
        <w:docPartUnique/>
      </w:docPartObj>
    </w:sdtPr>
    <w:sdtEndPr/>
    <w:sdtContent>
      <w:sdt>
        <w:sdtPr>
          <w:id w:val="-1234536642"/>
          <w:docPartObj>
            <w:docPartGallery w:val="Page Numbers (Top of Page)"/>
            <w:docPartUnique/>
          </w:docPartObj>
        </w:sdtPr>
        <w:sdtEndPr/>
        <w:sdtContent>
          <w:p w14:paraId="4E81C0C7" w14:textId="77777777" w:rsidR="009123AC" w:rsidRDefault="009123AC" w:rsidP="002813AE">
            <w:pPr>
              <w:pStyle w:val="Footer"/>
              <w:jc w:val="center"/>
            </w:pPr>
            <w:r w:rsidRPr="002813AE">
              <w:rPr>
                <w:rFonts w:ascii="Cambria" w:hAnsi="Cambria"/>
                <w:bCs/>
                <w:sz w:val="20"/>
                <w:szCs w:val="20"/>
              </w:rPr>
              <w:fldChar w:fldCharType="begin"/>
            </w:r>
            <w:r w:rsidRPr="002813AE">
              <w:rPr>
                <w:rFonts w:ascii="Cambria" w:hAnsi="Cambria"/>
                <w:bCs/>
                <w:sz w:val="20"/>
                <w:szCs w:val="20"/>
              </w:rPr>
              <w:instrText xml:space="preserve"> PAGE </w:instrText>
            </w:r>
            <w:r w:rsidRPr="002813AE">
              <w:rPr>
                <w:rFonts w:ascii="Cambria" w:hAnsi="Cambria"/>
                <w:bCs/>
                <w:sz w:val="20"/>
                <w:szCs w:val="20"/>
              </w:rPr>
              <w:fldChar w:fldCharType="separate"/>
            </w:r>
            <w:r>
              <w:rPr>
                <w:rFonts w:ascii="Cambria" w:hAnsi="Cambria"/>
                <w:bCs/>
                <w:sz w:val="20"/>
                <w:szCs w:val="20"/>
              </w:rPr>
              <w:t>1</w:t>
            </w:r>
            <w:r w:rsidRPr="002813AE">
              <w:rPr>
                <w:rFonts w:ascii="Cambria" w:hAnsi="Cambria"/>
                <w:bCs/>
                <w:sz w:val="20"/>
                <w:szCs w:val="20"/>
              </w:rPr>
              <w:fldChar w:fldCharType="end"/>
            </w:r>
            <w:r>
              <w:rPr>
                <w:rFonts w:ascii="Cambria" w:hAnsi="Cambria"/>
                <w:sz w:val="20"/>
                <w:szCs w:val="20"/>
              </w:rPr>
              <w:t xml:space="preserve"> </w:t>
            </w:r>
            <w:r>
              <w:t>/</w:t>
            </w:r>
            <w:r>
              <w:rPr>
                <w:rFonts w:ascii="Cambria" w:hAnsi="Cambria"/>
                <w:sz w:val="20"/>
                <w:szCs w:val="20"/>
              </w:rPr>
              <w:t xml:space="preserve"> </w:t>
            </w:r>
            <w:r w:rsidRPr="002813AE">
              <w:rPr>
                <w:rFonts w:ascii="Cambria" w:hAnsi="Cambria"/>
                <w:bCs/>
                <w:sz w:val="20"/>
                <w:szCs w:val="20"/>
              </w:rPr>
              <w:fldChar w:fldCharType="begin"/>
            </w:r>
            <w:r w:rsidRPr="002813AE">
              <w:rPr>
                <w:rFonts w:ascii="Cambria" w:hAnsi="Cambria"/>
                <w:bCs/>
                <w:sz w:val="20"/>
                <w:szCs w:val="20"/>
              </w:rPr>
              <w:instrText xml:space="preserve"> NUMPAGES  </w:instrText>
            </w:r>
            <w:r w:rsidRPr="002813AE">
              <w:rPr>
                <w:rFonts w:ascii="Cambria" w:hAnsi="Cambria"/>
                <w:bCs/>
                <w:sz w:val="20"/>
                <w:szCs w:val="20"/>
              </w:rPr>
              <w:fldChar w:fldCharType="separate"/>
            </w:r>
            <w:r>
              <w:rPr>
                <w:rFonts w:ascii="Cambria" w:hAnsi="Cambria"/>
                <w:bCs/>
                <w:sz w:val="20"/>
                <w:szCs w:val="20"/>
              </w:rPr>
              <w:t>7</w:t>
            </w:r>
            <w:r w:rsidRPr="002813AE">
              <w:rPr>
                <w:rFonts w:ascii="Cambria" w:hAnsi="Cambria"/>
                <w:bCs/>
                <w:sz w:val="20"/>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65753" w14:textId="77777777" w:rsidR="009123AC" w:rsidRPr="002C74E5" w:rsidRDefault="00CE0EC8" w:rsidP="000E5D57">
    <w:pPr>
      <w:tabs>
        <w:tab w:val="center" w:pos="4535"/>
        <w:tab w:val="center" w:pos="4680"/>
        <w:tab w:val="left" w:pos="6150"/>
        <w:tab w:val="right" w:pos="9360"/>
      </w:tabs>
      <w:jc w:val="center"/>
      <w:rPr>
        <w:rFonts w:ascii="Cambria" w:eastAsia="Calibri" w:hAnsi="Cambria"/>
        <w:sz w:val="20"/>
        <w:szCs w:val="20"/>
      </w:rPr>
    </w:pPr>
    <w:sdt>
      <w:sdtPr>
        <w:rPr>
          <w:rFonts w:ascii="Calibri" w:eastAsia="Calibri" w:hAnsi="Calibri"/>
          <w:sz w:val="20"/>
          <w:szCs w:val="20"/>
        </w:rPr>
        <w:id w:val="92595979"/>
        <w:docPartObj>
          <w:docPartGallery w:val="Page Numbers (Top of Page)"/>
          <w:docPartUnique/>
        </w:docPartObj>
      </w:sdtPr>
      <w:sdtEndPr>
        <w:rPr>
          <w:rFonts w:ascii="Cambria" w:hAnsi="Cambria"/>
        </w:rPr>
      </w:sdtEndPr>
      <w:sdtContent>
        <w:r w:rsidR="009123AC" w:rsidRPr="002C74E5">
          <w:rPr>
            <w:rFonts w:ascii="Cambria" w:eastAsia="Calibri" w:hAnsi="Cambria"/>
            <w:sz w:val="20"/>
            <w:szCs w:val="20"/>
            <w:lang w:val="en-US"/>
          </w:rPr>
          <w:fldChar w:fldCharType="begin"/>
        </w:r>
        <w:r w:rsidR="009123AC" w:rsidRPr="002C74E5">
          <w:rPr>
            <w:rFonts w:ascii="Cambria" w:eastAsia="Calibri" w:hAnsi="Cambria"/>
            <w:sz w:val="20"/>
            <w:szCs w:val="20"/>
            <w:lang w:val="en-US"/>
          </w:rPr>
          <w:instrText xml:space="preserve"> PAGE </w:instrText>
        </w:r>
        <w:r w:rsidR="009123AC" w:rsidRPr="002C74E5">
          <w:rPr>
            <w:rFonts w:ascii="Cambria" w:eastAsia="Calibri" w:hAnsi="Cambria"/>
            <w:sz w:val="20"/>
            <w:szCs w:val="20"/>
            <w:lang w:val="en-US"/>
          </w:rPr>
          <w:fldChar w:fldCharType="separate"/>
        </w:r>
        <w:r w:rsidR="009123AC" w:rsidRPr="002C74E5">
          <w:rPr>
            <w:rFonts w:ascii="Cambria" w:eastAsia="Calibri" w:hAnsi="Cambria"/>
            <w:sz w:val="20"/>
            <w:szCs w:val="20"/>
            <w:lang w:val="en-US"/>
          </w:rPr>
          <w:t>1</w:t>
        </w:r>
        <w:r w:rsidR="009123AC" w:rsidRPr="002C74E5">
          <w:rPr>
            <w:rFonts w:ascii="Cambria" w:eastAsia="Calibri" w:hAnsi="Cambria"/>
            <w:sz w:val="20"/>
            <w:szCs w:val="20"/>
            <w:lang w:val="en-US"/>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5F631" w14:textId="10903AEF" w:rsidR="009123AC" w:rsidRPr="00032CBC" w:rsidRDefault="00CE0EC8" w:rsidP="00032CBC">
    <w:pPr>
      <w:tabs>
        <w:tab w:val="center" w:pos="4535"/>
        <w:tab w:val="center" w:pos="4680"/>
        <w:tab w:val="left" w:pos="6150"/>
        <w:tab w:val="right" w:pos="9360"/>
      </w:tabs>
      <w:jc w:val="center"/>
      <w:rPr>
        <w:rFonts w:ascii="Cambria" w:eastAsia="Calibri" w:hAnsi="Cambria"/>
        <w:sz w:val="20"/>
        <w:szCs w:val="20"/>
      </w:rPr>
    </w:pPr>
    <w:sdt>
      <w:sdtPr>
        <w:rPr>
          <w:rFonts w:ascii="Calibri" w:eastAsia="Calibri" w:hAnsi="Calibri"/>
          <w:sz w:val="20"/>
          <w:szCs w:val="20"/>
        </w:rPr>
        <w:id w:val="441813950"/>
        <w:docPartObj>
          <w:docPartGallery w:val="Page Numbers (Top of Page)"/>
          <w:docPartUnique/>
        </w:docPartObj>
      </w:sdtPr>
      <w:sdtEndPr>
        <w:rPr>
          <w:rFonts w:ascii="Cambria" w:hAnsi="Cambria"/>
        </w:rPr>
      </w:sdtEndPr>
      <w:sdtContent>
        <w:r w:rsidR="00032CBC" w:rsidRPr="002C74E5">
          <w:rPr>
            <w:rFonts w:ascii="Cambria" w:eastAsia="Calibri" w:hAnsi="Cambria"/>
            <w:sz w:val="20"/>
            <w:szCs w:val="20"/>
            <w:lang w:val="en-US"/>
          </w:rPr>
          <w:fldChar w:fldCharType="begin"/>
        </w:r>
        <w:r w:rsidR="00032CBC" w:rsidRPr="002C74E5">
          <w:rPr>
            <w:rFonts w:ascii="Cambria" w:eastAsia="Calibri" w:hAnsi="Cambria"/>
            <w:sz w:val="20"/>
            <w:szCs w:val="20"/>
            <w:lang w:val="en-US"/>
          </w:rPr>
          <w:instrText xml:space="preserve"> PAGE </w:instrText>
        </w:r>
        <w:r w:rsidR="00032CBC" w:rsidRPr="002C74E5">
          <w:rPr>
            <w:rFonts w:ascii="Cambria" w:eastAsia="Calibri" w:hAnsi="Cambria"/>
            <w:sz w:val="20"/>
            <w:szCs w:val="20"/>
            <w:lang w:val="en-US"/>
          </w:rPr>
          <w:fldChar w:fldCharType="separate"/>
        </w:r>
        <w:r w:rsidR="00032CBC">
          <w:rPr>
            <w:rFonts w:ascii="Cambria" w:eastAsia="Calibri" w:hAnsi="Cambria"/>
            <w:sz w:val="20"/>
            <w:szCs w:val="20"/>
            <w:lang w:val="en-US"/>
          </w:rPr>
          <w:t>83</w:t>
        </w:r>
        <w:r w:rsidR="00032CBC" w:rsidRPr="002C74E5">
          <w:rPr>
            <w:rFonts w:ascii="Cambria" w:eastAsia="Calibri" w:hAnsi="Cambria"/>
            <w:sz w:val="20"/>
            <w:szCs w:val="20"/>
            <w:lang w:val="en-US"/>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8768107"/>
      <w:docPartObj>
        <w:docPartGallery w:val="Page Numbers (Bottom of Page)"/>
        <w:docPartUnique/>
      </w:docPartObj>
    </w:sdtPr>
    <w:sdtEndPr/>
    <w:sdtContent>
      <w:sdt>
        <w:sdtPr>
          <w:id w:val="1077481039"/>
          <w:docPartObj>
            <w:docPartGallery w:val="Page Numbers (Top of Page)"/>
            <w:docPartUnique/>
          </w:docPartObj>
        </w:sdtPr>
        <w:sdtEndPr/>
        <w:sdtContent>
          <w:p w14:paraId="3BD1EE55" w14:textId="77777777" w:rsidR="009123AC" w:rsidRDefault="009123AC" w:rsidP="00DB26C2">
            <w:pPr>
              <w:pStyle w:val="Footer"/>
              <w:jc w:val="center"/>
            </w:pPr>
            <w:r w:rsidRPr="002813AE">
              <w:rPr>
                <w:bCs/>
                <w:szCs w:val="20"/>
              </w:rPr>
              <w:fldChar w:fldCharType="begin"/>
            </w:r>
            <w:r w:rsidRPr="002813AE">
              <w:rPr>
                <w:bCs/>
                <w:szCs w:val="20"/>
              </w:rPr>
              <w:instrText xml:space="preserve"> PAGE </w:instrText>
            </w:r>
            <w:r w:rsidRPr="002813AE">
              <w:rPr>
                <w:bCs/>
                <w:szCs w:val="20"/>
              </w:rPr>
              <w:fldChar w:fldCharType="separate"/>
            </w:r>
            <w:r>
              <w:rPr>
                <w:bCs/>
                <w:szCs w:val="20"/>
              </w:rPr>
              <w:t>1</w:t>
            </w:r>
            <w:r w:rsidRPr="002813AE">
              <w:rPr>
                <w:bCs/>
                <w:szCs w:val="20"/>
              </w:rPr>
              <w:fldChar w:fldCharType="end"/>
            </w:r>
            <w:r>
              <w:rPr>
                <w:szCs w:val="20"/>
              </w:rPr>
              <w:t xml:space="preserve"> / </w:t>
            </w:r>
            <w:r w:rsidRPr="002813AE">
              <w:rPr>
                <w:bCs/>
                <w:szCs w:val="20"/>
              </w:rPr>
              <w:fldChar w:fldCharType="begin"/>
            </w:r>
            <w:r w:rsidRPr="002813AE">
              <w:rPr>
                <w:bCs/>
                <w:szCs w:val="20"/>
              </w:rPr>
              <w:instrText xml:space="preserve"> NUMPAGES  </w:instrText>
            </w:r>
            <w:r w:rsidRPr="002813AE">
              <w:rPr>
                <w:bCs/>
                <w:szCs w:val="20"/>
              </w:rPr>
              <w:fldChar w:fldCharType="separate"/>
            </w:r>
            <w:r>
              <w:rPr>
                <w:bCs/>
                <w:szCs w:val="20"/>
              </w:rPr>
              <w:t>3</w:t>
            </w:r>
            <w:r w:rsidRPr="002813AE">
              <w:rPr>
                <w:bCs/>
                <w:szCs w:val="20"/>
              </w:rPr>
              <w:fldChar w:fldCharType="end"/>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A52E6" w14:textId="77777777" w:rsidR="009123AC" w:rsidRDefault="009123A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C678" w14:textId="6DA1E86C" w:rsidR="009123AC" w:rsidRPr="004078CD" w:rsidRDefault="009123AC" w:rsidP="00BE2685">
    <w:pPr>
      <w:pStyle w:val="Footer"/>
      <w:jc w:val="center"/>
      <w:rPr>
        <w:rFonts w:ascii="Cambria" w:hAnsi="Cambria"/>
        <w:sz w:val="20"/>
        <w:szCs w:val="20"/>
      </w:rPr>
    </w:pPr>
    <w:r w:rsidRPr="004078CD">
      <w:rPr>
        <w:rFonts w:ascii="Cambria" w:hAnsi="Cambria"/>
        <w:sz w:val="20"/>
        <w:szCs w:val="20"/>
        <w:lang w:val="es-ES_tradnl"/>
      </w:rPr>
      <w:fldChar w:fldCharType="begin"/>
    </w:r>
    <w:r w:rsidRPr="004078CD">
      <w:rPr>
        <w:rFonts w:ascii="Cambria" w:hAnsi="Cambria"/>
        <w:sz w:val="20"/>
        <w:szCs w:val="20"/>
        <w:lang w:val="es-ES_tradnl"/>
      </w:rPr>
      <w:instrText xml:space="preserve"> PAGE </w:instrText>
    </w:r>
    <w:r w:rsidRPr="004078CD">
      <w:rPr>
        <w:rFonts w:ascii="Cambria" w:hAnsi="Cambria"/>
        <w:sz w:val="20"/>
        <w:szCs w:val="20"/>
        <w:lang w:val="es-ES_tradnl"/>
      </w:rPr>
      <w:fldChar w:fldCharType="separate"/>
    </w:r>
    <w:r w:rsidRPr="004078CD">
      <w:rPr>
        <w:rFonts w:ascii="Cambria" w:hAnsi="Cambria"/>
        <w:noProof/>
        <w:sz w:val="20"/>
        <w:szCs w:val="20"/>
        <w:lang w:val="es-ES_tradnl"/>
      </w:rPr>
      <w:t>1</w:t>
    </w:r>
    <w:r w:rsidRPr="004078CD">
      <w:rPr>
        <w:rFonts w:ascii="Cambria" w:hAnsi="Cambria"/>
        <w:sz w:val="20"/>
        <w:szCs w:val="20"/>
        <w:lang w:val="es-ES_tradnl"/>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341980"/>
      <w:docPartObj>
        <w:docPartGallery w:val="Page Numbers (Bottom of Page)"/>
        <w:docPartUnique/>
      </w:docPartObj>
    </w:sdtPr>
    <w:sdtEndPr/>
    <w:sdtContent>
      <w:sdt>
        <w:sdtPr>
          <w:id w:val="-793138760"/>
          <w:docPartObj>
            <w:docPartGallery w:val="Page Numbers (Top of Page)"/>
            <w:docPartUnique/>
          </w:docPartObj>
        </w:sdtPr>
        <w:sdtEndPr/>
        <w:sdtContent>
          <w:p w14:paraId="105321FE" w14:textId="77777777" w:rsidR="009123AC" w:rsidRDefault="009123AC" w:rsidP="00632922">
            <w:pPr>
              <w:pStyle w:val="Footer"/>
              <w:jc w:val="center"/>
            </w:pPr>
            <w:r w:rsidRPr="002813AE">
              <w:rPr>
                <w:bCs/>
                <w:szCs w:val="20"/>
              </w:rPr>
              <w:fldChar w:fldCharType="begin"/>
            </w:r>
            <w:r w:rsidRPr="002813AE">
              <w:rPr>
                <w:bCs/>
                <w:szCs w:val="20"/>
              </w:rPr>
              <w:instrText xml:space="preserve"> PAGE </w:instrText>
            </w:r>
            <w:r w:rsidRPr="002813AE">
              <w:rPr>
                <w:bCs/>
                <w:szCs w:val="20"/>
              </w:rPr>
              <w:fldChar w:fldCharType="separate"/>
            </w:r>
            <w:r>
              <w:rPr>
                <w:bCs/>
                <w:szCs w:val="20"/>
              </w:rPr>
              <w:t>1</w:t>
            </w:r>
            <w:r w:rsidRPr="002813AE">
              <w:rPr>
                <w:bCs/>
                <w:szCs w:val="20"/>
              </w:rPr>
              <w:fldChar w:fldCharType="end"/>
            </w:r>
            <w:r>
              <w:rPr>
                <w:szCs w:val="20"/>
              </w:rPr>
              <w:t xml:space="preserve"> / </w:t>
            </w:r>
            <w:r w:rsidRPr="002813AE">
              <w:rPr>
                <w:bCs/>
                <w:szCs w:val="20"/>
              </w:rPr>
              <w:fldChar w:fldCharType="begin"/>
            </w:r>
            <w:r w:rsidRPr="002813AE">
              <w:rPr>
                <w:bCs/>
                <w:szCs w:val="20"/>
              </w:rPr>
              <w:instrText xml:space="preserve"> NUMPAGES  </w:instrText>
            </w:r>
            <w:r w:rsidRPr="002813AE">
              <w:rPr>
                <w:bCs/>
                <w:szCs w:val="20"/>
              </w:rPr>
              <w:fldChar w:fldCharType="separate"/>
            </w:r>
            <w:r>
              <w:rPr>
                <w:bCs/>
                <w:szCs w:val="20"/>
              </w:rPr>
              <w:t>3</w:t>
            </w:r>
            <w:r w:rsidRPr="002813AE">
              <w:rPr>
                <w:bCs/>
                <w:szCs w:val="20"/>
              </w:rPr>
              <w:fldChar w:fldCharType="end"/>
            </w:r>
          </w:p>
        </w:sdtContent>
      </w:sdt>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068989"/>
      <w:docPartObj>
        <w:docPartGallery w:val="Page Numbers (Bottom of Page)"/>
        <w:docPartUnique/>
      </w:docPartObj>
    </w:sdtPr>
    <w:sdtEndPr>
      <w:rPr>
        <w:rFonts w:ascii="Cambria" w:hAnsi="Cambria"/>
        <w:noProof/>
        <w:sz w:val="20"/>
        <w:szCs w:val="20"/>
      </w:rPr>
    </w:sdtEndPr>
    <w:sdtContent>
      <w:p w14:paraId="18FDB4CF" w14:textId="1436383E" w:rsidR="009123AC" w:rsidRPr="00E8074B" w:rsidRDefault="001A30AE" w:rsidP="00E8074B">
        <w:pPr>
          <w:pStyle w:val="Footer"/>
          <w:tabs>
            <w:tab w:val="clear" w:pos="4513"/>
            <w:tab w:val="center" w:pos="4535"/>
          </w:tabs>
          <w:jc w:val="center"/>
          <w:rPr>
            <w:rFonts w:ascii="Cambria" w:hAnsi="Cambria"/>
            <w:sz w:val="20"/>
            <w:szCs w:val="20"/>
          </w:rPr>
        </w:pPr>
        <w:r w:rsidRPr="001D4F97">
          <w:rPr>
            <w:rFonts w:ascii="Cambria" w:hAnsi="Cambria"/>
            <w:sz w:val="20"/>
            <w:szCs w:val="20"/>
          </w:rPr>
          <w:fldChar w:fldCharType="begin"/>
        </w:r>
        <w:r w:rsidRPr="001D4F97">
          <w:rPr>
            <w:rFonts w:ascii="Cambria" w:hAnsi="Cambria"/>
            <w:sz w:val="20"/>
            <w:szCs w:val="20"/>
          </w:rPr>
          <w:instrText xml:space="preserve"> PAGE   \* MERGEFORMAT </w:instrText>
        </w:r>
        <w:r w:rsidRPr="001D4F97">
          <w:rPr>
            <w:rFonts w:ascii="Cambria" w:hAnsi="Cambria"/>
            <w:sz w:val="20"/>
            <w:szCs w:val="20"/>
          </w:rPr>
          <w:fldChar w:fldCharType="separate"/>
        </w:r>
        <w:r>
          <w:rPr>
            <w:rFonts w:ascii="Cambria" w:hAnsi="Cambria"/>
            <w:sz w:val="20"/>
            <w:szCs w:val="20"/>
          </w:rPr>
          <w:t>1</w:t>
        </w:r>
        <w:r w:rsidRPr="001D4F97">
          <w:rPr>
            <w:rFonts w:ascii="Cambria" w:hAnsi="Cambria"/>
            <w:noProof/>
            <w:sz w:val="20"/>
            <w:szCs w:val="20"/>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4189522"/>
      <w:docPartObj>
        <w:docPartGallery w:val="Page Numbers (Bottom of Page)"/>
        <w:docPartUnique/>
      </w:docPartObj>
    </w:sdtPr>
    <w:sdtEndPr/>
    <w:sdtContent>
      <w:sdt>
        <w:sdtPr>
          <w:id w:val="-1902134548"/>
          <w:docPartObj>
            <w:docPartGallery w:val="Page Numbers (Top of Page)"/>
            <w:docPartUnique/>
          </w:docPartObj>
        </w:sdtPr>
        <w:sdtEndPr/>
        <w:sdtContent>
          <w:p w14:paraId="77E636F6" w14:textId="77777777" w:rsidR="009123AC" w:rsidRDefault="009123AC" w:rsidP="002813AE">
            <w:pPr>
              <w:pStyle w:val="Footer"/>
              <w:jc w:val="center"/>
            </w:pPr>
            <w:r w:rsidRPr="002813AE">
              <w:rPr>
                <w:rFonts w:ascii="Cambria" w:hAnsi="Cambria"/>
                <w:bCs/>
                <w:sz w:val="20"/>
                <w:szCs w:val="20"/>
              </w:rPr>
              <w:fldChar w:fldCharType="begin"/>
            </w:r>
            <w:r w:rsidRPr="002813AE">
              <w:rPr>
                <w:rFonts w:ascii="Cambria" w:hAnsi="Cambria"/>
                <w:bCs/>
                <w:sz w:val="20"/>
                <w:szCs w:val="20"/>
              </w:rPr>
              <w:instrText xml:space="preserve"> PAGE </w:instrText>
            </w:r>
            <w:r w:rsidRPr="002813AE">
              <w:rPr>
                <w:rFonts w:ascii="Cambria" w:hAnsi="Cambria"/>
                <w:bCs/>
                <w:sz w:val="20"/>
                <w:szCs w:val="20"/>
              </w:rPr>
              <w:fldChar w:fldCharType="separate"/>
            </w:r>
            <w:r>
              <w:rPr>
                <w:rFonts w:ascii="Cambria" w:hAnsi="Cambria"/>
                <w:bCs/>
                <w:sz w:val="20"/>
                <w:szCs w:val="20"/>
              </w:rPr>
              <w:t>1</w:t>
            </w:r>
            <w:r w:rsidRPr="002813AE">
              <w:rPr>
                <w:rFonts w:ascii="Cambria" w:hAnsi="Cambria"/>
                <w:bCs/>
                <w:sz w:val="20"/>
                <w:szCs w:val="20"/>
              </w:rPr>
              <w:fldChar w:fldCharType="end"/>
            </w:r>
            <w:r>
              <w:rPr>
                <w:rFonts w:ascii="Cambria" w:hAnsi="Cambria"/>
                <w:sz w:val="20"/>
                <w:szCs w:val="20"/>
              </w:rPr>
              <w:t xml:space="preserve"> </w:t>
            </w:r>
            <w:r>
              <w:t>/</w:t>
            </w:r>
            <w:r>
              <w:rPr>
                <w:rFonts w:ascii="Cambria" w:hAnsi="Cambria"/>
                <w:sz w:val="20"/>
                <w:szCs w:val="20"/>
              </w:rPr>
              <w:t xml:space="preserve"> </w:t>
            </w:r>
            <w:r w:rsidRPr="002813AE">
              <w:rPr>
                <w:rFonts w:ascii="Cambria" w:hAnsi="Cambria"/>
                <w:bCs/>
                <w:sz w:val="20"/>
                <w:szCs w:val="20"/>
              </w:rPr>
              <w:fldChar w:fldCharType="begin"/>
            </w:r>
            <w:r w:rsidRPr="002813AE">
              <w:rPr>
                <w:rFonts w:ascii="Cambria" w:hAnsi="Cambria"/>
                <w:bCs/>
                <w:sz w:val="20"/>
                <w:szCs w:val="20"/>
              </w:rPr>
              <w:instrText xml:space="preserve"> NUMPAGES  </w:instrText>
            </w:r>
            <w:r w:rsidRPr="002813AE">
              <w:rPr>
                <w:rFonts w:ascii="Cambria" w:hAnsi="Cambria"/>
                <w:bCs/>
                <w:sz w:val="20"/>
                <w:szCs w:val="20"/>
              </w:rPr>
              <w:fldChar w:fldCharType="separate"/>
            </w:r>
            <w:r>
              <w:rPr>
                <w:rFonts w:ascii="Cambria" w:hAnsi="Cambria"/>
                <w:bCs/>
                <w:sz w:val="20"/>
                <w:szCs w:val="20"/>
              </w:rPr>
              <w:t>3</w:t>
            </w:r>
            <w:r w:rsidRPr="002813AE">
              <w:rPr>
                <w:rFonts w:ascii="Cambria" w:hAnsi="Cambria"/>
                <w:bCs/>
                <w:sz w:val="20"/>
                <w:szCs w:val="20"/>
              </w:rPr>
              <w:fldChar w:fldCharType="end"/>
            </w:r>
          </w:p>
        </w:sdtContent>
      </w:sdt>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11233"/>
      <w:docPartObj>
        <w:docPartGallery w:val="Page Numbers (Bottom of Page)"/>
        <w:docPartUnique/>
      </w:docPartObj>
    </w:sdtPr>
    <w:sdtEndPr>
      <w:rPr>
        <w:rFonts w:ascii="Cambria" w:hAnsi="Cambria"/>
        <w:noProof/>
        <w:sz w:val="20"/>
        <w:szCs w:val="20"/>
      </w:rPr>
    </w:sdtEndPr>
    <w:sdtContent>
      <w:p w14:paraId="7A1D76DC" w14:textId="54AE6406" w:rsidR="009123AC" w:rsidRPr="00CA0EF5" w:rsidRDefault="00CA0EF5" w:rsidP="00CA0EF5">
        <w:pPr>
          <w:pStyle w:val="Footer"/>
          <w:jc w:val="center"/>
          <w:rPr>
            <w:rFonts w:ascii="Cambria" w:hAnsi="Cambria"/>
            <w:sz w:val="20"/>
            <w:szCs w:val="20"/>
          </w:rPr>
        </w:pPr>
        <w:r w:rsidRPr="001D4F97">
          <w:rPr>
            <w:rFonts w:ascii="Cambria" w:hAnsi="Cambria"/>
            <w:sz w:val="20"/>
            <w:szCs w:val="20"/>
          </w:rPr>
          <w:fldChar w:fldCharType="begin"/>
        </w:r>
        <w:r w:rsidRPr="001D4F97">
          <w:rPr>
            <w:rFonts w:ascii="Cambria" w:hAnsi="Cambria"/>
            <w:sz w:val="20"/>
            <w:szCs w:val="20"/>
          </w:rPr>
          <w:instrText xml:space="preserve"> PAGE   \* MERGEFORMAT </w:instrText>
        </w:r>
        <w:r w:rsidRPr="001D4F97">
          <w:rPr>
            <w:rFonts w:ascii="Cambria" w:hAnsi="Cambria"/>
            <w:sz w:val="20"/>
            <w:szCs w:val="20"/>
          </w:rPr>
          <w:fldChar w:fldCharType="separate"/>
        </w:r>
        <w:r>
          <w:rPr>
            <w:rFonts w:ascii="Cambria" w:hAnsi="Cambria"/>
            <w:sz w:val="20"/>
            <w:szCs w:val="20"/>
          </w:rPr>
          <w:t>133</w:t>
        </w:r>
        <w:r w:rsidRPr="001D4F97">
          <w:rPr>
            <w:rFonts w:ascii="Cambria" w:hAnsi="Cambria"/>
            <w:noProof/>
            <w:sz w:val="20"/>
            <w:szCs w:val="20"/>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1979824"/>
      <w:docPartObj>
        <w:docPartGallery w:val="Page Numbers (Bottom of Page)"/>
        <w:docPartUnique/>
      </w:docPartObj>
    </w:sdtPr>
    <w:sdtEndPr>
      <w:rPr>
        <w:rFonts w:ascii="Cambria" w:hAnsi="Cambria"/>
        <w:noProof/>
        <w:sz w:val="20"/>
        <w:szCs w:val="20"/>
      </w:rPr>
    </w:sdtEndPr>
    <w:sdtContent>
      <w:p w14:paraId="0CEE79C5" w14:textId="692EFA08" w:rsidR="009123AC" w:rsidRPr="00E82FA3" w:rsidRDefault="00320048" w:rsidP="00E82FA3">
        <w:pPr>
          <w:pStyle w:val="Footer"/>
          <w:tabs>
            <w:tab w:val="clear" w:pos="4513"/>
            <w:tab w:val="center" w:pos="4535"/>
          </w:tabs>
          <w:jc w:val="center"/>
          <w:rPr>
            <w:rFonts w:ascii="Cambria" w:hAnsi="Cambria"/>
            <w:sz w:val="20"/>
            <w:szCs w:val="20"/>
          </w:rPr>
        </w:pPr>
        <w:r w:rsidRPr="001D4F97">
          <w:rPr>
            <w:rFonts w:ascii="Cambria" w:hAnsi="Cambria"/>
            <w:sz w:val="20"/>
            <w:szCs w:val="20"/>
          </w:rPr>
          <w:fldChar w:fldCharType="begin"/>
        </w:r>
        <w:r w:rsidRPr="001D4F97">
          <w:rPr>
            <w:rFonts w:ascii="Cambria" w:hAnsi="Cambria"/>
            <w:sz w:val="20"/>
            <w:szCs w:val="20"/>
          </w:rPr>
          <w:instrText xml:space="preserve"> PAGE   \* MERGEFORMAT </w:instrText>
        </w:r>
        <w:r w:rsidRPr="001D4F97">
          <w:rPr>
            <w:rFonts w:ascii="Cambria" w:hAnsi="Cambria"/>
            <w:sz w:val="20"/>
            <w:szCs w:val="20"/>
          </w:rPr>
          <w:fldChar w:fldCharType="separate"/>
        </w:r>
        <w:r>
          <w:rPr>
            <w:rFonts w:ascii="Cambria" w:hAnsi="Cambria"/>
            <w:sz w:val="20"/>
            <w:szCs w:val="20"/>
          </w:rPr>
          <w:t>141</w:t>
        </w:r>
        <w:r w:rsidRPr="001D4F97">
          <w:rPr>
            <w:rFonts w:ascii="Cambria" w:hAnsi="Cambria"/>
            <w:noProof/>
            <w:sz w:val="20"/>
            <w:szCs w:val="20"/>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9363537"/>
      <w:docPartObj>
        <w:docPartGallery w:val="Page Numbers (Bottom of Page)"/>
        <w:docPartUnique/>
      </w:docPartObj>
    </w:sdtPr>
    <w:sdtEndPr/>
    <w:sdtContent>
      <w:sdt>
        <w:sdtPr>
          <w:id w:val="-1750183074"/>
          <w:docPartObj>
            <w:docPartGallery w:val="Page Numbers (Top of Page)"/>
            <w:docPartUnique/>
          </w:docPartObj>
        </w:sdtPr>
        <w:sdtEndPr/>
        <w:sdtContent>
          <w:p w14:paraId="0F163D9F" w14:textId="77777777" w:rsidR="009123AC" w:rsidRDefault="009123AC" w:rsidP="00EF36F0">
            <w:pPr>
              <w:pStyle w:val="Footer"/>
              <w:jc w:val="center"/>
            </w:pPr>
            <w:r w:rsidRPr="002813AE">
              <w:rPr>
                <w:bCs/>
                <w:szCs w:val="20"/>
              </w:rPr>
              <w:fldChar w:fldCharType="begin"/>
            </w:r>
            <w:r w:rsidRPr="002813AE">
              <w:rPr>
                <w:bCs/>
                <w:szCs w:val="20"/>
              </w:rPr>
              <w:instrText xml:space="preserve"> PAGE </w:instrText>
            </w:r>
            <w:r w:rsidRPr="002813AE">
              <w:rPr>
                <w:bCs/>
                <w:szCs w:val="20"/>
              </w:rPr>
              <w:fldChar w:fldCharType="separate"/>
            </w:r>
            <w:r>
              <w:rPr>
                <w:bCs/>
                <w:szCs w:val="20"/>
              </w:rPr>
              <w:t>1</w:t>
            </w:r>
            <w:r w:rsidRPr="002813AE">
              <w:rPr>
                <w:bCs/>
                <w:szCs w:val="20"/>
              </w:rPr>
              <w:fldChar w:fldCharType="end"/>
            </w:r>
            <w:r>
              <w:rPr>
                <w:szCs w:val="20"/>
              </w:rPr>
              <w:t xml:space="preserve"> </w:t>
            </w:r>
            <w:proofErr w:type="gramStart"/>
            <w:r>
              <w:t>Página  de</w:t>
            </w:r>
            <w:proofErr w:type="gramEnd"/>
          </w:p>
        </w:sdtContent>
      </w:sdt>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0691563"/>
      <w:docPartObj>
        <w:docPartGallery w:val="Page Numbers (Bottom of Page)"/>
        <w:docPartUnique/>
      </w:docPartObj>
    </w:sdtPr>
    <w:sdtEndPr>
      <w:rPr>
        <w:rFonts w:ascii="Cambria" w:hAnsi="Cambria"/>
        <w:noProof/>
        <w:sz w:val="20"/>
        <w:szCs w:val="20"/>
      </w:rPr>
    </w:sdtEndPr>
    <w:sdtContent>
      <w:p w14:paraId="517A7F79" w14:textId="1F53EF16" w:rsidR="009123AC" w:rsidRPr="00B675E6" w:rsidRDefault="00E8074B" w:rsidP="00E8074B">
        <w:pPr>
          <w:pStyle w:val="Footer"/>
          <w:tabs>
            <w:tab w:val="clear" w:pos="4513"/>
            <w:tab w:val="center" w:pos="4535"/>
          </w:tabs>
          <w:jc w:val="center"/>
          <w:rPr>
            <w:rFonts w:ascii="Cambria" w:hAnsi="Cambria"/>
            <w:sz w:val="20"/>
            <w:szCs w:val="20"/>
          </w:rPr>
        </w:pPr>
        <w:r w:rsidRPr="001D4F97">
          <w:rPr>
            <w:rFonts w:ascii="Cambria" w:hAnsi="Cambria"/>
            <w:sz w:val="20"/>
            <w:szCs w:val="20"/>
          </w:rPr>
          <w:fldChar w:fldCharType="begin"/>
        </w:r>
        <w:r w:rsidRPr="001D4F97">
          <w:rPr>
            <w:rFonts w:ascii="Cambria" w:hAnsi="Cambria"/>
            <w:sz w:val="20"/>
            <w:szCs w:val="20"/>
          </w:rPr>
          <w:instrText xml:space="preserve"> PAGE   \* MERGEFORMAT </w:instrText>
        </w:r>
        <w:r w:rsidRPr="001D4F97">
          <w:rPr>
            <w:rFonts w:ascii="Cambria" w:hAnsi="Cambria"/>
            <w:sz w:val="20"/>
            <w:szCs w:val="20"/>
          </w:rPr>
          <w:fldChar w:fldCharType="separate"/>
        </w:r>
        <w:r>
          <w:rPr>
            <w:rFonts w:ascii="Cambria" w:hAnsi="Cambria"/>
            <w:sz w:val="20"/>
            <w:szCs w:val="20"/>
          </w:rPr>
          <w:t>1</w:t>
        </w:r>
        <w:r w:rsidRPr="001D4F97">
          <w:rPr>
            <w:rFonts w:ascii="Cambria" w:hAnsi="Cambria"/>
            <w:noProof/>
            <w:sz w:val="20"/>
            <w:szCs w:val="20"/>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4A916" w14:textId="77777777" w:rsidR="009123AC" w:rsidRPr="00B675E6" w:rsidRDefault="00CE0EC8" w:rsidP="00630543">
    <w:pPr>
      <w:pStyle w:val="Footer"/>
      <w:tabs>
        <w:tab w:val="clear" w:pos="4513"/>
        <w:tab w:val="center" w:pos="4535"/>
        <w:tab w:val="left" w:pos="6150"/>
      </w:tabs>
      <w:jc w:val="center"/>
      <w:rPr>
        <w:rFonts w:ascii="Cambria" w:hAnsi="Cambria"/>
        <w:sz w:val="20"/>
        <w:szCs w:val="20"/>
      </w:rPr>
    </w:pPr>
    <w:sdt>
      <w:sdtPr>
        <w:rPr>
          <w:rFonts w:ascii="Cambria" w:hAnsi="Cambria"/>
          <w:sz w:val="20"/>
          <w:szCs w:val="20"/>
        </w:rPr>
        <w:id w:val="1695573697"/>
        <w:docPartObj>
          <w:docPartGallery w:val="Page Numbers (Bottom of Page)"/>
          <w:docPartUnique/>
        </w:docPartObj>
      </w:sdtPr>
      <w:sdtEndPr/>
      <w:sdtContent>
        <w:sdt>
          <w:sdtPr>
            <w:id w:val="-495187733"/>
            <w:docPartObj>
              <w:docPartGallery w:val="Page Numbers (Top of Page)"/>
              <w:docPartUnique/>
            </w:docPartObj>
          </w:sdtPr>
          <w:sdtEndPr/>
          <w:sdtContent>
            <w:r w:rsidR="009123AC" w:rsidRPr="005E521F">
              <w:rPr>
                <w:rFonts w:ascii="Cambria" w:hAnsi="Cambria"/>
                <w:sz w:val="20"/>
              </w:rPr>
              <w:fldChar w:fldCharType="begin"/>
            </w:r>
            <w:r w:rsidR="009123AC" w:rsidRPr="005E521F">
              <w:rPr>
                <w:rFonts w:ascii="Cambria" w:hAnsi="Cambria"/>
                <w:sz w:val="20"/>
              </w:rPr>
              <w:instrText xml:space="preserve"> PAGE </w:instrText>
            </w:r>
            <w:r w:rsidR="009123AC" w:rsidRPr="005E521F">
              <w:rPr>
                <w:rFonts w:ascii="Cambria" w:hAnsi="Cambria"/>
                <w:sz w:val="20"/>
              </w:rPr>
              <w:fldChar w:fldCharType="separate"/>
            </w:r>
            <w:r w:rsidR="009123AC">
              <w:rPr>
                <w:rFonts w:ascii="Cambria" w:hAnsi="Cambria"/>
                <w:sz w:val="20"/>
              </w:rPr>
              <w:t>1</w:t>
            </w:r>
            <w:r w:rsidR="009123AC" w:rsidRPr="005E521F">
              <w:rPr>
                <w:rFonts w:ascii="Cambria" w:hAnsi="Cambria"/>
                <w:sz w:val="20"/>
              </w:rPr>
              <w:fldChar w:fldCharType="end"/>
            </w:r>
          </w:sdtContent>
        </w:sdt>
      </w:sdtContent>
    </w:sdt>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129614"/>
      <w:docPartObj>
        <w:docPartGallery w:val="Page Numbers (Bottom of Page)"/>
        <w:docPartUnique/>
      </w:docPartObj>
    </w:sdtPr>
    <w:sdtEndPr/>
    <w:sdtContent>
      <w:sdt>
        <w:sdtPr>
          <w:id w:val="-1792359786"/>
          <w:docPartObj>
            <w:docPartGallery w:val="Page Numbers (Top of Page)"/>
            <w:docPartUnique/>
          </w:docPartObj>
        </w:sdtPr>
        <w:sdtEndPr/>
        <w:sdtContent>
          <w:p w14:paraId="1EB24658" w14:textId="77777777" w:rsidR="009123AC" w:rsidRDefault="009123AC" w:rsidP="002813AE">
            <w:pPr>
              <w:pStyle w:val="Footer"/>
              <w:jc w:val="center"/>
            </w:pPr>
            <w:r w:rsidRPr="002813AE">
              <w:rPr>
                <w:rFonts w:ascii="Cambria" w:hAnsi="Cambria"/>
                <w:sz w:val="20"/>
              </w:rPr>
              <w:fldChar w:fldCharType="begin"/>
            </w:r>
            <w:r w:rsidRPr="002813AE">
              <w:rPr>
                <w:rFonts w:ascii="Cambria" w:hAnsi="Cambria"/>
                <w:sz w:val="20"/>
              </w:rPr>
              <w:instrText xml:space="preserve"> PAGE </w:instrText>
            </w:r>
            <w:r w:rsidRPr="002813AE">
              <w:rPr>
                <w:rFonts w:ascii="Cambria" w:hAnsi="Cambria"/>
                <w:sz w:val="20"/>
              </w:rPr>
              <w:fldChar w:fldCharType="separate"/>
            </w:r>
            <w:r>
              <w:rPr>
                <w:rFonts w:ascii="Cambria" w:hAnsi="Cambria"/>
                <w:sz w:val="20"/>
              </w:rPr>
              <w:t>1</w:t>
            </w:r>
            <w:r w:rsidRPr="002813AE">
              <w:rPr>
                <w:rFonts w:ascii="Cambria" w:hAnsi="Cambria"/>
                <w:sz w:val="20"/>
              </w:rPr>
              <w:fldChar w:fldCharType="end"/>
            </w:r>
            <w:r>
              <w:rPr>
                <w:rFonts w:ascii="Cambria" w:hAnsi="Cambria"/>
                <w:sz w:val="20"/>
              </w:rPr>
              <w:t xml:space="preserve">  / </w:t>
            </w:r>
          </w:p>
        </w:sdtContent>
      </w:sdt>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904896"/>
      <w:docPartObj>
        <w:docPartGallery w:val="Page Numbers (Bottom of Page)"/>
        <w:docPartUnique/>
      </w:docPartObj>
    </w:sdtPr>
    <w:sdtEndPr>
      <w:rPr>
        <w:rFonts w:ascii="Cambria" w:hAnsi="Cambria"/>
        <w:noProof/>
        <w:sz w:val="20"/>
        <w:szCs w:val="20"/>
      </w:rPr>
    </w:sdtEndPr>
    <w:sdtContent>
      <w:p w14:paraId="00CD7258" w14:textId="77777777" w:rsidR="002962EE" w:rsidRPr="00E8074B" w:rsidRDefault="002962EE" w:rsidP="00E8074B">
        <w:pPr>
          <w:pStyle w:val="Footer"/>
          <w:jc w:val="center"/>
          <w:rPr>
            <w:rFonts w:ascii="Cambria" w:hAnsi="Cambria"/>
            <w:sz w:val="20"/>
            <w:szCs w:val="20"/>
          </w:rPr>
        </w:pPr>
        <w:r w:rsidRPr="001D4F97">
          <w:rPr>
            <w:rFonts w:ascii="Cambria" w:hAnsi="Cambria"/>
            <w:sz w:val="20"/>
            <w:szCs w:val="20"/>
          </w:rPr>
          <w:fldChar w:fldCharType="begin"/>
        </w:r>
        <w:r w:rsidRPr="001D4F97">
          <w:rPr>
            <w:rFonts w:ascii="Cambria" w:hAnsi="Cambria"/>
            <w:sz w:val="20"/>
            <w:szCs w:val="20"/>
          </w:rPr>
          <w:instrText xml:space="preserve"> PAGE   \* MERGEFORMAT </w:instrText>
        </w:r>
        <w:r w:rsidRPr="001D4F97">
          <w:rPr>
            <w:rFonts w:ascii="Cambria" w:hAnsi="Cambria"/>
            <w:sz w:val="20"/>
            <w:szCs w:val="20"/>
          </w:rPr>
          <w:fldChar w:fldCharType="separate"/>
        </w:r>
        <w:r>
          <w:rPr>
            <w:rFonts w:ascii="Cambria" w:hAnsi="Cambria"/>
            <w:sz w:val="20"/>
            <w:szCs w:val="20"/>
          </w:rPr>
          <w:t>1</w:t>
        </w:r>
        <w:r w:rsidRPr="001D4F97">
          <w:rPr>
            <w:rFonts w:ascii="Cambria" w:hAnsi="Cambria"/>
            <w:noProof/>
            <w:sz w:val="20"/>
            <w:szCs w:val="20"/>
          </w:rPr>
          <w:fldChar w:fldCharType="end"/>
        </w:r>
      </w:p>
    </w:sdtContent>
  </w:sdt>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17D4F" w14:textId="77777777" w:rsidR="002962EE" w:rsidRDefault="002962EE" w:rsidP="00D9377D">
    <w:pPr>
      <w:pStyle w:val="Footer"/>
      <w:jc w:val="center"/>
    </w:pPr>
    <w:r w:rsidRPr="002813AE">
      <w:rPr>
        <w:bCs/>
      </w:rPr>
      <w:fldChar w:fldCharType="begin"/>
    </w:r>
    <w:r w:rsidRPr="002813AE">
      <w:rPr>
        <w:bCs/>
      </w:rPr>
      <w:instrText xml:space="preserve"> PAGE </w:instrText>
    </w:r>
    <w:r w:rsidRPr="002813AE">
      <w:rPr>
        <w:bCs/>
      </w:rPr>
      <w:fldChar w:fldCharType="separate"/>
    </w:r>
    <w:r>
      <w:rPr>
        <w:bCs/>
      </w:rPr>
      <w:t>1</w:t>
    </w:r>
    <w:r w:rsidRPr="002813AE">
      <w:rPr>
        <w:bCs/>
      </w:rPr>
      <w:fldChar w:fldCharType="end"/>
    </w:r>
    <w:r>
      <w:t xml:space="preserve">  /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E655B" w14:textId="41EAECE3" w:rsidR="009123AC" w:rsidRPr="00DC7689" w:rsidRDefault="00CE0EC8" w:rsidP="00746E95">
    <w:pPr>
      <w:pStyle w:val="Footer"/>
      <w:tabs>
        <w:tab w:val="clear" w:pos="4513"/>
        <w:tab w:val="center" w:pos="4535"/>
        <w:tab w:val="left" w:pos="6150"/>
      </w:tabs>
      <w:jc w:val="center"/>
      <w:rPr>
        <w:rFonts w:ascii="Cambria" w:hAnsi="Cambria"/>
        <w:sz w:val="20"/>
        <w:szCs w:val="20"/>
      </w:rPr>
    </w:pPr>
    <w:sdt>
      <w:sdtPr>
        <w:id w:val="-1461724784"/>
        <w:docPartObj>
          <w:docPartGallery w:val="Page Numbers (Top of Page)"/>
          <w:docPartUnique/>
        </w:docPartObj>
      </w:sdtPr>
      <w:sdtEndPr/>
      <w:sdtContent>
        <w:r w:rsidR="00515BB6" w:rsidRPr="005E521F">
          <w:rPr>
            <w:rFonts w:ascii="Cambria" w:hAnsi="Cambria"/>
            <w:sz w:val="20"/>
          </w:rPr>
          <w:fldChar w:fldCharType="begin"/>
        </w:r>
        <w:r w:rsidR="00515BB6" w:rsidRPr="005E521F">
          <w:rPr>
            <w:rFonts w:ascii="Cambria" w:hAnsi="Cambria"/>
            <w:sz w:val="20"/>
          </w:rPr>
          <w:instrText xml:space="preserve"> PAGE </w:instrText>
        </w:r>
        <w:r w:rsidR="00515BB6" w:rsidRPr="005E521F">
          <w:rPr>
            <w:rFonts w:ascii="Cambria" w:hAnsi="Cambria"/>
            <w:sz w:val="20"/>
          </w:rPr>
          <w:fldChar w:fldCharType="separate"/>
        </w:r>
        <w:r w:rsidR="00515BB6">
          <w:rPr>
            <w:rFonts w:ascii="Cambria" w:hAnsi="Cambria"/>
            <w:sz w:val="20"/>
          </w:rPr>
          <w:t>175</w:t>
        </w:r>
        <w:r w:rsidR="00515BB6" w:rsidRPr="005E521F">
          <w:rPr>
            <w:rFonts w:ascii="Cambria" w:hAnsi="Cambria"/>
            <w:sz w:val="20"/>
          </w:rPr>
          <w:fldChar w:fldCharType="end"/>
        </w:r>
      </w:sdtContent>
    </w:sdt>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187505"/>
      <w:docPartObj>
        <w:docPartGallery w:val="Page Numbers (Bottom of Page)"/>
        <w:docPartUnique/>
      </w:docPartObj>
    </w:sdtPr>
    <w:sdtEndPr/>
    <w:sdtContent>
      <w:sdt>
        <w:sdtPr>
          <w:id w:val="-1035192956"/>
          <w:docPartObj>
            <w:docPartGallery w:val="Page Numbers (Top of Page)"/>
            <w:docPartUnique/>
          </w:docPartObj>
        </w:sdtPr>
        <w:sdtEndPr/>
        <w:sdtContent>
          <w:p w14:paraId="4D12A3E7" w14:textId="77777777" w:rsidR="009123AC" w:rsidRDefault="009123AC" w:rsidP="002813AE">
            <w:pPr>
              <w:pStyle w:val="Footer"/>
              <w:jc w:val="center"/>
            </w:pPr>
            <w:r w:rsidRPr="002813AE">
              <w:rPr>
                <w:rFonts w:ascii="Cambria" w:hAnsi="Cambria"/>
                <w:sz w:val="20"/>
              </w:rPr>
              <w:fldChar w:fldCharType="begin"/>
            </w:r>
            <w:r w:rsidRPr="002813AE">
              <w:rPr>
                <w:rFonts w:ascii="Cambria" w:hAnsi="Cambria"/>
                <w:sz w:val="20"/>
              </w:rPr>
              <w:instrText xml:space="preserve"> PAGE </w:instrText>
            </w:r>
            <w:r w:rsidRPr="002813AE">
              <w:rPr>
                <w:rFonts w:ascii="Cambria" w:hAnsi="Cambria"/>
                <w:sz w:val="20"/>
              </w:rPr>
              <w:fldChar w:fldCharType="separate"/>
            </w:r>
            <w:r>
              <w:rPr>
                <w:rFonts w:ascii="Cambria" w:hAnsi="Cambria"/>
                <w:sz w:val="20"/>
              </w:rPr>
              <w:t>1</w:t>
            </w:r>
            <w:r w:rsidRPr="002813AE">
              <w:rPr>
                <w:rFonts w:ascii="Cambria" w:hAnsi="Cambria"/>
                <w:sz w:val="20"/>
              </w:rPr>
              <w:fldChar w:fldCharType="end"/>
            </w:r>
            <w:r>
              <w:rPr>
                <w:rFonts w:ascii="Cambria" w:hAnsi="Cambria"/>
                <w:sz w:val="20"/>
              </w:rPr>
              <w:t xml:space="preserve"> / </w:t>
            </w:r>
            <w:r w:rsidRPr="002813AE">
              <w:rPr>
                <w:rFonts w:ascii="Cambria" w:hAnsi="Cambria"/>
                <w:sz w:val="20"/>
              </w:rPr>
              <w:fldChar w:fldCharType="begin"/>
            </w:r>
            <w:r w:rsidRPr="002813AE">
              <w:rPr>
                <w:rFonts w:ascii="Cambria" w:hAnsi="Cambria"/>
                <w:sz w:val="20"/>
              </w:rPr>
              <w:instrText xml:space="preserve"> NUMPAGES  </w:instrText>
            </w:r>
            <w:r w:rsidRPr="002813AE">
              <w:rPr>
                <w:rFonts w:ascii="Cambria" w:hAnsi="Cambria"/>
                <w:sz w:val="20"/>
              </w:rPr>
              <w:fldChar w:fldCharType="separate"/>
            </w:r>
            <w:r>
              <w:rPr>
                <w:rFonts w:ascii="Cambria" w:hAnsi="Cambria"/>
                <w:sz w:val="20"/>
              </w:rPr>
              <w:t>3</w:t>
            </w:r>
            <w:r w:rsidRPr="002813AE">
              <w:rPr>
                <w:rFonts w:ascii="Cambria" w:hAnsi="Cambria"/>
                <w:sz w:val="20"/>
              </w:rPr>
              <w:fldChar w:fldCharType="end"/>
            </w:r>
          </w:p>
        </w:sdtContent>
      </w:sdt>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A79F" w14:textId="1FDA66B9" w:rsidR="009123AC" w:rsidRPr="00B675E6" w:rsidRDefault="00CE0EC8" w:rsidP="00630543">
    <w:pPr>
      <w:pStyle w:val="Footer"/>
      <w:tabs>
        <w:tab w:val="clear" w:pos="4513"/>
        <w:tab w:val="center" w:pos="4535"/>
        <w:tab w:val="left" w:pos="6150"/>
      </w:tabs>
      <w:jc w:val="center"/>
      <w:rPr>
        <w:rFonts w:ascii="Cambria" w:hAnsi="Cambria"/>
        <w:sz w:val="20"/>
        <w:szCs w:val="20"/>
      </w:rPr>
    </w:pPr>
    <w:sdt>
      <w:sdtPr>
        <w:rPr>
          <w:rFonts w:ascii="Cambria" w:hAnsi="Cambria"/>
          <w:sz w:val="20"/>
          <w:szCs w:val="20"/>
        </w:rPr>
        <w:id w:val="-1946067598"/>
        <w:docPartObj>
          <w:docPartGallery w:val="Page Numbers (Bottom of Page)"/>
          <w:docPartUnique/>
        </w:docPartObj>
      </w:sdtPr>
      <w:sdtEndPr/>
      <w:sdtContent>
        <w:sdt>
          <w:sdtPr>
            <w:rPr>
              <w:rFonts w:ascii="Calibri" w:eastAsia="Calibri" w:hAnsi="Calibri"/>
              <w:sz w:val="20"/>
              <w:szCs w:val="20"/>
            </w:rPr>
            <w:id w:val="-283587524"/>
            <w:docPartObj>
              <w:docPartGallery w:val="Page Numbers (Top of Page)"/>
              <w:docPartUnique/>
            </w:docPartObj>
          </w:sdtPr>
          <w:sdtEndPr/>
          <w:sdtContent>
            <w:r w:rsidR="009123AC">
              <w:rPr>
                <w:rFonts w:ascii="Cambria" w:eastAsia="Calibri" w:hAnsi="Cambria"/>
                <w:sz w:val="20"/>
              </w:rPr>
              <w:fldChar w:fldCharType="begin"/>
            </w:r>
            <w:r w:rsidR="009123AC">
              <w:rPr>
                <w:rFonts w:ascii="Cambria" w:eastAsia="Calibri" w:hAnsi="Cambria"/>
                <w:sz w:val="20"/>
              </w:rPr>
              <w:instrText xml:space="preserve"> PAGE </w:instrText>
            </w:r>
            <w:r w:rsidR="009123AC">
              <w:rPr>
                <w:rFonts w:ascii="Cambria" w:eastAsia="Calibri" w:hAnsi="Cambria"/>
                <w:sz w:val="20"/>
              </w:rPr>
              <w:fldChar w:fldCharType="separate"/>
            </w:r>
            <w:r w:rsidR="009123AC">
              <w:rPr>
                <w:rFonts w:ascii="Cambria" w:eastAsia="Calibri" w:hAnsi="Cambria"/>
                <w:sz w:val="20"/>
              </w:rPr>
              <w:t>1</w:t>
            </w:r>
            <w:r w:rsidR="009123AC">
              <w:rPr>
                <w:rFonts w:ascii="Cambria" w:eastAsia="Calibri" w:hAnsi="Cambria"/>
                <w:sz w:val="20"/>
              </w:rPr>
              <w:fldChar w:fldCharType="end"/>
            </w:r>
          </w:sdtContent>
        </w:sdt>
      </w:sdtContent>
    </w:sdt>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6CF7A" w14:textId="3187B41B" w:rsidR="009123AC" w:rsidRDefault="009123AC">
    <w:pPr>
      <w:pStyle w:val="Footer"/>
      <w:tabs>
        <w:tab w:val="clear" w:pos="4513"/>
        <w:tab w:val="center" w:pos="4535"/>
        <w:tab w:val="left" w:pos="6150"/>
      </w:tabs>
      <w:jc w:val="center"/>
    </w:pPr>
    <w:r>
      <w:rPr>
        <w:rFonts w:ascii="Cambria" w:eastAsia="Calibri" w:hAnsi="Cambria" w:cs="Calibri"/>
        <w:sz w:val="20"/>
      </w:rPr>
      <w:fldChar w:fldCharType="begin"/>
    </w:r>
    <w:r>
      <w:rPr>
        <w:rFonts w:ascii="Cambria" w:eastAsia="Calibri" w:hAnsi="Cambria" w:cs="Calibri"/>
        <w:sz w:val="20"/>
      </w:rPr>
      <w:instrText xml:space="preserve"> PAGE </w:instrText>
    </w:r>
    <w:r>
      <w:rPr>
        <w:rFonts w:ascii="Cambria" w:eastAsia="Calibri" w:hAnsi="Cambria" w:cs="Calibri"/>
        <w:sz w:val="20"/>
      </w:rPr>
      <w:fldChar w:fldCharType="separate"/>
    </w:r>
    <w:r>
      <w:rPr>
        <w:rFonts w:ascii="Cambria" w:eastAsia="Calibri" w:hAnsi="Cambria" w:cs="Calibri"/>
        <w:noProof/>
        <w:sz w:val="20"/>
      </w:rPr>
      <w:t>5</w:t>
    </w:r>
    <w:r>
      <w:rPr>
        <w:rFonts w:ascii="Cambria" w:eastAsia="Calibri" w:hAnsi="Cambria" w:cs="Calibri"/>
        <w:sz w:val="20"/>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BC833" w14:textId="1A95D6EC" w:rsidR="009123AC" w:rsidRPr="00B675E6" w:rsidRDefault="00CE0EC8" w:rsidP="00630543">
    <w:pPr>
      <w:pStyle w:val="Footer"/>
      <w:tabs>
        <w:tab w:val="clear" w:pos="4513"/>
        <w:tab w:val="center" w:pos="4535"/>
        <w:tab w:val="left" w:pos="6150"/>
      </w:tabs>
      <w:jc w:val="center"/>
      <w:rPr>
        <w:rFonts w:ascii="Cambria" w:hAnsi="Cambria"/>
        <w:sz w:val="20"/>
        <w:szCs w:val="20"/>
      </w:rPr>
    </w:pPr>
    <w:sdt>
      <w:sdtPr>
        <w:id w:val="1503553593"/>
        <w:docPartObj>
          <w:docPartGallery w:val="Page Numbers (Top of Page)"/>
          <w:docPartUnique/>
        </w:docPartObj>
      </w:sdtPr>
      <w:sdtEndPr/>
      <w:sdtContent>
        <w:r w:rsidR="009123AC" w:rsidRPr="005E521F">
          <w:rPr>
            <w:rFonts w:ascii="Cambria" w:hAnsi="Cambria"/>
            <w:sz w:val="20"/>
          </w:rPr>
          <w:fldChar w:fldCharType="begin"/>
        </w:r>
        <w:r w:rsidR="009123AC" w:rsidRPr="005E521F">
          <w:rPr>
            <w:rFonts w:ascii="Cambria" w:hAnsi="Cambria"/>
            <w:sz w:val="20"/>
          </w:rPr>
          <w:instrText xml:space="preserve"> PAGE </w:instrText>
        </w:r>
        <w:r w:rsidR="009123AC" w:rsidRPr="005E521F">
          <w:rPr>
            <w:rFonts w:ascii="Cambria" w:hAnsi="Cambria"/>
            <w:sz w:val="20"/>
          </w:rPr>
          <w:fldChar w:fldCharType="separate"/>
        </w:r>
        <w:r w:rsidR="009123AC">
          <w:rPr>
            <w:rFonts w:ascii="Cambria" w:hAnsi="Cambria"/>
            <w:sz w:val="20"/>
          </w:rPr>
          <w:t>1</w:t>
        </w:r>
        <w:r w:rsidR="009123AC" w:rsidRPr="005E521F">
          <w:rPr>
            <w:rFonts w:ascii="Cambria" w:hAnsi="Cambria"/>
            <w:sz w:val="20"/>
          </w:rPr>
          <w:fldChar w:fldCharType="end"/>
        </w:r>
      </w:sdtContent>
    </w:sdt>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6900578"/>
      <w:docPartObj>
        <w:docPartGallery w:val="Page Numbers (Bottom of Page)"/>
        <w:docPartUnique/>
      </w:docPartObj>
    </w:sdtPr>
    <w:sdtEndPr/>
    <w:sdtContent>
      <w:sdt>
        <w:sdtPr>
          <w:id w:val="401104749"/>
          <w:docPartObj>
            <w:docPartGallery w:val="Page Numbers (Top of Page)"/>
            <w:docPartUnique/>
          </w:docPartObj>
        </w:sdtPr>
        <w:sdtEndPr/>
        <w:sdtContent>
          <w:p w14:paraId="50932DE7" w14:textId="77777777" w:rsidR="009123AC" w:rsidRDefault="009123AC" w:rsidP="002813AE">
            <w:pPr>
              <w:pStyle w:val="Footer"/>
              <w:jc w:val="center"/>
            </w:pPr>
            <w:r w:rsidRPr="002813AE">
              <w:rPr>
                <w:rFonts w:ascii="Cambria" w:hAnsi="Cambria"/>
                <w:sz w:val="20"/>
              </w:rPr>
              <w:fldChar w:fldCharType="begin"/>
            </w:r>
            <w:r w:rsidRPr="002813AE">
              <w:rPr>
                <w:rFonts w:ascii="Cambria" w:hAnsi="Cambria"/>
                <w:sz w:val="20"/>
              </w:rPr>
              <w:instrText xml:space="preserve"> PAGE </w:instrText>
            </w:r>
            <w:r w:rsidRPr="002813AE">
              <w:rPr>
                <w:rFonts w:ascii="Cambria" w:hAnsi="Cambria"/>
                <w:sz w:val="20"/>
              </w:rPr>
              <w:fldChar w:fldCharType="separate"/>
            </w:r>
            <w:r>
              <w:rPr>
                <w:rFonts w:ascii="Cambria" w:hAnsi="Cambria"/>
                <w:sz w:val="20"/>
              </w:rPr>
              <w:t>1</w:t>
            </w:r>
            <w:r w:rsidRPr="002813AE">
              <w:rPr>
                <w:rFonts w:ascii="Cambria" w:hAnsi="Cambria"/>
                <w:sz w:val="20"/>
              </w:rPr>
              <w:fldChar w:fldCharType="end"/>
            </w:r>
            <w:r>
              <w:rPr>
                <w:rFonts w:ascii="Cambria" w:hAnsi="Cambria"/>
                <w:sz w:val="20"/>
              </w:rPr>
              <w:t xml:space="preserve">  / </w:t>
            </w:r>
          </w:p>
        </w:sdtContent>
      </w:sdt>
    </w:sdtContent>
  </w:sdt>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47D61" w14:textId="77777777" w:rsidR="009123AC" w:rsidRPr="00B675E6" w:rsidRDefault="00CE0EC8" w:rsidP="00AE088E">
    <w:pPr>
      <w:pStyle w:val="Footer"/>
      <w:tabs>
        <w:tab w:val="clear" w:pos="4513"/>
        <w:tab w:val="center" w:pos="4535"/>
        <w:tab w:val="left" w:pos="6150"/>
      </w:tabs>
      <w:jc w:val="center"/>
      <w:rPr>
        <w:rFonts w:ascii="Cambria" w:hAnsi="Cambria"/>
        <w:sz w:val="20"/>
        <w:szCs w:val="20"/>
      </w:rPr>
    </w:pPr>
    <w:sdt>
      <w:sdtPr>
        <w:rPr>
          <w:rFonts w:ascii="Cambria" w:hAnsi="Cambria"/>
          <w:sz w:val="20"/>
          <w:szCs w:val="20"/>
        </w:rPr>
        <w:id w:val="1318222947"/>
        <w:docPartObj>
          <w:docPartGallery w:val="Page Numbers (Bottom of Page)"/>
          <w:docPartUnique/>
        </w:docPartObj>
      </w:sdtPr>
      <w:sdtEndPr/>
      <w:sdtContent>
        <w:sdt>
          <w:sdtPr>
            <w:id w:val="774138621"/>
            <w:docPartObj>
              <w:docPartGallery w:val="Page Numbers (Top of Page)"/>
              <w:docPartUnique/>
            </w:docPartObj>
          </w:sdtPr>
          <w:sdtEndPr/>
          <w:sdtContent>
            <w:r w:rsidR="009123AC" w:rsidRPr="005E521F">
              <w:rPr>
                <w:rFonts w:ascii="Cambria" w:hAnsi="Cambria"/>
                <w:sz w:val="20"/>
              </w:rPr>
              <w:fldChar w:fldCharType="begin"/>
            </w:r>
            <w:r w:rsidR="009123AC" w:rsidRPr="005E521F">
              <w:rPr>
                <w:rFonts w:ascii="Cambria" w:hAnsi="Cambria"/>
                <w:sz w:val="20"/>
              </w:rPr>
              <w:instrText xml:space="preserve"> PAGE </w:instrText>
            </w:r>
            <w:r w:rsidR="009123AC" w:rsidRPr="005E521F">
              <w:rPr>
                <w:rFonts w:ascii="Cambria" w:hAnsi="Cambria"/>
                <w:sz w:val="20"/>
              </w:rPr>
              <w:fldChar w:fldCharType="separate"/>
            </w:r>
            <w:r w:rsidR="009123AC">
              <w:rPr>
                <w:rFonts w:ascii="Cambria" w:hAnsi="Cambria"/>
                <w:sz w:val="20"/>
              </w:rPr>
              <w:t>1</w:t>
            </w:r>
            <w:r w:rsidR="009123AC" w:rsidRPr="005E521F">
              <w:rPr>
                <w:rFonts w:ascii="Cambria" w:hAnsi="Cambria"/>
                <w:sz w:val="20"/>
              </w:rPr>
              <w:fldChar w:fldCharType="end"/>
            </w:r>
            <w:r w:rsidR="009123AC">
              <w:rPr>
                <w:rFonts w:ascii="Cambria" w:hAnsi="Cambria"/>
                <w:sz w:val="20"/>
              </w:rPr>
              <w:t xml:space="preserve"> </w:t>
            </w:r>
          </w:sdtContent>
        </w:sdt>
      </w:sdtContent>
    </w:sdt>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AD27A" w14:textId="11CBFEEB" w:rsidR="009123AC" w:rsidRPr="000E6392" w:rsidRDefault="00CE0EC8" w:rsidP="009E02DA">
    <w:pPr>
      <w:pStyle w:val="Footer"/>
      <w:tabs>
        <w:tab w:val="left" w:pos="6150"/>
      </w:tabs>
      <w:jc w:val="center"/>
      <w:rPr>
        <w:rFonts w:ascii="Cambria" w:hAnsi="Cambria"/>
        <w:sz w:val="20"/>
        <w:szCs w:val="20"/>
      </w:rPr>
    </w:pPr>
    <w:sdt>
      <w:sdtPr>
        <w:id w:val="-1253501996"/>
        <w:docPartObj>
          <w:docPartGallery w:val="Page Numbers (Top of Page)"/>
          <w:docPartUnique/>
        </w:docPartObj>
      </w:sdtPr>
      <w:sdtEndPr/>
      <w:sdtContent>
        <w:r w:rsidR="00941B0E" w:rsidRPr="005E521F">
          <w:rPr>
            <w:rFonts w:ascii="Cambria" w:hAnsi="Cambria"/>
            <w:sz w:val="20"/>
          </w:rPr>
          <w:fldChar w:fldCharType="begin"/>
        </w:r>
        <w:r w:rsidR="00941B0E" w:rsidRPr="005E521F">
          <w:rPr>
            <w:rFonts w:ascii="Cambria" w:hAnsi="Cambria"/>
            <w:sz w:val="20"/>
          </w:rPr>
          <w:instrText xml:space="preserve"> PAGE </w:instrText>
        </w:r>
        <w:r w:rsidR="00941B0E" w:rsidRPr="005E521F">
          <w:rPr>
            <w:rFonts w:ascii="Cambria" w:hAnsi="Cambria"/>
            <w:sz w:val="20"/>
          </w:rPr>
          <w:fldChar w:fldCharType="separate"/>
        </w:r>
        <w:r w:rsidR="00941B0E">
          <w:rPr>
            <w:rFonts w:ascii="Cambria" w:hAnsi="Cambria"/>
            <w:sz w:val="20"/>
          </w:rPr>
          <w:t>210</w:t>
        </w:r>
        <w:r w:rsidR="00941B0E" w:rsidRPr="005E521F">
          <w:rPr>
            <w:rFonts w:ascii="Cambria" w:hAnsi="Cambria"/>
            <w:sz w:val="20"/>
          </w:rPr>
          <w:fldChar w:fldCharType="end"/>
        </w:r>
        <w:r w:rsidR="00941B0E">
          <w:rPr>
            <w:rFonts w:ascii="Cambria" w:hAnsi="Cambria"/>
            <w:sz w:val="20"/>
          </w:rPr>
          <w:t xml:space="preserve"> </w:t>
        </w:r>
      </w:sdtContent>
    </w:sdt>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012914"/>
      <w:docPartObj>
        <w:docPartGallery w:val="Page Numbers (Bottom of Page)"/>
        <w:docPartUnique/>
      </w:docPartObj>
    </w:sdtPr>
    <w:sdtEndPr/>
    <w:sdtContent>
      <w:sdt>
        <w:sdtPr>
          <w:id w:val="1524597070"/>
          <w:docPartObj>
            <w:docPartGallery w:val="Page Numbers (Top of Page)"/>
            <w:docPartUnique/>
          </w:docPartObj>
        </w:sdtPr>
        <w:sdtEndPr/>
        <w:sdtContent>
          <w:p w14:paraId="18E7BEEE" w14:textId="77777777" w:rsidR="009123AC" w:rsidRDefault="009123AC" w:rsidP="002813AE">
            <w:pPr>
              <w:pStyle w:val="Footer"/>
              <w:jc w:val="center"/>
            </w:pPr>
            <w:r w:rsidRPr="002813AE">
              <w:rPr>
                <w:rFonts w:ascii="Cambria" w:hAnsi="Cambria"/>
                <w:bCs/>
                <w:sz w:val="20"/>
                <w:szCs w:val="20"/>
              </w:rPr>
              <w:fldChar w:fldCharType="begin"/>
            </w:r>
            <w:r w:rsidRPr="002813AE">
              <w:rPr>
                <w:rFonts w:ascii="Cambria" w:hAnsi="Cambria"/>
                <w:bCs/>
                <w:sz w:val="20"/>
                <w:szCs w:val="20"/>
              </w:rPr>
              <w:instrText xml:space="preserve"> PAGE </w:instrText>
            </w:r>
            <w:r w:rsidRPr="002813AE">
              <w:rPr>
                <w:rFonts w:ascii="Cambria" w:hAnsi="Cambria"/>
                <w:bCs/>
                <w:sz w:val="20"/>
                <w:szCs w:val="20"/>
              </w:rPr>
              <w:fldChar w:fldCharType="separate"/>
            </w:r>
            <w:r>
              <w:rPr>
                <w:rFonts w:ascii="Cambria" w:hAnsi="Cambria"/>
                <w:bCs/>
                <w:sz w:val="20"/>
                <w:szCs w:val="20"/>
              </w:rPr>
              <w:t>1</w:t>
            </w:r>
            <w:r w:rsidRPr="002813AE">
              <w:rPr>
                <w:rFonts w:ascii="Cambria" w:hAnsi="Cambria"/>
                <w:bCs/>
                <w:sz w:val="20"/>
                <w:szCs w:val="20"/>
              </w:rPr>
              <w:fldChar w:fldCharType="end"/>
            </w:r>
            <w:r>
              <w:rPr>
                <w:rFonts w:ascii="Cambria" w:hAnsi="Cambria"/>
                <w:sz w:val="20"/>
                <w:szCs w:val="20"/>
              </w:rPr>
              <w:t xml:space="preserve">  / </w:t>
            </w:r>
          </w:p>
        </w:sdtContent>
      </w:sdt>
    </w:sdtContent>
  </w:sdt>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6E733" w14:textId="770F7155" w:rsidR="009123AC" w:rsidRPr="00FD52E1" w:rsidRDefault="00CE0EC8" w:rsidP="00FD52E1">
    <w:pPr>
      <w:pStyle w:val="Footer"/>
      <w:tabs>
        <w:tab w:val="left" w:pos="6150"/>
      </w:tabs>
      <w:jc w:val="center"/>
      <w:rPr>
        <w:rFonts w:ascii="Cambria" w:hAnsi="Cambria"/>
        <w:sz w:val="20"/>
        <w:szCs w:val="20"/>
      </w:rPr>
    </w:pPr>
    <w:sdt>
      <w:sdtPr>
        <w:id w:val="-97251372"/>
        <w:docPartObj>
          <w:docPartGallery w:val="Page Numbers (Top of Page)"/>
          <w:docPartUnique/>
        </w:docPartObj>
      </w:sdtPr>
      <w:sdtEndPr/>
      <w:sdtContent>
        <w:r w:rsidR="009E02DA" w:rsidRPr="005E521F">
          <w:rPr>
            <w:rFonts w:ascii="Cambria" w:hAnsi="Cambria"/>
            <w:sz w:val="20"/>
          </w:rPr>
          <w:fldChar w:fldCharType="begin"/>
        </w:r>
        <w:r w:rsidR="009E02DA" w:rsidRPr="005E521F">
          <w:rPr>
            <w:rFonts w:ascii="Cambria" w:hAnsi="Cambria"/>
            <w:sz w:val="20"/>
          </w:rPr>
          <w:instrText xml:space="preserve"> PAGE </w:instrText>
        </w:r>
        <w:r w:rsidR="009E02DA" w:rsidRPr="005E521F">
          <w:rPr>
            <w:rFonts w:ascii="Cambria" w:hAnsi="Cambria"/>
            <w:sz w:val="20"/>
          </w:rPr>
          <w:fldChar w:fldCharType="separate"/>
        </w:r>
        <w:r w:rsidR="009E02DA">
          <w:rPr>
            <w:rFonts w:ascii="Cambria" w:hAnsi="Cambria"/>
            <w:sz w:val="20"/>
          </w:rPr>
          <w:t>220</w:t>
        </w:r>
        <w:r w:rsidR="009E02DA" w:rsidRPr="005E521F">
          <w:rPr>
            <w:rFonts w:ascii="Cambria" w:hAnsi="Cambria"/>
            <w:sz w:val="20"/>
          </w:rPr>
          <w:fldChar w:fldCharType="end"/>
        </w:r>
      </w:sdtContent>
    </w:sdt>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6C819" w14:textId="43F4E239" w:rsidR="009123AC" w:rsidRPr="00B675E6" w:rsidRDefault="00CE0EC8" w:rsidP="00B51D10">
    <w:pPr>
      <w:pStyle w:val="Footer"/>
      <w:tabs>
        <w:tab w:val="clear" w:pos="4513"/>
        <w:tab w:val="center" w:pos="4535"/>
        <w:tab w:val="left" w:pos="6150"/>
      </w:tabs>
      <w:jc w:val="center"/>
      <w:rPr>
        <w:rFonts w:ascii="Cambria" w:hAnsi="Cambria"/>
        <w:sz w:val="20"/>
        <w:szCs w:val="20"/>
      </w:rPr>
    </w:pPr>
    <w:sdt>
      <w:sdtPr>
        <w:id w:val="-222217110"/>
        <w:docPartObj>
          <w:docPartGallery w:val="Page Numbers (Top of Page)"/>
          <w:docPartUnique/>
        </w:docPartObj>
      </w:sdtPr>
      <w:sdtEndPr/>
      <w:sdtContent>
        <w:r w:rsidR="00B51D10" w:rsidRPr="005E521F">
          <w:rPr>
            <w:rFonts w:ascii="Cambria" w:hAnsi="Cambria"/>
            <w:sz w:val="20"/>
          </w:rPr>
          <w:fldChar w:fldCharType="begin"/>
        </w:r>
        <w:r w:rsidR="00B51D10" w:rsidRPr="005E521F">
          <w:rPr>
            <w:rFonts w:ascii="Cambria" w:hAnsi="Cambria"/>
            <w:sz w:val="20"/>
          </w:rPr>
          <w:instrText xml:space="preserve"> PAGE </w:instrText>
        </w:r>
        <w:r w:rsidR="00B51D10" w:rsidRPr="005E521F">
          <w:rPr>
            <w:rFonts w:ascii="Cambria" w:hAnsi="Cambria"/>
            <w:sz w:val="20"/>
          </w:rPr>
          <w:fldChar w:fldCharType="separate"/>
        </w:r>
        <w:r w:rsidR="00B51D10">
          <w:rPr>
            <w:rFonts w:ascii="Cambria" w:hAnsi="Cambria"/>
            <w:sz w:val="20"/>
          </w:rPr>
          <w:t>231</w:t>
        </w:r>
        <w:r w:rsidR="00B51D10" w:rsidRPr="005E521F">
          <w:rPr>
            <w:rFonts w:ascii="Cambria" w:hAnsi="Cambria"/>
            <w:sz w:val="20"/>
          </w:rPr>
          <w:fldChar w:fldCharType="end"/>
        </w:r>
      </w:sdtContent>
    </w:sdt>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6889C" w14:textId="77777777" w:rsidR="009123AC" w:rsidRPr="00264140" w:rsidRDefault="00CE0EC8" w:rsidP="00264140">
    <w:pPr>
      <w:pStyle w:val="Footer"/>
      <w:tabs>
        <w:tab w:val="clear" w:pos="4513"/>
        <w:tab w:val="center" w:pos="4535"/>
        <w:tab w:val="left" w:pos="6150"/>
      </w:tabs>
      <w:jc w:val="center"/>
      <w:rPr>
        <w:rFonts w:ascii="Cambria" w:hAnsi="Cambria"/>
        <w:sz w:val="20"/>
        <w:szCs w:val="20"/>
      </w:rPr>
    </w:pPr>
    <w:sdt>
      <w:sdtPr>
        <w:id w:val="-1812404672"/>
        <w:docPartObj>
          <w:docPartGallery w:val="Page Numbers (Top of Page)"/>
          <w:docPartUnique/>
        </w:docPartObj>
      </w:sdtPr>
      <w:sdtEndPr/>
      <w:sdtContent>
        <w:r w:rsidR="009123AC" w:rsidRPr="005E521F">
          <w:rPr>
            <w:rFonts w:ascii="Cambria" w:hAnsi="Cambria"/>
            <w:sz w:val="20"/>
          </w:rPr>
          <w:fldChar w:fldCharType="begin"/>
        </w:r>
        <w:r w:rsidR="009123AC" w:rsidRPr="005E521F">
          <w:rPr>
            <w:rFonts w:ascii="Cambria" w:hAnsi="Cambria"/>
            <w:sz w:val="20"/>
          </w:rPr>
          <w:instrText xml:space="preserve"> PAGE </w:instrText>
        </w:r>
        <w:r w:rsidR="009123AC" w:rsidRPr="005E521F">
          <w:rPr>
            <w:rFonts w:ascii="Cambria" w:hAnsi="Cambria"/>
            <w:sz w:val="20"/>
          </w:rPr>
          <w:fldChar w:fldCharType="separate"/>
        </w:r>
        <w:r w:rsidR="009123AC">
          <w:rPr>
            <w:rFonts w:ascii="Cambria" w:hAnsi="Cambria"/>
          </w:rPr>
          <w:t>3</w:t>
        </w:r>
        <w:r w:rsidR="009123AC" w:rsidRPr="005E521F">
          <w:rPr>
            <w:rFonts w:ascii="Cambria" w:hAnsi="Cambria"/>
            <w:sz w:val="20"/>
          </w:rPr>
          <w:fldChar w:fldCharType="end"/>
        </w:r>
        <w:r w:rsidR="009123AC">
          <w:rPr>
            <w:rFonts w:ascii="Cambria" w:hAnsi="Cambria"/>
            <w:sz w:val="20"/>
          </w:rPr>
          <w:t xml:space="preserve"> </w:t>
        </w:r>
      </w:sdtContent>
    </w:sdt>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3EFE0" w14:textId="67B78FF3" w:rsidR="009123AC" w:rsidRPr="00B675E6" w:rsidRDefault="00CE0EC8" w:rsidP="00F32300">
    <w:pPr>
      <w:pStyle w:val="Footer"/>
      <w:tabs>
        <w:tab w:val="clear" w:pos="4513"/>
        <w:tab w:val="center" w:pos="4535"/>
        <w:tab w:val="left" w:pos="6150"/>
      </w:tabs>
      <w:jc w:val="center"/>
      <w:rPr>
        <w:rFonts w:ascii="Cambria" w:hAnsi="Cambria"/>
        <w:sz w:val="20"/>
        <w:szCs w:val="20"/>
      </w:rPr>
    </w:pPr>
    <w:sdt>
      <w:sdtPr>
        <w:id w:val="1068846938"/>
        <w:docPartObj>
          <w:docPartGallery w:val="Page Numbers (Top of Page)"/>
          <w:docPartUnique/>
        </w:docPartObj>
      </w:sdtPr>
      <w:sdtEndPr/>
      <w:sdtContent>
        <w:r w:rsidR="00F32300" w:rsidRPr="005E521F">
          <w:rPr>
            <w:rFonts w:ascii="Cambria" w:hAnsi="Cambria"/>
            <w:sz w:val="20"/>
          </w:rPr>
          <w:fldChar w:fldCharType="begin"/>
        </w:r>
        <w:r w:rsidR="00F32300" w:rsidRPr="005E521F">
          <w:rPr>
            <w:rFonts w:ascii="Cambria" w:hAnsi="Cambria"/>
            <w:sz w:val="20"/>
          </w:rPr>
          <w:instrText xml:space="preserve"> PAGE </w:instrText>
        </w:r>
        <w:r w:rsidR="00F32300" w:rsidRPr="005E521F">
          <w:rPr>
            <w:rFonts w:ascii="Cambria" w:hAnsi="Cambria"/>
            <w:sz w:val="20"/>
          </w:rPr>
          <w:fldChar w:fldCharType="separate"/>
        </w:r>
        <w:r w:rsidR="00F32300">
          <w:rPr>
            <w:rFonts w:ascii="Cambria" w:hAnsi="Cambria"/>
            <w:sz w:val="20"/>
          </w:rPr>
          <w:t>246</w:t>
        </w:r>
        <w:r w:rsidR="00F32300" w:rsidRPr="005E521F">
          <w:rPr>
            <w:rFonts w:ascii="Cambria" w:hAnsi="Cambria"/>
            <w:sz w:val="20"/>
          </w:rPr>
          <w:fldChar w:fldCharType="end"/>
        </w:r>
      </w:sdtContent>
    </w:sdt>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GB"/>
      </w:rPr>
      <w:id w:val="-1842999904"/>
      <w:docPartObj>
        <w:docPartGallery w:val="Page Numbers (Bottom of Page)"/>
        <w:docPartUnique/>
      </w:docPartObj>
    </w:sdtPr>
    <w:sdtEndPr>
      <w:rPr>
        <w:rFonts w:ascii="Cambria" w:hAnsi="Cambria"/>
        <w:noProof/>
        <w:sz w:val="20"/>
        <w:szCs w:val="20"/>
      </w:rPr>
    </w:sdtEndPr>
    <w:sdtContent>
      <w:p w14:paraId="433245DD" w14:textId="3B241360" w:rsidR="00A81D90" w:rsidRPr="00A81D90" w:rsidRDefault="00A81D90" w:rsidP="00A81D90">
        <w:pPr>
          <w:tabs>
            <w:tab w:val="center" w:pos="4513"/>
            <w:tab w:val="right" w:pos="9026"/>
          </w:tabs>
          <w:spacing w:after="0" w:line="240" w:lineRule="auto"/>
          <w:jc w:val="center"/>
          <w:rPr>
            <w:rFonts w:ascii="Cambria" w:hAnsi="Cambria"/>
            <w:sz w:val="20"/>
            <w:szCs w:val="20"/>
            <w:lang w:val="en-GB"/>
          </w:rPr>
        </w:pPr>
        <w:r w:rsidRPr="00A81D90">
          <w:rPr>
            <w:rFonts w:ascii="Cambria" w:hAnsi="Cambria"/>
            <w:sz w:val="20"/>
            <w:szCs w:val="20"/>
            <w:lang w:val="en-GB"/>
          </w:rPr>
          <w:fldChar w:fldCharType="begin"/>
        </w:r>
        <w:r w:rsidRPr="00A81D90">
          <w:rPr>
            <w:rFonts w:ascii="Cambria" w:hAnsi="Cambria"/>
            <w:sz w:val="20"/>
            <w:szCs w:val="20"/>
            <w:lang w:val="en-GB"/>
          </w:rPr>
          <w:instrText xml:space="preserve"> PAGE   \* MERGEFORMAT </w:instrText>
        </w:r>
        <w:r w:rsidRPr="00A81D90">
          <w:rPr>
            <w:rFonts w:ascii="Cambria" w:hAnsi="Cambria"/>
            <w:sz w:val="20"/>
            <w:szCs w:val="20"/>
            <w:lang w:val="en-GB"/>
          </w:rPr>
          <w:fldChar w:fldCharType="separate"/>
        </w:r>
        <w:r w:rsidRPr="00A81D90">
          <w:rPr>
            <w:rFonts w:ascii="Cambria" w:hAnsi="Cambria"/>
            <w:sz w:val="20"/>
            <w:szCs w:val="20"/>
            <w:lang w:val="en-GB"/>
          </w:rPr>
          <w:t>12</w:t>
        </w:r>
        <w:r w:rsidRPr="00A81D90">
          <w:rPr>
            <w:rFonts w:ascii="Cambria" w:hAnsi="Cambria"/>
            <w:noProof/>
            <w:sz w:val="20"/>
            <w:szCs w:val="20"/>
            <w:lang w:val="en-GB"/>
          </w:rPr>
          <w:fldChar w:fldCharType="end"/>
        </w:r>
      </w:p>
    </w:sdtContent>
  </w:sdt>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43081" w14:textId="19B5C9F6" w:rsidR="000C024B" w:rsidRPr="00713AD4" w:rsidRDefault="00CE0EC8" w:rsidP="00713AD4">
    <w:pPr>
      <w:tabs>
        <w:tab w:val="center" w:pos="4535"/>
        <w:tab w:val="center" w:pos="4680"/>
        <w:tab w:val="left" w:pos="6150"/>
        <w:tab w:val="right" w:pos="9360"/>
      </w:tabs>
      <w:jc w:val="center"/>
      <w:rPr>
        <w:rFonts w:ascii="Cambria" w:eastAsia="Calibri" w:hAnsi="Cambria" w:cs="Calibri"/>
        <w:sz w:val="20"/>
      </w:rPr>
    </w:pPr>
    <w:sdt>
      <w:sdtPr>
        <w:rPr>
          <w:rFonts w:ascii="Calibri" w:eastAsia="Calibri" w:hAnsi="Calibri" w:cs="Calibri"/>
          <w:sz w:val="20"/>
          <w:szCs w:val="20"/>
        </w:rPr>
        <w:id w:val="1724486020"/>
        <w:docPartObj>
          <w:docPartGallery w:val="Page Numbers (Top of Page)"/>
          <w:docPartUnique/>
        </w:docPartObj>
      </w:sdtPr>
      <w:sdtEndPr/>
      <w:sdtContent>
        <w:r w:rsidR="000C024B" w:rsidRPr="00713AD4">
          <w:rPr>
            <w:rFonts w:ascii="Cambria" w:eastAsia="Calibri" w:hAnsi="Cambria" w:cs="Calibri"/>
            <w:sz w:val="20"/>
          </w:rPr>
          <w:fldChar w:fldCharType="begin"/>
        </w:r>
        <w:r w:rsidR="000C024B" w:rsidRPr="00713AD4">
          <w:rPr>
            <w:rFonts w:ascii="Cambria" w:eastAsia="Calibri" w:hAnsi="Cambria" w:cs="Calibri"/>
            <w:sz w:val="20"/>
          </w:rPr>
          <w:instrText xml:space="preserve"> PAGE </w:instrText>
        </w:r>
        <w:r w:rsidR="000C024B" w:rsidRPr="00713AD4">
          <w:rPr>
            <w:rFonts w:ascii="Cambria" w:eastAsia="Calibri" w:hAnsi="Cambria" w:cs="Calibri"/>
            <w:sz w:val="20"/>
          </w:rPr>
          <w:fldChar w:fldCharType="separate"/>
        </w:r>
        <w:r w:rsidR="000C024B" w:rsidRPr="00713AD4">
          <w:rPr>
            <w:rFonts w:ascii="Calibri" w:eastAsia="Calibri" w:hAnsi="Calibri" w:cs="Calibri"/>
            <w:sz w:val="20"/>
          </w:rPr>
          <w:t>1</w:t>
        </w:r>
        <w:r w:rsidR="000C024B" w:rsidRPr="00713AD4">
          <w:rPr>
            <w:rFonts w:ascii="Cambria" w:eastAsia="Calibri" w:hAnsi="Cambria" w:cs="Calibri"/>
            <w:sz w:val="20"/>
          </w:rPr>
          <w:fldChar w:fldCharType="end"/>
        </w:r>
      </w:sdtContent>
    </w:sdt>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4B202" w14:textId="5F0321ED" w:rsidR="00AB1C70" w:rsidRDefault="00CE0EC8" w:rsidP="00E928F2">
    <w:pPr>
      <w:pStyle w:val="Footer"/>
      <w:jc w:val="center"/>
    </w:pPr>
    <w:sdt>
      <w:sdtPr>
        <w:id w:val="-60483211"/>
        <w:docPartObj>
          <w:docPartGallery w:val="Page Numbers (Top of Page)"/>
          <w:docPartUnique/>
        </w:docPartObj>
      </w:sdtPr>
      <w:sdtEndPr/>
      <w:sdtContent>
        <w:r w:rsidR="00AB1C70" w:rsidRPr="005E521F">
          <w:rPr>
            <w:rFonts w:ascii="Cambria" w:hAnsi="Cambria"/>
            <w:sz w:val="20"/>
          </w:rPr>
          <w:fldChar w:fldCharType="begin"/>
        </w:r>
        <w:r w:rsidR="00AB1C70" w:rsidRPr="005E521F">
          <w:rPr>
            <w:rFonts w:ascii="Cambria" w:hAnsi="Cambria"/>
            <w:sz w:val="20"/>
          </w:rPr>
          <w:instrText xml:space="preserve"> PAGE </w:instrText>
        </w:r>
        <w:r w:rsidR="00AB1C70" w:rsidRPr="005E521F">
          <w:rPr>
            <w:rFonts w:ascii="Cambria" w:hAnsi="Cambria"/>
            <w:sz w:val="20"/>
          </w:rPr>
          <w:fldChar w:fldCharType="separate"/>
        </w:r>
        <w:r w:rsidR="00AB1C70">
          <w:rPr>
            <w:rFonts w:ascii="Cambria" w:hAnsi="Cambria"/>
            <w:sz w:val="20"/>
          </w:rPr>
          <w:t>1</w:t>
        </w:r>
        <w:r w:rsidR="00AB1C70" w:rsidRPr="005E521F">
          <w:rPr>
            <w:rFonts w:ascii="Cambria" w:hAnsi="Cambria"/>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B7358" w14:textId="77777777" w:rsidR="00CE0EC8" w:rsidRDefault="00CE0EC8" w:rsidP="002830A6">
      <w:pPr>
        <w:spacing w:after="0" w:line="240" w:lineRule="auto"/>
      </w:pPr>
      <w:r>
        <w:separator/>
      </w:r>
    </w:p>
  </w:footnote>
  <w:footnote w:type="continuationSeparator" w:id="0">
    <w:p w14:paraId="520741A0" w14:textId="77777777" w:rsidR="00CE0EC8" w:rsidRDefault="00CE0EC8" w:rsidP="002830A6">
      <w:pPr>
        <w:spacing w:after="0" w:line="240" w:lineRule="auto"/>
      </w:pPr>
      <w:r>
        <w:continuationSeparator/>
      </w:r>
    </w:p>
  </w:footnote>
  <w:footnote w:type="continuationNotice" w:id="1">
    <w:p w14:paraId="30DE420B" w14:textId="77777777" w:rsidR="00CE0EC8" w:rsidRDefault="00CE0EC8">
      <w:pPr>
        <w:spacing w:after="0" w:line="240" w:lineRule="auto"/>
      </w:pPr>
    </w:p>
  </w:footnote>
  <w:footnote w:id="2">
    <w:p w14:paraId="406776B0" w14:textId="77777777" w:rsidR="009123AC" w:rsidRPr="00A7750A" w:rsidRDefault="009123AC" w:rsidP="009123AC">
      <w:pPr>
        <w:rPr>
          <w:rFonts w:ascii="Cambria" w:hAnsi="Cambria"/>
          <w:sz w:val="16"/>
          <w:szCs w:val="16"/>
        </w:rPr>
      </w:pPr>
      <w:r w:rsidRPr="00A7750A">
        <w:rPr>
          <w:rFonts w:ascii="Cambria" w:hAnsi="Cambria"/>
          <w:sz w:val="16"/>
          <w:szCs w:val="16"/>
        </w:rPr>
        <w:footnoteRef/>
      </w:r>
      <w:r w:rsidRPr="00A7750A">
        <w:rPr>
          <w:rFonts w:ascii="Cambria" w:hAnsi="Cambria"/>
          <w:sz w:val="16"/>
          <w:szCs w:val="16"/>
        </w:rPr>
        <w:t xml:space="preserve"> Jefe de Delegación.</w:t>
      </w:r>
      <w:r w:rsidRPr="00A7750A">
        <w:rPr>
          <w:rFonts w:ascii="Cambria" w:hAnsi="Cambria"/>
          <w:sz w:val="16"/>
          <w:szCs w:val="16"/>
        </w:rPr>
        <w:br/>
      </w:r>
      <w:r w:rsidRPr="00A7750A">
        <w:rPr>
          <w:rFonts w:ascii="Cambria" w:hAnsi="Cambria"/>
          <w:sz w:val="16"/>
          <w:szCs w:val="16"/>
          <w:vertAlign w:val="superscript"/>
        </w:rPr>
        <w:t>1</w:t>
      </w:r>
      <w:r w:rsidRPr="00A7750A">
        <w:rPr>
          <w:rFonts w:ascii="Cambria" w:hAnsi="Cambria"/>
          <w:sz w:val="16"/>
          <w:szCs w:val="16"/>
        </w:rPr>
        <w:t xml:space="preserve"> Debido a la solicitud de protección de datos por parte de algunos delegados, en algunos casos no figuran los datos de contacto completos.</w:t>
      </w:r>
    </w:p>
  </w:footnote>
  <w:footnote w:id="3">
    <w:p w14:paraId="5C4108DD" w14:textId="77777777" w:rsidR="009123AC" w:rsidRPr="00D01D4C" w:rsidRDefault="009123AC" w:rsidP="00382C6A">
      <w:pPr>
        <w:spacing w:after="0" w:line="240" w:lineRule="auto"/>
        <w:jc w:val="both"/>
        <w:rPr>
          <w:rFonts w:ascii="Cambria" w:hAnsi="Cambria"/>
          <w:sz w:val="16"/>
          <w:szCs w:val="16"/>
          <w:lang w:val="es-ES_tradnl"/>
        </w:rPr>
      </w:pPr>
      <w:r w:rsidRPr="00D01D4C">
        <w:rPr>
          <w:rFonts w:ascii="Cambria" w:hAnsi="Cambria"/>
          <w:sz w:val="16"/>
          <w:szCs w:val="16"/>
          <w:vertAlign w:val="superscript"/>
          <w:lang w:val="es-ES_tradnl"/>
        </w:rPr>
        <w:t xml:space="preserve">1 </w:t>
      </w:r>
      <w:r w:rsidRPr="00D01D4C">
        <w:rPr>
          <w:rFonts w:ascii="Cambria" w:hAnsi="Cambria"/>
          <w:sz w:val="16"/>
          <w:szCs w:val="16"/>
          <w:lang w:val="es-ES_tradnl"/>
        </w:rPr>
        <w:t>Reglamento (UE) 2019/833 del Parlamento europeo y del Consejo de 20 de mayo de 2019 por el que se establecen medidas de conservación y ejecución aplicables en la zona de regulación de la Organización de Pesquerías del Atlántico Noroeste, se modifica el Reglamento (UE) 2016/1627 y se derogan los Reglamentos (CE) n.º 2115/2005 y (CE) n.º 1386/2007 del Consejo (en lo sucesivo denominado: Reglamento n.º No 2019/833).</w:t>
      </w:r>
    </w:p>
  </w:footnote>
  <w:footnote w:id="4">
    <w:p w14:paraId="45FDF8B3" w14:textId="77777777" w:rsidR="009123AC" w:rsidRPr="00D01D4C" w:rsidRDefault="009123AC" w:rsidP="00382C6A">
      <w:pPr>
        <w:pStyle w:val="FootnoteText"/>
        <w:spacing w:after="0"/>
        <w:ind w:left="0" w:firstLine="0"/>
        <w:rPr>
          <w:rFonts w:ascii="Cambria" w:hAnsi="Cambria"/>
          <w:sz w:val="16"/>
          <w:szCs w:val="16"/>
        </w:rPr>
      </w:pPr>
      <w:r w:rsidRPr="00D01D4C">
        <w:rPr>
          <w:rFonts w:ascii="Cambria" w:hAnsi="Cambria" w:cs="Arial"/>
          <w:sz w:val="16"/>
          <w:szCs w:val="16"/>
          <w:vertAlign w:val="superscript"/>
          <w:lang w:val="es-ES_tradnl"/>
        </w:rPr>
        <w:footnoteRef/>
      </w:r>
      <w:r w:rsidRPr="00D01D4C">
        <w:rPr>
          <w:rFonts w:ascii="Cambria" w:hAnsi="Cambria" w:cs="Arial"/>
          <w:sz w:val="16"/>
          <w:szCs w:val="16"/>
          <w:vertAlign w:val="superscript"/>
          <w:lang w:val="es-ES_tradnl"/>
        </w:rPr>
        <w:t xml:space="preserve"> </w:t>
      </w:r>
      <w:r w:rsidRPr="00D01D4C">
        <w:rPr>
          <w:rFonts w:ascii="Cambria" w:hAnsi="Cambria" w:cs="Arial"/>
          <w:sz w:val="16"/>
          <w:szCs w:val="16"/>
          <w:lang w:val="es-ES_tradnl"/>
        </w:rPr>
        <w:t>Reglamento (UE) 2023/2053 del Parlamento europeo y del Consejo de 13 de septiembre de 2023 por el que se establece un plan de ordenación plurianual para el atún rojo del Atlántico oriental y el Mediterráneo, se modifican los Reglamentos (CE) n.º 1936/2001, (UE) 2017/2107 y (UE) 2019/833, y se deroga el Reglamento (UE) 2016/1627.</w:t>
      </w:r>
    </w:p>
  </w:footnote>
  <w:footnote w:id="5">
    <w:p w14:paraId="3B3AD2E1" w14:textId="77777777" w:rsidR="009123AC" w:rsidRPr="00D01D4C" w:rsidRDefault="009123AC" w:rsidP="00382C6A">
      <w:pPr>
        <w:pStyle w:val="FootnoteText"/>
        <w:spacing w:after="0"/>
        <w:ind w:left="0" w:firstLine="0"/>
        <w:rPr>
          <w:rFonts w:ascii="Cambria" w:hAnsi="Cambria"/>
          <w:sz w:val="16"/>
          <w:szCs w:val="16"/>
        </w:rPr>
      </w:pPr>
      <w:r w:rsidRPr="00D01D4C">
        <w:rPr>
          <w:rFonts w:ascii="Cambria" w:hAnsi="Cambria" w:cs="Arial"/>
          <w:sz w:val="16"/>
          <w:szCs w:val="16"/>
          <w:vertAlign w:val="superscript"/>
          <w:lang w:val="es-ES_tradnl"/>
        </w:rPr>
        <w:footnoteRef/>
      </w:r>
      <w:r w:rsidRPr="00D01D4C">
        <w:rPr>
          <w:rFonts w:ascii="Cambria" w:hAnsi="Cambria" w:cs="Arial"/>
          <w:sz w:val="16"/>
          <w:szCs w:val="16"/>
          <w:vertAlign w:val="superscript"/>
          <w:lang w:val="es-ES_tradnl"/>
        </w:rPr>
        <w:t xml:space="preserve"> </w:t>
      </w:r>
      <w:r w:rsidRPr="00D01D4C">
        <w:rPr>
          <w:rFonts w:ascii="Cambria" w:hAnsi="Cambria" w:cs="Arial"/>
          <w:sz w:val="16"/>
          <w:szCs w:val="16"/>
          <w:lang w:val="es-ES_tradnl"/>
        </w:rPr>
        <w:t>Reglamento (UE) 2024/897 del Parlamento europeo y del Consejo de 13 de marzo de 2024 que modifica el Reglamento (UE) 2017/2107, por el que se establecen medidas de ordenación, conservación y control aplicables en la zona del Convenio de la Comisión Internacional para la Conservación del Atún Atlántico (ICCAT), y el Reglamento (UE) 2023/2053, por el que se establece un plan de ordenación plurianual para el atún rojo del Atlántico oriental y el Mediterráneo.</w:t>
      </w:r>
    </w:p>
  </w:footnote>
  <w:footnote w:id="6">
    <w:p w14:paraId="5AB8D223" w14:textId="77777777" w:rsidR="009123AC" w:rsidRPr="00D01D4C" w:rsidRDefault="009123AC" w:rsidP="00382C6A">
      <w:pPr>
        <w:pStyle w:val="FootnoteText"/>
        <w:spacing w:after="0"/>
        <w:ind w:left="0" w:firstLine="0"/>
        <w:rPr>
          <w:rFonts w:ascii="Cambria" w:hAnsi="Cambria"/>
          <w:sz w:val="16"/>
          <w:szCs w:val="16"/>
        </w:rPr>
      </w:pPr>
      <w:r w:rsidRPr="00D01D4C">
        <w:rPr>
          <w:rStyle w:val="FootnoteReference"/>
          <w:rFonts w:ascii="Cambria" w:hAnsi="Cambria"/>
          <w:sz w:val="16"/>
          <w:szCs w:val="16"/>
        </w:rPr>
        <w:footnoteRef/>
      </w:r>
      <w:r w:rsidRPr="00D01D4C">
        <w:rPr>
          <w:rStyle w:val="FootnoteReference"/>
          <w:rFonts w:ascii="Cambria" w:hAnsi="Cambria"/>
          <w:sz w:val="16"/>
          <w:szCs w:val="16"/>
        </w:rPr>
        <w:t xml:space="preserve"> </w:t>
      </w:r>
      <w:r w:rsidRPr="00D01D4C">
        <w:rPr>
          <w:rFonts w:ascii="Cambria" w:hAnsi="Cambria"/>
          <w:sz w:val="16"/>
          <w:szCs w:val="16"/>
        </w:rPr>
        <w:t xml:space="preserve">  Reglamento Delegado (UE) 2024/2925 de la Comisión, de 19 de junio de 2024, por el que se modifica el Reglamento (UE) 2023/2053 del Parlamento Europeo y del Consejo en lo que se refiere a la ordenación del atún rojo en el Atlántico este y Mediterráneo</w:t>
      </w:r>
    </w:p>
  </w:footnote>
  <w:footnote w:id="7">
    <w:p w14:paraId="7F625EBB" w14:textId="77777777" w:rsidR="009123AC" w:rsidRPr="0008413F" w:rsidRDefault="009123AC" w:rsidP="00D3558E">
      <w:pPr>
        <w:pStyle w:val="FootnoteText"/>
        <w:spacing w:after="0"/>
        <w:ind w:left="0" w:firstLine="0"/>
        <w:rPr>
          <w:rFonts w:ascii="Cambria" w:hAnsi="Cambria"/>
          <w:sz w:val="16"/>
          <w:szCs w:val="16"/>
        </w:rPr>
      </w:pPr>
      <w:r w:rsidRPr="00D609D0">
        <w:rPr>
          <w:rStyle w:val="FootnoteReference"/>
          <w:rFonts w:ascii="Cambria" w:hAnsi="Cambria"/>
          <w:sz w:val="16"/>
          <w:szCs w:val="16"/>
        </w:rPr>
        <w:footnoteRef/>
      </w:r>
      <w:r w:rsidRPr="00D609D0">
        <w:rPr>
          <w:rFonts w:ascii="Cambria" w:hAnsi="Cambria"/>
          <w:sz w:val="16"/>
          <w:szCs w:val="16"/>
        </w:rPr>
        <w:t xml:space="preserve">  El plan de pesca de la UE muestra el número y la categoría de eslora de </w:t>
      </w:r>
      <w:r w:rsidRPr="008847FC">
        <w:rPr>
          <w:rFonts w:ascii="Cambria" w:hAnsi="Cambria"/>
          <w:sz w:val="16"/>
          <w:szCs w:val="16"/>
        </w:rPr>
        <w:t>los buques que la UE autorizará en 2026 y la cuota asignada a dichos buques.</w:t>
      </w:r>
    </w:p>
  </w:footnote>
  <w:footnote w:id="8">
    <w:p w14:paraId="7BD919DA" w14:textId="77777777" w:rsidR="009123AC" w:rsidRPr="00D609D0" w:rsidRDefault="009123AC" w:rsidP="00D3558E">
      <w:pPr>
        <w:pStyle w:val="FootnoteText"/>
        <w:spacing w:after="0"/>
        <w:ind w:left="0" w:firstLine="0"/>
        <w:rPr>
          <w:rFonts w:ascii="Cambria" w:hAnsi="Cambria"/>
          <w:sz w:val="16"/>
          <w:szCs w:val="16"/>
        </w:rPr>
      </w:pPr>
      <w:r w:rsidRPr="0008413F">
        <w:rPr>
          <w:rStyle w:val="FootnoteReference"/>
          <w:rFonts w:ascii="Cambria" w:hAnsi="Cambria"/>
          <w:sz w:val="16"/>
          <w:szCs w:val="16"/>
        </w:rPr>
        <w:footnoteRef/>
      </w:r>
      <w:r w:rsidRPr="0008413F">
        <w:rPr>
          <w:rFonts w:ascii="Cambria" w:hAnsi="Cambria"/>
          <w:sz w:val="16"/>
          <w:szCs w:val="16"/>
        </w:rPr>
        <w:t xml:space="preserve"> La cuota ajustada es de 23.370,03 t, es decir, 25.164,62 t (cuota) menos 483 t (asignación para capturas fortuitas) menos 134 t (asignación para pesca deportiva/de recreo) menos 1.165 t (contingencia).</w:t>
      </w:r>
    </w:p>
  </w:footnote>
  <w:footnote w:id="9">
    <w:p w14:paraId="52C1AC04" w14:textId="77777777" w:rsidR="009123AC" w:rsidRPr="0008413F" w:rsidRDefault="009123AC" w:rsidP="009123AC">
      <w:pPr>
        <w:jc w:val="both"/>
        <w:rPr>
          <w:rFonts w:ascii="Cambria" w:eastAsiaTheme="minorHAnsi" w:hAnsi="Cambria" w:cs="Times New Roman"/>
          <w:sz w:val="16"/>
          <w:szCs w:val="16"/>
        </w:rPr>
      </w:pPr>
      <w:r w:rsidRPr="0008413F">
        <w:rPr>
          <w:rFonts w:ascii="Cambria" w:hAnsi="Cambria"/>
          <w:sz w:val="16"/>
          <w:szCs w:val="16"/>
          <w:vertAlign w:val="superscript"/>
        </w:rPr>
        <w:t>7</w:t>
      </w:r>
      <w:r w:rsidRPr="0008413F">
        <w:rPr>
          <w:rFonts w:ascii="Cambria" w:hAnsi="Cambria"/>
        </w:rPr>
        <w:t xml:space="preserve"> </w:t>
      </w:r>
      <w:r w:rsidRPr="0008413F">
        <w:rPr>
          <w:rFonts w:ascii="Cambria" w:eastAsiaTheme="minorHAnsi" w:hAnsi="Cambria" w:cs="Times New Roman"/>
          <w:sz w:val="16"/>
        </w:rPr>
        <w:t>Reglamento (UE) n.º 2023/2053 del Parlamento Europeo y del Consejo del 13 de septiembre de 2023 por el que se establece un plan de ordenación plurianual para el atún rojo del Atlántico oriental y el Mediterráneo, se modifican los Reglamentos (CE) n.º 1936/2001, (UE) 2017/2107 y (UE) 2019/833, y se deroga el Reglamento (UE) 2016/1627.</w:t>
      </w:r>
    </w:p>
  </w:footnote>
  <w:footnote w:id="10">
    <w:p w14:paraId="6AF0FDFA" w14:textId="77777777" w:rsidR="009123AC" w:rsidRPr="00CC37BD" w:rsidRDefault="009123AC" w:rsidP="009123AC">
      <w:pPr>
        <w:pStyle w:val="FootnoteText"/>
        <w:rPr>
          <w:rFonts w:ascii="Cambria" w:hAnsi="Cambria"/>
          <w:sz w:val="16"/>
          <w:szCs w:val="16"/>
          <w:vertAlign w:val="superscript"/>
        </w:rPr>
      </w:pPr>
      <w:r w:rsidRPr="00CC37BD">
        <w:rPr>
          <w:rFonts w:ascii="Cambria" w:hAnsi="Cambria"/>
          <w:sz w:val="18"/>
          <w:szCs w:val="18"/>
          <w:vertAlign w:val="superscript"/>
        </w:rPr>
        <w:footnoteRef/>
      </w:r>
      <w:r w:rsidRPr="00CC37BD">
        <w:rPr>
          <w:rFonts w:ascii="Cambria" w:hAnsi="Cambria"/>
          <w:sz w:val="18"/>
          <w:szCs w:val="18"/>
          <w:vertAlign w:val="superscript"/>
        </w:rPr>
        <w:t xml:space="preserve"> </w:t>
      </w:r>
      <w:r w:rsidRPr="00CC37BD">
        <w:rPr>
          <w:rFonts w:ascii="Cambria" w:hAnsi="Cambria"/>
          <w:sz w:val="16"/>
          <w:szCs w:val="16"/>
        </w:rPr>
        <w:t>Reglamento (CE) n.º 1224/2009 del Consejo, de 20 de noviembre de 2009, por el que se establece un régimen comunitario de control para garantizar el cumplimiento de las normas de la política pesquera común,</w:t>
      </w:r>
    </w:p>
  </w:footnote>
  <w:footnote w:id="11">
    <w:p w14:paraId="3A4C4892" w14:textId="77777777" w:rsidR="009123AC" w:rsidRPr="0008413F" w:rsidRDefault="009123AC" w:rsidP="00BD6273">
      <w:pPr>
        <w:pStyle w:val="FootnoteText"/>
        <w:spacing w:after="0"/>
        <w:ind w:left="0" w:firstLine="0"/>
        <w:rPr>
          <w:rFonts w:ascii="Cambria" w:hAnsi="Cambria"/>
          <w:sz w:val="16"/>
          <w:szCs w:val="16"/>
        </w:rPr>
      </w:pPr>
      <w:r w:rsidRPr="0008413F">
        <w:rPr>
          <w:rStyle w:val="FootnoteReference"/>
          <w:rFonts w:ascii="Cambria" w:hAnsi="Cambria"/>
          <w:sz w:val="16"/>
          <w:szCs w:val="16"/>
        </w:rPr>
        <w:footnoteRef/>
      </w:r>
      <w:r w:rsidRPr="0008413F">
        <w:rPr>
          <w:rFonts w:ascii="Cambria" w:hAnsi="Cambria"/>
          <w:sz w:val="16"/>
          <w:szCs w:val="16"/>
        </w:rPr>
        <w:t xml:space="preserve"> R</w:t>
      </w:r>
      <w:r w:rsidRPr="0008413F">
        <w:rPr>
          <w:rStyle w:val="Strong"/>
          <w:rFonts w:ascii="Cambria" w:hAnsi="Cambria"/>
          <w:b w:val="0"/>
          <w:bCs w:val="0"/>
          <w:color w:val="111111"/>
          <w:sz w:val="16"/>
          <w:szCs w:val="16"/>
          <w:shd w:val="clear" w:color="auto" w:fill="FFFFFF"/>
        </w:rPr>
        <w:t>eglamento (UE) N o 1380/2013 del Parlamento europeo y del Consejo de 11 de diciembre de 2013 sobre la política pesquera común</w:t>
      </w:r>
      <w:r w:rsidRPr="0008413F">
        <w:rPr>
          <w:rFonts w:ascii="Cambria" w:hAnsi="Cambria"/>
          <w:b/>
          <w:bCs/>
          <w:color w:val="111111"/>
          <w:sz w:val="16"/>
          <w:szCs w:val="16"/>
          <w:shd w:val="clear" w:color="auto" w:fill="FFFFFF"/>
        </w:rPr>
        <w:t>.</w:t>
      </w:r>
    </w:p>
  </w:footnote>
  <w:footnote w:id="12">
    <w:p w14:paraId="1B88E07C" w14:textId="77777777" w:rsidR="009123AC" w:rsidRPr="006F77EA" w:rsidRDefault="009123AC" w:rsidP="00BD6273">
      <w:pPr>
        <w:pStyle w:val="FootnoteText"/>
        <w:spacing w:after="0"/>
        <w:ind w:left="0" w:firstLine="0"/>
        <w:rPr>
          <w:rFonts w:ascii="Cambria" w:hAnsi="Cambria"/>
          <w:sz w:val="14"/>
          <w:szCs w:val="14"/>
        </w:rPr>
      </w:pPr>
      <w:r w:rsidRPr="0008413F">
        <w:rPr>
          <w:rStyle w:val="FootnoteReference"/>
          <w:rFonts w:ascii="Cambria" w:hAnsi="Cambria"/>
          <w:sz w:val="16"/>
          <w:szCs w:val="16"/>
        </w:rPr>
        <w:footnoteRef/>
      </w:r>
      <w:r w:rsidRPr="0008413F">
        <w:rPr>
          <w:rFonts w:ascii="Cambria" w:hAnsi="Cambria"/>
          <w:sz w:val="16"/>
          <w:szCs w:val="16"/>
        </w:rPr>
        <w:t xml:space="preserve"> Reglamento Delegado (UE) 2015/98 de la Comisión de 18 de noviembre de 2014 relativo a la aplicación de las obligaciones internacionales de la Unión, tal como se contempla en el artículo 15, apartado 2, del Reglamento (UE) no 1380/2013 del Parlamento Europeo y del Consejo, en el marco del Convenio Internacional para la Conservación del Atún del Atlántico y el Convenio sobre la futura cooperación multilateral en los caladeros del Atlántico Noroccidental, enmendado por loa Reglamento Delegado (UE) 2016/171, (UE) 2017/1352, (UE) 2018/191 y (EU) 2019/2020 de la Comisión.</w:t>
      </w:r>
    </w:p>
  </w:footnote>
  <w:footnote w:id="13">
    <w:p w14:paraId="6D18A78C" w14:textId="77777777" w:rsidR="009123AC" w:rsidRPr="00CC37BD" w:rsidRDefault="009123AC" w:rsidP="00BD6273">
      <w:pPr>
        <w:pStyle w:val="FootnoteText"/>
        <w:ind w:left="0" w:firstLine="0"/>
        <w:rPr>
          <w:rFonts w:ascii="Cambria" w:hAnsi="Cambria"/>
          <w:sz w:val="16"/>
          <w:szCs w:val="16"/>
        </w:rPr>
      </w:pPr>
      <w:r w:rsidRPr="006F77EA">
        <w:rPr>
          <w:rStyle w:val="FootnoteReference"/>
          <w:rFonts w:ascii="Cambria" w:hAnsi="Cambria"/>
          <w:sz w:val="14"/>
          <w:szCs w:val="14"/>
        </w:rPr>
        <w:footnoteRef/>
      </w:r>
      <w:r w:rsidRPr="006F77EA">
        <w:rPr>
          <w:rFonts w:ascii="Cambria" w:hAnsi="Cambria"/>
          <w:sz w:val="14"/>
          <w:szCs w:val="14"/>
        </w:rPr>
        <w:t>Reglamento de ejecución (UE) no 404/2011 de la Comisión de 8 de abril de 2011 que establece las normas de desarrollo del Reglamento (CE) no 1224/2009 del Consejo por el que se establece un régimen comunitario de control para garantizar el cumplimiento de las normas de la política pesquera común</w:t>
      </w:r>
    </w:p>
  </w:footnote>
  <w:footnote w:id="14">
    <w:p w14:paraId="65E09008" w14:textId="77777777" w:rsidR="009123AC" w:rsidRPr="00CC37BD" w:rsidRDefault="009123AC" w:rsidP="00382C6A">
      <w:pPr>
        <w:pStyle w:val="FootnoteText"/>
        <w:spacing w:after="0"/>
        <w:ind w:left="0" w:firstLine="0"/>
        <w:rPr>
          <w:highlight w:val="yellow"/>
        </w:rPr>
      </w:pPr>
      <w:r w:rsidRPr="00CC37BD">
        <w:rPr>
          <w:rStyle w:val="FootnoteReference"/>
          <w:rFonts w:ascii="Cambria" w:hAnsi="Cambria"/>
          <w:sz w:val="16"/>
          <w:szCs w:val="16"/>
        </w:rPr>
        <w:footnoteRef/>
      </w:r>
      <w:r w:rsidRPr="00CC37BD">
        <w:rPr>
          <w:rFonts w:ascii="Cambria" w:hAnsi="Cambria"/>
          <w:sz w:val="16"/>
          <w:szCs w:val="16"/>
        </w:rPr>
        <w:t xml:space="preserve"> R</w:t>
      </w:r>
      <w:r w:rsidRPr="00CC37BD">
        <w:rPr>
          <w:rFonts w:ascii="Cambria" w:hAnsi="Cambria"/>
          <w:sz w:val="16"/>
        </w:rPr>
        <w:t>eglamento (UE) 2017/1004 del Parlamento Europeo y del Consejo del 17 de mayo de 2017 sobre el establecimiento de un marco de la Unión para la recopilación, gestión y uso de los datos del sector pesquero y el apoyo al asesoramiento científico en relación con la política pesquera común y que revoca el Reglamento (CE) n.º 199/2008 del Consejo (versión refundida).</w:t>
      </w:r>
    </w:p>
  </w:footnote>
  <w:footnote w:id="15">
    <w:p w14:paraId="73026B94" w14:textId="77777777" w:rsidR="009123AC" w:rsidRPr="00CC37BD" w:rsidRDefault="009123AC" w:rsidP="00382C6A">
      <w:pPr>
        <w:pStyle w:val="FootnoteText"/>
        <w:spacing w:after="0"/>
        <w:ind w:left="0" w:firstLine="0"/>
      </w:pPr>
      <w:r w:rsidRPr="00CC37BD">
        <w:rPr>
          <w:rStyle w:val="FootnoteReference"/>
          <w:rFonts w:ascii="Cambria" w:hAnsi="Cambria"/>
          <w:sz w:val="16"/>
          <w:szCs w:val="16"/>
        </w:rPr>
        <w:footnoteRef/>
      </w:r>
      <w:r w:rsidRPr="00CC37BD">
        <w:rPr>
          <w:rFonts w:ascii="Cambria" w:hAnsi="Cambria"/>
          <w:sz w:val="16"/>
          <w:szCs w:val="16"/>
        </w:rPr>
        <w:t xml:space="preserve"> </w:t>
      </w:r>
      <w:r w:rsidRPr="00CC37BD">
        <w:rPr>
          <w:rFonts w:ascii="Cambria" w:hAnsi="Cambria"/>
          <w:sz w:val="16"/>
        </w:rPr>
        <w:t>Reglamento (UE) 2023/2053 del Parlamento europeo y del Consejo de 13 de septiembre de 2023 por el que se establece un plan de ordenación plurianual para el atún rojo del Atlántico oriental y el Mediterráneo, se modifican los Reglamentos (CE) n.º 1936/2001, (UE) 2017/2107 y (UE) 2019/833, y se deroga el Reglamento (UE) 2016/1627.</w:t>
      </w:r>
    </w:p>
  </w:footnote>
  <w:footnote w:id="16">
    <w:p w14:paraId="3EE60374" w14:textId="77777777" w:rsidR="009123AC" w:rsidRPr="00CC37BD" w:rsidRDefault="009123AC" w:rsidP="00382C6A">
      <w:pPr>
        <w:pStyle w:val="FootnoteText"/>
        <w:spacing w:after="0"/>
        <w:ind w:left="0" w:firstLine="0"/>
        <w:rPr>
          <w:rFonts w:ascii="Cambria" w:hAnsi="Cambria"/>
          <w:sz w:val="16"/>
          <w:szCs w:val="16"/>
        </w:rPr>
      </w:pPr>
      <w:r w:rsidRPr="00CC37BD">
        <w:rPr>
          <w:rStyle w:val="FootnoteReference"/>
          <w:rFonts w:ascii="Cambria" w:hAnsi="Cambria"/>
          <w:sz w:val="16"/>
          <w:szCs w:val="16"/>
        </w:rPr>
        <w:footnoteRef/>
      </w:r>
      <w:r w:rsidRPr="00CC37BD">
        <w:rPr>
          <w:rFonts w:ascii="Cambria" w:hAnsi="Cambria"/>
          <w:sz w:val="16"/>
          <w:szCs w:val="16"/>
        </w:rPr>
        <w:t>Re</w:t>
      </w:r>
      <w:r w:rsidRPr="00CC37BD">
        <w:rPr>
          <w:rFonts w:ascii="Cambria" w:hAnsi="Cambria"/>
          <w:sz w:val="16"/>
        </w:rPr>
        <w:t>glamento (UE) 2023/2833 del Parlamento europeo y del Consejo de 13 de diciembre de 2023, por el que se establece un programa de documentación de capturas de atún rojo (</w:t>
      </w:r>
      <w:r w:rsidRPr="00CC37BD">
        <w:rPr>
          <w:rFonts w:ascii="Cambria" w:hAnsi="Cambria"/>
          <w:i/>
          <w:iCs/>
          <w:sz w:val="16"/>
        </w:rPr>
        <w:t>Thunnus thynnus</w:t>
      </w:r>
      <w:r w:rsidRPr="00CC37BD">
        <w:rPr>
          <w:rFonts w:ascii="Cambria" w:hAnsi="Cambria"/>
          <w:sz w:val="16"/>
        </w:rPr>
        <w:t>) y se modifica el Reglamento (UE) n.º 640/2010.</w:t>
      </w:r>
    </w:p>
  </w:footnote>
  <w:footnote w:id="17">
    <w:p w14:paraId="191F4831" w14:textId="77777777" w:rsidR="009123AC" w:rsidRPr="00E4581A" w:rsidRDefault="009123AC" w:rsidP="00382C6A">
      <w:pPr>
        <w:pStyle w:val="FootnoteText"/>
        <w:spacing w:after="0"/>
        <w:ind w:left="0" w:firstLine="0"/>
        <w:rPr>
          <w:rFonts w:ascii="Cambria" w:hAnsi="Cambria"/>
          <w:sz w:val="16"/>
          <w:szCs w:val="16"/>
        </w:rPr>
      </w:pPr>
      <w:r w:rsidRPr="00E4581A">
        <w:rPr>
          <w:rStyle w:val="FootnoteReference"/>
          <w:rFonts w:ascii="Cambria" w:hAnsi="Cambria"/>
          <w:sz w:val="16"/>
          <w:szCs w:val="16"/>
        </w:rPr>
        <w:footnoteRef/>
      </w:r>
      <w:r w:rsidRPr="00E4581A">
        <w:rPr>
          <w:rFonts w:ascii="Cambria" w:hAnsi="Cambria"/>
          <w:sz w:val="16"/>
          <w:szCs w:val="16"/>
        </w:rPr>
        <w:t xml:space="preserve"> Reglamento (UE) 2019/833 del Parlamento europeo y del Consejo de 20 de mayo de 2019 por el que se establecen medidas de conservación y ejecución aplicables en la zona de regulación de la Organización de Pesquerías del Atlántico Noroeste, se modifica el Reglamento (UE) 2016/1627 y se derogan los Reglamentos (CE) n.º 2115/2005 y (CE) n.º 1386/2007 del Consejo (en lo sucesivo denominado: Reglamento (UE) n.º 2019/833).</w:t>
      </w:r>
    </w:p>
  </w:footnote>
  <w:footnote w:id="18">
    <w:p w14:paraId="60214B7A" w14:textId="77777777" w:rsidR="009123AC" w:rsidRPr="00E4581A" w:rsidRDefault="009123AC" w:rsidP="00382C6A">
      <w:pPr>
        <w:pStyle w:val="FootnoteText"/>
        <w:spacing w:after="0"/>
        <w:ind w:left="0" w:firstLine="0"/>
        <w:rPr>
          <w:rFonts w:ascii="Cambria" w:hAnsi="Cambria"/>
          <w:sz w:val="16"/>
          <w:szCs w:val="16"/>
        </w:rPr>
      </w:pPr>
      <w:r w:rsidRPr="00E4581A">
        <w:rPr>
          <w:rStyle w:val="FootnoteReference"/>
          <w:rFonts w:ascii="Cambria" w:hAnsi="Cambria"/>
          <w:sz w:val="16"/>
          <w:szCs w:val="16"/>
        </w:rPr>
        <w:footnoteRef/>
      </w:r>
      <w:r w:rsidRPr="00E4581A">
        <w:rPr>
          <w:rFonts w:ascii="Cambria" w:hAnsi="Cambria"/>
        </w:rPr>
        <w:t xml:space="preserve"> </w:t>
      </w:r>
      <w:r w:rsidRPr="00E4581A">
        <w:rPr>
          <w:rFonts w:ascii="Cambria" w:hAnsi="Cambria"/>
          <w:sz w:val="16"/>
        </w:rPr>
        <w:t>Reglamento (UE) 2024/897 del Parlamento Europeo y del Consejo, de 13 de marzo de 2024, que modifica el Reglamento (UE) 2017/2107, por el que se establecen medidas de ordenación, conservación y control aplicables en la zona del Convenio de la Comisión Internacional para la Conservación del Atún Atlántico (ICCAT), y el Reglamento (UE) 2023/2053, por el que se establece un plan de ordenación plurianual para el atún rojo del Atlántico oriental y el Mediterráneo, D.O. L, 2024/897, 19.3.2024</w:t>
      </w:r>
    </w:p>
  </w:footnote>
  <w:footnote w:id="19">
    <w:p w14:paraId="785972B0" w14:textId="1ACBFE16" w:rsidR="009123AC" w:rsidRPr="00194A82" w:rsidRDefault="009123AC" w:rsidP="00382C6A">
      <w:pPr>
        <w:spacing w:after="0"/>
        <w:jc w:val="both"/>
        <w:rPr>
          <w:u w:val="single"/>
        </w:rPr>
      </w:pPr>
      <w:r w:rsidRPr="00E4581A">
        <w:rPr>
          <w:rFonts w:ascii="Cambria" w:hAnsi="Cambria"/>
          <w:sz w:val="16"/>
          <w:szCs w:val="16"/>
          <w:vertAlign w:val="superscript"/>
        </w:rPr>
        <w:footnoteRef/>
      </w:r>
      <w:r w:rsidRPr="00E4581A">
        <w:rPr>
          <w:rFonts w:ascii="Cambria" w:eastAsia="MS Gothic" w:hAnsi="Cambria" w:cs="Times New Roman"/>
          <w:color w:val="000000"/>
          <w:sz w:val="16"/>
          <w:szCs w:val="16"/>
          <w:vertAlign w:val="superscript"/>
          <w:lang w:eastAsia="fr-FR" w:bidi="fr-FR"/>
        </w:rPr>
        <w:t xml:space="preserve"> </w:t>
      </w:r>
      <w:r w:rsidRPr="00E4581A">
        <w:rPr>
          <w:rFonts w:ascii="Cambria" w:eastAsia="MS Gothic" w:hAnsi="Cambria" w:cs="Times New Roman"/>
          <w:color w:val="000000"/>
          <w:sz w:val="16"/>
          <w:szCs w:val="16"/>
          <w:lang w:eastAsia="fr-FR" w:bidi="fr-FR"/>
        </w:rPr>
        <w:t>Reglamento (</w:t>
      </w:r>
      <w:r w:rsidR="00382C6A" w:rsidRPr="00E4581A">
        <w:rPr>
          <w:rFonts w:ascii="Cambria" w:eastAsia="MS Gothic" w:hAnsi="Cambria" w:cs="Times New Roman"/>
          <w:color w:val="000000"/>
          <w:sz w:val="16"/>
          <w:szCs w:val="16"/>
          <w:lang w:eastAsia="fr-FR" w:bidi="fr-FR"/>
        </w:rPr>
        <w:t>UE) 2026</w:t>
      </w:r>
      <w:r w:rsidRPr="00E4581A">
        <w:rPr>
          <w:rFonts w:ascii="Cambria" w:eastAsia="MS Gothic" w:hAnsi="Cambria" w:cs="Times New Roman"/>
          <w:color w:val="000000"/>
          <w:sz w:val="16"/>
          <w:szCs w:val="16"/>
          <w:lang w:eastAsia="fr-FR" w:bidi="fr-FR"/>
        </w:rPr>
        <w:t>/249 del Consejo de 26 de enero de 2026 por el que se establecen, para 2026, 2027 y 2028 las posibilidades de pesca para determinadas poblaciones de peces, aplicables en aguas de la UE y, en el caso de los buques de la UE, en determinadas aguas no pertenecientes a la UE y que enmienda el Reglamento (UE) 2025/202.</w:t>
      </w:r>
    </w:p>
  </w:footnote>
  <w:footnote w:id="20">
    <w:p w14:paraId="1A91D54F" w14:textId="77777777" w:rsidR="009123AC" w:rsidRPr="00D065D3" w:rsidRDefault="009123AC" w:rsidP="00382C6A">
      <w:pPr>
        <w:pStyle w:val="FootnoteText"/>
        <w:ind w:left="0" w:firstLine="0"/>
        <w:rPr>
          <w:rFonts w:ascii="Cambria" w:hAnsi="Cambria"/>
          <w:sz w:val="16"/>
          <w:szCs w:val="16"/>
        </w:rPr>
      </w:pPr>
      <w:r w:rsidRPr="00D71ACB">
        <w:rPr>
          <w:rStyle w:val="FootnoteReference"/>
          <w:rFonts w:ascii="Cambria" w:hAnsi="Cambria"/>
          <w:sz w:val="16"/>
          <w:szCs w:val="16"/>
        </w:rPr>
        <w:footnoteRef/>
      </w:r>
      <w:r w:rsidRPr="00D71ACB">
        <w:rPr>
          <w:rFonts w:ascii="Cambria" w:hAnsi="Cambria"/>
          <w:sz w:val="16"/>
          <w:szCs w:val="16"/>
        </w:rPr>
        <w:t xml:space="preserve"> Decisión de ejecución (UE) 2018/1986 de la Comisión de 13 de diciembre de 2018 por la que se establecen programas de control e inspección específicos de determinadas pesquerías</w:t>
      </w:r>
      <w:r w:rsidRPr="00D71ACB">
        <w:rPr>
          <w:rFonts w:ascii="Cambria" w:hAnsi="Cambria" w:cs="Arial"/>
          <w:sz w:val="16"/>
          <w:szCs w:val="16"/>
          <w:lang w:val="es-ES_tradnl"/>
        </w:rPr>
        <w:t>.</w:t>
      </w:r>
    </w:p>
  </w:footnote>
  <w:footnote w:id="21">
    <w:p w14:paraId="67B0E57A" w14:textId="77777777" w:rsidR="009123AC" w:rsidRPr="008C0309" w:rsidRDefault="009123AC" w:rsidP="007344DF">
      <w:pPr>
        <w:pStyle w:val="FootnoteText"/>
        <w:ind w:left="0" w:firstLine="0"/>
        <w:rPr>
          <w:rFonts w:ascii="Cambria" w:hAnsi="Cambria"/>
          <w:sz w:val="16"/>
          <w:szCs w:val="16"/>
        </w:rPr>
      </w:pPr>
      <w:r w:rsidRPr="001776C9">
        <w:rPr>
          <w:rStyle w:val="FootnoteReference"/>
          <w:rFonts w:ascii="Cambria" w:hAnsi="Cambria"/>
          <w:sz w:val="16"/>
          <w:szCs w:val="16"/>
        </w:rPr>
        <w:footnoteRef/>
      </w:r>
      <w:r w:rsidRPr="008C0309">
        <w:rPr>
          <w:rFonts w:ascii="Cambria" w:hAnsi="Cambria"/>
          <w:sz w:val="16"/>
          <w:szCs w:val="16"/>
        </w:rPr>
        <w:t xml:space="preserve"> </w:t>
      </w:r>
      <w:r w:rsidRPr="008C0309">
        <w:rPr>
          <w:rFonts w:ascii="Cambria" w:eastAsia="Cambria" w:hAnsi="Cambria" w:cs="Cambria"/>
          <w:sz w:val="16"/>
          <w:szCs w:val="16"/>
        </w:rPr>
        <w:t>El traspaso máximo permitido, modificado por la Recomendación 25-04 (20 %), aún no se ha incorporado a la legislación de la UE. La UE enviará un plan de pesca revisado que tendrá en cuenta este nuevo límite una vez que entre en vigor para los Estados miembros de la UE.</w:t>
      </w:r>
    </w:p>
  </w:footnote>
  <w:footnote w:id="22">
    <w:p w14:paraId="086078DA" w14:textId="77777777" w:rsidR="009123AC" w:rsidRPr="0091490B" w:rsidRDefault="009123AC" w:rsidP="008917F8">
      <w:pPr>
        <w:pStyle w:val="FootnoteText"/>
        <w:spacing w:after="0"/>
        <w:rPr>
          <w:rFonts w:ascii="Cambria" w:hAnsi="Cambria"/>
          <w:sz w:val="16"/>
          <w:szCs w:val="16"/>
        </w:rPr>
      </w:pPr>
      <w:r w:rsidRPr="0059093A">
        <w:rPr>
          <w:rStyle w:val="FootnoteReference"/>
          <w:rFonts w:ascii="Cambria" w:hAnsi="Cambria"/>
          <w:sz w:val="16"/>
          <w:szCs w:val="16"/>
        </w:rPr>
        <w:footnoteRef/>
      </w:r>
      <w:r w:rsidRPr="0091490B">
        <w:rPr>
          <w:rFonts w:ascii="Cambria" w:hAnsi="Cambria"/>
          <w:sz w:val="16"/>
          <w:szCs w:val="16"/>
        </w:rPr>
        <w:t xml:space="preserve"> Cuota disponible de 2018: 104 t (cuota inicial de 2018) – 14 t (captura fortuita) = </w:t>
      </w:r>
      <w:r w:rsidRPr="0091490B">
        <w:rPr>
          <w:rFonts w:ascii="Cambria" w:hAnsi="Cambria"/>
          <w:b/>
          <w:bCs/>
          <w:sz w:val="16"/>
          <w:szCs w:val="16"/>
        </w:rPr>
        <w:t>90 t</w:t>
      </w:r>
    </w:p>
  </w:footnote>
  <w:footnote w:id="23">
    <w:p w14:paraId="7808FC83" w14:textId="77777777" w:rsidR="009123AC" w:rsidRPr="0091490B" w:rsidRDefault="009123AC" w:rsidP="008917F8">
      <w:pPr>
        <w:pStyle w:val="FootnoteText"/>
        <w:spacing w:after="0"/>
        <w:rPr>
          <w:rFonts w:ascii="Cambria" w:hAnsi="Cambria"/>
          <w:sz w:val="16"/>
          <w:szCs w:val="16"/>
        </w:rPr>
      </w:pPr>
      <w:r w:rsidRPr="0059093A">
        <w:rPr>
          <w:rStyle w:val="FootnoteReference"/>
          <w:rFonts w:ascii="Cambria" w:hAnsi="Cambria"/>
          <w:sz w:val="16"/>
          <w:szCs w:val="16"/>
        </w:rPr>
        <w:footnoteRef/>
      </w:r>
      <w:r w:rsidRPr="0091490B">
        <w:rPr>
          <w:rFonts w:ascii="Cambria" w:hAnsi="Cambria"/>
          <w:sz w:val="16"/>
          <w:szCs w:val="16"/>
        </w:rPr>
        <w:t xml:space="preserve"> Cuota disponible de 2023: 368 t (cuota inicial de 2023) + 15 t (traspaso de 2022) – 15 t (captura fortuita) – 18 t (investigación) – 10 t (deportiva/de recreo) = </w:t>
      </w:r>
      <w:r w:rsidRPr="0091490B">
        <w:rPr>
          <w:rFonts w:ascii="Cambria" w:hAnsi="Cambria"/>
          <w:b/>
          <w:bCs/>
          <w:sz w:val="16"/>
          <w:szCs w:val="16"/>
        </w:rPr>
        <w:t>340 t</w:t>
      </w:r>
    </w:p>
  </w:footnote>
  <w:footnote w:id="24">
    <w:p w14:paraId="0BCC2C13" w14:textId="77777777" w:rsidR="009123AC" w:rsidRPr="0091490B" w:rsidRDefault="009123AC" w:rsidP="008917F8">
      <w:pPr>
        <w:pStyle w:val="FootnoteText"/>
        <w:spacing w:after="0"/>
        <w:rPr>
          <w:rFonts w:ascii="Cambria" w:hAnsi="Cambria"/>
          <w:sz w:val="16"/>
          <w:szCs w:val="16"/>
        </w:rPr>
      </w:pPr>
      <w:r w:rsidRPr="0059093A">
        <w:rPr>
          <w:rStyle w:val="FootnoteReference"/>
          <w:rFonts w:ascii="Cambria" w:hAnsi="Cambria"/>
          <w:sz w:val="16"/>
          <w:szCs w:val="16"/>
        </w:rPr>
        <w:footnoteRef/>
      </w:r>
      <w:r w:rsidRPr="0091490B">
        <w:rPr>
          <w:rFonts w:ascii="Cambria" w:hAnsi="Cambria"/>
          <w:sz w:val="16"/>
          <w:szCs w:val="16"/>
        </w:rPr>
        <w:t xml:space="preserve"> Cuota disponible de 2024: 368 t (cuota inicial de 2024) + 18,4 t (traspaso de 2023) – 15 t (captura fortuita) – 33,4 t (investigación) – 10 t (deportiva/de recreo) = </w:t>
      </w:r>
      <w:r w:rsidRPr="0091490B">
        <w:rPr>
          <w:rFonts w:ascii="Cambria" w:hAnsi="Cambria"/>
          <w:b/>
          <w:bCs/>
          <w:sz w:val="16"/>
          <w:szCs w:val="16"/>
        </w:rPr>
        <w:t>328 t</w:t>
      </w:r>
    </w:p>
  </w:footnote>
  <w:footnote w:id="25">
    <w:p w14:paraId="32C37965" w14:textId="77777777" w:rsidR="009123AC" w:rsidRPr="0091490B" w:rsidRDefault="009123AC" w:rsidP="008917F8">
      <w:pPr>
        <w:pStyle w:val="FootnoteText"/>
        <w:spacing w:after="0"/>
      </w:pPr>
      <w:r w:rsidRPr="0059093A">
        <w:rPr>
          <w:rStyle w:val="FootnoteReference"/>
          <w:rFonts w:ascii="Cambria" w:hAnsi="Cambria"/>
          <w:sz w:val="16"/>
          <w:szCs w:val="16"/>
        </w:rPr>
        <w:footnoteRef/>
      </w:r>
      <w:r w:rsidRPr="0091490B">
        <w:rPr>
          <w:rFonts w:ascii="Cambria" w:hAnsi="Cambria"/>
          <w:sz w:val="16"/>
          <w:szCs w:val="16"/>
        </w:rPr>
        <w:t xml:space="preserve"> Cuota disponible de 2025: 368 t (cuota inicial de 2025) + 18,4 t (traspaso de 2024) – 15 t (captura fortuita) – 33,4 t (investigación) – 10 t (deportiva/de recreo) = </w:t>
      </w:r>
      <w:r w:rsidRPr="0091490B">
        <w:rPr>
          <w:rFonts w:ascii="Cambria" w:hAnsi="Cambria"/>
          <w:b/>
          <w:bCs/>
          <w:sz w:val="16"/>
          <w:szCs w:val="16"/>
        </w:rPr>
        <w:t>328 t</w:t>
      </w:r>
    </w:p>
  </w:footnote>
  <w:footnote w:id="26">
    <w:p w14:paraId="1014DCC7" w14:textId="77777777" w:rsidR="009123AC" w:rsidRPr="004E7FCE" w:rsidRDefault="009123AC" w:rsidP="008917F8">
      <w:pPr>
        <w:pStyle w:val="FootnoteText"/>
        <w:spacing w:after="0"/>
      </w:pPr>
      <w:r w:rsidRPr="006B6AAA">
        <w:rPr>
          <w:rStyle w:val="FootnoteReference"/>
          <w:rFonts w:ascii="Cambria" w:hAnsi="Cambria"/>
          <w:sz w:val="16"/>
          <w:szCs w:val="16"/>
        </w:rPr>
        <w:footnoteRef/>
      </w:r>
      <w:r w:rsidRPr="004E7FCE">
        <w:rPr>
          <w:rFonts w:ascii="Cambria" w:hAnsi="Cambria"/>
          <w:sz w:val="16"/>
          <w:szCs w:val="16"/>
        </w:rPr>
        <w:t xml:space="preserve"> Cuota disponible de 2026: 461</w:t>
      </w:r>
      <w:r>
        <w:rPr>
          <w:rFonts w:ascii="Cambria" w:hAnsi="Cambria"/>
          <w:sz w:val="16"/>
          <w:szCs w:val="16"/>
        </w:rPr>
        <w:t>,</w:t>
      </w:r>
      <w:r w:rsidRPr="004E7FCE">
        <w:rPr>
          <w:rFonts w:ascii="Cambria" w:hAnsi="Cambria"/>
          <w:sz w:val="16"/>
          <w:szCs w:val="16"/>
        </w:rPr>
        <w:t>38 t (cuota inicial de 2026) + 73</w:t>
      </w:r>
      <w:r>
        <w:rPr>
          <w:rFonts w:ascii="Cambria" w:hAnsi="Cambria"/>
          <w:sz w:val="16"/>
          <w:szCs w:val="16"/>
        </w:rPr>
        <w:t>,</w:t>
      </w:r>
      <w:r w:rsidRPr="004E7FCE">
        <w:rPr>
          <w:rFonts w:ascii="Cambria" w:hAnsi="Cambria"/>
          <w:sz w:val="16"/>
          <w:szCs w:val="16"/>
        </w:rPr>
        <w:t xml:space="preserve">6 t (traspaso de 2025) - 10 t (captura fortuita) </w:t>
      </w:r>
      <w:r>
        <w:rPr>
          <w:rFonts w:ascii="Cambria" w:hAnsi="Cambria"/>
          <w:sz w:val="16"/>
          <w:szCs w:val="16"/>
        </w:rPr>
        <w:t>–</w:t>
      </w:r>
      <w:r w:rsidRPr="004E7FCE">
        <w:rPr>
          <w:rFonts w:ascii="Cambria" w:hAnsi="Cambria"/>
          <w:sz w:val="16"/>
          <w:szCs w:val="16"/>
        </w:rPr>
        <w:t xml:space="preserve"> 34</w:t>
      </w:r>
      <w:r>
        <w:rPr>
          <w:rFonts w:ascii="Cambria" w:hAnsi="Cambria"/>
          <w:sz w:val="16"/>
          <w:szCs w:val="16"/>
        </w:rPr>
        <w:t>,</w:t>
      </w:r>
      <w:r w:rsidRPr="004E7FCE">
        <w:rPr>
          <w:rFonts w:ascii="Cambria" w:hAnsi="Cambria"/>
          <w:sz w:val="16"/>
          <w:szCs w:val="16"/>
        </w:rPr>
        <w:t>98</w:t>
      </w:r>
      <w:r>
        <w:rPr>
          <w:rFonts w:ascii="Cambria" w:hAnsi="Cambria"/>
          <w:sz w:val="16"/>
          <w:szCs w:val="16"/>
        </w:rPr>
        <w:t> t</w:t>
      </w:r>
      <w:r w:rsidRPr="004E7FCE">
        <w:rPr>
          <w:rFonts w:ascii="Cambria" w:hAnsi="Cambria"/>
          <w:sz w:val="16"/>
          <w:szCs w:val="16"/>
        </w:rPr>
        <w:t xml:space="preserve"> (investigación) – 10 t (deportiva/de recreo) = </w:t>
      </w:r>
      <w:r w:rsidRPr="004E7FCE">
        <w:rPr>
          <w:rFonts w:ascii="Cambria" w:hAnsi="Cambria"/>
          <w:b/>
          <w:bCs/>
          <w:sz w:val="16"/>
          <w:szCs w:val="16"/>
        </w:rPr>
        <w:t>480 t</w:t>
      </w:r>
      <w:r w:rsidRPr="004E7FCE">
        <w:t xml:space="preserve"> </w:t>
      </w:r>
    </w:p>
  </w:footnote>
  <w:footnote w:id="27">
    <w:p w14:paraId="0B6683E8" w14:textId="77777777" w:rsidR="009123AC" w:rsidRPr="004E7FCE" w:rsidRDefault="009123AC" w:rsidP="008917F8">
      <w:pPr>
        <w:pStyle w:val="FootnoteText"/>
        <w:spacing w:after="0"/>
        <w:rPr>
          <w:sz w:val="16"/>
          <w:szCs w:val="16"/>
        </w:rPr>
      </w:pPr>
      <w:r w:rsidRPr="00956C14">
        <w:rPr>
          <w:rStyle w:val="FootnoteReference"/>
          <w:rFonts w:ascii="Cambria" w:hAnsi="Cambria"/>
          <w:sz w:val="16"/>
          <w:szCs w:val="16"/>
        </w:rPr>
        <w:footnoteRef/>
      </w:r>
      <w:r w:rsidRPr="00956C14">
        <w:rPr>
          <w:rFonts w:ascii="Cambria" w:hAnsi="Cambria"/>
          <w:sz w:val="16"/>
          <w:szCs w:val="16"/>
        </w:rPr>
        <w:t xml:space="preserve"> </w:t>
      </w:r>
      <w:r w:rsidRPr="00414788">
        <w:rPr>
          <w:rFonts w:ascii="Cambria" w:hAnsi="Cambria"/>
          <w:color w:val="000000"/>
          <w:sz w:val="16"/>
          <w:szCs w:val="16"/>
        </w:rPr>
        <w:t>De conformidad con el párrafo 20 b) de la Rec. </w:t>
      </w:r>
      <w:r w:rsidRPr="00414788">
        <w:rPr>
          <w:rFonts w:ascii="Cambria" w:eastAsia="Cambria" w:hAnsi="Cambria" w:cs="Cambria"/>
          <w:color w:val="000000"/>
          <w:sz w:val="16"/>
          <w:szCs w:val="16"/>
        </w:rPr>
        <w:t>25</w:t>
      </w:r>
      <w:r w:rsidRPr="00414788">
        <w:rPr>
          <w:rFonts w:ascii="Cambria" w:hAnsi="Cambria"/>
          <w:color w:val="000000"/>
          <w:sz w:val="16"/>
          <w:szCs w:val="16"/>
        </w:rPr>
        <w:t xml:space="preserve">-04, el ajuste de la capacidad pesquera en los párrafos </w:t>
      </w:r>
      <w:r w:rsidRPr="00414788">
        <w:rPr>
          <w:rFonts w:ascii="Cambria" w:eastAsia="Cambria" w:hAnsi="Cambria" w:cs="Cambria"/>
          <w:color w:val="000000"/>
          <w:sz w:val="16"/>
          <w:szCs w:val="16"/>
        </w:rPr>
        <w:t>15, 16 y 19</w:t>
      </w:r>
      <w:r w:rsidRPr="00414788">
        <w:rPr>
          <w:rFonts w:ascii="Cambria" w:hAnsi="Cambria"/>
          <w:color w:val="000000"/>
          <w:sz w:val="16"/>
          <w:szCs w:val="16"/>
        </w:rPr>
        <w:t xml:space="preserve"> no aplica a Noruega.</w:t>
      </w:r>
    </w:p>
  </w:footnote>
  <w:footnote w:id="28">
    <w:p w14:paraId="76DF04F0" w14:textId="77777777" w:rsidR="009123AC" w:rsidRDefault="009123AC" w:rsidP="00440518">
      <w:pPr>
        <w:pStyle w:val="FootnoteText"/>
        <w:spacing w:after="0"/>
        <w:ind w:left="0" w:firstLine="0"/>
      </w:pPr>
      <w:r w:rsidRPr="001943C6">
        <w:rPr>
          <w:rFonts w:ascii="Cambria" w:hAnsi="Cambria"/>
          <w:sz w:val="16"/>
          <w:szCs w:val="16"/>
          <w:vertAlign w:val="superscript"/>
        </w:rPr>
        <w:footnoteRef/>
      </w:r>
      <w:r w:rsidRPr="001943C6">
        <w:rPr>
          <w:rFonts w:ascii="Cambria" w:hAnsi="Cambria"/>
          <w:sz w:val="16"/>
          <w:szCs w:val="16"/>
        </w:rPr>
        <w:t xml:space="preserve"> Si lo hubiera, se presentará en el marco de un plan revisado.</w:t>
      </w:r>
    </w:p>
  </w:footnote>
  <w:footnote w:id="29">
    <w:p w14:paraId="64CD6B17" w14:textId="77777777" w:rsidR="009123AC" w:rsidRPr="00672779" w:rsidRDefault="009123AC" w:rsidP="00440518">
      <w:pPr>
        <w:pStyle w:val="FootnoteText"/>
        <w:spacing w:after="0"/>
        <w:ind w:left="0" w:firstLine="0"/>
        <w:rPr>
          <w:rFonts w:ascii="Cambria" w:hAnsi="Cambria"/>
          <w:sz w:val="16"/>
          <w:szCs w:val="16"/>
        </w:rPr>
      </w:pPr>
      <w:r w:rsidRPr="00672779">
        <w:rPr>
          <w:rStyle w:val="FootnoteReference"/>
          <w:rFonts w:ascii="Cambria" w:hAnsi="Cambria"/>
          <w:sz w:val="16"/>
          <w:szCs w:val="16"/>
        </w:rPr>
        <w:footnoteRef/>
      </w:r>
      <w:r>
        <w:rPr>
          <w:rFonts w:ascii="Cambria" w:hAnsi="Cambria"/>
          <w:sz w:val="16"/>
          <w:szCs w:val="16"/>
        </w:rPr>
        <w:t xml:space="preserve"> </w:t>
      </w:r>
      <w:r w:rsidRPr="00672779">
        <w:rPr>
          <w:rFonts w:ascii="Cambria" w:hAnsi="Cambria"/>
          <w:sz w:val="16"/>
          <w:szCs w:val="16"/>
        </w:rPr>
        <w:t>Sobre la base de la Ley de Pesca N º 1380 y el Reglamento N º 4988, se ha emitido para ser aplicada durante el período de 01/09/2024 - 31/08/2028</w:t>
      </w:r>
    </w:p>
  </w:footnote>
  <w:footnote w:id="30">
    <w:p w14:paraId="37922D98" w14:textId="77777777" w:rsidR="009123AC" w:rsidRPr="00672779" w:rsidRDefault="009123AC" w:rsidP="00440518">
      <w:pPr>
        <w:pStyle w:val="FootnoteText"/>
        <w:spacing w:after="0"/>
        <w:ind w:left="0" w:firstLine="0"/>
        <w:rPr>
          <w:rFonts w:ascii="Cambria" w:hAnsi="Cambria"/>
          <w:sz w:val="16"/>
          <w:szCs w:val="16"/>
          <w:lang w:val="tr-TR"/>
        </w:rPr>
      </w:pPr>
      <w:r w:rsidRPr="00672779">
        <w:rPr>
          <w:rStyle w:val="FootnoteReference"/>
          <w:rFonts w:ascii="Cambria" w:hAnsi="Cambria"/>
          <w:sz w:val="16"/>
          <w:szCs w:val="16"/>
        </w:rPr>
        <w:footnoteRef/>
      </w:r>
      <w:r>
        <w:rPr>
          <w:rFonts w:ascii="Cambria" w:hAnsi="Cambria"/>
          <w:sz w:val="16"/>
          <w:szCs w:val="16"/>
        </w:rPr>
        <w:t xml:space="preserve"> </w:t>
      </w:r>
      <w:r w:rsidRPr="00672779">
        <w:rPr>
          <w:rFonts w:ascii="Cambria" w:hAnsi="Cambria"/>
          <w:sz w:val="16"/>
          <w:szCs w:val="16"/>
        </w:rPr>
        <w:t>La Ley de Pesca (n</w:t>
      </w:r>
      <w:r>
        <w:rPr>
          <w:rFonts w:ascii="Cambria" w:hAnsi="Cambria"/>
          <w:sz w:val="16"/>
          <w:szCs w:val="16"/>
        </w:rPr>
        <w:t>.</w:t>
      </w:r>
      <w:r w:rsidRPr="00672779">
        <w:rPr>
          <w:rFonts w:ascii="Cambria" w:hAnsi="Cambria"/>
          <w:sz w:val="16"/>
          <w:szCs w:val="16"/>
        </w:rPr>
        <w:t>º 1380) es la principal legislación que regula las cuestiones relacionadas con la protección, la producción y el control de la pesca y los productos pesqueros.</w:t>
      </w:r>
    </w:p>
  </w:footnote>
  <w:footnote w:id="31">
    <w:p w14:paraId="7DEBEAB2" w14:textId="77777777" w:rsidR="009123AC" w:rsidRPr="009361FF" w:rsidRDefault="009123AC" w:rsidP="00440518">
      <w:pPr>
        <w:pStyle w:val="FootnoteText"/>
        <w:spacing w:after="0"/>
        <w:ind w:left="0" w:firstLine="0"/>
        <w:rPr>
          <w:lang w:val="tr-TR"/>
        </w:rPr>
      </w:pPr>
      <w:r w:rsidRPr="00672779">
        <w:rPr>
          <w:rStyle w:val="FootnoteReference"/>
          <w:rFonts w:ascii="Cambria" w:hAnsi="Cambria"/>
          <w:sz w:val="16"/>
          <w:szCs w:val="16"/>
        </w:rPr>
        <w:footnoteRef/>
      </w:r>
      <w:r>
        <w:rPr>
          <w:rFonts w:ascii="Cambria" w:hAnsi="Cambria"/>
          <w:sz w:val="16"/>
          <w:szCs w:val="16"/>
        </w:rPr>
        <w:t xml:space="preserve"> </w:t>
      </w:r>
      <w:r w:rsidRPr="00672779">
        <w:rPr>
          <w:rFonts w:ascii="Cambria" w:hAnsi="Cambria"/>
          <w:sz w:val="16"/>
          <w:szCs w:val="16"/>
        </w:rPr>
        <w:t>La regulación de la pesca, las cualificaciones y condiciones mínimas relativas a los artes de pesca, las prohibiciones generales, las limitaciones y las obligaciones para las especies, regiones y periodos se determinan a través del Reglamento de Pesca (n</w:t>
      </w:r>
      <w:r>
        <w:rPr>
          <w:rFonts w:ascii="Cambria" w:hAnsi="Cambria"/>
          <w:sz w:val="16"/>
          <w:szCs w:val="16"/>
        </w:rPr>
        <w:t>.</w:t>
      </w:r>
      <w:r w:rsidRPr="00672779">
        <w:rPr>
          <w:rFonts w:ascii="Cambria" w:hAnsi="Cambria"/>
          <w:sz w:val="16"/>
          <w:szCs w:val="16"/>
        </w:rPr>
        <w:t>º 4988), la Notificación ministerial (n</w:t>
      </w:r>
      <w:r>
        <w:rPr>
          <w:rFonts w:ascii="Cambria" w:hAnsi="Cambria"/>
          <w:sz w:val="16"/>
          <w:szCs w:val="16"/>
        </w:rPr>
        <w:t>.</w:t>
      </w:r>
      <w:r w:rsidRPr="00672779">
        <w:rPr>
          <w:rFonts w:ascii="Cambria" w:hAnsi="Cambria"/>
          <w:sz w:val="16"/>
          <w:szCs w:val="16"/>
        </w:rPr>
        <w:t>º 2024/20) y la legislación secundaria relacionada emitida por referencia a estos reglamentos que crean obligaciones vinculantes para los operadores y permiten el enjuiciamiento de cualquier posible incumplimiento.</w:t>
      </w:r>
    </w:p>
  </w:footnote>
  <w:footnote w:id="32">
    <w:p w14:paraId="5E979DA2" w14:textId="77777777" w:rsidR="009123AC" w:rsidRPr="00672779" w:rsidRDefault="009123AC" w:rsidP="00B51D10">
      <w:pPr>
        <w:pStyle w:val="FootnoteText"/>
        <w:spacing w:after="0"/>
        <w:ind w:left="0" w:firstLine="0"/>
        <w:rPr>
          <w:rFonts w:ascii="Cambria" w:hAnsi="Cambria"/>
          <w:sz w:val="16"/>
          <w:szCs w:val="16"/>
        </w:rPr>
      </w:pPr>
      <w:r w:rsidRPr="00672779">
        <w:rPr>
          <w:rStyle w:val="FootnoteReference"/>
          <w:rFonts w:ascii="Cambria" w:hAnsi="Cambria"/>
          <w:sz w:val="16"/>
          <w:szCs w:val="16"/>
        </w:rPr>
        <w:footnoteRef/>
      </w:r>
      <w:r w:rsidRPr="00672779">
        <w:rPr>
          <w:rFonts w:ascii="Cambria" w:hAnsi="Cambria"/>
          <w:sz w:val="16"/>
          <w:szCs w:val="16"/>
        </w:rPr>
        <w:t xml:space="preserve"> En el marco de las medidas reglamentarias mencionadas, se anulará el permiso (o certificado) de pesca especial de los buques de pesca de atún rojo que realicen actividades pesqueras que contravengan las normas y procedimientos establecidos por el Ministerio y no se expedirá un nuevo permiso de pesca para el período de pesca en cuestión.</w:t>
      </w:r>
    </w:p>
  </w:footnote>
  <w:footnote w:id="33">
    <w:p w14:paraId="79872A23" w14:textId="77777777" w:rsidR="009123AC" w:rsidRPr="006F1261" w:rsidRDefault="009123AC" w:rsidP="00B51D10">
      <w:pPr>
        <w:spacing w:after="0"/>
        <w:jc w:val="both"/>
        <w:rPr>
          <w:rFonts w:ascii="Cambria" w:hAnsi="Cambria"/>
          <w:sz w:val="16"/>
          <w:szCs w:val="16"/>
        </w:rPr>
      </w:pPr>
      <w:r w:rsidRPr="00672779">
        <w:rPr>
          <w:rStyle w:val="FootnoteReference"/>
          <w:rFonts w:ascii="Cambria" w:hAnsi="Cambria"/>
          <w:sz w:val="16"/>
          <w:szCs w:val="16"/>
        </w:rPr>
        <w:footnoteRef/>
      </w:r>
      <w:r w:rsidRPr="00672779">
        <w:rPr>
          <w:rFonts w:ascii="Cambria" w:hAnsi="Cambria"/>
          <w:sz w:val="16"/>
          <w:szCs w:val="16"/>
        </w:rPr>
        <w:t xml:space="preserve"> Dado que la cantidad de atún rojo vivo que se va a importar puede no estar clara antes de que empiece la temporada de pesca, en caso de que la haya, se presentará en el marco de un plan revisado. </w:t>
      </w:r>
    </w:p>
  </w:footnote>
  <w:footnote w:id="34">
    <w:p w14:paraId="51687C32" w14:textId="77777777" w:rsidR="009123AC" w:rsidRPr="00477C0B" w:rsidRDefault="009123AC" w:rsidP="009123AC">
      <w:pPr>
        <w:pStyle w:val="FootnoteText"/>
        <w:rPr>
          <w:rFonts w:ascii="Cambria" w:eastAsia="PMingLiU" w:hAnsi="Cambria"/>
          <w:iCs/>
        </w:rPr>
      </w:pPr>
      <w:r>
        <w:rPr>
          <w:rStyle w:val="FootnoteReference"/>
          <w:sz w:val="16"/>
          <w:szCs w:val="16"/>
        </w:rPr>
        <w:footnoteRef/>
      </w:r>
      <w:r>
        <w:rPr>
          <w:rFonts w:ascii="Cambria" w:hAnsi="Cambria"/>
          <w:sz w:val="16"/>
        </w:rPr>
        <w:t xml:space="preserve"> Taipei Chino solo cuenta con palangreros que operan en la zona del Convenio de ICCAT.</w:t>
      </w:r>
    </w:p>
  </w:footnote>
  <w:footnote w:id="35">
    <w:p w14:paraId="4808C923" w14:textId="77777777" w:rsidR="00D04E8B" w:rsidRPr="003659C9" w:rsidRDefault="00D04E8B" w:rsidP="00D04E8B">
      <w:pPr>
        <w:pStyle w:val="FootnoteText"/>
        <w:rPr>
          <w:rFonts w:ascii="Cambria" w:hAnsi="Cambria"/>
          <w:sz w:val="16"/>
          <w:szCs w:val="16"/>
        </w:rPr>
      </w:pPr>
      <w:r w:rsidRPr="003659C9">
        <w:rPr>
          <w:rStyle w:val="FootnoteReference"/>
          <w:rFonts w:ascii="Cambria" w:hAnsi="Cambria"/>
          <w:sz w:val="16"/>
          <w:szCs w:val="16"/>
        </w:rPr>
        <w:footnoteRef/>
      </w:r>
      <w:r w:rsidRPr="003659C9">
        <w:rPr>
          <w:rFonts w:ascii="Cambria" w:hAnsi="Cambria"/>
          <w:sz w:val="16"/>
          <w:szCs w:val="16"/>
        </w:rPr>
        <w:t xml:space="preserve"> Las CPC presentarán su plan de pesca para el año anterior.</w:t>
      </w:r>
    </w:p>
  </w:footnote>
  <w:footnote w:id="36">
    <w:p w14:paraId="25C62FB6" w14:textId="77777777" w:rsidR="00B76369" w:rsidRPr="009224A5" w:rsidRDefault="00B76369" w:rsidP="00B76369">
      <w:pPr>
        <w:pStyle w:val="FootnoteText"/>
        <w:rPr>
          <w:rFonts w:ascii="Cambria" w:hAnsi="Cambria"/>
          <w:sz w:val="16"/>
          <w:szCs w:val="16"/>
        </w:rPr>
      </w:pPr>
      <w:r w:rsidRPr="009224A5">
        <w:rPr>
          <w:rStyle w:val="FootnoteReference"/>
          <w:rFonts w:ascii="Cambria" w:eastAsiaTheme="majorEastAsia" w:hAnsi="Cambria"/>
          <w:sz w:val="16"/>
          <w:szCs w:val="16"/>
        </w:rPr>
        <w:footnoteRef/>
      </w:r>
      <w:r w:rsidRPr="009224A5">
        <w:rPr>
          <w:rFonts w:ascii="Cambria" w:hAnsi="Cambria"/>
          <w:sz w:val="16"/>
          <w:szCs w:val="16"/>
        </w:rPr>
        <w:t xml:space="preserve"> Algunos comentarios del Consorcio ROP-BFT se referían específicamente a la respuesta de la UE a la solicitud de aclaración correspondiente. Esto se ha indicado en los casos pertinentes.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60F41" w14:textId="77777777" w:rsidR="00F912AA" w:rsidRPr="003725BA" w:rsidRDefault="00F912AA" w:rsidP="00F912AA">
    <w:pPr>
      <w:tabs>
        <w:tab w:val="center" w:pos="4680"/>
        <w:tab w:val="left" w:pos="6520"/>
        <w:tab w:val="right" w:pos="9360"/>
        <w:tab w:val="right" w:pos="14240"/>
      </w:tabs>
      <w:suppressAutoHyphens/>
      <w:spacing w:after="0" w:line="240" w:lineRule="auto"/>
      <w:ind w:left="10" w:hanging="10"/>
      <w:jc w:val="right"/>
      <w:rPr>
        <w:rFonts w:ascii="Cambria" w:eastAsia="Calibri" w:hAnsi="Cambria" w:cs="Times New Roman"/>
        <w:b/>
        <w:bCs/>
        <w:color w:val="000000"/>
        <w:kern w:val="2"/>
        <w:sz w:val="20"/>
        <w:szCs w:val="20"/>
        <w14:ligatures w14:val="standardContextual"/>
      </w:rPr>
    </w:pPr>
    <w:r>
      <w:rPr>
        <w:rFonts w:ascii="Cambria" w:eastAsia="Calibri" w:hAnsi="Cambria" w:cs="Times New Roman"/>
        <w:b/>
        <w:bCs/>
        <w:color w:val="000000"/>
        <w:kern w:val="2"/>
        <w:sz w:val="20"/>
        <w14:ligatures w14:val="standardContextual"/>
      </w:rPr>
      <w:t>P</w:t>
    </w:r>
    <w:r>
      <w:rPr>
        <w:rFonts w:ascii="Cambria" w:eastAsia="Calibri" w:hAnsi="Cambria" w:cs="Times New Roman"/>
        <w:b/>
        <w:bCs/>
        <w:color w:val="000000"/>
        <w:kern w:val="2"/>
        <w:sz w:val="20"/>
        <w:szCs w:val="24"/>
        <w14:ligatures w14:val="standardContextual"/>
      </w:rPr>
      <w:t>A2</w:t>
    </w:r>
    <w:r w:rsidRPr="003725BA">
      <w:rPr>
        <w:rFonts w:ascii="Cambria" w:eastAsia="Calibri" w:hAnsi="Cambria" w:cs="Times New Roman"/>
        <w:b/>
        <w:bCs/>
        <w:color w:val="000000"/>
        <w:kern w:val="2"/>
        <w:sz w:val="20"/>
        <w:szCs w:val="20"/>
        <w14:ligatures w14:val="standardContextual"/>
      </w:rPr>
      <w:t>_</w:t>
    </w:r>
    <w:r>
      <w:rPr>
        <w:rFonts w:ascii="Cambria" w:eastAsia="Calibri" w:hAnsi="Cambria" w:cs="Times New Roman"/>
        <w:b/>
        <w:bCs/>
        <w:color w:val="000000"/>
        <w:kern w:val="2"/>
        <w:sz w:val="20"/>
        <w:szCs w:val="20"/>
        <w14:ligatures w14:val="standardContextual"/>
      </w:rPr>
      <w:t>602</w:t>
    </w:r>
    <w:r w:rsidRPr="003725BA">
      <w:rPr>
        <w:rFonts w:ascii="Cambria" w:eastAsia="Calibri" w:hAnsi="Cambria" w:cs="Times New Roman"/>
        <w:b/>
        <w:bCs/>
        <w:color w:val="000000"/>
        <w:kern w:val="2"/>
        <w:sz w:val="20"/>
        <w:szCs w:val="20"/>
        <w14:ligatures w14:val="standardContextual"/>
      </w:rPr>
      <w:t>/2026</w:t>
    </w:r>
  </w:p>
  <w:p w14:paraId="4DD3A16F" w14:textId="1FBB86D8" w:rsidR="00C3768A" w:rsidRPr="00F912AA" w:rsidRDefault="00F912AA" w:rsidP="00F912AA">
    <w:pPr>
      <w:pStyle w:val="Header"/>
      <w:jc w:val="right"/>
    </w:pPr>
    <w:r w:rsidRPr="003725BA">
      <w:rPr>
        <w:rFonts w:ascii="Cambria" w:eastAsia="Times New Roman" w:hAnsi="Cambria" w:cs="Times New Roman"/>
        <w:b/>
        <w:bCs/>
        <w:color w:val="000000"/>
        <w:kern w:val="2"/>
        <w:sz w:val="16"/>
        <w:szCs w:val="16"/>
        <w:lang w:val="es-ES_tradnl"/>
        <w14:ligatures w14:val="standardContextual"/>
      </w:rPr>
      <w:fldChar w:fldCharType="begin"/>
    </w:r>
    <w:r w:rsidRPr="003725BA">
      <w:rPr>
        <w:rFonts w:ascii="Cambria" w:eastAsia="Times New Roman" w:hAnsi="Cambria" w:cs="Times New Roman"/>
        <w:b/>
        <w:bCs/>
        <w:color w:val="000000"/>
        <w:kern w:val="2"/>
        <w:sz w:val="16"/>
        <w:szCs w:val="16"/>
        <w:lang w:val="es-ES_tradnl"/>
        <w14:ligatures w14:val="standardContextual"/>
      </w:rPr>
      <w:instrText xml:space="preserve"> TIME \@ "dd/MM/yyyy H:mm" </w:instrText>
    </w:r>
    <w:r w:rsidRPr="003725BA">
      <w:rPr>
        <w:rFonts w:ascii="Cambria" w:eastAsia="Times New Roman" w:hAnsi="Cambria" w:cs="Times New Roman"/>
        <w:b/>
        <w:bCs/>
        <w:color w:val="000000"/>
        <w:kern w:val="2"/>
        <w:sz w:val="16"/>
        <w:szCs w:val="16"/>
        <w:lang w:val="es-ES_tradnl"/>
        <w14:ligatures w14:val="standardContextual"/>
      </w:rPr>
      <w:fldChar w:fldCharType="separate"/>
    </w:r>
    <w:r w:rsidRPr="003725BA">
      <w:rPr>
        <w:rFonts w:ascii="Cambria" w:eastAsia="Times New Roman" w:hAnsi="Cambria" w:cs="Times New Roman"/>
        <w:b/>
        <w:bCs/>
        <w:noProof/>
        <w:color w:val="000000"/>
        <w:kern w:val="2"/>
        <w:sz w:val="16"/>
        <w:szCs w:val="16"/>
        <w:lang w:val="es-ES_tradnl"/>
        <w14:ligatures w14:val="standardContextual"/>
      </w:rPr>
      <w:t>02/10/2026 12:21</w:t>
    </w:r>
    <w:r w:rsidRPr="003725BA">
      <w:rPr>
        <w:rFonts w:ascii="Cambria" w:eastAsia="Times New Roman" w:hAnsi="Cambria" w:cs="Times New Roman"/>
        <w:b/>
        <w:bCs/>
        <w:color w:val="000000"/>
        <w:kern w:val="2"/>
        <w:sz w:val="16"/>
        <w:szCs w:val="16"/>
        <w:lang w:val="es-ES_tradnl"/>
        <w14:ligatures w14:val="standardContextua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89B6B" w14:textId="2B754C70" w:rsidR="009123AC" w:rsidRPr="007C1181" w:rsidRDefault="007C1181" w:rsidP="007C1181">
    <w:pPr>
      <w:spacing w:after="0" w:line="240" w:lineRule="auto"/>
      <w:contextualSpacing/>
      <w:jc w:val="center"/>
      <w:rPr>
        <w:rFonts w:eastAsia="Century"/>
      </w:rPr>
    </w:pPr>
    <w:r>
      <w:rPr>
        <w:rFonts w:ascii="Arial" w:hAnsi="Arial"/>
        <w:sz w:val="16"/>
      </w:rPr>
      <w:t>REUNIÓN INTERSESIONES DE LA SUBCOMISIÓN 2 - FORMATO HÍBRIDO, MADRID, MARZO DE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B7AD" w14:textId="77777777" w:rsidR="009123AC" w:rsidRPr="00B86645" w:rsidRDefault="009123AC" w:rsidP="002813AE">
    <w:pPr>
      <w:spacing w:line="240" w:lineRule="exact"/>
      <w:rPr>
        <w:rFonts w:ascii="Cambria" w:hAnsi="Cambria"/>
        <w:b/>
        <w:bCs/>
        <w:sz w:val="28"/>
        <w:lang w:val="en-US"/>
      </w:rPr>
    </w:pPr>
    <w:r w:rsidRPr="0003056C">
      <w:rPr>
        <w:rFonts w:ascii="Cambria" w:hAnsi="Cambria"/>
        <w:b/>
        <w:bCs/>
        <w:lang w:val="en-US"/>
      </w:rPr>
      <w:t>COMMISSION 2016 – Guidelines preparation bluefin tuna plans</w:t>
    </w:r>
    <w:r w:rsidRPr="0003056C">
      <w:rPr>
        <w:rFonts w:ascii="Cambria" w:hAnsi="Cambria"/>
        <w:b/>
        <w:bCs/>
        <w:lang w:val="en-US"/>
      </w:rPr>
      <w:tab/>
    </w:r>
    <w:r w:rsidRPr="0003056C">
      <w:rPr>
        <w:rFonts w:ascii="Cambria" w:hAnsi="Cambria"/>
        <w:b/>
        <w:bCs/>
        <w:sz w:val="26"/>
        <w:szCs w:val="26"/>
        <w:lang w:val="en-US"/>
      </w:rPr>
      <w:t xml:space="preserve">Doc. </w:t>
    </w:r>
    <w:r w:rsidRPr="00B86645">
      <w:rPr>
        <w:rFonts w:ascii="Cambria" w:hAnsi="Cambria"/>
        <w:b/>
        <w:bCs/>
        <w:sz w:val="26"/>
        <w:szCs w:val="26"/>
        <w:lang w:val="en-US"/>
      </w:rPr>
      <w:t>Req PA2-602/2016</w:t>
    </w:r>
  </w:p>
  <w:p w14:paraId="156652C6" w14:textId="651E9F5E" w:rsidR="009123AC" w:rsidRPr="00B86645" w:rsidRDefault="009123AC" w:rsidP="002813AE">
    <w:pPr>
      <w:tabs>
        <w:tab w:val="left" w:pos="7320"/>
      </w:tabs>
      <w:spacing w:line="240" w:lineRule="exact"/>
      <w:rPr>
        <w:rFonts w:ascii="Cambria" w:hAnsi="Cambria"/>
        <w:b/>
        <w:bCs/>
        <w:sz w:val="20"/>
        <w:lang w:val="en-US"/>
      </w:rPr>
    </w:pPr>
    <w:r w:rsidRPr="00A03143">
      <w:rPr>
        <w:rFonts w:ascii="Cambria" w:hAnsi="Cambria"/>
        <w:b/>
        <w:bCs/>
        <w:sz w:val="20"/>
      </w:rPr>
      <w:fldChar w:fldCharType="begin"/>
    </w:r>
    <w:r w:rsidRPr="00A03143">
      <w:rPr>
        <w:rFonts w:ascii="Cambria" w:hAnsi="Cambria"/>
        <w:b/>
        <w:bCs/>
        <w:sz w:val="20"/>
      </w:rPr>
      <w:instrText xml:space="preserve"> TIME \@ "d MMMM yyyy HH:mm:ss" </w:instrText>
    </w:r>
    <w:r w:rsidRPr="00A03143">
      <w:rPr>
        <w:rFonts w:ascii="Cambria" w:hAnsi="Cambria"/>
        <w:b/>
        <w:bCs/>
        <w:sz w:val="20"/>
      </w:rPr>
      <w:fldChar w:fldCharType="separate"/>
    </w:r>
    <w:r w:rsidR="00F912AA">
      <w:rPr>
        <w:rFonts w:ascii="Cambria" w:hAnsi="Cambria"/>
        <w:b/>
        <w:bCs/>
        <w:noProof/>
        <w:sz w:val="20"/>
      </w:rPr>
      <w:t>2 octubre 2026 13:29:09</w:t>
    </w:r>
    <w:r w:rsidRPr="00A03143">
      <w:rPr>
        <w:rFonts w:ascii="Cambria" w:hAnsi="Cambria"/>
        <w:b/>
        <w:bCs/>
        <w:sz w:val="20"/>
      </w:rPr>
      <w:fldChar w:fldCharType="end"/>
    </w:r>
    <w:r w:rsidRPr="00B86645">
      <w:rPr>
        <w:rFonts w:ascii="Cambria" w:hAnsi="Cambria"/>
        <w:b/>
        <w:bCs/>
        <w:sz w:val="20"/>
        <w:lang w:val="en-US"/>
      </w:rPr>
      <w:t xml:space="preserve">; </w:t>
    </w:r>
    <w:r w:rsidRPr="00A03143">
      <w:rPr>
        <w:rFonts w:ascii="Cambria" w:hAnsi="Cambria"/>
        <w:b/>
        <w:bCs/>
        <w:sz w:val="20"/>
      </w:rPr>
      <w:fldChar w:fldCharType="begin"/>
    </w:r>
    <w:r w:rsidRPr="00A03143">
      <w:rPr>
        <w:rFonts w:ascii="Cambria" w:hAnsi="Cambria"/>
        <w:b/>
        <w:bCs/>
        <w:sz w:val="20"/>
      </w:rPr>
      <w:instrText xml:space="preserve"> TIME \@ "d MMMM yyyy HH:mm:ss" </w:instrText>
    </w:r>
    <w:r w:rsidRPr="00A03143">
      <w:rPr>
        <w:rFonts w:ascii="Cambria" w:hAnsi="Cambria"/>
        <w:b/>
        <w:bCs/>
        <w:sz w:val="20"/>
      </w:rPr>
      <w:fldChar w:fldCharType="separate"/>
    </w:r>
    <w:r w:rsidR="00F912AA">
      <w:rPr>
        <w:rFonts w:ascii="Cambria" w:hAnsi="Cambria"/>
        <w:b/>
        <w:bCs/>
        <w:noProof/>
        <w:sz w:val="20"/>
      </w:rPr>
      <w:t>2 octubre 2026 13:29:09</w:t>
    </w:r>
    <w:r w:rsidRPr="00A03143">
      <w:rPr>
        <w:rFonts w:ascii="Cambria" w:hAnsi="Cambria"/>
        <w:b/>
        <w:bCs/>
        <w:sz w:val="20"/>
      </w:rPr>
      <w:fldChar w:fldCharType="end"/>
    </w:r>
  </w:p>
  <w:p w14:paraId="11823120" w14:textId="77777777" w:rsidR="009123AC" w:rsidRPr="00A03143" w:rsidRDefault="009123AC" w:rsidP="002813AE">
    <w:pPr>
      <w:tabs>
        <w:tab w:val="left" w:pos="7320"/>
      </w:tabs>
      <w:spacing w:line="240" w:lineRule="exact"/>
      <w:rPr>
        <w:rFonts w:ascii="Cambria" w:hAnsi="Cambria"/>
        <w:b/>
        <w:bCs/>
        <w:sz w:val="20"/>
      </w:rPr>
    </w:pPr>
    <w:r>
      <w:rPr>
        <w:rFonts w:ascii="Cambria" w:hAnsi="Cambria"/>
        <w:b/>
        <w:bCs/>
        <w:noProof/>
        <w:sz w:val="20"/>
      </w:rPr>
      <mc:AlternateContent>
        <mc:Choice Requires="wps">
          <w:drawing>
            <wp:anchor distT="0" distB="0" distL="114300" distR="114300" simplePos="0" relativeHeight="251652096" behindDoc="0" locked="0" layoutInCell="1" allowOverlap="1" wp14:anchorId="78857244" wp14:editId="327D8F84">
              <wp:simplePos x="0" y="0"/>
              <wp:positionH relativeFrom="column">
                <wp:posOffset>0</wp:posOffset>
              </wp:positionH>
              <wp:positionV relativeFrom="paragraph">
                <wp:posOffset>17145</wp:posOffset>
              </wp:positionV>
              <wp:extent cx="5715000" cy="0"/>
              <wp:effectExtent l="9525" t="7620" r="9525"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AE90D8"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54D33" w14:textId="193A3578" w:rsidR="009123AC" w:rsidRPr="000D0D4B" w:rsidRDefault="00272CAD" w:rsidP="00272CAD">
    <w:pPr>
      <w:spacing w:after="0" w:line="240" w:lineRule="auto"/>
      <w:contextualSpacing/>
      <w:jc w:val="center"/>
    </w:pPr>
    <w:r>
      <w:rPr>
        <w:rFonts w:ascii="Arial" w:hAnsi="Arial"/>
        <w:sz w:val="16"/>
      </w:rPr>
      <w:t>REUNIÓN INTERSESIONES DE LA SUBCOMISIÓN 2 - FORMATO HÍBRIDO, MADRID, MARZO DE 2026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18E48" w14:textId="77777777" w:rsidR="009123AC" w:rsidRPr="00A03143" w:rsidRDefault="009123AC" w:rsidP="002813AE">
    <w:pPr>
      <w:spacing w:line="240" w:lineRule="exact"/>
      <w:rPr>
        <w:rFonts w:ascii="Cambria" w:hAnsi="Cambria"/>
        <w:b/>
        <w:bCs/>
        <w:sz w:val="28"/>
      </w:rPr>
    </w:pPr>
    <w:r w:rsidRPr="007435EA">
      <w:rPr>
        <w:rFonts w:ascii="Cambria" w:hAnsi="Cambria"/>
        <w:b/>
        <w:lang w:val="en-US"/>
      </w:rPr>
      <w:t>COMMISSION 2016 – Guidelines preparation bluefin tuna plans</w:t>
    </w:r>
    <w:r w:rsidRPr="007435EA">
      <w:rPr>
        <w:rFonts w:ascii="Cambria" w:hAnsi="Cambria"/>
        <w:b/>
        <w:lang w:val="en-US"/>
      </w:rPr>
      <w:tab/>
    </w:r>
    <w:r w:rsidRPr="007435EA">
      <w:rPr>
        <w:rFonts w:ascii="Cambria" w:hAnsi="Cambria"/>
        <w:b/>
        <w:sz w:val="26"/>
        <w:lang w:val="en-US"/>
      </w:rPr>
      <w:t xml:space="preserve">Doc. </w:t>
    </w:r>
    <w:proofErr w:type="spellStart"/>
    <w:r>
      <w:rPr>
        <w:rFonts w:ascii="Cambria" w:hAnsi="Cambria"/>
        <w:b/>
        <w:sz w:val="26"/>
      </w:rPr>
      <w:t>Nº</w:t>
    </w:r>
    <w:proofErr w:type="spellEnd"/>
    <w:r>
      <w:rPr>
        <w:rFonts w:ascii="Cambria" w:hAnsi="Cambria"/>
        <w:b/>
        <w:sz w:val="26"/>
      </w:rPr>
      <w:t xml:space="preserve"> PA2-602/2016</w:t>
    </w:r>
  </w:p>
  <w:p w14:paraId="704C2BFB" w14:textId="1D8657DA" w:rsidR="009123AC" w:rsidRPr="002813AE" w:rsidRDefault="009123AC" w:rsidP="002813AE">
    <w:pPr>
      <w:tabs>
        <w:tab w:val="left" w:pos="7320"/>
      </w:tabs>
      <w:spacing w:line="240" w:lineRule="exact"/>
      <w:rPr>
        <w:rFonts w:ascii="Cambria" w:hAnsi="Cambria"/>
        <w:b/>
        <w:bCs/>
        <w:sz w:val="20"/>
      </w:rPr>
    </w:pPr>
    <w:r w:rsidRPr="00A03143">
      <w:rPr>
        <w:rFonts w:ascii="Cambria" w:hAnsi="Cambria"/>
        <w:b/>
        <w:sz w:val="20"/>
      </w:rPr>
      <w:fldChar w:fldCharType="begin"/>
    </w:r>
    <w:r w:rsidRPr="00A03143">
      <w:rPr>
        <w:rFonts w:ascii="Cambria" w:hAnsi="Cambria"/>
        <w:b/>
        <w:sz w:val="20"/>
      </w:rPr>
      <w:instrText xml:space="preserve"> TIME \@ "d MMMM yyyy HH:mm:ss" </w:instrText>
    </w:r>
    <w:r w:rsidRPr="00A03143">
      <w:rPr>
        <w:rFonts w:ascii="Cambria" w:hAnsi="Cambria"/>
        <w:b/>
        <w:sz w:val="20"/>
      </w:rPr>
      <w:fldChar w:fldCharType="separate"/>
    </w:r>
    <w:r w:rsidR="00F912AA">
      <w:rPr>
        <w:rFonts w:ascii="Cambria" w:hAnsi="Cambria"/>
        <w:b/>
        <w:noProof/>
        <w:sz w:val="20"/>
      </w:rPr>
      <w:t>2 octubre 2026 13:29:09</w:t>
    </w:r>
    <w:r w:rsidRPr="00A03143">
      <w:rPr>
        <w:rFonts w:ascii="Cambria" w:hAnsi="Cambria"/>
        <w:b/>
        <w:bCs/>
        <w:sz w:val="20"/>
      </w:rPr>
      <w:fldChar w:fldCharType="end"/>
    </w:r>
    <w:r>
      <w:rPr>
        <w:rFonts w:ascii="Cambria" w:hAnsi="Cambria"/>
        <w:b/>
        <w:sz w:val="20"/>
      </w:rPr>
      <w:t xml:space="preserve">; </w:t>
    </w:r>
    <w:r w:rsidRPr="00A03143">
      <w:rPr>
        <w:rFonts w:ascii="Cambria" w:hAnsi="Cambria"/>
        <w:b/>
        <w:sz w:val="20"/>
      </w:rPr>
      <w:fldChar w:fldCharType="begin"/>
    </w:r>
    <w:r w:rsidRPr="00A03143">
      <w:rPr>
        <w:rFonts w:ascii="Cambria" w:hAnsi="Cambria"/>
        <w:b/>
        <w:sz w:val="20"/>
      </w:rPr>
      <w:instrText xml:space="preserve"> TIME \@ "d MMMM yyyy HH:mm:ss" </w:instrText>
    </w:r>
    <w:r w:rsidRPr="00A03143">
      <w:rPr>
        <w:rFonts w:ascii="Cambria" w:hAnsi="Cambria"/>
        <w:b/>
        <w:sz w:val="20"/>
      </w:rPr>
      <w:fldChar w:fldCharType="separate"/>
    </w:r>
    <w:r w:rsidR="00F912AA">
      <w:rPr>
        <w:rFonts w:ascii="Cambria" w:hAnsi="Cambria"/>
        <w:b/>
        <w:noProof/>
        <w:sz w:val="20"/>
      </w:rPr>
      <w:t>2 octubre 2026 13:29:09</w:t>
    </w:r>
    <w:r w:rsidRPr="00A03143">
      <w:rPr>
        <w:rFonts w:ascii="Cambria" w:hAnsi="Cambria"/>
        <w:b/>
        <w:bCs/>
        <w:sz w:val="20"/>
      </w:rPr>
      <w:fldChar w:fldCharType="end"/>
    </w:r>
  </w:p>
  <w:p w14:paraId="3540357E" w14:textId="77777777" w:rsidR="009123AC" w:rsidRPr="00A03143" w:rsidRDefault="009123AC" w:rsidP="002813AE">
    <w:pPr>
      <w:tabs>
        <w:tab w:val="left" w:pos="7320"/>
      </w:tabs>
      <w:spacing w:line="240" w:lineRule="exact"/>
      <w:rPr>
        <w:rFonts w:ascii="Cambria" w:hAnsi="Cambria"/>
        <w:b/>
        <w:bCs/>
        <w:sz w:val="20"/>
      </w:rPr>
    </w:pPr>
    <w:r>
      <w:rPr>
        <w:rFonts w:ascii="Cambria" w:hAnsi="Cambria"/>
        <w:b/>
        <w:noProof/>
        <w:sz w:val="20"/>
      </w:rPr>
      <mc:AlternateContent>
        <mc:Choice Requires="wps">
          <w:drawing>
            <wp:anchor distT="0" distB="0" distL="114300" distR="114300" simplePos="0" relativeHeight="251659264" behindDoc="0" locked="0" layoutInCell="1" allowOverlap="1" wp14:anchorId="6D6ADF88" wp14:editId="380E58EC">
              <wp:simplePos x="0" y="0"/>
              <wp:positionH relativeFrom="column">
                <wp:posOffset>0</wp:posOffset>
              </wp:positionH>
              <wp:positionV relativeFrom="paragraph">
                <wp:posOffset>17145</wp:posOffset>
              </wp:positionV>
              <wp:extent cx="5715000" cy="0"/>
              <wp:effectExtent l="9525" t="7620" r="9525" b="11430"/>
              <wp:wrapNone/>
              <wp:docPr id="1269142715" name="Straight Connector 12691427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5825C" id="Straight Connector 126914271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89CE8" w14:textId="41DEF2B5" w:rsidR="009123AC" w:rsidRPr="004F3BCD" w:rsidRDefault="00ED5294" w:rsidP="00ED5294">
    <w:pPr>
      <w:spacing w:after="0" w:line="240" w:lineRule="auto"/>
      <w:contextualSpacing/>
      <w:jc w:val="center"/>
    </w:pPr>
    <w:r>
      <w:rPr>
        <w:rFonts w:ascii="Arial" w:hAnsi="Arial"/>
        <w:sz w:val="16"/>
      </w:rPr>
      <w:t>REUNIÓN INTERSESIONES DE LA SUBCOMISIÓN 2 - FORMATO HÍBRIDO, MADRID, MARZO DE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1F25A" w14:textId="77777777" w:rsidR="009123AC" w:rsidRPr="00A03143" w:rsidRDefault="009123AC" w:rsidP="002813AE">
    <w:pPr>
      <w:spacing w:line="240" w:lineRule="exact"/>
      <w:rPr>
        <w:rFonts w:ascii="Cambria" w:hAnsi="Cambria"/>
        <w:b/>
        <w:bCs/>
        <w:sz w:val="28"/>
      </w:rPr>
    </w:pPr>
    <w:r w:rsidRPr="002C709C">
      <w:rPr>
        <w:rFonts w:ascii="Cambria" w:hAnsi="Cambria"/>
        <w:b/>
        <w:bCs/>
        <w:lang w:val="en-US"/>
      </w:rPr>
      <w:t>COMMISSION 2016 – Guidelines preparation bluefin tuna plans</w:t>
    </w:r>
    <w:r w:rsidRPr="002C709C">
      <w:rPr>
        <w:rFonts w:ascii="Cambria" w:hAnsi="Cambria"/>
        <w:b/>
        <w:bCs/>
        <w:lang w:val="en-US"/>
      </w:rPr>
      <w:tab/>
    </w:r>
    <w:r w:rsidRPr="002C709C">
      <w:rPr>
        <w:rFonts w:ascii="Cambria" w:hAnsi="Cambria"/>
        <w:b/>
        <w:bCs/>
        <w:sz w:val="26"/>
        <w:szCs w:val="26"/>
        <w:lang w:val="en-US"/>
      </w:rPr>
      <w:t xml:space="preserve">Doc. </w:t>
    </w:r>
    <w:proofErr w:type="spellStart"/>
    <w:r>
      <w:rPr>
        <w:rFonts w:ascii="Cambria" w:hAnsi="Cambria"/>
        <w:b/>
        <w:bCs/>
        <w:sz w:val="26"/>
        <w:szCs w:val="26"/>
      </w:rPr>
      <w:t>Nº</w:t>
    </w:r>
    <w:proofErr w:type="spellEnd"/>
    <w:r>
      <w:rPr>
        <w:rFonts w:ascii="Cambria" w:hAnsi="Cambria"/>
        <w:b/>
        <w:bCs/>
        <w:sz w:val="26"/>
        <w:szCs w:val="26"/>
      </w:rPr>
      <w:t xml:space="preserve"> PA2-602 / 2016</w:t>
    </w:r>
  </w:p>
  <w:p w14:paraId="24AB4EFF" w14:textId="2A81D22A" w:rsidR="009123AC" w:rsidRPr="002813AE" w:rsidRDefault="009123AC" w:rsidP="002813AE">
    <w:pPr>
      <w:tabs>
        <w:tab w:val="left" w:pos="7320"/>
      </w:tabs>
      <w:spacing w:line="240" w:lineRule="exact"/>
      <w:rPr>
        <w:rFonts w:ascii="Cambria" w:hAnsi="Cambria"/>
        <w:b/>
        <w:bCs/>
        <w:sz w:val="20"/>
      </w:rPr>
    </w:pPr>
    <w:r w:rsidRPr="00A03143">
      <w:rPr>
        <w:rFonts w:ascii="Cambria" w:hAnsi="Cambria"/>
        <w:b/>
        <w:bCs/>
        <w:sz w:val="20"/>
      </w:rPr>
      <w:fldChar w:fldCharType="begin"/>
    </w:r>
    <w:r w:rsidRPr="00A03143">
      <w:rPr>
        <w:rFonts w:ascii="Cambria" w:hAnsi="Cambria"/>
        <w:b/>
        <w:bCs/>
        <w:sz w:val="20"/>
      </w:rPr>
      <w:instrText xml:space="preserve"> TIME \@ "d MMMM yyyy HH:mm:ss" </w:instrText>
    </w:r>
    <w:r w:rsidRPr="00A03143">
      <w:rPr>
        <w:rFonts w:ascii="Cambria" w:hAnsi="Cambria"/>
        <w:b/>
        <w:bCs/>
        <w:sz w:val="20"/>
      </w:rPr>
      <w:fldChar w:fldCharType="separate"/>
    </w:r>
    <w:r w:rsidR="00F912AA">
      <w:rPr>
        <w:rFonts w:ascii="Cambria" w:hAnsi="Cambria"/>
        <w:b/>
        <w:bCs/>
        <w:noProof/>
        <w:sz w:val="20"/>
      </w:rPr>
      <w:t>2 octubre 2026 13:29:09</w:t>
    </w:r>
    <w:r w:rsidRPr="00A03143">
      <w:rPr>
        <w:rFonts w:ascii="Cambria" w:hAnsi="Cambria"/>
        <w:b/>
        <w:bCs/>
        <w:sz w:val="20"/>
      </w:rPr>
      <w:fldChar w:fldCharType="end"/>
    </w:r>
    <w:r>
      <w:rPr>
        <w:rFonts w:ascii="Cambria" w:hAnsi="Cambria"/>
        <w:b/>
        <w:bCs/>
        <w:sz w:val="20"/>
      </w:rPr>
      <w:t xml:space="preserve">; </w:t>
    </w:r>
    <w:r w:rsidRPr="00A03143">
      <w:rPr>
        <w:rFonts w:ascii="Cambria" w:hAnsi="Cambria"/>
        <w:b/>
        <w:bCs/>
        <w:sz w:val="20"/>
      </w:rPr>
      <w:fldChar w:fldCharType="begin"/>
    </w:r>
    <w:r w:rsidRPr="00A03143">
      <w:rPr>
        <w:rFonts w:ascii="Cambria" w:hAnsi="Cambria"/>
        <w:b/>
        <w:bCs/>
        <w:sz w:val="20"/>
      </w:rPr>
      <w:instrText xml:space="preserve"> TIME \@ "d MMMM yyyy HH:mm:ss" </w:instrText>
    </w:r>
    <w:r w:rsidRPr="00A03143">
      <w:rPr>
        <w:rFonts w:ascii="Cambria" w:hAnsi="Cambria"/>
        <w:b/>
        <w:bCs/>
        <w:sz w:val="20"/>
      </w:rPr>
      <w:fldChar w:fldCharType="separate"/>
    </w:r>
    <w:r w:rsidR="00F912AA">
      <w:rPr>
        <w:rFonts w:ascii="Cambria" w:hAnsi="Cambria"/>
        <w:b/>
        <w:bCs/>
        <w:noProof/>
        <w:sz w:val="20"/>
      </w:rPr>
      <w:t>2 octubre 2026 13:29:09</w:t>
    </w:r>
    <w:r w:rsidRPr="00A03143">
      <w:rPr>
        <w:rFonts w:ascii="Cambria" w:hAnsi="Cambria"/>
        <w:b/>
        <w:bCs/>
        <w:sz w:val="20"/>
      </w:rPr>
      <w:fldChar w:fldCharType="end"/>
    </w:r>
  </w:p>
  <w:p w14:paraId="5B02607B" w14:textId="77777777" w:rsidR="009123AC" w:rsidRPr="00A03143" w:rsidRDefault="009123AC" w:rsidP="002813AE">
    <w:pPr>
      <w:tabs>
        <w:tab w:val="left" w:pos="7320"/>
      </w:tabs>
      <w:spacing w:line="240" w:lineRule="exact"/>
      <w:rPr>
        <w:rFonts w:ascii="Cambria" w:hAnsi="Cambria"/>
        <w:b/>
        <w:bCs/>
        <w:sz w:val="20"/>
      </w:rPr>
    </w:pPr>
    <w:r>
      <w:rPr>
        <w:rFonts w:ascii="Cambria" w:hAnsi="Cambria"/>
        <w:b/>
        <w:bCs/>
        <w:noProof/>
        <w:sz w:val="20"/>
      </w:rPr>
      <mc:AlternateContent>
        <mc:Choice Requires="wps">
          <w:drawing>
            <wp:anchor distT="0" distB="0" distL="114300" distR="114300" simplePos="0" relativeHeight="251657216" behindDoc="0" locked="0" layoutInCell="1" allowOverlap="1" wp14:anchorId="7163FD68" wp14:editId="23FD7BC4">
              <wp:simplePos x="0" y="0"/>
              <wp:positionH relativeFrom="column">
                <wp:posOffset>0</wp:posOffset>
              </wp:positionH>
              <wp:positionV relativeFrom="paragraph">
                <wp:posOffset>17145</wp:posOffset>
              </wp:positionV>
              <wp:extent cx="5715000" cy="0"/>
              <wp:effectExtent l="9525" t="7620" r="9525" b="11430"/>
              <wp:wrapNone/>
              <wp:docPr id="664997492" name="Straight Connector 6649974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008342" id="Straight Connector 66499749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81DCF" w14:textId="3C371A3B" w:rsidR="009123AC" w:rsidRPr="00C5380E" w:rsidRDefault="00071288" w:rsidP="00071288">
    <w:pPr>
      <w:spacing w:after="0" w:line="240" w:lineRule="auto"/>
      <w:contextualSpacing/>
      <w:jc w:val="center"/>
    </w:pPr>
    <w:r>
      <w:rPr>
        <w:rFonts w:ascii="Arial" w:hAnsi="Arial"/>
        <w:sz w:val="16"/>
      </w:rPr>
      <w:t>REUNIÓN INTERSESIONES DE LA SUBCOMISIÓN 2 - FORMATO HÍBRIDO, MADRID, MARZO DE 2026</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11CAC" w14:textId="50E4C8CF" w:rsidR="009123AC" w:rsidRPr="002F59F5" w:rsidRDefault="00032CBC" w:rsidP="00032CBC">
    <w:pPr>
      <w:spacing w:after="0" w:line="240" w:lineRule="auto"/>
      <w:contextualSpacing/>
      <w:jc w:val="center"/>
    </w:pPr>
    <w:r>
      <w:rPr>
        <w:rFonts w:ascii="Arial" w:hAnsi="Arial"/>
        <w:sz w:val="16"/>
      </w:rPr>
      <w:t>REUNIÓN INTERSESIONES DE LA SUBCOMISIÓN 2 - FORMATO HÍBRIDO, MADRID, MARZO DE 2026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D6D22" w14:textId="77777777" w:rsidR="009123AC" w:rsidRPr="00B86645" w:rsidRDefault="009123AC" w:rsidP="00DB26C2">
    <w:pPr>
      <w:spacing w:line="240" w:lineRule="exact"/>
      <w:rPr>
        <w:b/>
        <w:bCs/>
        <w:sz w:val="28"/>
        <w:lang w:val="en-US"/>
      </w:rPr>
    </w:pPr>
    <w:r w:rsidRPr="00133DA6">
      <w:rPr>
        <w:b/>
        <w:bCs/>
        <w:lang w:val="en-US"/>
      </w:rPr>
      <w:t>COMMISSION 2016 – Guidelines preparation bluefin tuna plans</w:t>
    </w:r>
    <w:r w:rsidRPr="00133DA6">
      <w:rPr>
        <w:b/>
        <w:bCs/>
        <w:lang w:val="en-US"/>
      </w:rPr>
      <w:tab/>
    </w:r>
    <w:r w:rsidRPr="00133DA6">
      <w:rPr>
        <w:b/>
        <w:bCs/>
        <w:sz w:val="26"/>
        <w:szCs w:val="26"/>
        <w:lang w:val="en-US"/>
      </w:rPr>
      <w:t xml:space="preserve">Doc. </w:t>
    </w:r>
    <w:r w:rsidRPr="00B86645">
      <w:rPr>
        <w:b/>
        <w:bCs/>
        <w:sz w:val="26"/>
        <w:szCs w:val="26"/>
        <w:lang w:val="en-US"/>
      </w:rPr>
      <w:t>Req PA2-602/2016</w:t>
    </w:r>
  </w:p>
  <w:p w14:paraId="48306FFE" w14:textId="449D51E7" w:rsidR="009123AC" w:rsidRPr="00B86645" w:rsidRDefault="009123AC" w:rsidP="00DB26C2">
    <w:pPr>
      <w:tabs>
        <w:tab w:val="left" w:pos="7320"/>
      </w:tabs>
      <w:spacing w:line="240" w:lineRule="exact"/>
      <w:rPr>
        <w:b/>
        <w:bCs/>
        <w:lang w:val="en-US"/>
      </w:rPr>
    </w:pPr>
    <w:r w:rsidRPr="00A03143">
      <w:rPr>
        <w:b/>
        <w:bCs/>
      </w:rPr>
      <w:fldChar w:fldCharType="begin"/>
    </w:r>
    <w:r w:rsidRPr="00A03143">
      <w:rPr>
        <w:b/>
        <w:bCs/>
      </w:rPr>
      <w:instrText xml:space="preserve"> TIME \@ "d MMMM yyyy HH:mm:ss" </w:instrText>
    </w:r>
    <w:r w:rsidRPr="00A03143">
      <w:rPr>
        <w:b/>
        <w:bCs/>
      </w:rPr>
      <w:fldChar w:fldCharType="separate"/>
    </w:r>
    <w:r w:rsidR="00F912AA">
      <w:rPr>
        <w:b/>
        <w:bCs/>
        <w:noProof/>
      </w:rPr>
      <w:t>2 octubre 2026 13:29:09</w:t>
    </w:r>
    <w:r w:rsidRPr="00A03143">
      <w:rPr>
        <w:b/>
        <w:bCs/>
      </w:rPr>
      <w:fldChar w:fldCharType="end"/>
    </w:r>
    <w:r w:rsidRPr="00B86645">
      <w:rPr>
        <w:b/>
        <w:bCs/>
        <w:lang w:val="en-US"/>
      </w:rPr>
      <w:t xml:space="preserve">; </w:t>
    </w:r>
    <w:r w:rsidRPr="00A03143">
      <w:rPr>
        <w:b/>
        <w:bCs/>
      </w:rPr>
      <w:fldChar w:fldCharType="begin"/>
    </w:r>
    <w:r w:rsidRPr="00A03143">
      <w:rPr>
        <w:b/>
        <w:bCs/>
      </w:rPr>
      <w:instrText xml:space="preserve"> TIME \@ "d MMMM yyyy HH:mm:ss" </w:instrText>
    </w:r>
    <w:r w:rsidRPr="00A03143">
      <w:rPr>
        <w:b/>
        <w:bCs/>
      </w:rPr>
      <w:fldChar w:fldCharType="separate"/>
    </w:r>
    <w:r w:rsidR="00F912AA">
      <w:rPr>
        <w:b/>
        <w:bCs/>
        <w:noProof/>
      </w:rPr>
      <w:t>2 octubre 2026 13:29:09</w:t>
    </w:r>
    <w:r w:rsidRPr="00A03143">
      <w:rPr>
        <w:b/>
        <w:bCs/>
      </w:rPr>
      <w:fldChar w:fldCharType="end"/>
    </w:r>
  </w:p>
  <w:p w14:paraId="0545376C" w14:textId="77777777" w:rsidR="009123AC" w:rsidRPr="00A03143" w:rsidRDefault="009123AC" w:rsidP="00DB26C2">
    <w:pPr>
      <w:tabs>
        <w:tab w:val="left" w:pos="7320"/>
      </w:tabs>
      <w:spacing w:line="240" w:lineRule="exact"/>
      <w:rPr>
        <w:b/>
        <w:bCs/>
      </w:rPr>
    </w:pPr>
    <w:r>
      <w:rPr>
        <w:noProof/>
      </w:rPr>
      <mc:AlternateContent>
        <mc:Choice Requires="wps">
          <w:drawing>
            <wp:anchor distT="4294967295" distB="4294967295" distL="114300" distR="114300" simplePos="0" relativeHeight="251653120" behindDoc="0" locked="0" layoutInCell="1" allowOverlap="1" wp14:anchorId="040B81F5" wp14:editId="488545C2">
              <wp:simplePos x="0" y="0"/>
              <wp:positionH relativeFrom="column">
                <wp:posOffset>0</wp:posOffset>
              </wp:positionH>
              <wp:positionV relativeFrom="paragraph">
                <wp:posOffset>17144</wp:posOffset>
              </wp:positionV>
              <wp:extent cx="57150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B67D7CE"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58457" w14:textId="77777777" w:rsidR="009123AC" w:rsidRDefault="009123A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327B5" w14:textId="77777777" w:rsidR="009123AC" w:rsidRPr="00A03143" w:rsidRDefault="009123AC" w:rsidP="00632922">
    <w:pPr>
      <w:spacing w:line="240" w:lineRule="exact"/>
      <w:rPr>
        <w:b/>
        <w:bCs/>
        <w:sz w:val="28"/>
      </w:rPr>
    </w:pPr>
    <w:r w:rsidRPr="00133DA6">
      <w:rPr>
        <w:b/>
        <w:bCs/>
        <w:lang w:val="en-US"/>
      </w:rPr>
      <w:t>COMMISSION 2016 – Guidelines preparation bluefin tuna plans</w:t>
    </w:r>
    <w:r w:rsidRPr="00133DA6">
      <w:rPr>
        <w:b/>
        <w:bCs/>
        <w:lang w:val="en-US"/>
      </w:rPr>
      <w:tab/>
    </w:r>
    <w:r w:rsidRPr="00133DA6">
      <w:rPr>
        <w:b/>
        <w:bCs/>
        <w:sz w:val="26"/>
        <w:szCs w:val="26"/>
        <w:lang w:val="en-US"/>
      </w:rPr>
      <w:t xml:space="preserve">Doc. </w:t>
    </w:r>
    <w:proofErr w:type="spellStart"/>
    <w:r>
      <w:rPr>
        <w:b/>
        <w:bCs/>
        <w:sz w:val="26"/>
        <w:szCs w:val="26"/>
      </w:rPr>
      <w:t>Nº</w:t>
    </w:r>
    <w:proofErr w:type="spellEnd"/>
    <w:r>
      <w:rPr>
        <w:b/>
        <w:bCs/>
        <w:sz w:val="26"/>
        <w:szCs w:val="26"/>
      </w:rPr>
      <w:t xml:space="preserve"> PA2-602 / 2016</w:t>
    </w:r>
  </w:p>
  <w:p w14:paraId="71A71E4C" w14:textId="25791C93" w:rsidR="009123AC" w:rsidRPr="002813AE" w:rsidRDefault="009123AC" w:rsidP="00632922">
    <w:pPr>
      <w:tabs>
        <w:tab w:val="left" w:pos="7320"/>
      </w:tabs>
      <w:spacing w:line="240" w:lineRule="exact"/>
      <w:rPr>
        <w:b/>
        <w:bCs/>
      </w:rPr>
    </w:pPr>
    <w:r w:rsidRPr="00A03143">
      <w:rPr>
        <w:b/>
        <w:bCs/>
      </w:rPr>
      <w:fldChar w:fldCharType="begin"/>
    </w:r>
    <w:r w:rsidRPr="00A03143">
      <w:rPr>
        <w:b/>
        <w:bCs/>
      </w:rPr>
      <w:instrText xml:space="preserve"> TIME \@ "d MMMM yyyy HH:mm:ss" </w:instrText>
    </w:r>
    <w:r w:rsidRPr="00A03143">
      <w:rPr>
        <w:b/>
        <w:bCs/>
      </w:rPr>
      <w:fldChar w:fldCharType="separate"/>
    </w:r>
    <w:r w:rsidR="00F912AA">
      <w:rPr>
        <w:b/>
        <w:bCs/>
        <w:noProof/>
      </w:rPr>
      <w:t>2 octubre 2026 13:29:09</w:t>
    </w:r>
    <w:r w:rsidRPr="00A03143">
      <w:rPr>
        <w:b/>
        <w:bCs/>
      </w:rPr>
      <w:fldChar w:fldCharType="end"/>
    </w:r>
    <w:r>
      <w:rPr>
        <w:b/>
        <w:bCs/>
      </w:rPr>
      <w:t xml:space="preserve">; </w:t>
    </w:r>
    <w:r w:rsidRPr="00A03143">
      <w:rPr>
        <w:b/>
        <w:bCs/>
      </w:rPr>
      <w:fldChar w:fldCharType="begin"/>
    </w:r>
    <w:r w:rsidRPr="00A03143">
      <w:rPr>
        <w:b/>
        <w:bCs/>
      </w:rPr>
      <w:instrText xml:space="preserve"> TIME \@ "d MMMM yyyy HH:mm:ss" </w:instrText>
    </w:r>
    <w:r w:rsidRPr="00A03143">
      <w:rPr>
        <w:b/>
        <w:bCs/>
      </w:rPr>
      <w:fldChar w:fldCharType="separate"/>
    </w:r>
    <w:r w:rsidR="00F912AA">
      <w:rPr>
        <w:b/>
        <w:bCs/>
        <w:noProof/>
      </w:rPr>
      <w:t>2 octubre 2026 13:29:09</w:t>
    </w:r>
    <w:r w:rsidRPr="00A03143">
      <w:rPr>
        <w:b/>
        <w:bCs/>
      </w:rPr>
      <w:fldChar w:fldCharType="end"/>
    </w:r>
  </w:p>
  <w:p w14:paraId="334237C1" w14:textId="77777777" w:rsidR="009123AC" w:rsidRPr="00A03143" w:rsidRDefault="009123AC" w:rsidP="00632922">
    <w:pPr>
      <w:tabs>
        <w:tab w:val="left" w:pos="7320"/>
      </w:tabs>
      <w:spacing w:line="240" w:lineRule="exact"/>
      <w:rPr>
        <w:b/>
        <w:bCs/>
      </w:rPr>
    </w:pPr>
    <w:r>
      <w:rPr>
        <w:noProof/>
      </w:rPr>
      <mc:AlternateContent>
        <mc:Choice Requires="wps">
          <w:drawing>
            <wp:anchor distT="4294967294" distB="4294967294" distL="114300" distR="114300" simplePos="0" relativeHeight="251656192" behindDoc="0" locked="0" layoutInCell="1" allowOverlap="1" wp14:anchorId="574B2147" wp14:editId="78487F93">
              <wp:simplePos x="0" y="0"/>
              <wp:positionH relativeFrom="column">
                <wp:posOffset>0</wp:posOffset>
              </wp:positionH>
              <wp:positionV relativeFrom="paragraph">
                <wp:posOffset>17144</wp:posOffset>
              </wp:positionV>
              <wp:extent cx="5715000" cy="0"/>
              <wp:effectExtent l="0" t="0" r="0" b="0"/>
              <wp:wrapNone/>
              <wp:docPr id="469201299" name="Straight Connector 469201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75CF4CF" id="Straight Connector 469201299"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DE25" w14:textId="15CA94F6" w:rsidR="009123AC" w:rsidRPr="00FA4018" w:rsidRDefault="004078CD" w:rsidP="004078CD">
    <w:pPr>
      <w:spacing w:after="0" w:line="240" w:lineRule="auto"/>
      <w:contextualSpacing/>
      <w:jc w:val="center"/>
    </w:pPr>
    <w:r>
      <w:rPr>
        <w:rFonts w:ascii="Arial" w:hAnsi="Arial"/>
        <w:sz w:val="16"/>
      </w:rPr>
      <w:t>REUNIÓN INTERSESIONES DE LA SUBCOMISIÓN 2 - FORMATO HÍBRIDO, MADRID, MARZO DE 2026</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4CF9F" w14:textId="77777777" w:rsidR="009123AC" w:rsidRPr="00B86645" w:rsidRDefault="009123AC" w:rsidP="002813AE">
    <w:pPr>
      <w:spacing w:line="240" w:lineRule="exact"/>
      <w:rPr>
        <w:rFonts w:ascii="Cambria" w:hAnsi="Cambria"/>
        <w:b/>
        <w:bCs/>
        <w:sz w:val="28"/>
        <w:lang w:val="en-US"/>
      </w:rPr>
    </w:pPr>
    <w:r w:rsidRPr="00025306">
      <w:rPr>
        <w:rFonts w:ascii="Cambria" w:hAnsi="Cambria"/>
        <w:b/>
        <w:bCs/>
        <w:lang w:val="en-US"/>
      </w:rPr>
      <w:t>COMMISSION 2016 – Guidelines preparation bluefin tuna plans</w:t>
    </w:r>
    <w:r w:rsidRPr="00025306">
      <w:rPr>
        <w:rFonts w:ascii="Cambria" w:hAnsi="Cambria"/>
        <w:b/>
        <w:bCs/>
        <w:lang w:val="en-US"/>
      </w:rPr>
      <w:tab/>
    </w:r>
    <w:r w:rsidRPr="00025306">
      <w:rPr>
        <w:rFonts w:ascii="Cambria" w:hAnsi="Cambria"/>
        <w:b/>
        <w:bCs/>
        <w:sz w:val="26"/>
        <w:szCs w:val="26"/>
        <w:lang w:val="en-US"/>
      </w:rPr>
      <w:t xml:space="preserve">Doc. </w:t>
    </w:r>
    <w:r w:rsidRPr="00B86645">
      <w:rPr>
        <w:rFonts w:ascii="Cambria" w:hAnsi="Cambria"/>
        <w:b/>
        <w:bCs/>
        <w:sz w:val="26"/>
        <w:szCs w:val="26"/>
        <w:lang w:val="en-US"/>
      </w:rPr>
      <w:t>Req PA2-602/2016</w:t>
    </w:r>
  </w:p>
  <w:p w14:paraId="435DD2F7" w14:textId="41B7322C" w:rsidR="009123AC" w:rsidRPr="00B86645" w:rsidRDefault="009123AC" w:rsidP="002813AE">
    <w:pPr>
      <w:tabs>
        <w:tab w:val="left" w:pos="7320"/>
      </w:tabs>
      <w:spacing w:line="240" w:lineRule="exact"/>
      <w:rPr>
        <w:rFonts w:ascii="Cambria" w:hAnsi="Cambria"/>
        <w:b/>
        <w:bCs/>
        <w:sz w:val="20"/>
        <w:lang w:val="en-US"/>
      </w:rPr>
    </w:pPr>
    <w:r w:rsidRPr="00A03143">
      <w:rPr>
        <w:rFonts w:ascii="Cambria" w:hAnsi="Cambria"/>
        <w:b/>
        <w:bCs/>
        <w:sz w:val="20"/>
      </w:rPr>
      <w:fldChar w:fldCharType="begin"/>
    </w:r>
    <w:r w:rsidRPr="00A03143">
      <w:rPr>
        <w:rFonts w:ascii="Cambria" w:hAnsi="Cambria"/>
        <w:b/>
        <w:bCs/>
        <w:sz w:val="20"/>
      </w:rPr>
      <w:instrText xml:space="preserve"> TIME \@ "d MMMM yyyy HH:mm:ss" </w:instrText>
    </w:r>
    <w:r w:rsidRPr="00A03143">
      <w:rPr>
        <w:rFonts w:ascii="Cambria" w:hAnsi="Cambria"/>
        <w:b/>
        <w:bCs/>
        <w:sz w:val="20"/>
      </w:rPr>
      <w:fldChar w:fldCharType="separate"/>
    </w:r>
    <w:r w:rsidR="00F912AA">
      <w:rPr>
        <w:rFonts w:ascii="Cambria" w:hAnsi="Cambria"/>
        <w:b/>
        <w:bCs/>
        <w:noProof/>
        <w:sz w:val="20"/>
      </w:rPr>
      <w:t>2 octubre 2026 13:29:09</w:t>
    </w:r>
    <w:r w:rsidRPr="00A03143">
      <w:rPr>
        <w:rFonts w:ascii="Cambria" w:hAnsi="Cambria"/>
        <w:b/>
        <w:bCs/>
        <w:sz w:val="20"/>
      </w:rPr>
      <w:fldChar w:fldCharType="end"/>
    </w:r>
    <w:r w:rsidRPr="00B86645">
      <w:rPr>
        <w:rFonts w:ascii="Cambria" w:hAnsi="Cambria"/>
        <w:b/>
        <w:bCs/>
        <w:sz w:val="20"/>
        <w:lang w:val="en-US"/>
      </w:rPr>
      <w:t xml:space="preserve">; </w:t>
    </w:r>
    <w:r w:rsidRPr="00A03143">
      <w:rPr>
        <w:rFonts w:ascii="Cambria" w:hAnsi="Cambria"/>
        <w:b/>
        <w:bCs/>
        <w:sz w:val="20"/>
      </w:rPr>
      <w:fldChar w:fldCharType="begin"/>
    </w:r>
    <w:r w:rsidRPr="00A03143">
      <w:rPr>
        <w:rFonts w:ascii="Cambria" w:hAnsi="Cambria"/>
        <w:b/>
        <w:bCs/>
        <w:sz w:val="20"/>
      </w:rPr>
      <w:instrText xml:space="preserve"> TIME \@ "d MMMM yyyy HH:mm:ss" </w:instrText>
    </w:r>
    <w:r w:rsidRPr="00A03143">
      <w:rPr>
        <w:rFonts w:ascii="Cambria" w:hAnsi="Cambria"/>
        <w:b/>
        <w:bCs/>
        <w:sz w:val="20"/>
      </w:rPr>
      <w:fldChar w:fldCharType="separate"/>
    </w:r>
    <w:r w:rsidR="00F912AA">
      <w:rPr>
        <w:rFonts w:ascii="Cambria" w:hAnsi="Cambria"/>
        <w:b/>
        <w:bCs/>
        <w:noProof/>
        <w:sz w:val="20"/>
      </w:rPr>
      <w:t>2 octubre 2026 13:29:09</w:t>
    </w:r>
    <w:r w:rsidRPr="00A03143">
      <w:rPr>
        <w:rFonts w:ascii="Cambria" w:hAnsi="Cambria"/>
        <w:b/>
        <w:bCs/>
        <w:sz w:val="20"/>
      </w:rPr>
      <w:fldChar w:fldCharType="end"/>
    </w:r>
  </w:p>
  <w:p w14:paraId="01731D29" w14:textId="77777777" w:rsidR="009123AC" w:rsidRPr="00A03143" w:rsidRDefault="009123AC" w:rsidP="002813AE">
    <w:pPr>
      <w:tabs>
        <w:tab w:val="left" w:pos="7320"/>
      </w:tabs>
      <w:spacing w:line="240" w:lineRule="exact"/>
      <w:rPr>
        <w:rFonts w:ascii="Cambria" w:hAnsi="Cambria"/>
        <w:b/>
        <w:bCs/>
        <w:sz w:val="20"/>
      </w:rPr>
    </w:pPr>
    <w:r>
      <w:rPr>
        <w:rFonts w:ascii="Cambria" w:hAnsi="Cambria"/>
        <w:b/>
        <w:bCs/>
        <w:noProof/>
        <w:sz w:val="20"/>
      </w:rPr>
      <mc:AlternateContent>
        <mc:Choice Requires="wps">
          <w:drawing>
            <wp:anchor distT="0" distB="0" distL="114300" distR="114300" simplePos="0" relativeHeight="251662336" behindDoc="0" locked="0" layoutInCell="1" allowOverlap="1" wp14:anchorId="7D27E9B4" wp14:editId="7F3D90BA">
              <wp:simplePos x="0" y="0"/>
              <wp:positionH relativeFrom="column">
                <wp:posOffset>0</wp:posOffset>
              </wp:positionH>
              <wp:positionV relativeFrom="paragraph">
                <wp:posOffset>17145</wp:posOffset>
              </wp:positionV>
              <wp:extent cx="5715000" cy="0"/>
              <wp:effectExtent l="9525" t="7620" r="9525" b="11430"/>
              <wp:wrapNone/>
              <wp:docPr id="1902343738" name="Straight Connector 19023437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A032D9" id="Straight Connector 190234373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9D2C9" w14:textId="17AE0DCA" w:rsidR="009123AC" w:rsidRDefault="00CA0EF5" w:rsidP="00CA0EF5">
    <w:pPr>
      <w:spacing w:after="0" w:line="240" w:lineRule="auto"/>
      <w:contextualSpacing/>
      <w:jc w:val="center"/>
    </w:pPr>
    <w:r>
      <w:rPr>
        <w:rFonts w:ascii="Arial" w:hAnsi="Arial"/>
        <w:sz w:val="16"/>
      </w:rPr>
      <w:t>REUNIÓN INTERSESIONES DE LA SUBCOMISIÓN 2 - FORMATO HÍBRIDO, MADRID, MARZO DE 2026</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BBBAF" w14:textId="34F971D4" w:rsidR="009123AC" w:rsidRPr="00E2723E" w:rsidRDefault="00320048" w:rsidP="00320048">
    <w:pPr>
      <w:spacing w:after="0" w:line="240" w:lineRule="auto"/>
      <w:contextualSpacing/>
      <w:jc w:val="center"/>
    </w:pPr>
    <w:r>
      <w:rPr>
        <w:rFonts w:ascii="Arial" w:hAnsi="Arial"/>
        <w:sz w:val="16"/>
      </w:rPr>
      <w:t>REUNIÓN INTERSESIONES DE LA SUBCOMISIÓN 2 - FORMATO HÍBRIDO, MADRID, MARZO DE 2026</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BBB1" w14:textId="77777777" w:rsidR="009123AC" w:rsidRPr="00133DA6" w:rsidRDefault="009123AC" w:rsidP="00EF36F0">
    <w:pPr>
      <w:spacing w:line="240" w:lineRule="exact"/>
      <w:rPr>
        <w:b/>
        <w:bCs/>
        <w:sz w:val="28"/>
        <w:lang w:val="en-US"/>
      </w:rPr>
    </w:pPr>
    <w:r w:rsidRPr="00133DA6">
      <w:rPr>
        <w:b/>
        <w:bCs/>
        <w:lang w:val="en-US"/>
      </w:rPr>
      <w:t>COMMISSION 2016 – Guidelines preparation bluefin tuna plans</w:t>
    </w:r>
    <w:r w:rsidRPr="00133DA6">
      <w:rPr>
        <w:b/>
        <w:bCs/>
        <w:lang w:val="en-US"/>
      </w:rPr>
      <w:tab/>
    </w:r>
    <w:r w:rsidRPr="00133DA6">
      <w:rPr>
        <w:b/>
        <w:bCs/>
        <w:sz w:val="26"/>
        <w:szCs w:val="26"/>
        <w:lang w:val="en-US"/>
      </w:rPr>
      <w:t xml:space="preserve">Doc. </w:t>
    </w:r>
    <w:proofErr w:type="gramStart"/>
    <w:r w:rsidRPr="00133DA6">
      <w:rPr>
        <w:b/>
        <w:bCs/>
        <w:sz w:val="26"/>
        <w:szCs w:val="26"/>
        <w:lang w:val="en-US"/>
      </w:rPr>
      <w:t>N.º</w:t>
    </w:r>
    <w:proofErr w:type="gramEnd"/>
    <w:r w:rsidRPr="00133DA6">
      <w:rPr>
        <w:b/>
        <w:bCs/>
        <w:sz w:val="26"/>
        <w:szCs w:val="26"/>
        <w:lang w:val="en-US"/>
      </w:rPr>
      <w:t xml:space="preserve"> PA2-602 / 2020</w:t>
    </w:r>
  </w:p>
  <w:p w14:paraId="46B95150" w14:textId="746C9388" w:rsidR="009123AC" w:rsidRPr="002813AE" w:rsidRDefault="009123AC" w:rsidP="00EF36F0">
    <w:pPr>
      <w:tabs>
        <w:tab w:val="left" w:pos="7320"/>
      </w:tabs>
      <w:spacing w:line="240" w:lineRule="exact"/>
      <w:rPr>
        <w:b/>
        <w:bCs/>
      </w:rPr>
    </w:pPr>
    <w:r w:rsidRPr="00A03143">
      <w:rPr>
        <w:b/>
        <w:bCs/>
      </w:rPr>
      <w:fldChar w:fldCharType="begin"/>
    </w:r>
    <w:r w:rsidRPr="00A03143">
      <w:rPr>
        <w:b/>
        <w:bCs/>
      </w:rPr>
      <w:instrText xml:space="preserve"> TIME \@ "d MMMM yyyy HH:mm:ss" </w:instrText>
    </w:r>
    <w:r w:rsidRPr="00A03143">
      <w:rPr>
        <w:b/>
        <w:bCs/>
      </w:rPr>
      <w:fldChar w:fldCharType="separate"/>
    </w:r>
    <w:r w:rsidR="00F912AA">
      <w:rPr>
        <w:b/>
        <w:bCs/>
        <w:noProof/>
      </w:rPr>
      <w:t>2 octubre 2026 13:29:09</w:t>
    </w:r>
    <w:r w:rsidRPr="00A03143">
      <w:rPr>
        <w:b/>
        <w:bCs/>
      </w:rPr>
      <w:fldChar w:fldCharType="end"/>
    </w:r>
    <w:r>
      <w:rPr>
        <w:b/>
        <w:bCs/>
      </w:rPr>
      <w:t xml:space="preserve">; </w:t>
    </w:r>
    <w:r w:rsidRPr="00A03143">
      <w:rPr>
        <w:b/>
        <w:bCs/>
      </w:rPr>
      <w:fldChar w:fldCharType="begin"/>
    </w:r>
    <w:r w:rsidRPr="00A03143">
      <w:rPr>
        <w:b/>
        <w:bCs/>
      </w:rPr>
      <w:instrText xml:space="preserve"> TIME \@ "d MMMM yyyy HH:mm:ss" </w:instrText>
    </w:r>
    <w:r w:rsidRPr="00A03143">
      <w:rPr>
        <w:b/>
        <w:bCs/>
      </w:rPr>
      <w:fldChar w:fldCharType="separate"/>
    </w:r>
    <w:r w:rsidR="00F912AA">
      <w:rPr>
        <w:b/>
        <w:bCs/>
        <w:noProof/>
      </w:rPr>
      <w:t>2 octubre 2026 13:29:09</w:t>
    </w:r>
    <w:r w:rsidRPr="00A03143">
      <w:rPr>
        <w:b/>
        <w:bCs/>
      </w:rPr>
      <w:fldChar w:fldCharType="end"/>
    </w:r>
  </w:p>
  <w:p w14:paraId="4E714600" w14:textId="77777777" w:rsidR="009123AC" w:rsidRPr="00A03143" w:rsidRDefault="009123AC" w:rsidP="00EF36F0">
    <w:pPr>
      <w:tabs>
        <w:tab w:val="left" w:pos="7320"/>
      </w:tabs>
      <w:spacing w:line="240" w:lineRule="exact"/>
      <w:rPr>
        <w:b/>
        <w:bCs/>
      </w:rPr>
    </w:pPr>
    <w:r>
      <w:rPr>
        <w:b/>
        <w:bCs/>
        <w:noProof/>
      </w:rPr>
      <mc:AlternateContent>
        <mc:Choice Requires="wps">
          <w:drawing>
            <wp:anchor distT="4294967294" distB="4294967294" distL="114300" distR="114300" simplePos="0" relativeHeight="251654144" behindDoc="0" locked="0" layoutInCell="1" allowOverlap="1" wp14:anchorId="47F0FD2F" wp14:editId="032DCCCB">
              <wp:simplePos x="0" y="0"/>
              <wp:positionH relativeFrom="column">
                <wp:posOffset>0</wp:posOffset>
              </wp:positionH>
              <wp:positionV relativeFrom="paragraph">
                <wp:posOffset>17144</wp:posOffset>
              </wp:positionV>
              <wp:extent cx="5715000"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984DF8" id="Straight Connector 1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67522" w14:textId="6DB5B5CC" w:rsidR="009123AC" w:rsidRDefault="00E82FA3" w:rsidP="00E82FA3">
    <w:pPr>
      <w:spacing w:after="0" w:line="240" w:lineRule="auto"/>
      <w:contextualSpacing/>
      <w:jc w:val="center"/>
    </w:pPr>
    <w:r>
      <w:rPr>
        <w:rFonts w:ascii="Arial" w:hAnsi="Arial"/>
        <w:sz w:val="16"/>
      </w:rPr>
      <w:t>REUNIÓN INTERSESIONES DE LA SUBCOMISIÓN 2 - FORMATO HÍBRIDO, MADRID, MARZO DE 2026</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1A61" w14:textId="55494C02" w:rsidR="009123AC" w:rsidRPr="004E3454" w:rsidRDefault="00E6492A" w:rsidP="00E6492A">
    <w:pPr>
      <w:spacing w:after="0" w:line="240" w:lineRule="auto"/>
      <w:contextualSpacing/>
      <w:jc w:val="center"/>
    </w:pPr>
    <w:r>
      <w:rPr>
        <w:rFonts w:ascii="Arial" w:hAnsi="Arial"/>
        <w:sz w:val="16"/>
      </w:rPr>
      <w:t>REUNIÓN INTERSESIONES DE LA SUBCOMISIÓN 2 - FORMATO HÍBRIDO, MADRID, MARZO DE 2026</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F0B3" w14:textId="77777777" w:rsidR="009123AC" w:rsidRPr="00A03143" w:rsidRDefault="009123AC" w:rsidP="002813AE">
    <w:pPr>
      <w:spacing w:line="240" w:lineRule="exact"/>
      <w:rPr>
        <w:rFonts w:ascii="Cambria" w:hAnsi="Cambria"/>
        <w:b/>
        <w:bCs/>
        <w:sz w:val="28"/>
      </w:rPr>
    </w:pPr>
    <w:r w:rsidRPr="00FD2DFC">
      <w:rPr>
        <w:rFonts w:ascii="Cambria" w:hAnsi="Cambria"/>
        <w:b/>
        <w:lang w:val="en-US"/>
      </w:rPr>
      <w:t>COMMISSION 2016 – Guidelines preparation bluefin tuna plans</w:t>
    </w:r>
    <w:r w:rsidRPr="00FD2DFC">
      <w:rPr>
        <w:rFonts w:ascii="Cambria" w:hAnsi="Cambria"/>
        <w:b/>
        <w:lang w:val="en-US"/>
      </w:rPr>
      <w:tab/>
    </w:r>
    <w:r w:rsidRPr="00FD2DFC">
      <w:rPr>
        <w:rFonts w:ascii="Cambria" w:hAnsi="Cambria"/>
        <w:b/>
        <w:sz w:val="26"/>
        <w:lang w:val="en-US"/>
      </w:rPr>
      <w:t xml:space="preserve">Doc. </w:t>
    </w:r>
    <w:proofErr w:type="spellStart"/>
    <w:r>
      <w:rPr>
        <w:rFonts w:ascii="Cambria" w:hAnsi="Cambria"/>
        <w:b/>
        <w:sz w:val="26"/>
      </w:rPr>
      <w:t>Nº</w:t>
    </w:r>
    <w:proofErr w:type="spellEnd"/>
    <w:r>
      <w:rPr>
        <w:rFonts w:ascii="Cambria" w:hAnsi="Cambria"/>
        <w:b/>
        <w:sz w:val="26"/>
      </w:rPr>
      <w:t xml:space="preserve"> PA2-602/2016</w:t>
    </w:r>
  </w:p>
  <w:p w14:paraId="2CB2B8FA" w14:textId="2278F70F" w:rsidR="009123AC" w:rsidRPr="002813AE" w:rsidRDefault="009123AC" w:rsidP="002813AE">
    <w:pPr>
      <w:tabs>
        <w:tab w:val="left" w:pos="7320"/>
      </w:tabs>
      <w:spacing w:line="240" w:lineRule="exact"/>
      <w:rPr>
        <w:rFonts w:ascii="Cambria" w:hAnsi="Cambria"/>
        <w:b/>
        <w:bCs/>
        <w:sz w:val="20"/>
      </w:rPr>
    </w:pPr>
    <w:r w:rsidRPr="00A03143">
      <w:rPr>
        <w:rFonts w:ascii="Cambria" w:hAnsi="Cambria"/>
        <w:b/>
        <w:sz w:val="20"/>
      </w:rPr>
      <w:fldChar w:fldCharType="begin"/>
    </w:r>
    <w:r w:rsidRPr="00A03143">
      <w:rPr>
        <w:rFonts w:ascii="Cambria" w:hAnsi="Cambria"/>
        <w:b/>
        <w:sz w:val="20"/>
      </w:rPr>
      <w:instrText xml:space="preserve"> TIME \@ "d MMMM yyyy HH:mm:ss" </w:instrText>
    </w:r>
    <w:r w:rsidRPr="00A03143">
      <w:rPr>
        <w:rFonts w:ascii="Cambria" w:hAnsi="Cambria"/>
        <w:b/>
        <w:sz w:val="20"/>
      </w:rPr>
      <w:fldChar w:fldCharType="separate"/>
    </w:r>
    <w:r w:rsidR="00F912AA">
      <w:rPr>
        <w:rFonts w:ascii="Cambria" w:hAnsi="Cambria"/>
        <w:b/>
        <w:noProof/>
        <w:sz w:val="20"/>
      </w:rPr>
      <w:t>2 octubre 2026 13:29:09</w:t>
    </w:r>
    <w:r w:rsidRPr="00A03143">
      <w:rPr>
        <w:rFonts w:ascii="Cambria" w:hAnsi="Cambria"/>
        <w:b/>
        <w:bCs/>
        <w:sz w:val="20"/>
      </w:rPr>
      <w:fldChar w:fldCharType="end"/>
    </w:r>
    <w:r>
      <w:rPr>
        <w:rFonts w:ascii="Cambria" w:hAnsi="Cambria"/>
        <w:b/>
        <w:sz w:val="20"/>
      </w:rPr>
      <w:t xml:space="preserve">; </w:t>
    </w:r>
    <w:r w:rsidRPr="00A03143">
      <w:rPr>
        <w:rFonts w:ascii="Cambria" w:hAnsi="Cambria"/>
        <w:b/>
        <w:sz w:val="20"/>
      </w:rPr>
      <w:fldChar w:fldCharType="begin"/>
    </w:r>
    <w:r w:rsidRPr="00A03143">
      <w:rPr>
        <w:rFonts w:ascii="Cambria" w:hAnsi="Cambria"/>
        <w:b/>
        <w:sz w:val="20"/>
      </w:rPr>
      <w:instrText xml:space="preserve"> TIME \@ "d MMMM yyyy HH:mm:ss" </w:instrText>
    </w:r>
    <w:r w:rsidRPr="00A03143">
      <w:rPr>
        <w:rFonts w:ascii="Cambria" w:hAnsi="Cambria"/>
        <w:b/>
        <w:sz w:val="20"/>
      </w:rPr>
      <w:fldChar w:fldCharType="separate"/>
    </w:r>
    <w:r w:rsidR="00F912AA">
      <w:rPr>
        <w:rFonts w:ascii="Cambria" w:hAnsi="Cambria"/>
        <w:b/>
        <w:noProof/>
        <w:sz w:val="20"/>
      </w:rPr>
      <w:t>2 octubre 2026 13:29:09</w:t>
    </w:r>
    <w:r w:rsidRPr="00A03143">
      <w:rPr>
        <w:rFonts w:ascii="Cambria" w:hAnsi="Cambria"/>
        <w:b/>
        <w:bCs/>
        <w:sz w:val="20"/>
      </w:rPr>
      <w:fldChar w:fldCharType="end"/>
    </w:r>
  </w:p>
  <w:p w14:paraId="5F6F2044" w14:textId="77777777" w:rsidR="009123AC" w:rsidRPr="00A03143" w:rsidRDefault="009123AC" w:rsidP="002813AE">
    <w:pPr>
      <w:tabs>
        <w:tab w:val="left" w:pos="7320"/>
      </w:tabs>
      <w:spacing w:line="240" w:lineRule="exact"/>
      <w:rPr>
        <w:rFonts w:ascii="Cambria" w:hAnsi="Cambria"/>
        <w:b/>
        <w:bCs/>
        <w:sz w:val="20"/>
      </w:rPr>
    </w:pPr>
    <w:r>
      <w:rPr>
        <w:rFonts w:ascii="Cambria" w:hAnsi="Cambria"/>
        <w:b/>
        <w:noProof/>
        <w:sz w:val="20"/>
      </w:rPr>
      <mc:AlternateContent>
        <mc:Choice Requires="wps">
          <w:drawing>
            <wp:anchor distT="0" distB="0" distL="114300" distR="114300" simplePos="0" relativeHeight="251658240" behindDoc="0" locked="0" layoutInCell="1" allowOverlap="1" wp14:anchorId="3968EAD0" wp14:editId="0904F832">
              <wp:simplePos x="0" y="0"/>
              <wp:positionH relativeFrom="column">
                <wp:posOffset>0</wp:posOffset>
              </wp:positionH>
              <wp:positionV relativeFrom="paragraph">
                <wp:posOffset>17145</wp:posOffset>
              </wp:positionV>
              <wp:extent cx="5715000" cy="0"/>
              <wp:effectExtent l="9525" t="7620" r="9525" b="11430"/>
              <wp:wrapNone/>
              <wp:docPr id="685593035" name="Straight Connector 6855930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64B983" id="Straight Connector 68559303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5010" w14:textId="77777777" w:rsidR="002962EE" w:rsidRPr="00584718" w:rsidRDefault="002962EE" w:rsidP="00E82FA3">
    <w:pPr>
      <w:spacing w:after="0" w:line="240" w:lineRule="auto"/>
      <w:contextualSpacing/>
      <w:jc w:val="center"/>
    </w:pPr>
    <w:r>
      <w:rPr>
        <w:rFonts w:ascii="Arial" w:hAnsi="Arial"/>
        <w:sz w:val="16"/>
      </w:rPr>
      <w:t>REUNIÓN INTERSESIONES DE LA SUBCOMISIÓN 2 - FORMATO HÍBRIDO, MADRID, MARZO DE 2026</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428C" w14:textId="77777777" w:rsidR="002962EE" w:rsidRPr="00A03143" w:rsidRDefault="002962EE" w:rsidP="00D9377D">
    <w:pPr>
      <w:spacing w:line="240" w:lineRule="exact"/>
      <w:rPr>
        <w:b/>
        <w:bCs/>
        <w:sz w:val="28"/>
      </w:rPr>
    </w:pPr>
    <w:r w:rsidRPr="00B90273">
      <w:rPr>
        <w:b/>
        <w:bCs/>
        <w:lang w:val="en-US"/>
      </w:rPr>
      <w:t>COMMISSION 2016 – Guidelines preparation bluefin tuna plans</w:t>
    </w:r>
    <w:r w:rsidRPr="00B90273">
      <w:rPr>
        <w:b/>
        <w:bCs/>
        <w:lang w:val="en-US"/>
      </w:rPr>
      <w:tab/>
    </w:r>
    <w:r w:rsidRPr="00B90273">
      <w:rPr>
        <w:b/>
        <w:bCs/>
        <w:sz w:val="26"/>
        <w:szCs w:val="26"/>
        <w:lang w:val="en-US"/>
      </w:rPr>
      <w:t xml:space="preserve">Doc. </w:t>
    </w:r>
    <w:proofErr w:type="spellStart"/>
    <w:r>
      <w:rPr>
        <w:b/>
        <w:bCs/>
        <w:sz w:val="26"/>
        <w:szCs w:val="26"/>
      </w:rPr>
      <w:t>Nº</w:t>
    </w:r>
    <w:proofErr w:type="spellEnd"/>
    <w:r>
      <w:rPr>
        <w:b/>
        <w:bCs/>
        <w:sz w:val="26"/>
        <w:szCs w:val="26"/>
      </w:rPr>
      <w:t xml:space="preserve"> PA2-602/2016</w:t>
    </w:r>
  </w:p>
  <w:p w14:paraId="71FAB4EC" w14:textId="5BF3DE83" w:rsidR="002962EE" w:rsidRPr="002813AE" w:rsidRDefault="002962EE" w:rsidP="00D9377D">
    <w:pPr>
      <w:tabs>
        <w:tab w:val="left" w:pos="7320"/>
      </w:tabs>
      <w:spacing w:line="240" w:lineRule="exact"/>
      <w:rPr>
        <w:b/>
        <w:bCs/>
      </w:rPr>
    </w:pPr>
    <w:r w:rsidRPr="00A03143">
      <w:rPr>
        <w:b/>
        <w:bCs/>
      </w:rPr>
      <w:fldChar w:fldCharType="begin"/>
    </w:r>
    <w:r w:rsidRPr="00A03143">
      <w:rPr>
        <w:b/>
        <w:bCs/>
      </w:rPr>
      <w:instrText xml:space="preserve"> TIME \@ "d MMMM yyyy HH:mm:ss" </w:instrText>
    </w:r>
    <w:r w:rsidRPr="00A03143">
      <w:rPr>
        <w:b/>
        <w:bCs/>
      </w:rPr>
      <w:fldChar w:fldCharType="separate"/>
    </w:r>
    <w:r w:rsidR="00F912AA">
      <w:rPr>
        <w:b/>
        <w:bCs/>
        <w:noProof/>
      </w:rPr>
      <w:t>2 octubre 2026 13:29:09</w:t>
    </w:r>
    <w:r w:rsidRPr="00A03143">
      <w:rPr>
        <w:b/>
        <w:bCs/>
      </w:rPr>
      <w:fldChar w:fldCharType="end"/>
    </w:r>
    <w:r>
      <w:rPr>
        <w:b/>
        <w:bCs/>
      </w:rPr>
      <w:t xml:space="preserve">; </w:t>
    </w:r>
    <w:r w:rsidRPr="00A03143">
      <w:rPr>
        <w:b/>
        <w:bCs/>
      </w:rPr>
      <w:fldChar w:fldCharType="begin"/>
    </w:r>
    <w:r w:rsidRPr="00A03143">
      <w:rPr>
        <w:b/>
        <w:bCs/>
      </w:rPr>
      <w:instrText xml:space="preserve"> TIME \@ "d MMMM yyyy HH:mm:ss" </w:instrText>
    </w:r>
    <w:r w:rsidRPr="00A03143">
      <w:rPr>
        <w:b/>
        <w:bCs/>
      </w:rPr>
      <w:fldChar w:fldCharType="separate"/>
    </w:r>
    <w:r w:rsidR="00F912AA">
      <w:rPr>
        <w:b/>
        <w:bCs/>
        <w:noProof/>
      </w:rPr>
      <w:t>2 octubre 2026 13:29:09</w:t>
    </w:r>
    <w:r w:rsidRPr="00A03143">
      <w:rPr>
        <w:b/>
        <w:bCs/>
      </w:rPr>
      <w:fldChar w:fldCharType="end"/>
    </w:r>
  </w:p>
  <w:p w14:paraId="39FBA730" w14:textId="77777777" w:rsidR="002962EE" w:rsidRPr="00A03143" w:rsidRDefault="002962EE" w:rsidP="00D9377D">
    <w:pPr>
      <w:tabs>
        <w:tab w:val="left" w:pos="7320"/>
      </w:tabs>
      <w:spacing w:line="240" w:lineRule="exact"/>
      <w:rPr>
        <w:b/>
        <w:bCs/>
      </w:rPr>
    </w:pPr>
    <w:r>
      <w:rPr>
        <w:noProof/>
      </w:rPr>
      <mc:AlternateContent>
        <mc:Choice Requires="wps">
          <w:drawing>
            <wp:anchor distT="0" distB="0" distL="114300" distR="114300" simplePos="0" relativeHeight="251665408" behindDoc="0" locked="0" layoutInCell="1" allowOverlap="1" wp14:anchorId="54921716" wp14:editId="038C80AF">
              <wp:simplePos x="0" y="0"/>
              <wp:positionH relativeFrom="column">
                <wp:posOffset>0</wp:posOffset>
              </wp:positionH>
              <wp:positionV relativeFrom="paragraph">
                <wp:posOffset>17145</wp:posOffset>
              </wp:positionV>
              <wp:extent cx="5715000" cy="0"/>
              <wp:effectExtent l="9525" t="7620" r="9525" b="1143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7CBF83" id="Straight Connector 1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03F73" w14:textId="0B96A11C" w:rsidR="009123AC" w:rsidRDefault="00515BB6" w:rsidP="00515BB6">
    <w:pPr>
      <w:spacing w:after="0" w:line="240" w:lineRule="auto"/>
      <w:contextualSpacing/>
      <w:jc w:val="center"/>
    </w:pPr>
    <w:r>
      <w:rPr>
        <w:rFonts w:ascii="Arial" w:hAnsi="Arial"/>
        <w:sz w:val="16"/>
      </w:rPr>
      <w:t>REUNIÓN INTERSESIONES DE LA SUBCOMISIÓN 2 - FORMATO HÍBRIDO, MADRID, MARZO DE 2026</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47277" w14:textId="77777777" w:rsidR="009123AC" w:rsidRPr="00A03143" w:rsidRDefault="009123AC" w:rsidP="002813AE">
    <w:pPr>
      <w:spacing w:line="240" w:lineRule="exact"/>
      <w:rPr>
        <w:rFonts w:ascii="Cambria" w:hAnsi="Cambria"/>
        <w:b/>
        <w:bCs/>
        <w:sz w:val="28"/>
      </w:rPr>
    </w:pPr>
    <w:r w:rsidRPr="00DC7689">
      <w:rPr>
        <w:rFonts w:ascii="Cambria" w:hAnsi="Cambria"/>
        <w:b/>
        <w:lang w:val="en-US"/>
      </w:rPr>
      <w:t>COMMISSION 2016 – Guidelines preparation bluefin tuna plans</w:t>
    </w:r>
    <w:r w:rsidRPr="00DC7689">
      <w:rPr>
        <w:rFonts w:ascii="Cambria" w:hAnsi="Cambria"/>
        <w:b/>
        <w:lang w:val="en-US"/>
      </w:rPr>
      <w:tab/>
    </w:r>
    <w:r w:rsidRPr="00DC7689">
      <w:rPr>
        <w:rFonts w:ascii="Cambria" w:hAnsi="Cambria"/>
        <w:b/>
        <w:sz w:val="26"/>
        <w:lang w:val="en-US"/>
      </w:rPr>
      <w:t xml:space="preserve">Doc. </w:t>
    </w:r>
    <w:r>
      <w:rPr>
        <w:rFonts w:ascii="Cambria" w:hAnsi="Cambria"/>
        <w:b/>
        <w:sz w:val="26"/>
      </w:rPr>
      <w:t>PA2-602/2016</w:t>
    </w:r>
  </w:p>
  <w:p w14:paraId="12981B52" w14:textId="6F6472EC" w:rsidR="009123AC" w:rsidRPr="002813AE" w:rsidRDefault="009123AC" w:rsidP="002813AE">
    <w:pPr>
      <w:tabs>
        <w:tab w:val="left" w:pos="7320"/>
      </w:tabs>
      <w:spacing w:line="240" w:lineRule="exact"/>
      <w:rPr>
        <w:rFonts w:ascii="Cambria" w:hAnsi="Cambria"/>
        <w:b/>
        <w:bCs/>
        <w:sz w:val="20"/>
      </w:rPr>
    </w:pPr>
    <w:r w:rsidRPr="00A03143">
      <w:rPr>
        <w:rFonts w:ascii="Cambria" w:hAnsi="Cambria"/>
        <w:b/>
        <w:sz w:val="20"/>
      </w:rPr>
      <w:fldChar w:fldCharType="begin"/>
    </w:r>
    <w:r w:rsidRPr="00A03143">
      <w:rPr>
        <w:rFonts w:ascii="Cambria" w:hAnsi="Cambria"/>
        <w:b/>
        <w:sz w:val="20"/>
      </w:rPr>
      <w:instrText xml:space="preserve"> TIME \@ "d MMMM yyyy HH:mm:ss" </w:instrText>
    </w:r>
    <w:r w:rsidRPr="00A03143">
      <w:rPr>
        <w:rFonts w:ascii="Cambria" w:hAnsi="Cambria"/>
        <w:b/>
        <w:sz w:val="20"/>
      </w:rPr>
      <w:fldChar w:fldCharType="separate"/>
    </w:r>
    <w:r w:rsidR="00F912AA">
      <w:rPr>
        <w:rFonts w:ascii="Cambria" w:hAnsi="Cambria"/>
        <w:b/>
        <w:noProof/>
        <w:sz w:val="20"/>
      </w:rPr>
      <w:t>2 octubre 2026 13:29:09</w:t>
    </w:r>
    <w:r w:rsidRPr="00A03143">
      <w:rPr>
        <w:rFonts w:ascii="Cambria" w:hAnsi="Cambria"/>
        <w:b/>
        <w:bCs/>
        <w:sz w:val="20"/>
      </w:rPr>
      <w:fldChar w:fldCharType="end"/>
    </w:r>
    <w:r>
      <w:rPr>
        <w:rFonts w:ascii="Cambria" w:hAnsi="Cambria"/>
        <w:b/>
        <w:sz w:val="20"/>
      </w:rPr>
      <w:t xml:space="preserve">; </w:t>
    </w:r>
    <w:r w:rsidRPr="00A03143">
      <w:rPr>
        <w:rFonts w:ascii="Cambria" w:hAnsi="Cambria"/>
        <w:b/>
        <w:sz w:val="20"/>
      </w:rPr>
      <w:fldChar w:fldCharType="begin"/>
    </w:r>
    <w:r w:rsidRPr="00A03143">
      <w:rPr>
        <w:rFonts w:ascii="Cambria" w:hAnsi="Cambria"/>
        <w:b/>
        <w:sz w:val="20"/>
      </w:rPr>
      <w:instrText xml:space="preserve"> TIME \@ "d MMMM yyyy HH:mm:ss" </w:instrText>
    </w:r>
    <w:r w:rsidRPr="00A03143">
      <w:rPr>
        <w:rFonts w:ascii="Cambria" w:hAnsi="Cambria"/>
        <w:b/>
        <w:sz w:val="20"/>
      </w:rPr>
      <w:fldChar w:fldCharType="separate"/>
    </w:r>
    <w:r w:rsidR="00F912AA">
      <w:rPr>
        <w:rFonts w:ascii="Cambria" w:hAnsi="Cambria"/>
        <w:b/>
        <w:noProof/>
        <w:sz w:val="20"/>
      </w:rPr>
      <w:t>2 octubre 2026 13:29:09</w:t>
    </w:r>
    <w:r w:rsidRPr="00A03143">
      <w:rPr>
        <w:rFonts w:ascii="Cambria" w:hAnsi="Cambria"/>
        <w:b/>
        <w:bCs/>
        <w:sz w:val="20"/>
      </w:rPr>
      <w:fldChar w:fldCharType="end"/>
    </w:r>
  </w:p>
  <w:p w14:paraId="705CD554" w14:textId="77777777" w:rsidR="009123AC" w:rsidRPr="00A03143" w:rsidRDefault="009123AC" w:rsidP="002813AE">
    <w:pPr>
      <w:tabs>
        <w:tab w:val="left" w:pos="7320"/>
      </w:tabs>
      <w:spacing w:line="240" w:lineRule="exact"/>
      <w:rPr>
        <w:rFonts w:ascii="Cambria" w:hAnsi="Cambria"/>
        <w:b/>
        <w:bCs/>
        <w:sz w:val="20"/>
      </w:rPr>
    </w:pPr>
    <w:r>
      <w:rPr>
        <w:rFonts w:ascii="Cambria" w:hAnsi="Cambria"/>
        <w:b/>
        <w:noProof/>
        <w:sz w:val="20"/>
      </w:rPr>
      <mc:AlternateContent>
        <mc:Choice Requires="wps">
          <w:drawing>
            <wp:anchor distT="0" distB="0" distL="114300" distR="114300" simplePos="0" relativeHeight="251663360" behindDoc="0" locked="0" layoutInCell="1" allowOverlap="1" wp14:anchorId="6B832F1B" wp14:editId="22B32156">
              <wp:simplePos x="0" y="0"/>
              <wp:positionH relativeFrom="column">
                <wp:posOffset>0</wp:posOffset>
              </wp:positionH>
              <wp:positionV relativeFrom="paragraph">
                <wp:posOffset>17145</wp:posOffset>
              </wp:positionV>
              <wp:extent cx="5715000" cy="0"/>
              <wp:effectExtent l="9525" t="7620" r="9525" b="11430"/>
              <wp:wrapNone/>
              <wp:docPr id="2043352075" name="Straight Connector 20433520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1A821" id="Straight Connector 204335207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AB8B9" w14:textId="570CC47A" w:rsidR="009123AC" w:rsidRPr="00BE5524" w:rsidRDefault="004F0315" w:rsidP="004F0315">
    <w:pPr>
      <w:spacing w:after="0" w:line="240" w:lineRule="auto"/>
      <w:contextualSpacing/>
      <w:jc w:val="center"/>
    </w:pPr>
    <w:r>
      <w:rPr>
        <w:rFonts w:ascii="Arial" w:hAnsi="Arial"/>
        <w:sz w:val="16"/>
      </w:rPr>
      <w:t>REUNIÓN INTERSESIONES DE LA SUBCOMISIÓN 2 - FORMATO HÍBRIDO, MADRID, MARZO DE 2026</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31695" w14:textId="58029BB7" w:rsidR="009123AC" w:rsidRPr="002843A3" w:rsidRDefault="004F0315" w:rsidP="004F0315">
    <w:pPr>
      <w:spacing w:after="0" w:line="240" w:lineRule="auto"/>
      <w:contextualSpacing/>
      <w:jc w:val="center"/>
    </w:pPr>
    <w:r>
      <w:rPr>
        <w:rFonts w:ascii="Arial" w:hAnsi="Arial"/>
        <w:sz w:val="16"/>
      </w:rPr>
      <w:t>REUNIÓN INTERSESIONES DE LA SUBCOMISIÓN 2 - FORMATO HÍBRIDO, MADRID, MARZO DE 2026</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F1AED" w14:textId="67E6C163" w:rsidR="009123AC" w:rsidRPr="0058028B" w:rsidRDefault="004F0315" w:rsidP="004F0315">
    <w:pPr>
      <w:spacing w:after="0" w:line="240" w:lineRule="auto"/>
      <w:contextualSpacing/>
      <w:jc w:val="center"/>
    </w:pPr>
    <w:r>
      <w:rPr>
        <w:rFonts w:ascii="Arial" w:hAnsi="Arial"/>
        <w:sz w:val="16"/>
      </w:rPr>
      <w:t>REUNIÓN INTERSESIONES DE LA SUBCOMISIÓN 2 - FORMATO HÍBRIDO, MADRID, MARZO DE 2026</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3663B" w14:textId="77777777" w:rsidR="009123AC" w:rsidRPr="00A03143" w:rsidRDefault="009123AC" w:rsidP="002813AE">
    <w:pPr>
      <w:spacing w:line="240" w:lineRule="exact"/>
      <w:rPr>
        <w:rFonts w:ascii="Cambria" w:hAnsi="Cambria"/>
        <w:b/>
        <w:bCs/>
        <w:sz w:val="28"/>
      </w:rPr>
    </w:pPr>
    <w:r w:rsidRPr="00FD7F5F">
      <w:rPr>
        <w:rFonts w:ascii="Cambria" w:hAnsi="Cambria"/>
        <w:b/>
        <w:lang w:val="en-US"/>
      </w:rPr>
      <w:t>COMMISSION 2016 – Guidelines preparation bluefin tuna plans</w:t>
    </w:r>
    <w:r w:rsidRPr="00FD7F5F">
      <w:rPr>
        <w:rFonts w:ascii="Cambria" w:hAnsi="Cambria"/>
        <w:b/>
        <w:lang w:val="en-US"/>
      </w:rPr>
      <w:tab/>
    </w:r>
    <w:r w:rsidRPr="00FD7F5F">
      <w:rPr>
        <w:rFonts w:ascii="Cambria" w:hAnsi="Cambria"/>
        <w:b/>
        <w:sz w:val="26"/>
        <w:lang w:val="en-US"/>
      </w:rPr>
      <w:t xml:space="preserve">Doc. </w:t>
    </w:r>
    <w:proofErr w:type="spellStart"/>
    <w:r>
      <w:rPr>
        <w:rFonts w:ascii="Cambria" w:hAnsi="Cambria"/>
        <w:b/>
        <w:sz w:val="26"/>
      </w:rPr>
      <w:t>Nº</w:t>
    </w:r>
    <w:proofErr w:type="spellEnd"/>
    <w:r>
      <w:rPr>
        <w:rFonts w:ascii="Cambria" w:hAnsi="Cambria"/>
        <w:b/>
        <w:sz w:val="26"/>
      </w:rPr>
      <w:t xml:space="preserve"> PA2-602/2016</w:t>
    </w:r>
  </w:p>
  <w:p w14:paraId="0745BF34" w14:textId="01B9631B" w:rsidR="009123AC" w:rsidRPr="002813AE" w:rsidRDefault="009123AC" w:rsidP="002813AE">
    <w:pPr>
      <w:tabs>
        <w:tab w:val="left" w:pos="7320"/>
      </w:tabs>
      <w:spacing w:line="240" w:lineRule="exact"/>
      <w:rPr>
        <w:rFonts w:ascii="Cambria" w:hAnsi="Cambria"/>
        <w:b/>
        <w:bCs/>
        <w:sz w:val="20"/>
      </w:rPr>
    </w:pPr>
    <w:r w:rsidRPr="00A03143">
      <w:rPr>
        <w:rFonts w:ascii="Cambria" w:hAnsi="Cambria"/>
        <w:b/>
        <w:sz w:val="20"/>
      </w:rPr>
      <w:fldChar w:fldCharType="begin"/>
    </w:r>
    <w:r w:rsidRPr="00A03143">
      <w:rPr>
        <w:rFonts w:ascii="Cambria" w:hAnsi="Cambria"/>
        <w:b/>
        <w:sz w:val="20"/>
      </w:rPr>
      <w:instrText xml:space="preserve"> TIME \@ "d MMMM yyyy HH:mm:ss" </w:instrText>
    </w:r>
    <w:r w:rsidRPr="00A03143">
      <w:rPr>
        <w:rFonts w:ascii="Cambria" w:hAnsi="Cambria"/>
        <w:b/>
        <w:sz w:val="20"/>
      </w:rPr>
      <w:fldChar w:fldCharType="separate"/>
    </w:r>
    <w:r w:rsidR="00F912AA">
      <w:rPr>
        <w:rFonts w:ascii="Cambria" w:hAnsi="Cambria"/>
        <w:b/>
        <w:noProof/>
        <w:sz w:val="20"/>
      </w:rPr>
      <w:t>2 octubre 2026 13:29:09</w:t>
    </w:r>
    <w:r w:rsidRPr="00A03143">
      <w:rPr>
        <w:rFonts w:ascii="Cambria" w:hAnsi="Cambria"/>
        <w:b/>
        <w:bCs/>
        <w:sz w:val="20"/>
      </w:rPr>
      <w:fldChar w:fldCharType="end"/>
    </w:r>
    <w:r>
      <w:rPr>
        <w:rFonts w:ascii="Cambria" w:hAnsi="Cambria"/>
        <w:b/>
        <w:sz w:val="20"/>
      </w:rPr>
      <w:t xml:space="preserve">; </w:t>
    </w:r>
    <w:r w:rsidRPr="00A03143">
      <w:rPr>
        <w:rFonts w:ascii="Cambria" w:hAnsi="Cambria"/>
        <w:b/>
        <w:sz w:val="20"/>
      </w:rPr>
      <w:fldChar w:fldCharType="begin"/>
    </w:r>
    <w:r w:rsidRPr="00A03143">
      <w:rPr>
        <w:rFonts w:ascii="Cambria" w:hAnsi="Cambria"/>
        <w:b/>
        <w:sz w:val="20"/>
      </w:rPr>
      <w:instrText xml:space="preserve"> TIME \@ "d MMMM yyyy HH:mm:ss" </w:instrText>
    </w:r>
    <w:r w:rsidRPr="00A03143">
      <w:rPr>
        <w:rFonts w:ascii="Cambria" w:hAnsi="Cambria"/>
        <w:b/>
        <w:sz w:val="20"/>
      </w:rPr>
      <w:fldChar w:fldCharType="separate"/>
    </w:r>
    <w:r w:rsidR="00F912AA">
      <w:rPr>
        <w:rFonts w:ascii="Cambria" w:hAnsi="Cambria"/>
        <w:b/>
        <w:noProof/>
        <w:sz w:val="20"/>
      </w:rPr>
      <w:t>2 octubre 2026 13:29:09</w:t>
    </w:r>
    <w:r w:rsidRPr="00A03143">
      <w:rPr>
        <w:rFonts w:ascii="Cambria" w:hAnsi="Cambria"/>
        <w:b/>
        <w:bCs/>
        <w:sz w:val="20"/>
      </w:rPr>
      <w:fldChar w:fldCharType="end"/>
    </w:r>
  </w:p>
  <w:p w14:paraId="19C4D23C" w14:textId="77777777" w:rsidR="009123AC" w:rsidRPr="00A03143" w:rsidRDefault="009123AC" w:rsidP="002813AE">
    <w:pPr>
      <w:tabs>
        <w:tab w:val="left" w:pos="7320"/>
      </w:tabs>
      <w:spacing w:line="240" w:lineRule="exact"/>
      <w:rPr>
        <w:rFonts w:ascii="Cambria" w:hAnsi="Cambria"/>
        <w:b/>
        <w:bCs/>
        <w:sz w:val="20"/>
      </w:rPr>
    </w:pPr>
    <w:r>
      <w:rPr>
        <w:rFonts w:ascii="Cambria" w:hAnsi="Cambria"/>
        <w:b/>
        <w:noProof/>
        <w:sz w:val="20"/>
      </w:rPr>
      <mc:AlternateContent>
        <mc:Choice Requires="wps">
          <w:drawing>
            <wp:anchor distT="0" distB="0" distL="114300" distR="114300" simplePos="0" relativeHeight="251660288" behindDoc="0" locked="0" layoutInCell="1" allowOverlap="1" wp14:anchorId="635E57C3" wp14:editId="3559C97A">
              <wp:simplePos x="0" y="0"/>
              <wp:positionH relativeFrom="column">
                <wp:posOffset>0</wp:posOffset>
              </wp:positionH>
              <wp:positionV relativeFrom="paragraph">
                <wp:posOffset>17145</wp:posOffset>
              </wp:positionV>
              <wp:extent cx="5715000" cy="0"/>
              <wp:effectExtent l="9525" t="7620" r="9525" b="11430"/>
              <wp:wrapNone/>
              <wp:docPr id="1470371851" name="Straight Connector 14703718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EDF70" id="Straight Connector 147037185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FCB3B" w14:textId="09E19561" w:rsidR="009123AC" w:rsidRPr="008A08DA" w:rsidRDefault="00941B0E" w:rsidP="00941B0E">
    <w:pPr>
      <w:spacing w:after="0" w:line="240" w:lineRule="auto"/>
      <w:contextualSpacing/>
      <w:jc w:val="center"/>
    </w:pPr>
    <w:r>
      <w:rPr>
        <w:rFonts w:ascii="Arial" w:hAnsi="Arial"/>
        <w:sz w:val="16"/>
      </w:rPr>
      <w:t>REUNIÓN INTERSESIONES DE LA SUBCOMISIÓN 2 - FORMATO HÍBRIDO, MADRID, MARZO DE 2026</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B926" w14:textId="03076B15" w:rsidR="009123AC" w:rsidRPr="009A639E" w:rsidRDefault="00941B0E" w:rsidP="00941B0E">
    <w:pPr>
      <w:spacing w:after="0" w:line="240" w:lineRule="auto"/>
      <w:contextualSpacing/>
      <w:jc w:val="center"/>
    </w:pPr>
    <w:r>
      <w:rPr>
        <w:rFonts w:ascii="Arial" w:hAnsi="Arial"/>
        <w:sz w:val="16"/>
      </w:rPr>
      <w:t>REUNIÓN INTERSESIONES DE LA SUBCOMISIÓN 2 - FORMATO HÍBRIDO, MADRID, MARZO DE 2026</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4D97A" w14:textId="77777777" w:rsidR="009123AC" w:rsidRPr="00A03143" w:rsidRDefault="009123AC" w:rsidP="002813AE">
    <w:pPr>
      <w:spacing w:line="240" w:lineRule="exact"/>
      <w:rPr>
        <w:rFonts w:ascii="Cambria" w:hAnsi="Cambria"/>
        <w:b/>
        <w:bCs/>
        <w:sz w:val="28"/>
      </w:rPr>
    </w:pPr>
    <w:r w:rsidRPr="0064198A">
      <w:rPr>
        <w:rFonts w:ascii="Cambria" w:hAnsi="Cambria"/>
        <w:b/>
        <w:bCs/>
        <w:lang w:val="en-US"/>
      </w:rPr>
      <w:t>COMMISSION 2016 – Guidelines preparation bluefin tuna plans</w:t>
    </w:r>
    <w:r w:rsidRPr="0064198A">
      <w:rPr>
        <w:rFonts w:ascii="Cambria" w:hAnsi="Cambria"/>
        <w:b/>
        <w:bCs/>
        <w:lang w:val="en-US"/>
      </w:rPr>
      <w:tab/>
    </w:r>
    <w:r w:rsidRPr="0064198A">
      <w:rPr>
        <w:rFonts w:ascii="Cambria" w:hAnsi="Cambria"/>
        <w:b/>
        <w:bCs/>
        <w:sz w:val="26"/>
        <w:szCs w:val="26"/>
        <w:lang w:val="en-US"/>
      </w:rPr>
      <w:t xml:space="preserve">Doc. </w:t>
    </w:r>
    <w:proofErr w:type="spellStart"/>
    <w:r>
      <w:rPr>
        <w:rFonts w:ascii="Cambria" w:hAnsi="Cambria"/>
        <w:b/>
        <w:bCs/>
        <w:sz w:val="26"/>
        <w:szCs w:val="26"/>
      </w:rPr>
      <w:t>Nº</w:t>
    </w:r>
    <w:proofErr w:type="spellEnd"/>
    <w:r>
      <w:rPr>
        <w:rFonts w:ascii="Cambria" w:hAnsi="Cambria"/>
        <w:b/>
        <w:bCs/>
        <w:sz w:val="26"/>
        <w:szCs w:val="26"/>
      </w:rPr>
      <w:t xml:space="preserve"> PA2-602 / 2016</w:t>
    </w:r>
  </w:p>
  <w:p w14:paraId="0D37FCDB" w14:textId="2E6C6DC7" w:rsidR="009123AC" w:rsidRPr="002813AE" w:rsidRDefault="009123AC" w:rsidP="002813AE">
    <w:pPr>
      <w:tabs>
        <w:tab w:val="left" w:pos="7320"/>
      </w:tabs>
      <w:spacing w:line="240" w:lineRule="exact"/>
      <w:rPr>
        <w:rFonts w:ascii="Cambria" w:hAnsi="Cambria"/>
        <w:b/>
        <w:bCs/>
        <w:sz w:val="20"/>
      </w:rPr>
    </w:pPr>
    <w:r w:rsidRPr="00A03143">
      <w:rPr>
        <w:rFonts w:ascii="Cambria" w:hAnsi="Cambria"/>
        <w:b/>
        <w:bCs/>
        <w:sz w:val="20"/>
      </w:rPr>
      <w:fldChar w:fldCharType="begin"/>
    </w:r>
    <w:r w:rsidRPr="00A03143">
      <w:rPr>
        <w:rFonts w:ascii="Cambria" w:hAnsi="Cambria"/>
        <w:b/>
        <w:bCs/>
        <w:sz w:val="20"/>
      </w:rPr>
      <w:instrText xml:space="preserve"> TIME \@ "d MMMM yyyy HH:mm:ss" </w:instrText>
    </w:r>
    <w:r w:rsidRPr="00A03143">
      <w:rPr>
        <w:rFonts w:ascii="Cambria" w:hAnsi="Cambria"/>
        <w:b/>
        <w:bCs/>
        <w:sz w:val="20"/>
      </w:rPr>
      <w:fldChar w:fldCharType="separate"/>
    </w:r>
    <w:r w:rsidR="00F912AA">
      <w:rPr>
        <w:rFonts w:ascii="Cambria" w:hAnsi="Cambria"/>
        <w:b/>
        <w:bCs/>
        <w:noProof/>
        <w:sz w:val="20"/>
      </w:rPr>
      <w:t>2 octubre 2026 13:29:09</w:t>
    </w:r>
    <w:r w:rsidRPr="00A03143">
      <w:rPr>
        <w:rFonts w:ascii="Cambria" w:hAnsi="Cambria"/>
        <w:b/>
        <w:bCs/>
        <w:sz w:val="20"/>
      </w:rPr>
      <w:fldChar w:fldCharType="end"/>
    </w:r>
    <w:r>
      <w:rPr>
        <w:rFonts w:ascii="Cambria" w:hAnsi="Cambria"/>
        <w:b/>
        <w:bCs/>
        <w:sz w:val="20"/>
      </w:rPr>
      <w:t xml:space="preserve">; </w:t>
    </w:r>
    <w:r w:rsidRPr="00A03143">
      <w:rPr>
        <w:rFonts w:ascii="Cambria" w:hAnsi="Cambria"/>
        <w:b/>
        <w:bCs/>
        <w:sz w:val="20"/>
      </w:rPr>
      <w:fldChar w:fldCharType="begin"/>
    </w:r>
    <w:r w:rsidRPr="00A03143">
      <w:rPr>
        <w:rFonts w:ascii="Cambria" w:hAnsi="Cambria"/>
        <w:b/>
        <w:bCs/>
        <w:sz w:val="20"/>
      </w:rPr>
      <w:instrText xml:space="preserve"> TIME \@ "d MMMM yyyy HH:mm:ss" </w:instrText>
    </w:r>
    <w:r w:rsidRPr="00A03143">
      <w:rPr>
        <w:rFonts w:ascii="Cambria" w:hAnsi="Cambria"/>
        <w:b/>
        <w:bCs/>
        <w:sz w:val="20"/>
      </w:rPr>
      <w:fldChar w:fldCharType="separate"/>
    </w:r>
    <w:r w:rsidR="00F912AA">
      <w:rPr>
        <w:rFonts w:ascii="Cambria" w:hAnsi="Cambria"/>
        <w:b/>
        <w:bCs/>
        <w:noProof/>
        <w:sz w:val="20"/>
      </w:rPr>
      <w:t>2 octubre 2026 13:29:09</w:t>
    </w:r>
    <w:r w:rsidRPr="00A03143">
      <w:rPr>
        <w:rFonts w:ascii="Cambria" w:hAnsi="Cambria"/>
        <w:b/>
        <w:bCs/>
        <w:sz w:val="20"/>
      </w:rPr>
      <w:fldChar w:fldCharType="end"/>
    </w:r>
  </w:p>
  <w:p w14:paraId="37EC27BD" w14:textId="77777777" w:rsidR="009123AC" w:rsidRPr="00A03143" w:rsidRDefault="009123AC" w:rsidP="002813AE">
    <w:pPr>
      <w:tabs>
        <w:tab w:val="left" w:pos="7320"/>
      </w:tabs>
      <w:spacing w:line="240" w:lineRule="exact"/>
      <w:rPr>
        <w:rFonts w:ascii="Cambria" w:hAnsi="Cambria"/>
        <w:b/>
        <w:bCs/>
        <w:sz w:val="20"/>
      </w:rPr>
    </w:pPr>
    <w:r>
      <w:rPr>
        <w:rFonts w:ascii="Cambria" w:hAnsi="Cambria"/>
        <w:b/>
        <w:bCs/>
        <w:noProof/>
        <w:sz w:val="20"/>
      </w:rPr>
      <mc:AlternateContent>
        <mc:Choice Requires="wps">
          <w:drawing>
            <wp:anchor distT="0" distB="0" distL="114300" distR="114300" simplePos="0" relativeHeight="251661312" behindDoc="0" locked="0" layoutInCell="1" allowOverlap="1" wp14:anchorId="6ECFE6CF" wp14:editId="38D68637">
              <wp:simplePos x="0" y="0"/>
              <wp:positionH relativeFrom="column">
                <wp:posOffset>0</wp:posOffset>
              </wp:positionH>
              <wp:positionV relativeFrom="paragraph">
                <wp:posOffset>17145</wp:posOffset>
              </wp:positionV>
              <wp:extent cx="5715000" cy="0"/>
              <wp:effectExtent l="9525" t="7620" r="9525" b="11430"/>
              <wp:wrapNone/>
              <wp:docPr id="1774998251" name="Straight Connector 1774998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FB56C" id="Straight Connector 177499825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ADAD2" w14:textId="0C8D8E23" w:rsidR="009123AC" w:rsidRPr="00AF0608" w:rsidRDefault="009E02DA" w:rsidP="009E02DA">
    <w:pPr>
      <w:spacing w:after="0" w:line="240" w:lineRule="auto"/>
      <w:contextualSpacing/>
      <w:jc w:val="center"/>
    </w:pPr>
    <w:r>
      <w:rPr>
        <w:rFonts w:ascii="Arial" w:hAnsi="Arial"/>
        <w:sz w:val="16"/>
      </w:rPr>
      <w:t>REUNIÓN INTERSESIONES DE LA SUBCOMISIÓN 2 - FORMATO HÍBRIDO, MADRID, MARZO DE 2026</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EB8B" w14:textId="6E4F8DE2" w:rsidR="009123AC" w:rsidRPr="00BB4174" w:rsidRDefault="00B51D10" w:rsidP="00B51D10">
    <w:pPr>
      <w:spacing w:after="0" w:line="240" w:lineRule="auto"/>
      <w:contextualSpacing/>
      <w:jc w:val="center"/>
    </w:pPr>
    <w:r>
      <w:rPr>
        <w:rFonts w:ascii="Arial" w:hAnsi="Arial"/>
        <w:sz w:val="16"/>
      </w:rPr>
      <w:t>REUNIÓN INTERSESIONES DE LA SUBCOMISIÓN 2 - FORMATO HÍBRIDO, MADRID, MARZO DE 2026</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8A747" w14:textId="783338DF" w:rsidR="009123AC" w:rsidRPr="00BB4174" w:rsidRDefault="00F32300" w:rsidP="00F32300">
    <w:pPr>
      <w:spacing w:after="0" w:line="240" w:lineRule="auto"/>
      <w:contextualSpacing/>
      <w:jc w:val="center"/>
    </w:pPr>
    <w:r>
      <w:rPr>
        <w:rFonts w:ascii="Arial" w:hAnsi="Arial"/>
        <w:sz w:val="16"/>
      </w:rPr>
      <w:t>REUNIÓN INTERSESIONES DE LA SUBCOMISIÓN 2 - FORMATO HÍBRIDO, MADRID, MARZO DE 2026</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77FC" w14:textId="0BC8B4E6" w:rsidR="009123AC" w:rsidRPr="00EF3107" w:rsidRDefault="00F32300" w:rsidP="00F32300">
    <w:pPr>
      <w:spacing w:after="0" w:line="240" w:lineRule="auto"/>
      <w:contextualSpacing/>
      <w:jc w:val="center"/>
    </w:pPr>
    <w:r>
      <w:rPr>
        <w:rFonts w:ascii="Arial" w:hAnsi="Arial"/>
        <w:sz w:val="16"/>
      </w:rPr>
      <w:t>REUNIÓN INTERSESIONES DE LA SUBCOMISIÓN 2 - FORMATO HÍBRIDO, MADRID, MARZO DE 2026</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7D8C3" w14:textId="599D987C" w:rsidR="001D7122" w:rsidRPr="009031DE" w:rsidRDefault="00E64557" w:rsidP="00EE07E2">
    <w:pPr>
      <w:pStyle w:val="Header"/>
      <w:jc w:val="center"/>
      <w:rPr>
        <w:rFonts w:ascii="Arial" w:hAnsi="Arial" w:cs="Arial"/>
        <w:sz w:val="16"/>
        <w:szCs w:val="16"/>
      </w:rPr>
    </w:pPr>
    <w:r w:rsidRPr="009031DE">
      <w:rPr>
        <w:rFonts w:ascii="Arial" w:hAnsi="Arial" w:cs="Arial"/>
        <w:sz w:val="16"/>
        <w:szCs w:val="16"/>
      </w:rPr>
      <w:t>REUNIÓN INTERSESIONES DE LA SUBCOMISIÓN 2 – FORMATO HÍBRIDO / MADRID, MARZO DE 2026</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035AC" w14:textId="60613BF3" w:rsidR="000C024B" w:rsidRPr="000C024B" w:rsidRDefault="000C024B" w:rsidP="000C024B">
    <w:pPr>
      <w:pStyle w:val="Header"/>
      <w:jc w:val="center"/>
      <w:rPr>
        <w:rFonts w:ascii="Arial" w:hAnsi="Arial" w:cs="Arial"/>
        <w:sz w:val="16"/>
        <w:szCs w:val="16"/>
      </w:rPr>
    </w:pPr>
    <w:r w:rsidRPr="009031DE">
      <w:rPr>
        <w:rFonts w:ascii="Arial" w:hAnsi="Arial" w:cs="Arial"/>
        <w:sz w:val="16"/>
        <w:szCs w:val="16"/>
      </w:rPr>
      <w:t>REUNIÓN INTERSESIONES DE LA SUBCOMISIÓN 2 – FORMATO HÍBRIDO / MADRID, MARZO DE 2026</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3832" w14:textId="6E8DBFD1" w:rsidR="00AB1C70" w:rsidRPr="006D33EA" w:rsidRDefault="006D33EA" w:rsidP="006D33EA">
    <w:pPr>
      <w:pStyle w:val="Header"/>
      <w:jc w:val="center"/>
      <w:rPr>
        <w:rFonts w:ascii="Arial" w:hAnsi="Arial" w:cs="Arial"/>
        <w:sz w:val="16"/>
        <w:szCs w:val="16"/>
      </w:rPr>
    </w:pPr>
    <w:r w:rsidRPr="009031DE">
      <w:rPr>
        <w:rFonts w:ascii="Arial" w:hAnsi="Arial" w:cs="Arial"/>
        <w:sz w:val="16"/>
        <w:szCs w:val="16"/>
      </w:rPr>
      <w:t>REUNIÓN INTERSESIONES DE LA SUBCOMISIÓN 2 – FORMATO HÍBRIDO / MADRID, MARZO DE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6A4C8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6ADF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EC8E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86C98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F6E1F8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0A83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EAA1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A741C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E8C54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1"/>
    <w:name w:val="WW8Num1"/>
    <w:lvl w:ilvl="0">
      <w:numFmt w:val="bullet"/>
      <w:lvlText w:val="-"/>
      <w:lvlJc w:val="left"/>
      <w:pPr>
        <w:tabs>
          <w:tab w:val="num" w:pos="0"/>
        </w:tabs>
        <w:ind w:left="720" w:hanging="360"/>
      </w:pPr>
      <w:rPr>
        <w:rFonts w:ascii="Cambria" w:hAnsi="Cambria" w:cs="Times New Roman" w:hint="default"/>
        <w:color w:val="auto"/>
        <w:sz w:val="20"/>
        <w:szCs w:val="20"/>
      </w:rPr>
    </w:lvl>
  </w:abstractNum>
  <w:abstractNum w:abstractNumId="1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Cambria" w:hAnsi="Cambria" w:cs="Cambri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15A0787"/>
    <w:multiLevelType w:val="hybridMultilevel"/>
    <w:tmpl w:val="F87C3426"/>
    <w:lvl w:ilvl="0" w:tplc="0409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2040A42"/>
    <w:multiLevelType w:val="hybridMultilevel"/>
    <w:tmpl w:val="5804E2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2610027"/>
    <w:multiLevelType w:val="hybridMultilevel"/>
    <w:tmpl w:val="0306644C"/>
    <w:lvl w:ilvl="0" w:tplc="158CD9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2E2370C"/>
    <w:multiLevelType w:val="hybridMultilevel"/>
    <w:tmpl w:val="FC363BAE"/>
    <w:lvl w:ilvl="0" w:tplc="779AEB3C">
      <w:start w:val="1"/>
      <w:numFmt w:val="bullet"/>
      <w:lvlText w:val=""/>
      <w:lvlJc w:val="left"/>
      <w:pPr>
        <w:ind w:left="462" w:hanging="360"/>
      </w:pPr>
      <w:rPr>
        <w:rFonts w:ascii="Symbol" w:hAnsi="Symbol" w:hint="default"/>
      </w:rPr>
    </w:lvl>
    <w:lvl w:ilvl="1" w:tplc="08090003" w:tentative="1">
      <w:start w:val="1"/>
      <w:numFmt w:val="bullet"/>
      <w:lvlText w:val="o"/>
      <w:lvlJc w:val="left"/>
      <w:pPr>
        <w:ind w:left="1182" w:hanging="360"/>
      </w:pPr>
      <w:rPr>
        <w:rFonts w:ascii="Courier New" w:hAnsi="Courier New" w:cs="Courier New" w:hint="default"/>
      </w:rPr>
    </w:lvl>
    <w:lvl w:ilvl="2" w:tplc="08090005" w:tentative="1">
      <w:start w:val="1"/>
      <w:numFmt w:val="bullet"/>
      <w:lvlText w:val=""/>
      <w:lvlJc w:val="left"/>
      <w:pPr>
        <w:ind w:left="1902" w:hanging="360"/>
      </w:pPr>
      <w:rPr>
        <w:rFonts w:ascii="Wingdings" w:hAnsi="Wingdings" w:hint="default"/>
      </w:rPr>
    </w:lvl>
    <w:lvl w:ilvl="3" w:tplc="08090001" w:tentative="1">
      <w:start w:val="1"/>
      <w:numFmt w:val="bullet"/>
      <w:lvlText w:val=""/>
      <w:lvlJc w:val="left"/>
      <w:pPr>
        <w:ind w:left="2622" w:hanging="360"/>
      </w:pPr>
      <w:rPr>
        <w:rFonts w:ascii="Symbol" w:hAnsi="Symbol" w:hint="default"/>
      </w:rPr>
    </w:lvl>
    <w:lvl w:ilvl="4" w:tplc="08090003" w:tentative="1">
      <w:start w:val="1"/>
      <w:numFmt w:val="bullet"/>
      <w:lvlText w:val="o"/>
      <w:lvlJc w:val="left"/>
      <w:pPr>
        <w:ind w:left="3342" w:hanging="360"/>
      </w:pPr>
      <w:rPr>
        <w:rFonts w:ascii="Courier New" w:hAnsi="Courier New" w:cs="Courier New" w:hint="default"/>
      </w:rPr>
    </w:lvl>
    <w:lvl w:ilvl="5" w:tplc="08090005" w:tentative="1">
      <w:start w:val="1"/>
      <w:numFmt w:val="bullet"/>
      <w:lvlText w:val=""/>
      <w:lvlJc w:val="left"/>
      <w:pPr>
        <w:ind w:left="4062" w:hanging="360"/>
      </w:pPr>
      <w:rPr>
        <w:rFonts w:ascii="Wingdings" w:hAnsi="Wingdings" w:hint="default"/>
      </w:rPr>
    </w:lvl>
    <w:lvl w:ilvl="6" w:tplc="08090001" w:tentative="1">
      <w:start w:val="1"/>
      <w:numFmt w:val="bullet"/>
      <w:lvlText w:val=""/>
      <w:lvlJc w:val="left"/>
      <w:pPr>
        <w:ind w:left="4782" w:hanging="360"/>
      </w:pPr>
      <w:rPr>
        <w:rFonts w:ascii="Symbol" w:hAnsi="Symbol" w:hint="default"/>
      </w:rPr>
    </w:lvl>
    <w:lvl w:ilvl="7" w:tplc="08090003" w:tentative="1">
      <w:start w:val="1"/>
      <w:numFmt w:val="bullet"/>
      <w:lvlText w:val="o"/>
      <w:lvlJc w:val="left"/>
      <w:pPr>
        <w:ind w:left="5502" w:hanging="360"/>
      </w:pPr>
      <w:rPr>
        <w:rFonts w:ascii="Courier New" w:hAnsi="Courier New" w:cs="Courier New" w:hint="default"/>
      </w:rPr>
    </w:lvl>
    <w:lvl w:ilvl="8" w:tplc="08090005" w:tentative="1">
      <w:start w:val="1"/>
      <w:numFmt w:val="bullet"/>
      <w:lvlText w:val=""/>
      <w:lvlJc w:val="left"/>
      <w:pPr>
        <w:ind w:left="6222" w:hanging="360"/>
      </w:pPr>
      <w:rPr>
        <w:rFonts w:ascii="Wingdings" w:hAnsi="Wingdings" w:hint="default"/>
      </w:rPr>
    </w:lvl>
  </w:abstractNum>
  <w:abstractNum w:abstractNumId="16" w15:restartNumberingAfterBreak="0">
    <w:nsid w:val="030E6C8A"/>
    <w:multiLevelType w:val="hybridMultilevel"/>
    <w:tmpl w:val="95CAE4B0"/>
    <w:lvl w:ilvl="0" w:tplc="252686B0">
      <w:start w:val="1"/>
      <w:numFmt w:val="decimal"/>
      <w:lvlText w:val="%1."/>
      <w:lvlJc w:val="left"/>
      <w:pPr>
        <w:ind w:left="984" w:hanging="62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49D1CA3"/>
    <w:multiLevelType w:val="hybridMultilevel"/>
    <w:tmpl w:val="30D26342"/>
    <w:lvl w:ilvl="0" w:tplc="567A01B2">
      <w:start w:val="1"/>
      <w:numFmt w:val="decimal"/>
      <w:pStyle w:val="SIOFAPara"/>
      <w:lvlText w:val="%1."/>
      <w:lvlJc w:val="left"/>
      <w:pPr>
        <w:ind w:left="720" w:hanging="360"/>
      </w:pPr>
      <w:rPr>
        <w:rFonts w:hint="eastAsia"/>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6A10C7F"/>
    <w:multiLevelType w:val="hybridMultilevel"/>
    <w:tmpl w:val="6DE0AE7A"/>
    <w:lvl w:ilvl="0" w:tplc="C7524AC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07CB1DB6"/>
    <w:multiLevelType w:val="hybridMultilevel"/>
    <w:tmpl w:val="9ACC23C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08F70E05"/>
    <w:multiLevelType w:val="hybridMultilevel"/>
    <w:tmpl w:val="C63A2712"/>
    <w:lvl w:ilvl="0" w:tplc="578E7CA8">
      <w:start w:val="1"/>
      <w:numFmt w:val="decimal"/>
      <w:lvlText w:val="%1"/>
      <w:lvlJc w:val="left"/>
      <w:pPr>
        <w:ind w:left="284" w:hanging="360"/>
      </w:pPr>
      <w:rPr>
        <w:rFonts w:hint="default"/>
      </w:rPr>
    </w:lvl>
    <w:lvl w:ilvl="1" w:tplc="040A0019" w:tentative="1">
      <w:start w:val="1"/>
      <w:numFmt w:val="lowerLetter"/>
      <w:lvlText w:val="%2."/>
      <w:lvlJc w:val="left"/>
      <w:pPr>
        <w:ind w:left="1004" w:hanging="360"/>
      </w:pPr>
    </w:lvl>
    <w:lvl w:ilvl="2" w:tplc="040A001B" w:tentative="1">
      <w:start w:val="1"/>
      <w:numFmt w:val="lowerRoman"/>
      <w:lvlText w:val="%3."/>
      <w:lvlJc w:val="right"/>
      <w:pPr>
        <w:ind w:left="1724" w:hanging="180"/>
      </w:pPr>
    </w:lvl>
    <w:lvl w:ilvl="3" w:tplc="040A000F" w:tentative="1">
      <w:start w:val="1"/>
      <w:numFmt w:val="decimal"/>
      <w:lvlText w:val="%4."/>
      <w:lvlJc w:val="left"/>
      <w:pPr>
        <w:ind w:left="2444" w:hanging="360"/>
      </w:pPr>
    </w:lvl>
    <w:lvl w:ilvl="4" w:tplc="040A0019" w:tentative="1">
      <w:start w:val="1"/>
      <w:numFmt w:val="lowerLetter"/>
      <w:lvlText w:val="%5."/>
      <w:lvlJc w:val="left"/>
      <w:pPr>
        <w:ind w:left="3164" w:hanging="360"/>
      </w:pPr>
    </w:lvl>
    <w:lvl w:ilvl="5" w:tplc="040A001B" w:tentative="1">
      <w:start w:val="1"/>
      <w:numFmt w:val="lowerRoman"/>
      <w:lvlText w:val="%6."/>
      <w:lvlJc w:val="right"/>
      <w:pPr>
        <w:ind w:left="3884" w:hanging="180"/>
      </w:pPr>
    </w:lvl>
    <w:lvl w:ilvl="6" w:tplc="040A000F" w:tentative="1">
      <w:start w:val="1"/>
      <w:numFmt w:val="decimal"/>
      <w:lvlText w:val="%7."/>
      <w:lvlJc w:val="left"/>
      <w:pPr>
        <w:ind w:left="4604" w:hanging="360"/>
      </w:pPr>
    </w:lvl>
    <w:lvl w:ilvl="7" w:tplc="040A0019" w:tentative="1">
      <w:start w:val="1"/>
      <w:numFmt w:val="lowerLetter"/>
      <w:lvlText w:val="%8."/>
      <w:lvlJc w:val="left"/>
      <w:pPr>
        <w:ind w:left="5324" w:hanging="360"/>
      </w:pPr>
    </w:lvl>
    <w:lvl w:ilvl="8" w:tplc="040A001B" w:tentative="1">
      <w:start w:val="1"/>
      <w:numFmt w:val="lowerRoman"/>
      <w:lvlText w:val="%9."/>
      <w:lvlJc w:val="right"/>
      <w:pPr>
        <w:ind w:left="6044" w:hanging="180"/>
      </w:pPr>
    </w:lvl>
  </w:abstractNum>
  <w:abstractNum w:abstractNumId="21" w15:restartNumberingAfterBreak="0">
    <w:nsid w:val="095233CD"/>
    <w:multiLevelType w:val="hybridMultilevel"/>
    <w:tmpl w:val="3DEE64F4"/>
    <w:lvl w:ilvl="0" w:tplc="D4CAFA48">
      <w:numFmt w:val="bullet"/>
      <w:lvlText w:val="–"/>
      <w:lvlJc w:val="left"/>
      <w:pPr>
        <w:ind w:left="720" w:hanging="360"/>
      </w:pPr>
      <w:rPr>
        <w:rFonts w:ascii="Cambria" w:eastAsia="MS Gothic"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0B3F2270"/>
    <w:multiLevelType w:val="hybridMultilevel"/>
    <w:tmpl w:val="018A6202"/>
    <w:lvl w:ilvl="0" w:tplc="D4CAFA48">
      <w:numFmt w:val="bullet"/>
      <w:lvlText w:val="–"/>
      <w:lvlJc w:val="left"/>
      <w:pPr>
        <w:ind w:left="720" w:hanging="360"/>
      </w:pPr>
      <w:rPr>
        <w:rFonts w:ascii="Cambria" w:eastAsia="MS Gothic"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0EBD14CB"/>
    <w:multiLevelType w:val="multilevel"/>
    <w:tmpl w:val="3F6EE946"/>
    <w:lvl w:ilvl="0">
      <w:start w:val="1"/>
      <w:numFmt w:val="decimal"/>
      <w:lvlText w:val="%1."/>
      <w:lvlJc w:val="left"/>
      <w:pPr>
        <w:ind w:left="360" w:hanging="360"/>
      </w:pPr>
      <w:rPr>
        <w:rFonts w:hint="default"/>
      </w:rPr>
    </w:lvl>
    <w:lvl w:ilvl="1">
      <w:start w:val="1"/>
      <w:numFmt w:val="decimal"/>
      <w:pStyle w:val="Heading2bis"/>
      <w:lvlText w:val="%1.%2."/>
      <w:lvlJc w:val="left"/>
      <w:pPr>
        <w:ind w:left="792" w:hanging="432"/>
      </w:pPr>
      <w:rPr>
        <w:rFonts w:hint="default"/>
      </w:rPr>
    </w:lvl>
    <w:lvl w:ilvl="2">
      <w:start w:val="1"/>
      <w:numFmt w:val="decimal"/>
      <w:pStyle w:val="Heading3bis"/>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F47585B"/>
    <w:multiLevelType w:val="hybridMultilevel"/>
    <w:tmpl w:val="D1A432D6"/>
    <w:lvl w:ilvl="0" w:tplc="B9A0C23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0221BF7"/>
    <w:multiLevelType w:val="hybridMultilevel"/>
    <w:tmpl w:val="0CDCB58A"/>
    <w:lvl w:ilvl="0" w:tplc="5038D57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12D777E7"/>
    <w:multiLevelType w:val="hybridMultilevel"/>
    <w:tmpl w:val="6DC0EB7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165F61C3"/>
    <w:multiLevelType w:val="hybridMultilevel"/>
    <w:tmpl w:val="39A83486"/>
    <w:lvl w:ilvl="0" w:tplc="296213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8E548A2"/>
    <w:multiLevelType w:val="hybridMultilevel"/>
    <w:tmpl w:val="2494860A"/>
    <w:lvl w:ilvl="0" w:tplc="C18E0932">
      <w:start w:val="1"/>
      <w:numFmt w:val="decimal"/>
      <w:pStyle w:val="Paras"/>
      <w:lvlText w:val="%1."/>
      <w:lvlJc w:val="left"/>
      <w:pPr>
        <w:ind w:left="360" w:hanging="360"/>
      </w:pPr>
      <w:rPr>
        <w:rFonts w:hint="eastAsia"/>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9E6451B"/>
    <w:multiLevelType w:val="hybridMultilevel"/>
    <w:tmpl w:val="7568A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C6F73BE"/>
    <w:multiLevelType w:val="multilevel"/>
    <w:tmpl w:val="D394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CFE7630"/>
    <w:multiLevelType w:val="hybridMultilevel"/>
    <w:tmpl w:val="FBA46EF2"/>
    <w:lvl w:ilvl="0" w:tplc="0BBEEE20">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2" w15:restartNumberingAfterBreak="0">
    <w:nsid w:val="1D533702"/>
    <w:multiLevelType w:val="hybridMultilevel"/>
    <w:tmpl w:val="E604EBDA"/>
    <w:lvl w:ilvl="0" w:tplc="4CB0847C">
      <w:start w:val="1"/>
      <w:numFmt w:val="bullet"/>
      <w:lvlText w:val="-"/>
      <w:lvlJc w:val="left"/>
      <w:pPr>
        <w:ind w:left="5322" w:hanging="360"/>
      </w:pPr>
      <w:rPr>
        <w:rFonts w:ascii="Cambria" w:eastAsia="MS Gothic"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1EB96953"/>
    <w:multiLevelType w:val="hybridMultilevel"/>
    <w:tmpl w:val="EA487E6E"/>
    <w:lvl w:ilvl="0" w:tplc="B7BC3CAE">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1EF013AA"/>
    <w:multiLevelType w:val="hybridMultilevel"/>
    <w:tmpl w:val="507AE12C"/>
    <w:lvl w:ilvl="0" w:tplc="D4CAFA48">
      <w:numFmt w:val="bullet"/>
      <w:lvlText w:val="–"/>
      <w:lvlJc w:val="left"/>
      <w:pPr>
        <w:ind w:left="720" w:hanging="360"/>
      </w:pPr>
      <w:rPr>
        <w:rFonts w:ascii="Cambria" w:eastAsia="MS Gothic"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206873ED"/>
    <w:multiLevelType w:val="hybridMultilevel"/>
    <w:tmpl w:val="7494D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0C444E0"/>
    <w:multiLevelType w:val="hybridMultilevel"/>
    <w:tmpl w:val="94F4DCE8"/>
    <w:lvl w:ilvl="0" w:tplc="D4CAFA48">
      <w:numFmt w:val="bullet"/>
      <w:lvlText w:val="–"/>
      <w:lvlJc w:val="left"/>
      <w:pPr>
        <w:ind w:left="360" w:hanging="360"/>
      </w:pPr>
      <w:rPr>
        <w:rFonts w:ascii="Cambria" w:eastAsia="MS Gothic" w:hAnsi="Cambria"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23C91D51"/>
    <w:multiLevelType w:val="hybridMultilevel"/>
    <w:tmpl w:val="BCD26DE4"/>
    <w:lvl w:ilvl="0" w:tplc="863C18AE">
      <w:start w:val="1"/>
      <w:numFmt w:val="decimal"/>
      <w:pStyle w:val="Heading1bis"/>
      <w:lvlText w:val="%1."/>
      <w:lvlJc w:val="left"/>
      <w:pPr>
        <w:ind w:left="360" w:hanging="360"/>
      </w:pPr>
      <w:rPr>
        <w:b/>
        <w:i w:val="0"/>
      </w:rPr>
    </w:lvl>
    <w:lvl w:ilvl="1" w:tplc="5A04E816">
      <w:numFmt w:val="bullet"/>
      <w:lvlText w:val="•"/>
      <w:lvlJc w:val="left"/>
      <w:pPr>
        <w:ind w:left="1080" w:hanging="360"/>
      </w:pPr>
      <w:rPr>
        <w:rFonts w:ascii="Times New Roman" w:eastAsia="Times New Roman" w:hAnsi="Times New Roman" w:cs="Times New Roman" w:hint="default"/>
      </w:r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8" w15:restartNumberingAfterBreak="0">
    <w:nsid w:val="245F0496"/>
    <w:multiLevelType w:val="hybridMultilevel"/>
    <w:tmpl w:val="43069E1E"/>
    <w:lvl w:ilvl="0" w:tplc="DE0AA002">
      <w:start w:val="1"/>
      <w:numFmt w:val="bullet"/>
      <w:lvlText w:val=""/>
      <w:lvlJc w:val="left"/>
      <w:pPr>
        <w:ind w:left="360" w:hanging="360"/>
      </w:pPr>
      <w:rPr>
        <w:rFonts w:ascii="Symbol" w:hAnsi="Symbol" w:hint="default"/>
        <w:b w:val="0"/>
        <w:i w:val="0"/>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260F4CFB"/>
    <w:multiLevelType w:val="hybridMultilevel"/>
    <w:tmpl w:val="F10AAEE6"/>
    <w:lvl w:ilvl="0" w:tplc="5CC08C22">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0" w15:restartNumberingAfterBreak="0">
    <w:nsid w:val="261112E1"/>
    <w:multiLevelType w:val="hybridMultilevel"/>
    <w:tmpl w:val="B06CD09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26CE54E2"/>
    <w:multiLevelType w:val="hybridMultilevel"/>
    <w:tmpl w:val="ACA23FEE"/>
    <w:lvl w:ilvl="0" w:tplc="123CFB50">
      <w:start w:val="1"/>
      <w:numFmt w:val="decimal"/>
      <w:pStyle w:val="ICCATAgend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6F77A22"/>
    <w:multiLevelType w:val="hybridMultilevel"/>
    <w:tmpl w:val="A200820E"/>
    <w:lvl w:ilvl="0" w:tplc="8FB6E4D6">
      <w:start w:val="1"/>
      <w:numFmt w:val="decimal"/>
      <w:lvlText w:val="%1."/>
      <w:lvlJc w:val="left"/>
      <w:pPr>
        <w:ind w:left="852" w:hanging="49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A8440A1"/>
    <w:multiLevelType w:val="hybridMultilevel"/>
    <w:tmpl w:val="290AD444"/>
    <w:lvl w:ilvl="0" w:tplc="04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4" w15:restartNumberingAfterBreak="0">
    <w:nsid w:val="2ADF7658"/>
    <w:multiLevelType w:val="hybridMultilevel"/>
    <w:tmpl w:val="7EA4FCC8"/>
    <w:lvl w:ilvl="0" w:tplc="546E9A2E">
      <w:start w:val="1"/>
      <w:numFmt w:val="bullet"/>
      <w:lvlText w:val="-"/>
      <w:lvlJc w:val="left"/>
      <w:pPr>
        <w:ind w:left="1200" w:hanging="360"/>
      </w:pPr>
      <w:rPr>
        <w:rFonts w:ascii="Cambria" w:eastAsia="MS Gothic" w:hAnsi="Cambria" w:cstheme="majorBidi" w:hint="default"/>
      </w:rPr>
    </w:lvl>
    <w:lvl w:ilvl="1" w:tplc="040C0003" w:tentative="1">
      <w:start w:val="1"/>
      <w:numFmt w:val="bullet"/>
      <w:lvlText w:val="o"/>
      <w:lvlJc w:val="left"/>
      <w:pPr>
        <w:ind w:left="1920" w:hanging="360"/>
      </w:pPr>
      <w:rPr>
        <w:rFonts w:ascii="Courier New" w:hAnsi="Courier New" w:cs="Courier New" w:hint="default"/>
      </w:rPr>
    </w:lvl>
    <w:lvl w:ilvl="2" w:tplc="040C0005" w:tentative="1">
      <w:start w:val="1"/>
      <w:numFmt w:val="bullet"/>
      <w:lvlText w:val=""/>
      <w:lvlJc w:val="left"/>
      <w:pPr>
        <w:ind w:left="2640" w:hanging="360"/>
      </w:pPr>
      <w:rPr>
        <w:rFonts w:ascii="Wingdings" w:hAnsi="Wingdings" w:hint="default"/>
      </w:rPr>
    </w:lvl>
    <w:lvl w:ilvl="3" w:tplc="040C0001" w:tentative="1">
      <w:start w:val="1"/>
      <w:numFmt w:val="bullet"/>
      <w:lvlText w:val=""/>
      <w:lvlJc w:val="left"/>
      <w:pPr>
        <w:ind w:left="3360" w:hanging="360"/>
      </w:pPr>
      <w:rPr>
        <w:rFonts w:ascii="Symbol" w:hAnsi="Symbol" w:hint="default"/>
      </w:rPr>
    </w:lvl>
    <w:lvl w:ilvl="4" w:tplc="040C0003" w:tentative="1">
      <w:start w:val="1"/>
      <w:numFmt w:val="bullet"/>
      <w:lvlText w:val="o"/>
      <w:lvlJc w:val="left"/>
      <w:pPr>
        <w:ind w:left="4080" w:hanging="360"/>
      </w:pPr>
      <w:rPr>
        <w:rFonts w:ascii="Courier New" w:hAnsi="Courier New" w:cs="Courier New" w:hint="default"/>
      </w:rPr>
    </w:lvl>
    <w:lvl w:ilvl="5" w:tplc="040C0005" w:tentative="1">
      <w:start w:val="1"/>
      <w:numFmt w:val="bullet"/>
      <w:lvlText w:val=""/>
      <w:lvlJc w:val="left"/>
      <w:pPr>
        <w:ind w:left="4800" w:hanging="360"/>
      </w:pPr>
      <w:rPr>
        <w:rFonts w:ascii="Wingdings" w:hAnsi="Wingdings" w:hint="default"/>
      </w:rPr>
    </w:lvl>
    <w:lvl w:ilvl="6" w:tplc="040C0001" w:tentative="1">
      <w:start w:val="1"/>
      <w:numFmt w:val="bullet"/>
      <w:lvlText w:val=""/>
      <w:lvlJc w:val="left"/>
      <w:pPr>
        <w:ind w:left="5520" w:hanging="360"/>
      </w:pPr>
      <w:rPr>
        <w:rFonts w:ascii="Symbol" w:hAnsi="Symbol" w:hint="default"/>
      </w:rPr>
    </w:lvl>
    <w:lvl w:ilvl="7" w:tplc="040C0003" w:tentative="1">
      <w:start w:val="1"/>
      <w:numFmt w:val="bullet"/>
      <w:lvlText w:val="o"/>
      <w:lvlJc w:val="left"/>
      <w:pPr>
        <w:ind w:left="6240" w:hanging="360"/>
      </w:pPr>
      <w:rPr>
        <w:rFonts w:ascii="Courier New" w:hAnsi="Courier New" w:cs="Courier New" w:hint="default"/>
      </w:rPr>
    </w:lvl>
    <w:lvl w:ilvl="8" w:tplc="040C0005" w:tentative="1">
      <w:start w:val="1"/>
      <w:numFmt w:val="bullet"/>
      <w:lvlText w:val=""/>
      <w:lvlJc w:val="left"/>
      <w:pPr>
        <w:ind w:left="6960" w:hanging="360"/>
      </w:pPr>
      <w:rPr>
        <w:rFonts w:ascii="Wingdings" w:hAnsi="Wingdings" w:hint="default"/>
      </w:rPr>
    </w:lvl>
  </w:abstractNum>
  <w:abstractNum w:abstractNumId="45" w15:restartNumberingAfterBreak="0">
    <w:nsid w:val="2B2D2378"/>
    <w:multiLevelType w:val="hybridMultilevel"/>
    <w:tmpl w:val="05F28892"/>
    <w:lvl w:ilvl="0" w:tplc="252C5FFA">
      <w:start w:val="1"/>
      <w:numFmt w:val="bullet"/>
      <w:lvlText w:val="-"/>
      <w:lvlJc w:val="left"/>
      <w:pPr>
        <w:ind w:left="720" w:hanging="360"/>
      </w:pPr>
      <w:rPr>
        <w:rFonts w:ascii="MS Reference Sans Serif" w:hAnsi="MS Reference Sans Serif"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6" w15:restartNumberingAfterBreak="0">
    <w:nsid w:val="2B9C31DF"/>
    <w:multiLevelType w:val="hybridMultilevel"/>
    <w:tmpl w:val="082CB8B0"/>
    <w:lvl w:ilvl="0" w:tplc="5E7C1E0A">
      <w:numFmt w:val="bullet"/>
      <w:lvlText w:val="-"/>
      <w:lvlJc w:val="left"/>
      <w:pPr>
        <w:ind w:left="720" w:hanging="360"/>
      </w:pPr>
      <w:rPr>
        <w:rFonts w:ascii="Cambria" w:eastAsia="MS Gothic" w:hAnsi="Cambria"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2BAD4A4B"/>
    <w:multiLevelType w:val="hybridMultilevel"/>
    <w:tmpl w:val="927AED1A"/>
    <w:lvl w:ilvl="0" w:tplc="34983AAE">
      <w:start w:val="1"/>
      <w:numFmt w:val="decimal"/>
      <w:lvlText w:val="%1."/>
      <w:lvlJc w:val="left"/>
      <w:pPr>
        <w:ind w:left="431" w:hanging="360"/>
      </w:pPr>
      <w:rPr>
        <w:rFonts w:hint="default"/>
      </w:rPr>
    </w:lvl>
    <w:lvl w:ilvl="1" w:tplc="04090019" w:tentative="1">
      <w:start w:val="1"/>
      <w:numFmt w:val="lowerLetter"/>
      <w:lvlText w:val="%2."/>
      <w:lvlJc w:val="left"/>
      <w:pPr>
        <w:ind w:left="1151" w:hanging="360"/>
      </w:pPr>
    </w:lvl>
    <w:lvl w:ilvl="2" w:tplc="0409001B" w:tentative="1">
      <w:start w:val="1"/>
      <w:numFmt w:val="lowerRoman"/>
      <w:lvlText w:val="%3."/>
      <w:lvlJc w:val="right"/>
      <w:pPr>
        <w:ind w:left="1871" w:hanging="180"/>
      </w:pPr>
    </w:lvl>
    <w:lvl w:ilvl="3" w:tplc="0409000F" w:tentative="1">
      <w:start w:val="1"/>
      <w:numFmt w:val="decimal"/>
      <w:lvlText w:val="%4."/>
      <w:lvlJc w:val="left"/>
      <w:pPr>
        <w:ind w:left="2591" w:hanging="360"/>
      </w:pPr>
    </w:lvl>
    <w:lvl w:ilvl="4" w:tplc="04090019" w:tentative="1">
      <w:start w:val="1"/>
      <w:numFmt w:val="lowerLetter"/>
      <w:lvlText w:val="%5."/>
      <w:lvlJc w:val="left"/>
      <w:pPr>
        <w:ind w:left="3311" w:hanging="360"/>
      </w:pPr>
    </w:lvl>
    <w:lvl w:ilvl="5" w:tplc="0409001B" w:tentative="1">
      <w:start w:val="1"/>
      <w:numFmt w:val="lowerRoman"/>
      <w:lvlText w:val="%6."/>
      <w:lvlJc w:val="right"/>
      <w:pPr>
        <w:ind w:left="4031" w:hanging="180"/>
      </w:pPr>
    </w:lvl>
    <w:lvl w:ilvl="6" w:tplc="0409000F" w:tentative="1">
      <w:start w:val="1"/>
      <w:numFmt w:val="decimal"/>
      <w:lvlText w:val="%7."/>
      <w:lvlJc w:val="left"/>
      <w:pPr>
        <w:ind w:left="4751" w:hanging="360"/>
      </w:pPr>
    </w:lvl>
    <w:lvl w:ilvl="7" w:tplc="04090019" w:tentative="1">
      <w:start w:val="1"/>
      <w:numFmt w:val="lowerLetter"/>
      <w:lvlText w:val="%8."/>
      <w:lvlJc w:val="left"/>
      <w:pPr>
        <w:ind w:left="5471" w:hanging="360"/>
      </w:pPr>
    </w:lvl>
    <w:lvl w:ilvl="8" w:tplc="0409001B" w:tentative="1">
      <w:start w:val="1"/>
      <w:numFmt w:val="lowerRoman"/>
      <w:lvlText w:val="%9."/>
      <w:lvlJc w:val="right"/>
      <w:pPr>
        <w:ind w:left="6191" w:hanging="180"/>
      </w:pPr>
    </w:lvl>
  </w:abstractNum>
  <w:abstractNum w:abstractNumId="4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31664249"/>
    <w:multiLevelType w:val="hybridMultilevel"/>
    <w:tmpl w:val="BA9A331C"/>
    <w:lvl w:ilvl="0" w:tplc="93688E40">
      <w:start w:val="1"/>
      <w:numFmt w:val="decimal"/>
      <w:lvlText w:val="%1."/>
      <w:lvlJc w:val="left"/>
      <w:pPr>
        <w:ind w:left="984" w:hanging="62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3F4640F"/>
    <w:multiLevelType w:val="hybridMultilevel"/>
    <w:tmpl w:val="B3B6BF50"/>
    <w:lvl w:ilvl="0" w:tplc="5016DDD8">
      <w:start w:val="2"/>
      <w:numFmt w:val="decimal"/>
      <w:lvlText w:val="%1."/>
      <w:lvlJc w:val="left"/>
      <w:pPr>
        <w:ind w:left="984" w:hanging="62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35966A6F"/>
    <w:multiLevelType w:val="hybridMultilevel"/>
    <w:tmpl w:val="BFFE1304"/>
    <w:lvl w:ilvl="0" w:tplc="A5484EFC">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363B3BCE"/>
    <w:multiLevelType w:val="hybridMultilevel"/>
    <w:tmpl w:val="399C63FE"/>
    <w:lvl w:ilvl="0" w:tplc="A350B5AA">
      <w:start w:val="1"/>
      <w:numFmt w:val="lowerRoman"/>
      <w:lvlText w:val="(%1)"/>
      <w:lvlJc w:val="left"/>
      <w:pPr>
        <w:ind w:left="720" w:hanging="72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372D6913"/>
    <w:multiLevelType w:val="hybridMultilevel"/>
    <w:tmpl w:val="41805804"/>
    <w:lvl w:ilvl="0" w:tplc="607260CE">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76C6454"/>
    <w:multiLevelType w:val="hybridMultilevel"/>
    <w:tmpl w:val="67602E66"/>
    <w:lvl w:ilvl="0" w:tplc="252C5FFA">
      <w:start w:val="1"/>
      <w:numFmt w:val="bullet"/>
      <w:lvlText w:val="-"/>
      <w:lvlJc w:val="left"/>
      <w:pPr>
        <w:ind w:left="720" w:hanging="360"/>
      </w:pPr>
      <w:rPr>
        <w:rFonts w:ascii="MS Reference Sans Serif" w:hAnsi="MS Reference Sans Serif"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5" w15:restartNumberingAfterBreak="0">
    <w:nsid w:val="388E5EAB"/>
    <w:multiLevelType w:val="hybridMultilevel"/>
    <w:tmpl w:val="E870A8DE"/>
    <w:lvl w:ilvl="0" w:tplc="B29EFD7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38DD2B71"/>
    <w:multiLevelType w:val="hybridMultilevel"/>
    <w:tmpl w:val="78B2E7B6"/>
    <w:lvl w:ilvl="0" w:tplc="C1C2D048">
      <w:start w:val="15"/>
      <w:numFmt w:val="bullet"/>
      <w:lvlText w:val="-"/>
      <w:lvlJc w:val="left"/>
      <w:pPr>
        <w:ind w:left="720" w:hanging="360"/>
      </w:pPr>
      <w:rPr>
        <w:rFonts w:ascii="Cambria" w:eastAsia="MS Gothic" w:hAnsi="Cambria" w:cs="Times New Roman" w:hint="default"/>
        <w:b w:val="0"/>
        <w:i/>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98D09FB"/>
    <w:multiLevelType w:val="hybridMultilevel"/>
    <w:tmpl w:val="FBA46E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39A643A1"/>
    <w:multiLevelType w:val="hybridMultilevel"/>
    <w:tmpl w:val="762C13DC"/>
    <w:lvl w:ilvl="0" w:tplc="2D9E642A">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9" w15:restartNumberingAfterBreak="0">
    <w:nsid w:val="3A673FA6"/>
    <w:multiLevelType w:val="hybridMultilevel"/>
    <w:tmpl w:val="41805804"/>
    <w:lvl w:ilvl="0" w:tplc="FFFFFFFF">
      <w:start w:val="1"/>
      <w:numFmt w:val="decimal"/>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61" w15:restartNumberingAfterBreak="0">
    <w:nsid w:val="3C442D3C"/>
    <w:multiLevelType w:val="hybridMultilevel"/>
    <w:tmpl w:val="05B2FE88"/>
    <w:lvl w:ilvl="0" w:tplc="9E5224A6">
      <w:start w:val="1"/>
      <w:numFmt w:val="decimal"/>
      <w:pStyle w:val="AgendaNo"/>
      <w:lvlText w:val="Agenda %1:"/>
      <w:lvlJc w:val="left"/>
      <w:pPr>
        <w:ind w:left="720" w:hanging="360"/>
      </w:pPr>
      <w:rPr>
        <w:rFonts w:hint="eastAsia"/>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D8E2848"/>
    <w:multiLevelType w:val="hybridMultilevel"/>
    <w:tmpl w:val="4216C090"/>
    <w:lvl w:ilvl="0" w:tplc="D1A09422">
      <w:start w:val="1"/>
      <w:numFmt w:val="decimal"/>
      <w:lvlText w:val="%1."/>
      <w:lvlJc w:val="left"/>
      <w:pPr>
        <w:ind w:left="984" w:hanging="62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1C30D5D"/>
    <w:multiLevelType w:val="hybridMultilevel"/>
    <w:tmpl w:val="2206B43E"/>
    <w:lvl w:ilvl="0" w:tplc="08CA672A">
      <w:start w:val="1"/>
      <w:numFmt w:val="bullet"/>
      <w:lvlText w:val="­"/>
      <w:lvlJc w:val="left"/>
      <w:pPr>
        <w:ind w:left="720" w:hanging="360"/>
      </w:pPr>
      <w:rPr>
        <w:rFonts w:ascii="Courier New" w:hAnsi="Courier New" w:hint="default"/>
      </w:rPr>
    </w:lvl>
    <w:lvl w:ilvl="1" w:tplc="08CA672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1E77894"/>
    <w:multiLevelType w:val="hybridMultilevel"/>
    <w:tmpl w:val="546628F6"/>
    <w:lvl w:ilvl="0" w:tplc="C1E856BE">
      <w:start w:val="1"/>
      <w:numFmt w:val="bullet"/>
      <w:lvlText w:val="-"/>
      <w:lvlJc w:val="left"/>
      <w:pPr>
        <w:ind w:left="720" w:hanging="360"/>
      </w:pPr>
      <w:rPr>
        <w:rFonts w:ascii="Cambria" w:hAnsi="Cambri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5" w15:restartNumberingAfterBreak="0">
    <w:nsid w:val="433A5BF9"/>
    <w:multiLevelType w:val="hybridMultilevel"/>
    <w:tmpl w:val="F7DC4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64C05B7"/>
    <w:multiLevelType w:val="hybridMultilevel"/>
    <w:tmpl w:val="7A6287F8"/>
    <w:lvl w:ilvl="0" w:tplc="DA9077AA">
      <w:start w:val="1"/>
      <w:numFmt w:val="decimal"/>
      <w:lvlText w:val="%1."/>
      <w:lvlJc w:val="left"/>
      <w:pPr>
        <w:ind w:left="720" w:hanging="360"/>
      </w:pPr>
      <w:rPr>
        <w:rFonts w:hint="default"/>
        <w:i w:val="0"/>
        <w:iCs w:val="0"/>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7A25E1B"/>
    <w:multiLevelType w:val="hybridMultilevel"/>
    <w:tmpl w:val="822067F0"/>
    <w:lvl w:ilvl="0" w:tplc="E0023D3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8" w15:restartNumberingAfterBreak="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9" w15:restartNumberingAfterBreak="0">
    <w:nsid w:val="4C9B2CCE"/>
    <w:multiLevelType w:val="multilevel"/>
    <w:tmpl w:val="365CD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D8248A0"/>
    <w:multiLevelType w:val="hybridMultilevel"/>
    <w:tmpl w:val="59B043A4"/>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C1E856BE">
      <w:start w:val="1"/>
      <w:numFmt w:val="bullet"/>
      <w:lvlText w:val="-"/>
      <w:lvlJc w:val="left"/>
      <w:pPr>
        <w:ind w:left="2520" w:hanging="360"/>
      </w:pPr>
      <w:rPr>
        <w:rFonts w:ascii="Cambria" w:hAnsi="Cambria"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1" w15:restartNumberingAfterBreak="0">
    <w:nsid w:val="4F7B6EBE"/>
    <w:multiLevelType w:val="hybridMultilevel"/>
    <w:tmpl w:val="83AA833E"/>
    <w:lvl w:ilvl="0" w:tplc="87B21B3A">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2" w15:restartNumberingAfterBreak="0">
    <w:nsid w:val="50C25715"/>
    <w:multiLevelType w:val="hybridMultilevel"/>
    <w:tmpl w:val="F3A0F764"/>
    <w:lvl w:ilvl="0" w:tplc="FA2E7FE2">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3" w15:restartNumberingAfterBreak="0">
    <w:nsid w:val="50D7176C"/>
    <w:multiLevelType w:val="hybridMultilevel"/>
    <w:tmpl w:val="6B8A08CA"/>
    <w:lvl w:ilvl="0" w:tplc="B9184C7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4" w15:restartNumberingAfterBreak="0">
    <w:nsid w:val="566A7BAD"/>
    <w:multiLevelType w:val="hybridMultilevel"/>
    <w:tmpl w:val="95102FA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5" w15:restartNumberingAfterBreak="0">
    <w:nsid w:val="58D93E8E"/>
    <w:multiLevelType w:val="hybridMultilevel"/>
    <w:tmpl w:val="BF887078"/>
    <w:lvl w:ilvl="0" w:tplc="BE4E5B1C">
      <w:start w:val="54"/>
      <w:numFmt w:val="bullet"/>
      <w:lvlText w:val="-"/>
      <w:lvlJc w:val="left"/>
      <w:pPr>
        <w:ind w:left="720" w:hanging="360"/>
      </w:pPr>
      <w:rPr>
        <w:rFonts w:ascii="Times New Roman" w:eastAsia="MS Gothic"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60D471D3"/>
    <w:multiLevelType w:val="hybridMultilevel"/>
    <w:tmpl w:val="FFDE9564"/>
    <w:lvl w:ilvl="0" w:tplc="A2E492F8">
      <w:start w:val="45"/>
      <w:numFmt w:val="bullet"/>
      <w:lvlText w:val="-"/>
      <w:lvlJc w:val="left"/>
      <w:pPr>
        <w:ind w:left="720" w:hanging="360"/>
      </w:pPr>
      <w:rPr>
        <w:rFonts w:ascii="Cambria" w:eastAsia="Times New Roman" w:hAnsi="Cambria" w:cs="Segoe UI"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631B3EE0"/>
    <w:multiLevelType w:val="hybridMultilevel"/>
    <w:tmpl w:val="97C4BB7C"/>
    <w:lvl w:ilvl="0" w:tplc="98C0733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34057D5"/>
    <w:multiLevelType w:val="hybridMultilevel"/>
    <w:tmpl w:val="778CAB26"/>
    <w:lvl w:ilvl="0" w:tplc="8CF035FC">
      <w:start w:val="1"/>
      <w:numFmt w:val="decimal"/>
      <w:lvlText w:val="%1."/>
      <w:lvlJc w:val="left"/>
      <w:pPr>
        <w:ind w:left="984" w:hanging="62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41E1CAA"/>
    <w:multiLevelType w:val="hybridMultilevel"/>
    <w:tmpl w:val="FECA540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65275EEA"/>
    <w:multiLevelType w:val="hybridMultilevel"/>
    <w:tmpl w:val="27FC3E72"/>
    <w:lvl w:ilvl="0" w:tplc="F0908998">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53312E7"/>
    <w:multiLevelType w:val="hybridMultilevel"/>
    <w:tmpl w:val="DA94ED28"/>
    <w:lvl w:ilvl="0" w:tplc="C1E856BE">
      <w:start w:val="1"/>
      <w:numFmt w:val="bullet"/>
      <w:lvlText w:val="-"/>
      <w:lvlJc w:val="left"/>
      <w:pPr>
        <w:ind w:left="720" w:hanging="360"/>
      </w:pPr>
      <w:rPr>
        <w:rFonts w:ascii="Cambria" w:hAnsi="Cambri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2" w15:restartNumberingAfterBreak="0">
    <w:nsid w:val="65704C2E"/>
    <w:multiLevelType w:val="hybridMultilevel"/>
    <w:tmpl w:val="33769A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3" w15:restartNumberingAfterBreak="0">
    <w:nsid w:val="663017F4"/>
    <w:multiLevelType w:val="hybridMultilevel"/>
    <w:tmpl w:val="37DEB918"/>
    <w:lvl w:ilvl="0" w:tplc="389E9352">
      <w:start w:val="1"/>
      <w:numFmt w:val="decimal"/>
      <w:lvlText w:val="%1."/>
      <w:lvlJc w:val="left"/>
      <w:pPr>
        <w:ind w:left="984" w:hanging="62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79179EC"/>
    <w:multiLevelType w:val="hybridMultilevel"/>
    <w:tmpl w:val="EBCCA3C4"/>
    <w:lvl w:ilvl="0" w:tplc="C10463D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681F4446"/>
    <w:multiLevelType w:val="hybridMultilevel"/>
    <w:tmpl w:val="F59C0EE8"/>
    <w:lvl w:ilvl="0" w:tplc="DE0AA002">
      <w:start w:val="1"/>
      <w:numFmt w:val="bullet"/>
      <w:lvlText w:val=""/>
      <w:lvlJc w:val="left"/>
      <w:pPr>
        <w:ind w:left="720" w:hanging="360"/>
      </w:pPr>
      <w:rPr>
        <w:rFonts w:ascii="Symbol" w:hAnsi="Symbol"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68AF5564"/>
    <w:multiLevelType w:val="hybridMultilevel"/>
    <w:tmpl w:val="9E022D1E"/>
    <w:lvl w:ilvl="0" w:tplc="D4CAFA48">
      <w:numFmt w:val="bullet"/>
      <w:lvlText w:val="–"/>
      <w:lvlJc w:val="left"/>
      <w:pPr>
        <w:ind w:left="720" w:hanging="360"/>
      </w:pPr>
      <w:rPr>
        <w:rFonts w:ascii="Cambria" w:eastAsia="MS Gothic"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68B25315"/>
    <w:multiLevelType w:val="hybridMultilevel"/>
    <w:tmpl w:val="5EBCC3CA"/>
    <w:lvl w:ilvl="0" w:tplc="96F4AB90">
      <w:start w:val="4"/>
      <w:numFmt w:val="bullet"/>
      <w:lvlText w:val="-"/>
      <w:lvlJc w:val="left"/>
      <w:pPr>
        <w:ind w:left="720" w:hanging="360"/>
      </w:pPr>
      <w:rPr>
        <w:rFonts w:ascii="Cambria" w:eastAsia="MS Gothic" w:hAnsi="Cambr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8" w15:restartNumberingAfterBreak="0">
    <w:nsid w:val="692D3F50"/>
    <w:multiLevelType w:val="hybridMultilevel"/>
    <w:tmpl w:val="F55A07B6"/>
    <w:lvl w:ilvl="0" w:tplc="6DE215C8">
      <w:numFmt w:val="bullet"/>
      <w:lvlText w:val="-"/>
      <w:lvlJc w:val="left"/>
      <w:pPr>
        <w:ind w:left="651" w:hanging="360"/>
      </w:pPr>
      <w:rPr>
        <w:rFonts w:ascii="Cambria" w:eastAsia="Cambria" w:hAnsi="Cambria" w:cs="Cambria" w:hint="default"/>
      </w:rPr>
    </w:lvl>
    <w:lvl w:ilvl="1" w:tplc="04090003" w:tentative="1">
      <w:start w:val="1"/>
      <w:numFmt w:val="bullet"/>
      <w:lvlText w:val="o"/>
      <w:lvlJc w:val="left"/>
      <w:pPr>
        <w:ind w:left="1371" w:hanging="360"/>
      </w:pPr>
      <w:rPr>
        <w:rFonts w:ascii="Courier New" w:hAnsi="Courier New" w:cs="Courier New" w:hint="default"/>
      </w:rPr>
    </w:lvl>
    <w:lvl w:ilvl="2" w:tplc="04090005" w:tentative="1">
      <w:start w:val="1"/>
      <w:numFmt w:val="bullet"/>
      <w:lvlText w:val=""/>
      <w:lvlJc w:val="left"/>
      <w:pPr>
        <w:ind w:left="2091" w:hanging="360"/>
      </w:pPr>
      <w:rPr>
        <w:rFonts w:ascii="Wingdings" w:hAnsi="Wingdings" w:hint="default"/>
      </w:rPr>
    </w:lvl>
    <w:lvl w:ilvl="3" w:tplc="04090001" w:tentative="1">
      <w:start w:val="1"/>
      <w:numFmt w:val="bullet"/>
      <w:lvlText w:val=""/>
      <w:lvlJc w:val="left"/>
      <w:pPr>
        <w:ind w:left="2811" w:hanging="360"/>
      </w:pPr>
      <w:rPr>
        <w:rFonts w:ascii="Symbol" w:hAnsi="Symbol" w:hint="default"/>
      </w:rPr>
    </w:lvl>
    <w:lvl w:ilvl="4" w:tplc="04090003" w:tentative="1">
      <w:start w:val="1"/>
      <w:numFmt w:val="bullet"/>
      <w:lvlText w:val="o"/>
      <w:lvlJc w:val="left"/>
      <w:pPr>
        <w:ind w:left="3531" w:hanging="360"/>
      </w:pPr>
      <w:rPr>
        <w:rFonts w:ascii="Courier New" w:hAnsi="Courier New" w:cs="Courier New" w:hint="default"/>
      </w:rPr>
    </w:lvl>
    <w:lvl w:ilvl="5" w:tplc="04090005" w:tentative="1">
      <w:start w:val="1"/>
      <w:numFmt w:val="bullet"/>
      <w:lvlText w:val=""/>
      <w:lvlJc w:val="left"/>
      <w:pPr>
        <w:ind w:left="4251" w:hanging="360"/>
      </w:pPr>
      <w:rPr>
        <w:rFonts w:ascii="Wingdings" w:hAnsi="Wingdings" w:hint="default"/>
      </w:rPr>
    </w:lvl>
    <w:lvl w:ilvl="6" w:tplc="04090001" w:tentative="1">
      <w:start w:val="1"/>
      <w:numFmt w:val="bullet"/>
      <w:lvlText w:val=""/>
      <w:lvlJc w:val="left"/>
      <w:pPr>
        <w:ind w:left="4971" w:hanging="360"/>
      </w:pPr>
      <w:rPr>
        <w:rFonts w:ascii="Symbol" w:hAnsi="Symbol" w:hint="default"/>
      </w:rPr>
    </w:lvl>
    <w:lvl w:ilvl="7" w:tplc="04090003" w:tentative="1">
      <w:start w:val="1"/>
      <w:numFmt w:val="bullet"/>
      <w:lvlText w:val="o"/>
      <w:lvlJc w:val="left"/>
      <w:pPr>
        <w:ind w:left="5691" w:hanging="360"/>
      </w:pPr>
      <w:rPr>
        <w:rFonts w:ascii="Courier New" w:hAnsi="Courier New" w:cs="Courier New" w:hint="default"/>
      </w:rPr>
    </w:lvl>
    <w:lvl w:ilvl="8" w:tplc="04090005" w:tentative="1">
      <w:start w:val="1"/>
      <w:numFmt w:val="bullet"/>
      <w:lvlText w:val=""/>
      <w:lvlJc w:val="left"/>
      <w:pPr>
        <w:ind w:left="6411" w:hanging="360"/>
      </w:pPr>
      <w:rPr>
        <w:rFonts w:ascii="Wingdings" w:hAnsi="Wingdings" w:hint="default"/>
      </w:rPr>
    </w:lvl>
  </w:abstractNum>
  <w:abstractNum w:abstractNumId="89" w15:restartNumberingAfterBreak="0">
    <w:nsid w:val="6B66643F"/>
    <w:multiLevelType w:val="hybridMultilevel"/>
    <w:tmpl w:val="2BC22106"/>
    <w:lvl w:ilvl="0" w:tplc="BCF80CC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6E4C35A8"/>
    <w:multiLevelType w:val="hybridMultilevel"/>
    <w:tmpl w:val="6840F4EC"/>
    <w:lvl w:ilvl="0" w:tplc="8EFCD9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1812061"/>
    <w:multiLevelType w:val="hybridMultilevel"/>
    <w:tmpl w:val="E2E4EF88"/>
    <w:lvl w:ilvl="0" w:tplc="F2ECE1CA">
      <w:start w:val="4"/>
      <w:numFmt w:val="decimal"/>
      <w:lvlText w:val="%1."/>
      <w:lvlJc w:val="left"/>
      <w:pPr>
        <w:ind w:left="431"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2" w15:restartNumberingAfterBreak="0">
    <w:nsid w:val="74083A82"/>
    <w:multiLevelType w:val="multilevel"/>
    <w:tmpl w:val="B0AC3C5C"/>
    <w:lvl w:ilvl="0">
      <w:start w:val="1"/>
      <w:numFmt w:val="bullet"/>
      <w:pStyle w:val="bullets1"/>
      <w:lvlText w:val="-"/>
      <w:lvlJc w:val="left"/>
      <w:pPr>
        <w:ind w:left="720" w:hanging="360"/>
      </w:pPr>
      <w:rPr>
        <w:rFonts w:ascii="Cambria" w:eastAsia="Cambria" w:hAnsi="Cambria" w:cs="Cambria"/>
        <w:color w:val="000000"/>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3" w15:restartNumberingAfterBreak="0">
    <w:nsid w:val="767E2266"/>
    <w:multiLevelType w:val="hybridMultilevel"/>
    <w:tmpl w:val="09F8E09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4" w15:restartNumberingAfterBreak="0">
    <w:nsid w:val="78216C17"/>
    <w:multiLevelType w:val="hybridMultilevel"/>
    <w:tmpl w:val="F8380522"/>
    <w:lvl w:ilvl="0" w:tplc="D4CAFA48">
      <w:numFmt w:val="bullet"/>
      <w:lvlText w:val="–"/>
      <w:lvlJc w:val="left"/>
      <w:pPr>
        <w:ind w:left="431" w:hanging="360"/>
      </w:pPr>
      <w:rPr>
        <w:rFonts w:ascii="Cambria" w:eastAsia="MS Gothic" w:hAnsi="Cambria" w:cs="Times New Roman" w:hint="default"/>
      </w:rPr>
    </w:lvl>
    <w:lvl w:ilvl="1" w:tplc="04090003" w:tentative="1">
      <w:start w:val="1"/>
      <w:numFmt w:val="bullet"/>
      <w:lvlText w:val="o"/>
      <w:lvlJc w:val="left"/>
      <w:pPr>
        <w:ind w:left="1151" w:hanging="360"/>
      </w:pPr>
      <w:rPr>
        <w:rFonts w:ascii="Courier New" w:hAnsi="Courier New" w:cs="Courier New" w:hint="default"/>
      </w:rPr>
    </w:lvl>
    <w:lvl w:ilvl="2" w:tplc="04090005" w:tentative="1">
      <w:start w:val="1"/>
      <w:numFmt w:val="bullet"/>
      <w:lvlText w:val=""/>
      <w:lvlJc w:val="left"/>
      <w:pPr>
        <w:ind w:left="1871" w:hanging="360"/>
      </w:pPr>
      <w:rPr>
        <w:rFonts w:ascii="Wingdings" w:hAnsi="Wingdings" w:hint="default"/>
      </w:rPr>
    </w:lvl>
    <w:lvl w:ilvl="3" w:tplc="04090001" w:tentative="1">
      <w:start w:val="1"/>
      <w:numFmt w:val="bullet"/>
      <w:lvlText w:val=""/>
      <w:lvlJc w:val="left"/>
      <w:pPr>
        <w:ind w:left="2591" w:hanging="360"/>
      </w:pPr>
      <w:rPr>
        <w:rFonts w:ascii="Symbol" w:hAnsi="Symbol" w:hint="default"/>
      </w:rPr>
    </w:lvl>
    <w:lvl w:ilvl="4" w:tplc="04090003" w:tentative="1">
      <w:start w:val="1"/>
      <w:numFmt w:val="bullet"/>
      <w:lvlText w:val="o"/>
      <w:lvlJc w:val="left"/>
      <w:pPr>
        <w:ind w:left="3311" w:hanging="360"/>
      </w:pPr>
      <w:rPr>
        <w:rFonts w:ascii="Courier New" w:hAnsi="Courier New" w:cs="Courier New" w:hint="default"/>
      </w:rPr>
    </w:lvl>
    <w:lvl w:ilvl="5" w:tplc="04090005" w:tentative="1">
      <w:start w:val="1"/>
      <w:numFmt w:val="bullet"/>
      <w:lvlText w:val=""/>
      <w:lvlJc w:val="left"/>
      <w:pPr>
        <w:ind w:left="4031" w:hanging="360"/>
      </w:pPr>
      <w:rPr>
        <w:rFonts w:ascii="Wingdings" w:hAnsi="Wingdings" w:hint="default"/>
      </w:rPr>
    </w:lvl>
    <w:lvl w:ilvl="6" w:tplc="04090001" w:tentative="1">
      <w:start w:val="1"/>
      <w:numFmt w:val="bullet"/>
      <w:lvlText w:val=""/>
      <w:lvlJc w:val="left"/>
      <w:pPr>
        <w:ind w:left="4751" w:hanging="360"/>
      </w:pPr>
      <w:rPr>
        <w:rFonts w:ascii="Symbol" w:hAnsi="Symbol" w:hint="default"/>
      </w:rPr>
    </w:lvl>
    <w:lvl w:ilvl="7" w:tplc="04090003" w:tentative="1">
      <w:start w:val="1"/>
      <w:numFmt w:val="bullet"/>
      <w:lvlText w:val="o"/>
      <w:lvlJc w:val="left"/>
      <w:pPr>
        <w:ind w:left="5471" w:hanging="360"/>
      </w:pPr>
      <w:rPr>
        <w:rFonts w:ascii="Courier New" w:hAnsi="Courier New" w:cs="Courier New" w:hint="default"/>
      </w:rPr>
    </w:lvl>
    <w:lvl w:ilvl="8" w:tplc="04090005" w:tentative="1">
      <w:start w:val="1"/>
      <w:numFmt w:val="bullet"/>
      <w:lvlText w:val=""/>
      <w:lvlJc w:val="left"/>
      <w:pPr>
        <w:ind w:left="6191" w:hanging="360"/>
      </w:pPr>
      <w:rPr>
        <w:rFonts w:ascii="Wingdings" w:hAnsi="Wingdings" w:hint="default"/>
      </w:rPr>
    </w:lvl>
  </w:abstractNum>
  <w:abstractNum w:abstractNumId="95" w15:restartNumberingAfterBreak="0">
    <w:nsid w:val="7D2D087D"/>
    <w:multiLevelType w:val="hybridMultilevel"/>
    <w:tmpl w:val="50F098CA"/>
    <w:lvl w:ilvl="0" w:tplc="D3C0E8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787624958">
    <w:abstractNumId w:val="66"/>
  </w:num>
  <w:num w:numId="2" w16cid:durableId="1609393453">
    <w:abstractNumId w:val="52"/>
  </w:num>
  <w:num w:numId="3" w16cid:durableId="1520663356">
    <w:abstractNumId w:val="68"/>
  </w:num>
  <w:num w:numId="4" w16cid:durableId="285896015">
    <w:abstractNumId w:val="60"/>
  </w:num>
  <w:num w:numId="5" w16cid:durableId="1200169070">
    <w:abstractNumId w:val="37"/>
  </w:num>
  <w:num w:numId="6" w16cid:durableId="1456873848">
    <w:abstractNumId w:val="10"/>
  </w:num>
  <w:num w:numId="7" w16cid:durableId="1796874205">
    <w:abstractNumId w:val="9"/>
  </w:num>
  <w:num w:numId="8" w16cid:durableId="39592271">
    <w:abstractNumId w:val="7"/>
  </w:num>
  <w:num w:numId="9" w16cid:durableId="1646544166">
    <w:abstractNumId w:val="6"/>
  </w:num>
  <w:num w:numId="10" w16cid:durableId="647904722">
    <w:abstractNumId w:val="5"/>
  </w:num>
  <w:num w:numId="11" w16cid:durableId="1894345424">
    <w:abstractNumId w:val="4"/>
  </w:num>
  <w:num w:numId="12" w16cid:durableId="2083717985">
    <w:abstractNumId w:val="8"/>
  </w:num>
  <w:num w:numId="13" w16cid:durableId="529294386">
    <w:abstractNumId w:val="3"/>
  </w:num>
  <w:num w:numId="14" w16cid:durableId="1221557526">
    <w:abstractNumId w:val="2"/>
  </w:num>
  <w:num w:numId="15" w16cid:durableId="417796717">
    <w:abstractNumId w:val="1"/>
  </w:num>
  <w:num w:numId="16" w16cid:durableId="1441217686">
    <w:abstractNumId w:val="0"/>
  </w:num>
  <w:num w:numId="17" w16cid:durableId="2057196824">
    <w:abstractNumId w:val="27"/>
  </w:num>
  <w:num w:numId="18" w16cid:durableId="1940869844">
    <w:abstractNumId w:val="92"/>
  </w:num>
  <w:num w:numId="19" w16cid:durableId="227957739">
    <w:abstractNumId w:val="23"/>
  </w:num>
  <w:num w:numId="20" w16cid:durableId="1822185581">
    <w:abstractNumId w:val="76"/>
  </w:num>
  <w:num w:numId="21" w16cid:durableId="1421294163">
    <w:abstractNumId w:val="63"/>
  </w:num>
  <w:num w:numId="22" w16cid:durableId="45644987">
    <w:abstractNumId w:val="32"/>
  </w:num>
  <w:num w:numId="23" w16cid:durableId="149100587">
    <w:abstractNumId w:val="75"/>
  </w:num>
  <w:num w:numId="24" w16cid:durableId="1552158843">
    <w:abstractNumId w:val="79"/>
  </w:num>
  <w:num w:numId="25" w16cid:durableId="2103450077">
    <w:abstractNumId w:val="28"/>
  </w:num>
  <w:num w:numId="26" w16cid:durableId="1475874330">
    <w:abstractNumId w:val="61"/>
  </w:num>
  <w:num w:numId="27" w16cid:durableId="1551922763">
    <w:abstractNumId w:val="17"/>
  </w:num>
  <w:num w:numId="28" w16cid:durableId="2002464755">
    <w:abstractNumId w:val="41"/>
  </w:num>
  <w:num w:numId="29" w16cid:durableId="516967556">
    <w:abstractNumId w:val="53"/>
  </w:num>
  <w:num w:numId="30" w16cid:durableId="95567919">
    <w:abstractNumId w:val="59"/>
  </w:num>
  <w:num w:numId="31" w16cid:durableId="254897502">
    <w:abstractNumId w:val="80"/>
  </w:num>
  <w:num w:numId="32" w16cid:durableId="658928755">
    <w:abstractNumId w:val="54"/>
  </w:num>
  <w:num w:numId="33" w16cid:durableId="1749232376">
    <w:abstractNumId w:val="82"/>
  </w:num>
  <w:num w:numId="34" w16cid:durableId="2049717251">
    <w:abstractNumId w:val="29"/>
  </w:num>
  <w:num w:numId="35" w16cid:durableId="596447933">
    <w:abstractNumId w:val="42"/>
  </w:num>
  <w:num w:numId="36" w16cid:durableId="1732076771">
    <w:abstractNumId w:val="16"/>
  </w:num>
  <w:num w:numId="37" w16cid:durableId="608665475">
    <w:abstractNumId w:val="35"/>
  </w:num>
  <w:num w:numId="38" w16cid:durableId="1943954155">
    <w:abstractNumId w:val="62"/>
  </w:num>
  <w:num w:numId="39" w16cid:durableId="456069759">
    <w:abstractNumId w:val="78"/>
  </w:num>
  <w:num w:numId="40" w16cid:durableId="1854802942">
    <w:abstractNumId w:val="49"/>
  </w:num>
  <w:num w:numId="41" w16cid:durableId="906961599">
    <w:abstractNumId w:val="83"/>
  </w:num>
  <w:num w:numId="42" w16cid:durableId="928386428">
    <w:abstractNumId w:val="67"/>
  </w:num>
  <w:num w:numId="43" w16cid:durableId="649600086">
    <w:abstractNumId w:val="50"/>
  </w:num>
  <w:num w:numId="44" w16cid:durableId="1345522249">
    <w:abstractNumId w:val="51"/>
  </w:num>
  <w:num w:numId="45" w16cid:durableId="1490973632">
    <w:abstractNumId w:val="65"/>
  </w:num>
  <w:num w:numId="46" w16cid:durableId="1363825850">
    <w:abstractNumId w:val="48"/>
  </w:num>
  <w:num w:numId="47" w16cid:durableId="833716116">
    <w:abstractNumId w:val="45"/>
  </w:num>
  <w:num w:numId="48" w16cid:durableId="1492528041">
    <w:abstractNumId w:val="20"/>
  </w:num>
  <w:num w:numId="49" w16cid:durableId="1541816370">
    <w:abstractNumId w:val="31"/>
  </w:num>
  <w:num w:numId="50" w16cid:durableId="724111035">
    <w:abstractNumId w:val="73"/>
  </w:num>
  <w:num w:numId="51" w16cid:durableId="592473736">
    <w:abstractNumId w:val="57"/>
  </w:num>
  <w:num w:numId="52" w16cid:durableId="2062512524">
    <w:abstractNumId w:val="18"/>
  </w:num>
  <w:num w:numId="53" w16cid:durableId="1038776142">
    <w:abstractNumId w:val="74"/>
  </w:num>
  <w:num w:numId="54" w16cid:durableId="547837656">
    <w:abstractNumId w:val="84"/>
  </w:num>
  <w:num w:numId="55" w16cid:durableId="2038266993">
    <w:abstractNumId w:val="55"/>
  </w:num>
  <w:num w:numId="56" w16cid:durableId="1136991894">
    <w:abstractNumId w:val="43"/>
  </w:num>
  <w:num w:numId="57" w16cid:durableId="1535340187">
    <w:abstractNumId w:val="40"/>
  </w:num>
  <w:num w:numId="58" w16cid:durableId="1424451122">
    <w:abstractNumId w:val="71"/>
  </w:num>
  <w:num w:numId="59" w16cid:durableId="1716350250">
    <w:abstractNumId w:val="64"/>
  </w:num>
  <w:num w:numId="60" w16cid:durableId="1158111689">
    <w:abstractNumId w:val="56"/>
  </w:num>
  <w:num w:numId="61" w16cid:durableId="741605661">
    <w:abstractNumId w:val="85"/>
  </w:num>
  <w:num w:numId="62" w16cid:durableId="1421835158">
    <w:abstractNumId w:val="58"/>
  </w:num>
  <w:num w:numId="63" w16cid:durableId="606156173">
    <w:abstractNumId w:val="38"/>
  </w:num>
  <w:num w:numId="64" w16cid:durableId="86005990">
    <w:abstractNumId w:val="19"/>
  </w:num>
  <w:num w:numId="65" w16cid:durableId="776145477">
    <w:abstractNumId w:val="26"/>
  </w:num>
  <w:num w:numId="66" w16cid:durableId="1419476653">
    <w:abstractNumId w:val="12"/>
  </w:num>
  <w:num w:numId="67" w16cid:durableId="330715511">
    <w:abstractNumId w:val="13"/>
  </w:num>
  <w:num w:numId="68" w16cid:durableId="820393426">
    <w:abstractNumId w:val="93"/>
  </w:num>
  <w:num w:numId="69" w16cid:durableId="2107379390">
    <w:abstractNumId w:val="46"/>
  </w:num>
  <w:num w:numId="70" w16cid:durableId="160241618">
    <w:abstractNumId w:val="94"/>
  </w:num>
  <w:num w:numId="71" w16cid:durableId="1311524044">
    <w:abstractNumId w:val="47"/>
  </w:num>
  <w:num w:numId="72" w16cid:durableId="39596467">
    <w:abstractNumId w:val="36"/>
  </w:num>
  <w:num w:numId="73" w16cid:durableId="845556089">
    <w:abstractNumId w:val="86"/>
  </w:num>
  <w:num w:numId="74" w16cid:durableId="215512222">
    <w:abstractNumId w:val="21"/>
  </w:num>
  <w:num w:numId="75" w16cid:durableId="1747418630">
    <w:abstractNumId w:val="22"/>
  </w:num>
  <w:num w:numId="76" w16cid:durableId="503013966">
    <w:abstractNumId w:val="34"/>
  </w:num>
  <w:num w:numId="77" w16cid:durableId="1228414837">
    <w:abstractNumId w:val="91"/>
  </w:num>
  <w:num w:numId="78" w16cid:durableId="1431923910">
    <w:abstractNumId w:val="70"/>
  </w:num>
  <w:num w:numId="79" w16cid:durableId="1680348477">
    <w:abstractNumId w:val="87"/>
  </w:num>
  <w:num w:numId="80" w16cid:durableId="583876462">
    <w:abstractNumId w:val="90"/>
  </w:num>
  <w:num w:numId="81" w16cid:durableId="155729175">
    <w:abstractNumId w:val="30"/>
  </w:num>
  <w:num w:numId="82" w16cid:durableId="1258975500">
    <w:abstractNumId w:val="39"/>
  </w:num>
  <w:num w:numId="83" w16cid:durableId="928736351">
    <w:abstractNumId w:val="72"/>
  </w:num>
  <w:num w:numId="84" w16cid:durableId="25452121">
    <w:abstractNumId w:val="33"/>
  </w:num>
  <w:num w:numId="85" w16cid:durableId="923146539">
    <w:abstractNumId w:val="44"/>
  </w:num>
  <w:num w:numId="86" w16cid:durableId="866872738">
    <w:abstractNumId w:val="11"/>
  </w:num>
  <w:num w:numId="87" w16cid:durableId="160243420">
    <w:abstractNumId w:val="89"/>
  </w:num>
  <w:num w:numId="88" w16cid:durableId="180706828">
    <w:abstractNumId w:val="69"/>
  </w:num>
  <w:num w:numId="89" w16cid:durableId="292247971">
    <w:abstractNumId w:val="14"/>
  </w:num>
  <w:num w:numId="90" w16cid:durableId="348416199">
    <w:abstractNumId w:val="95"/>
  </w:num>
  <w:num w:numId="91" w16cid:durableId="497235629">
    <w:abstractNumId w:val="25"/>
  </w:num>
  <w:num w:numId="92" w16cid:durableId="330645056">
    <w:abstractNumId w:val="81"/>
  </w:num>
  <w:num w:numId="93" w16cid:durableId="1538851042">
    <w:abstractNumId w:val="15"/>
  </w:num>
  <w:num w:numId="94" w16cid:durableId="658195084">
    <w:abstractNumId w:val="88"/>
  </w:num>
  <w:num w:numId="95" w16cid:durableId="504128361">
    <w:abstractNumId w:val="24"/>
  </w:num>
  <w:num w:numId="96" w16cid:durableId="2102674892">
    <w:abstractNumId w:val="77"/>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numFmt w:val="chicago"/>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3C0"/>
    <w:rsid w:val="00000CCC"/>
    <w:rsid w:val="00001652"/>
    <w:rsid w:val="00001B64"/>
    <w:rsid w:val="0000237E"/>
    <w:rsid w:val="0000358E"/>
    <w:rsid w:val="00003EE0"/>
    <w:rsid w:val="000060B6"/>
    <w:rsid w:val="00007D22"/>
    <w:rsid w:val="00012B5F"/>
    <w:rsid w:val="000131D0"/>
    <w:rsid w:val="0001373F"/>
    <w:rsid w:val="000142EF"/>
    <w:rsid w:val="000156DA"/>
    <w:rsid w:val="00015FF2"/>
    <w:rsid w:val="000178A0"/>
    <w:rsid w:val="00020075"/>
    <w:rsid w:val="00020AED"/>
    <w:rsid w:val="00020C75"/>
    <w:rsid w:val="00021D3B"/>
    <w:rsid w:val="00023D0D"/>
    <w:rsid w:val="0002414F"/>
    <w:rsid w:val="000244C3"/>
    <w:rsid w:val="00024A8C"/>
    <w:rsid w:val="00024C81"/>
    <w:rsid w:val="00025D5E"/>
    <w:rsid w:val="00025E40"/>
    <w:rsid w:val="00026AE5"/>
    <w:rsid w:val="00027671"/>
    <w:rsid w:val="00027A40"/>
    <w:rsid w:val="00027FCA"/>
    <w:rsid w:val="000309F6"/>
    <w:rsid w:val="00032CBC"/>
    <w:rsid w:val="00032ED6"/>
    <w:rsid w:val="000350FF"/>
    <w:rsid w:val="000353E1"/>
    <w:rsid w:val="00037938"/>
    <w:rsid w:val="00040A7D"/>
    <w:rsid w:val="000418D6"/>
    <w:rsid w:val="000427A2"/>
    <w:rsid w:val="00043739"/>
    <w:rsid w:val="00045467"/>
    <w:rsid w:val="00045A91"/>
    <w:rsid w:val="00045BD5"/>
    <w:rsid w:val="00047259"/>
    <w:rsid w:val="000506CC"/>
    <w:rsid w:val="00050735"/>
    <w:rsid w:val="00050C29"/>
    <w:rsid w:val="000511AF"/>
    <w:rsid w:val="00051DA2"/>
    <w:rsid w:val="0005294F"/>
    <w:rsid w:val="00052A25"/>
    <w:rsid w:val="0005796A"/>
    <w:rsid w:val="00060247"/>
    <w:rsid w:val="000602BB"/>
    <w:rsid w:val="00061419"/>
    <w:rsid w:val="00061B06"/>
    <w:rsid w:val="00061C74"/>
    <w:rsid w:val="00061FFB"/>
    <w:rsid w:val="00064C36"/>
    <w:rsid w:val="00064C68"/>
    <w:rsid w:val="00065270"/>
    <w:rsid w:val="0006610B"/>
    <w:rsid w:val="00066F4A"/>
    <w:rsid w:val="000672CD"/>
    <w:rsid w:val="0007021F"/>
    <w:rsid w:val="00071288"/>
    <w:rsid w:val="00071C0F"/>
    <w:rsid w:val="000721A0"/>
    <w:rsid w:val="00072B39"/>
    <w:rsid w:val="00073B29"/>
    <w:rsid w:val="000810C1"/>
    <w:rsid w:val="00081A94"/>
    <w:rsid w:val="00081C3C"/>
    <w:rsid w:val="00082A7C"/>
    <w:rsid w:val="00084242"/>
    <w:rsid w:val="00084554"/>
    <w:rsid w:val="00084D94"/>
    <w:rsid w:val="00087534"/>
    <w:rsid w:val="000963EF"/>
    <w:rsid w:val="00096CFC"/>
    <w:rsid w:val="000A0954"/>
    <w:rsid w:val="000A1CF2"/>
    <w:rsid w:val="000A62CC"/>
    <w:rsid w:val="000A6591"/>
    <w:rsid w:val="000A6A44"/>
    <w:rsid w:val="000A74E4"/>
    <w:rsid w:val="000A7682"/>
    <w:rsid w:val="000B0910"/>
    <w:rsid w:val="000B101D"/>
    <w:rsid w:val="000B2632"/>
    <w:rsid w:val="000B2702"/>
    <w:rsid w:val="000B2C56"/>
    <w:rsid w:val="000B41FE"/>
    <w:rsid w:val="000B5464"/>
    <w:rsid w:val="000B550C"/>
    <w:rsid w:val="000B5822"/>
    <w:rsid w:val="000B635A"/>
    <w:rsid w:val="000B745B"/>
    <w:rsid w:val="000C024B"/>
    <w:rsid w:val="000C0BC8"/>
    <w:rsid w:val="000C2E9C"/>
    <w:rsid w:val="000C4FC3"/>
    <w:rsid w:val="000C5246"/>
    <w:rsid w:val="000C5E0D"/>
    <w:rsid w:val="000C5F1D"/>
    <w:rsid w:val="000C5FAB"/>
    <w:rsid w:val="000C74F8"/>
    <w:rsid w:val="000D06C5"/>
    <w:rsid w:val="000D0BF7"/>
    <w:rsid w:val="000D4F03"/>
    <w:rsid w:val="000D6261"/>
    <w:rsid w:val="000D74EA"/>
    <w:rsid w:val="000D7875"/>
    <w:rsid w:val="000E02C3"/>
    <w:rsid w:val="000E2C14"/>
    <w:rsid w:val="000E40BB"/>
    <w:rsid w:val="000E47F4"/>
    <w:rsid w:val="000E4D19"/>
    <w:rsid w:val="000E5DF1"/>
    <w:rsid w:val="000E67F9"/>
    <w:rsid w:val="000F0ED0"/>
    <w:rsid w:val="000F1131"/>
    <w:rsid w:val="000F1EE8"/>
    <w:rsid w:val="000F264B"/>
    <w:rsid w:val="000F28B2"/>
    <w:rsid w:val="000F3542"/>
    <w:rsid w:val="000F39F6"/>
    <w:rsid w:val="000F4459"/>
    <w:rsid w:val="000F4E1C"/>
    <w:rsid w:val="000F773E"/>
    <w:rsid w:val="000F79F4"/>
    <w:rsid w:val="000F7BD2"/>
    <w:rsid w:val="001009D3"/>
    <w:rsid w:val="00101B8B"/>
    <w:rsid w:val="00101F1B"/>
    <w:rsid w:val="001022D6"/>
    <w:rsid w:val="0010476C"/>
    <w:rsid w:val="00104C83"/>
    <w:rsid w:val="001051EB"/>
    <w:rsid w:val="00106FFA"/>
    <w:rsid w:val="00107437"/>
    <w:rsid w:val="00107DA0"/>
    <w:rsid w:val="00110F98"/>
    <w:rsid w:val="00111519"/>
    <w:rsid w:val="001116C2"/>
    <w:rsid w:val="001118BF"/>
    <w:rsid w:val="001129E5"/>
    <w:rsid w:val="00115A30"/>
    <w:rsid w:val="00115F17"/>
    <w:rsid w:val="001161EF"/>
    <w:rsid w:val="00116D2A"/>
    <w:rsid w:val="001176E7"/>
    <w:rsid w:val="00120A28"/>
    <w:rsid w:val="00121EE3"/>
    <w:rsid w:val="00122DE4"/>
    <w:rsid w:val="00122E6F"/>
    <w:rsid w:val="00124370"/>
    <w:rsid w:val="001244D0"/>
    <w:rsid w:val="00125848"/>
    <w:rsid w:val="00127133"/>
    <w:rsid w:val="00131680"/>
    <w:rsid w:val="0013172A"/>
    <w:rsid w:val="00131AE7"/>
    <w:rsid w:val="001327B3"/>
    <w:rsid w:val="00133373"/>
    <w:rsid w:val="0013367F"/>
    <w:rsid w:val="00133941"/>
    <w:rsid w:val="00140EDB"/>
    <w:rsid w:val="00142441"/>
    <w:rsid w:val="00143952"/>
    <w:rsid w:val="0014444A"/>
    <w:rsid w:val="0014497E"/>
    <w:rsid w:val="00147223"/>
    <w:rsid w:val="00150006"/>
    <w:rsid w:val="0015000A"/>
    <w:rsid w:val="00150E57"/>
    <w:rsid w:val="001512FB"/>
    <w:rsid w:val="0015206D"/>
    <w:rsid w:val="0015234E"/>
    <w:rsid w:val="00152F5C"/>
    <w:rsid w:val="00153B66"/>
    <w:rsid w:val="00154976"/>
    <w:rsid w:val="0015653D"/>
    <w:rsid w:val="001568D1"/>
    <w:rsid w:val="001568DD"/>
    <w:rsid w:val="001623AD"/>
    <w:rsid w:val="001630F9"/>
    <w:rsid w:val="00163A97"/>
    <w:rsid w:val="00163E5E"/>
    <w:rsid w:val="00166E1F"/>
    <w:rsid w:val="0016797F"/>
    <w:rsid w:val="00167ED1"/>
    <w:rsid w:val="00170BCD"/>
    <w:rsid w:val="00170C58"/>
    <w:rsid w:val="00170FD0"/>
    <w:rsid w:val="00172A30"/>
    <w:rsid w:val="00173173"/>
    <w:rsid w:val="001744E3"/>
    <w:rsid w:val="00175F16"/>
    <w:rsid w:val="0018003E"/>
    <w:rsid w:val="0018425E"/>
    <w:rsid w:val="00184A57"/>
    <w:rsid w:val="0018545F"/>
    <w:rsid w:val="0018693B"/>
    <w:rsid w:val="00186B47"/>
    <w:rsid w:val="0019108E"/>
    <w:rsid w:val="00191892"/>
    <w:rsid w:val="0019247F"/>
    <w:rsid w:val="001924A8"/>
    <w:rsid w:val="00197088"/>
    <w:rsid w:val="00197775"/>
    <w:rsid w:val="001A010D"/>
    <w:rsid w:val="001A0799"/>
    <w:rsid w:val="001A149E"/>
    <w:rsid w:val="001A27BE"/>
    <w:rsid w:val="001A30AE"/>
    <w:rsid w:val="001A45D8"/>
    <w:rsid w:val="001A4E7A"/>
    <w:rsid w:val="001A55E1"/>
    <w:rsid w:val="001B0422"/>
    <w:rsid w:val="001B1561"/>
    <w:rsid w:val="001B4311"/>
    <w:rsid w:val="001B54FD"/>
    <w:rsid w:val="001B6396"/>
    <w:rsid w:val="001B6627"/>
    <w:rsid w:val="001C0C85"/>
    <w:rsid w:val="001C1ADF"/>
    <w:rsid w:val="001C207C"/>
    <w:rsid w:val="001C45A3"/>
    <w:rsid w:val="001C475E"/>
    <w:rsid w:val="001C61C0"/>
    <w:rsid w:val="001C6856"/>
    <w:rsid w:val="001C69DA"/>
    <w:rsid w:val="001D049D"/>
    <w:rsid w:val="001D13A0"/>
    <w:rsid w:val="001D1F79"/>
    <w:rsid w:val="001D315C"/>
    <w:rsid w:val="001D3282"/>
    <w:rsid w:val="001D43A9"/>
    <w:rsid w:val="001D4D78"/>
    <w:rsid w:val="001D52EE"/>
    <w:rsid w:val="001D7122"/>
    <w:rsid w:val="001D73A6"/>
    <w:rsid w:val="001E124A"/>
    <w:rsid w:val="001E12FE"/>
    <w:rsid w:val="001E180A"/>
    <w:rsid w:val="001E3A50"/>
    <w:rsid w:val="001E636E"/>
    <w:rsid w:val="001E717B"/>
    <w:rsid w:val="001F04A8"/>
    <w:rsid w:val="001F1572"/>
    <w:rsid w:val="001F2CE7"/>
    <w:rsid w:val="001F3096"/>
    <w:rsid w:val="001F5EF9"/>
    <w:rsid w:val="001F7CBE"/>
    <w:rsid w:val="00201548"/>
    <w:rsid w:val="002039DA"/>
    <w:rsid w:val="00204709"/>
    <w:rsid w:val="002056A9"/>
    <w:rsid w:val="00205D8A"/>
    <w:rsid w:val="002077C9"/>
    <w:rsid w:val="0020792E"/>
    <w:rsid w:val="00207A34"/>
    <w:rsid w:val="00210606"/>
    <w:rsid w:val="002112EE"/>
    <w:rsid w:val="00211F53"/>
    <w:rsid w:val="002121D3"/>
    <w:rsid w:val="002131E0"/>
    <w:rsid w:val="00213211"/>
    <w:rsid w:val="002138AD"/>
    <w:rsid w:val="00214312"/>
    <w:rsid w:val="00215586"/>
    <w:rsid w:val="00216E8A"/>
    <w:rsid w:val="00216FF5"/>
    <w:rsid w:val="002171CB"/>
    <w:rsid w:val="00217583"/>
    <w:rsid w:val="0022034B"/>
    <w:rsid w:val="00220455"/>
    <w:rsid w:val="002205D3"/>
    <w:rsid w:val="00221BB2"/>
    <w:rsid w:val="00221EBF"/>
    <w:rsid w:val="0022430F"/>
    <w:rsid w:val="00225932"/>
    <w:rsid w:val="00226A5C"/>
    <w:rsid w:val="0022749B"/>
    <w:rsid w:val="00227B16"/>
    <w:rsid w:val="00227B91"/>
    <w:rsid w:val="00231693"/>
    <w:rsid w:val="0023231C"/>
    <w:rsid w:val="00234216"/>
    <w:rsid w:val="00234266"/>
    <w:rsid w:val="00236968"/>
    <w:rsid w:val="00240F2B"/>
    <w:rsid w:val="00241962"/>
    <w:rsid w:val="00241C26"/>
    <w:rsid w:val="00242796"/>
    <w:rsid w:val="00243823"/>
    <w:rsid w:val="00244E15"/>
    <w:rsid w:val="00245648"/>
    <w:rsid w:val="00245AA5"/>
    <w:rsid w:val="00245D08"/>
    <w:rsid w:val="00246153"/>
    <w:rsid w:val="0025099A"/>
    <w:rsid w:val="002513DD"/>
    <w:rsid w:val="002514C2"/>
    <w:rsid w:val="0025206B"/>
    <w:rsid w:val="00253155"/>
    <w:rsid w:val="0025347C"/>
    <w:rsid w:val="00256953"/>
    <w:rsid w:val="00256B43"/>
    <w:rsid w:val="00256E1B"/>
    <w:rsid w:val="00257890"/>
    <w:rsid w:val="002610FF"/>
    <w:rsid w:val="00263BE0"/>
    <w:rsid w:val="00264574"/>
    <w:rsid w:val="00265C3D"/>
    <w:rsid w:val="002660D0"/>
    <w:rsid w:val="0026724C"/>
    <w:rsid w:val="00267B67"/>
    <w:rsid w:val="00270F0D"/>
    <w:rsid w:val="00272B45"/>
    <w:rsid w:val="00272CAD"/>
    <w:rsid w:val="00276BB4"/>
    <w:rsid w:val="0027749C"/>
    <w:rsid w:val="00280950"/>
    <w:rsid w:val="00282AAE"/>
    <w:rsid w:val="00282E16"/>
    <w:rsid w:val="002830A6"/>
    <w:rsid w:val="0028349F"/>
    <w:rsid w:val="0028542A"/>
    <w:rsid w:val="0028555B"/>
    <w:rsid w:val="002855E0"/>
    <w:rsid w:val="00286026"/>
    <w:rsid w:val="002869F3"/>
    <w:rsid w:val="00287D06"/>
    <w:rsid w:val="0029208A"/>
    <w:rsid w:val="00292626"/>
    <w:rsid w:val="00292F5F"/>
    <w:rsid w:val="00293515"/>
    <w:rsid w:val="0029375D"/>
    <w:rsid w:val="00293C96"/>
    <w:rsid w:val="002946D0"/>
    <w:rsid w:val="0029490F"/>
    <w:rsid w:val="002962EE"/>
    <w:rsid w:val="00297715"/>
    <w:rsid w:val="002A2EA7"/>
    <w:rsid w:val="002A36A2"/>
    <w:rsid w:val="002A3E94"/>
    <w:rsid w:val="002A42AB"/>
    <w:rsid w:val="002A56E4"/>
    <w:rsid w:val="002A57D7"/>
    <w:rsid w:val="002A6030"/>
    <w:rsid w:val="002A6918"/>
    <w:rsid w:val="002A73ED"/>
    <w:rsid w:val="002A7B22"/>
    <w:rsid w:val="002B02E7"/>
    <w:rsid w:val="002B0FB7"/>
    <w:rsid w:val="002B130D"/>
    <w:rsid w:val="002B3092"/>
    <w:rsid w:val="002B36BA"/>
    <w:rsid w:val="002B3EB2"/>
    <w:rsid w:val="002C0BC7"/>
    <w:rsid w:val="002C1B9B"/>
    <w:rsid w:val="002C29BC"/>
    <w:rsid w:val="002C2D03"/>
    <w:rsid w:val="002C4CB6"/>
    <w:rsid w:val="002C5A30"/>
    <w:rsid w:val="002C7380"/>
    <w:rsid w:val="002C774A"/>
    <w:rsid w:val="002D02D9"/>
    <w:rsid w:val="002D06BD"/>
    <w:rsid w:val="002D07C5"/>
    <w:rsid w:val="002D43ED"/>
    <w:rsid w:val="002D4B6A"/>
    <w:rsid w:val="002D59E7"/>
    <w:rsid w:val="002D75BD"/>
    <w:rsid w:val="002D7EB4"/>
    <w:rsid w:val="002E1B09"/>
    <w:rsid w:val="002E42A9"/>
    <w:rsid w:val="002E45F0"/>
    <w:rsid w:val="002E5AF8"/>
    <w:rsid w:val="002E61FC"/>
    <w:rsid w:val="002E6687"/>
    <w:rsid w:val="002F0808"/>
    <w:rsid w:val="002F155A"/>
    <w:rsid w:val="002F1B97"/>
    <w:rsid w:val="002F26A7"/>
    <w:rsid w:val="002F303A"/>
    <w:rsid w:val="002F3EC5"/>
    <w:rsid w:val="002F60D8"/>
    <w:rsid w:val="002F6E80"/>
    <w:rsid w:val="00300725"/>
    <w:rsid w:val="00300EEB"/>
    <w:rsid w:val="00301153"/>
    <w:rsid w:val="00301309"/>
    <w:rsid w:val="00302A7B"/>
    <w:rsid w:val="00303A2E"/>
    <w:rsid w:val="00306E34"/>
    <w:rsid w:val="00306EE0"/>
    <w:rsid w:val="003103A3"/>
    <w:rsid w:val="0031176C"/>
    <w:rsid w:val="003117F2"/>
    <w:rsid w:val="00311858"/>
    <w:rsid w:val="00311ED1"/>
    <w:rsid w:val="003120D1"/>
    <w:rsid w:val="00312D9E"/>
    <w:rsid w:val="00312DEC"/>
    <w:rsid w:val="003131A9"/>
    <w:rsid w:val="0031566B"/>
    <w:rsid w:val="00315C79"/>
    <w:rsid w:val="0031696D"/>
    <w:rsid w:val="00317B38"/>
    <w:rsid w:val="00320048"/>
    <w:rsid w:val="0032145C"/>
    <w:rsid w:val="003217FD"/>
    <w:rsid w:val="00321B02"/>
    <w:rsid w:val="00323E65"/>
    <w:rsid w:val="00325405"/>
    <w:rsid w:val="003255D8"/>
    <w:rsid w:val="00325FA5"/>
    <w:rsid w:val="003277AA"/>
    <w:rsid w:val="00330277"/>
    <w:rsid w:val="00331CB2"/>
    <w:rsid w:val="0033222A"/>
    <w:rsid w:val="00332BA3"/>
    <w:rsid w:val="003336CB"/>
    <w:rsid w:val="00333F6F"/>
    <w:rsid w:val="00334B85"/>
    <w:rsid w:val="0033577B"/>
    <w:rsid w:val="003412F4"/>
    <w:rsid w:val="00343320"/>
    <w:rsid w:val="0034383C"/>
    <w:rsid w:val="003438EC"/>
    <w:rsid w:val="0034415A"/>
    <w:rsid w:val="003451F2"/>
    <w:rsid w:val="003456F6"/>
    <w:rsid w:val="00346740"/>
    <w:rsid w:val="00346BD6"/>
    <w:rsid w:val="00347181"/>
    <w:rsid w:val="0035008A"/>
    <w:rsid w:val="003511CD"/>
    <w:rsid w:val="0035155C"/>
    <w:rsid w:val="00351BEC"/>
    <w:rsid w:val="00351D68"/>
    <w:rsid w:val="0035457F"/>
    <w:rsid w:val="0035471E"/>
    <w:rsid w:val="003547BA"/>
    <w:rsid w:val="00357450"/>
    <w:rsid w:val="00357EFF"/>
    <w:rsid w:val="00360024"/>
    <w:rsid w:val="003625FE"/>
    <w:rsid w:val="00364703"/>
    <w:rsid w:val="00364D9B"/>
    <w:rsid w:val="003659C9"/>
    <w:rsid w:val="0036763A"/>
    <w:rsid w:val="00370C7E"/>
    <w:rsid w:val="00371568"/>
    <w:rsid w:val="003726F1"/>
    <w:rsid w:val="00374775"/>
    <w:rsid w:val="00375922"/>
    <w:rsid w:val="003762F2"/>
    <w:rsid w:val="0038144A"/>
    <w:rsid w:val="00382C6A"/>
    <w:rsid w:val="0038495F"/>
    <w:rsid w:val="00385D4B"/>
    <w:rsid w:val="00387C6D"/>
    <w:rsid w:val="00390425"/>
    <w:rsid w:val="00391F5D"/>
    <w:rsid w:val="003921DD"/>
    <w:rsid w:val="0039238E"/>
    <w:rsid w:val="00392494"/>
    <w:rsid w:val="00392F41"/>
    <w:rsid w:val="00393844"/>
    <w:rsid w:val="00393FB7"/>
    <w:rsid w:val="00394302"/>
    <w:rsid w:val="00395020"/>
    <w:rsid w:val="00395771"/>
    <w:rsid w:val="0039607A"/>
    <w:rsid w:val="00396918"/>
    <w:rsid w:val="00396D1B"/>
    <w:rsid w:val="003A134E"/>
    <w:rsid w:val="003A189E"/>
    <w:rsid w:val="003A2AA9"/>
    <w:rsid w:val="003A2B79"/>
    <w:rsid w:val="003A318B"/>
    <w:rsid w:val="003A3C27"/>
    <w:rsid w:val="003A452F"/>
    <w:rsid w:val="003B0BCE"/>
    <w:rsid w:val="003B2E03"/>
    <w:rsid w:val="003B48E4"/>
    <w:rsid w:val="003C00B3"/>
    <w:rsid w:val="003C059E"/>
    <w:rsid w:val="003C0EBF"/>
    <w:rsid w:val="003C5355"/>
    <w:rsid w:val="003C71C7"/>
    <w:rsid w:val="003D0710"/>
    <w:rsid w:val="003D35EA"/>
    <w:rsid w:val="003D38B7"/>
    <w:rsid w:val="003D493B"/>
    <w:rsid w:val="003D572E"/>
    <w:rsid w:val="003D59F0"/>
    <w:rsid w:val="003D60BA"/>
    <w:rsid w:val="003D6131"/>
    <w:rsid w:val="003E0C42"/>
    <w:rsid w:val="003E1608"/>
    <w:rsid w:val="003E17AB"/>
    <w:rsid w:val="003E1D1B"/>
    <w:rsid w:val="003E2F18"/>
    <w:rsid w:val="003E3422"/>
    <w:rsid w:val="003E3866"/>
    <w:rsid w:val="003E391A"/>
    <w:rsid w:val="003E43C5"/>
    <w:rsid w:val="003E4592"/>
    <w:rsid w:val="003E5C36"/>
    <w:rsid w:val="003E7242"/>
    <w:rsid w:val="003F00C7"/>
    <w:rsid w:val="003F1A5F"/>
    <w:rsid w:val="003F3FDC"/>
    <w:rsid w:val="003F4987"/>
    <w:rsid w:val="003F7104"/>
    <w:rsid w:val="004014BD"/>
    <w:rsid w:val="004016BD"/>
    <w:rsid w:val="00401DAA"/>
    <w:rsid w:val="00402E2D"/>
    <w:rsid w:val="0040382B"/>
    <w:rsid w:val="00404174"/>
    <w:rsid w:val="00405368"/>
    <w:rsid w:val="004070A2"/>
    <w:rsid w:val="004078CD"/>
    <w:rsid w:val="004101E2"/>
    <w:rsid w:val="00411358"/>
    <w:rsid w:val="00411BC4"/>
    <w:rsid w:val="0041229E"/>
    <w:rsid w:val="004129FA"/>
    <w:rsid w:val="00413338"/>
    <w:rsid w:val="00413745"/>
    <w:rsid w:val="00413D72"/>
    <w:rsid w:val="00413EDA"/>
    <w:rsid w:val="004152D3"/>
    <w:rsid w:val="00416A15"/>
    <w:rsid w:val="00417CA6"/>
    <w:rsid w:val="004204B6"/>
    <w:rsid w:val="00420615"/>
    <w:rsid w:val="00420B3B"/>
    <w:rsid w:val="00420BA8"/>
    <w:rsid w:val="004215BC"/>
    <w:rsid w:val="00421AC4"/>
    <w:rsid w:val="0042376C"/>
    <w:rsid w:val="00426D89"/>
    <w:rsid w:val="00431E9D"/>
    <w:rsid w:val="00440518"/>
    <w:rsid w:val="0044328C"/>
    <w:rsid w:val="00443573"/>
    <w:rsid w:val="00443618"/>
    <w:rsid w:val="004460FD"/>
    <w:rsid w:val="0045032D"/>
    <w:rsid w:val="00450805"/>
    <w:rsid w:val="004509F4"/>
    <w:rsid w:val="00450E1D"/>
    <w:rsid w:val="00456A5B"/>
    <w:rsid w:val="00456C21"/>
    <w:rsid w:val="00456D89"/>
    <w:rsid w:val="0046062D"/>
    <w:rsid w:val="00460FA7"/>
    <w:rsid w:val="00461BC0"/>
    <w:rsid w:val="00464325"/>
    <w:rsid w:val="004647A0"/>
    <w:rsid w:val="004649B2"/>
    <w:rsid w:val="00467477"/>
    <w:rsid w:val="004701CF"/>
    <w:rsid w:val="00470E64"/>
    <w:rsid w:val="00471050"/>
    <w:rsid w:val="00471AC2"/>
    <w:rsid w:val="00471BAB"/>
    <w:rsid w:val="0047424D"/>
    <w:rsid w:val="00474525"/>
    <w:rsid w:val="00474969"/>
    <w:rsid w:val="00475844"/>
    <w:rsid w:val="00475F54"/>
    <w:rsid w:val="004769A1"/>
    <w:rsid w:val="00476DDB"/>
    <w:rsid w:val="00477AED"/>
    <w:rsid w:val="00477D55"/>
    <w:rsid w:val="00477E6F"/>
    <w:rsid w:val="00480902"/>
    <w:rsid w:val="004809B3"/>
    <w:rsid w:val="00480E95"/>
    <w:rsid w:val="004811E3"/>
    <w:rsid w:val="00481444"/>
    <w:rsid w:val="00483EA3"/>
    <w:rsid w:val="00484425"/>
    <w:rsid w:val="004850FC"/>
    <w:rsid w:val="00485976"/>
    <w:rsid w:val="004863E5"/>
    <w:rsid w:val="00487080"/>
    <w:rsid w:val="004928B9"/>
    <w:rsid w:val="00492A5C"/>
    <w:rsid w:val="00492B0D"/>
    <w:rsid w:val="004937FC"/>
    <w:rsid w:val="00494795"/>
    <w:rsid w:val="004974A6"/>
    <w:rsid w:val="0049754D"/>
    <w:rsid w:val="00497933"/>
    <w:rsid w:val="004A0475"/>
    <w:rsid w:val="004A05F5"/>
    <w:rsid w:val="004A2215"/>
    <w:rsid w:val="004A427A"/>
    <w:rsid w:val="004A4B56"/>
    <w:rsid w:val="004A4F4F"/>
    <w:rsid w:val="004A6C89"/>
    <w:rsid w:val="004A6E01"/>
    <w:rsid w:val="004A79E4"/>
    <w:rsid w:val="004B1B7F"/>
    <w:rsid w:val="004B2D14"/>
    <w:rsid w:val="004B361C"/>
    <w:rsid w:val="004B5813"/>
    <w:rsid w:val="004C18F6"/>
    <w:rsid w:val="004C3413"/>
    <w:rsid w:val="004C368C"/>
    <w:rsid w:val="004C4148"/>
    <w:rsid w:val="004C41A8"/>
    <w:rsid w:val="004C559A"/>
    <w:rsid w:val="004C6068"/>
    <w:rsid w:val="004C6F8C"/>
    <w:rsid w:val="004C7369"/>
    <w:rsid w:val="004D0A65"/>
    <w:rsid w:val="004D0B93"/>
    <w:rsid w:val="004D287F"/>
    <w:rsid w:val="004D2E8C"/>
    <w:rsid w:val="004D3805"/>
    <w:rsid w:val="004D4A8D"/>
    <w:rsid w:val="004D4D35"/>
    <w:rsid w:val="004D60EF"/>
    <w:rsid w:val="004D61D2"/>
    <w:rsid w:val="004D67C2"/>
    <w:rsid w:val="004D7DB3"/>
    <w:rsid w:val="004E185D"/>
    <w:rsid w:val="004E26BB"/>
    <w:rsid w:val="004E2806"/>
    <w:rsid w:val="004E2D28"/>
    <w:rsid w:val="004E332F"/>
    <w:rsid w:val="004E38FA"/>
    <w:rsid w:val="004E40FF"/>
    <w:rsid w:val="004E4112"/>
    <w:rsid w:val="004E44AB"/>
    <w:rsid w:val="004E7788"/>
    <w:rsid w:val="004F0007"/>
    <w:rsid w:val="004F0315"/>
    <w:rsid w:val="004F0D61"/>
    <w:rsid w:val="004F289C"/>
    <w:rsid w:val="004F3276"/>
    <w:rsid w:val="004F5FA5"/>
    <w:rsid w:val="004F646C"/>
    <w:rsid w:val="004F6A3B"/>
    <w:rsid w:val="004F6E41"/>
    <w:rsid w:val="004F7864"/>
    <w:rsid w:val="005011D6"/>
    <w:rsid w:val="005023BC"/>
    <w:rsid w:val="0050283D"/>
    <w:rsid w:val="005044F5"/>
    <w:rsid w:val="00504579"/>
    <w:rsid w:val="0050508E"/>
    <w:rsid w:val="00505693"/>
    <w:rsid w:val="00505E21"/>
    <w:rsid w:val="0050710C"/>
    <w:rsid w:val="0050781A"/>
    <w:rsid w:val="00510869"/>
    <w:rsid w:val="00511F0E"/>
    <w:rsid w:val="00512513"/>
    <w:rsid w:val="005136F9"/>
    <w:rsid w:val="00513EA7"/>
    <w:rsid w:val="00515BB6"/>
    <w:rsid w:val="005160D2"/>
    <w:rsid w:val="00516C0A"/>
    <w:rsid w:val="00516E65"/>
    <w:rsid w:val="00520AAC"/>
    <w:rsid w:val="005212E3"/>
    <w:rsid w:val="005214A3"/>
    <w:rsid w:val="00522ACF"/>
    <w:rsid w:val="005273A5"/>
    <w:rsid w:val="005312BD"/>
    <w:rsid w:val="00531379"/>
    <w:rsid w:val="0053149A"/>
    <w:rsid w:val="005318D3"/>
    <w:rsid w:val="00533635"/>
    <w:rsid w:val="00534085"/>
    <w:rsid w:val="00537290"/>
    <w:rsid w:val="00541E64"/>
    <w:rsid w:val="00541E7B"/>
    <w:rsid w:val="0054738C"/>
    <w:rsid w:val="00551357"/>
    <w:rsid w:val="00553036"/>
    <w:rsid w:val="0055376B"/>
    <w:rsid w:val="005616F6"/>
    <w:rsid w:val="0056202B"/>
    <w:rsid w:val="00564016"/>
    <w:rsid w:val="00564733"/>
    <w:rsid w:val="00564DF1"/>
    <w:rsid w:val="00564E4E"/>
    <w:rsid w:val="0056673F"/>
    <w:rsid w:val="00566F52"/>
    <w:rsid w:val="005674FE"/>
    <w:rsid w:val="005708C1"/>
    <w:rsid w:val="00571D72"/>
    <w:rsid w:val="005733AC"/>
    <w:rsid w:val="00573B36"/>
    <w:rsid w:val="005753C8"/>
    <w:rsid w:val="00576368"/>
    <w:rsid w:val="0057643F"/>
    <w:rsid w:val="00576749"/>
    <w:rsid w:val="00576C62"/>
    <w:rsid w:val="00576D2A"/>
    <w:rsid w:val="00577D18"/>
    <w:rsid w:val="00580968"/>
    <w:rsid w:val="005811FD"/>
    <w:rsid w:val="00581586"/>
    <w:rsid w:val="00581BB1"/>
    <w:rsid w:val="00582A5A"/>
    <w:rsid w:val="005870A4"/>
    <w:rsid w:val="005910B4"/>
    <w:rsid w:val="00591691"/>
    <w:rsid w:val="00592BDE"/>
    <w:rsid w:val="00592C1F"/>
    <w:rsid w:val="0059332B"/>
    <w:rsid w:val="005963D8"/>
    <w:rsid w:val="005973DA"/>
    <w:rsid w:val="005A398D"/>
    <w:rsid w:val="005A4B31"/>
    <w:rsid w:val="005A564D"/>
    <w:rsid w:val="005A605D"/>
    <w:rsid w:val="005A7213"/>
    <w:rsid w:val="005B018B"/>
    <w:rsid w:val="005B0756"/>
    <w:rsid w:val="005B18B0"/>
    <w:rsid w:val="005B1A83"/>
    <w:rsid w:val="005B4A8C"/>
    <w:rsid w:val="005B7E91"/>
    <w:rsid w:val="005C0168"/>
    <w:rsid w:val="005C1C57"/>
    <w:rsid w:val="005C2149"/>
    <w:rsid w:val="005C3F12"/>
    <w:rsid w:val="005C46A1"/>
    <w:rsid w:val="005C5817"/>
    <w:rsid w:val="005C64E0"/>
    <w:rsid w:val="005C6F0D"/>
    <w:rsid w:val="005C73F9"/>
    <w:rsid w:val="005C7571"/>
    <w:rsid w:val="005C7824"/>
    <w:rsid w:val="005D136E"/>
    <w:rsid w:val="005D42FA"/>
    <w:rsid w:val="005D5DF5"/>
    <w:rsid w:val="005D5DFC"/>
    <w:rsid w:val="005D5F2B"/>
    <w:rsid w:val="005D7339"/>
    <w:rsid w:val="005E0B18"/>
    <w:rsid w:val="005E261E"/>
    <w:rsid w:val="005E2D3B"/>
    <w:rsid w:val="005E2D5F"/>
    <w:rsid w:val="005E36AB"/>
    <w:rsid w:val="005E3D8B"/>
    <w:rsid w:val="005E4541"/>
    <w:rsid w:val="005E51A6"/>
    <w:rsid w:val="005E5EAC"/>
    <w:rsid w:val="005F07D9"/>
    <w:rsid w:val="005F0840"/>
    <w:rsid w:val="005F2997"/>
    <w:rsid w:val="005F3434"/>
    <w:rsid w:val="005F3643"/>
    <w:rsid w:val="005F3AD6"/>
    <w:rsid w:val="005F5086"/>
    <w:rsid w:val="005F61B1"/>
    <w:rsid w:val="005F6583"/>
    <w:rsid w:val="005F67AA"/>
    <w:rsid w:val="005F6A29"/>
    <w:rsid w:val="00600071"/>
    <w:rsid w:val="00601E19"/>
    <w:rsid w:val="0060289E"/>
    <w:rsid w:val="00603240"/>
    <w:rsid w:val="0060346D"/>
    <w:rsid w:val="00603C96"/>
    <w:rsid w:val="00604D67"/>
    <w:rsid w:val="0060594B"/>
    <w:rsid w:val="006063BA"/>
    <w:rsid w:val="00607BDB"/>
    <w:rsid w:val="006100DE"/>
    <w:rsid w:val="006124FC"/>
    <w:rsid w:val="00615498"/>
    <w:rsid w:val="00615D4E"/>
    <w:rsid w:val="0061627D"/>
    <w:rsid w:val="006178E6"/>
    <w:rsid w:val="00620B79"/>
    <w:rsid w:val="00622A20"/>
    <w:rsid w:val="00623E00"/>
    <w:rsid w:val="00623EAE"/>
    <w:rsid w:val="0062498B"/>
    <w:rsid w:val="00624F10"/>
    <w:rsid w:val="00625400"/>
    <w:rsid w:val="00627263"/>
    <w:rsid w:val="0062756C"/>
    <w:rsid w:val="00630591"/>
    <w:rsid w:val="00631C20"/>
    <w:rsid w:val="0063441E"/>
    <w:rsid w:val="00634776"/>
    <w:rsid w:val="00636107"/>
    <w:rsid w:val="0063614F"/>
    <w:rsid w:val="0063625C"/>
    <w:rsid w:val="00636BF6"/>
    <w:rsid w:val="006404E8"/>
    <w:rsid w:val="00640764"/>
    <w:rsid w:val="00640CCA"/>
    <w:rsid w:val="00642846"/>
    <w:rsid w:val="006429A3"/>
    <w:rsid w:val="00643A6F"/>
    <w:rsid w:val="006465C2"/>
    <w:rsid w:val="00646D52"/>
    <w:rsid w:val="006505F0"/>
    <w:rsid w:val="00651195"/>
    <w:rsid w:val="006514FB"/>
    <w:rsid w:val="006529E7"/>
    <w:rsid w:val="0066019F"/>
    <w:rsid w:val="00660FF1"/>
    <w:rsid w:val="00661B54"/>
    <w:rsid w:val="00661FBA"/>
    <w:rsid w:val="0066201F"/>
    <w:rsid w:val="00662616"/>
    <w:rsid w:val="00662ACD"/>
    <w:rsid w:val="00662BAF"/>
    <w:rsid w:val="006635CE"/>
    <w:rsid w:val="006639A6"/>
    <w:rsid w:val="00664832"/>
    <w:rsid w:val="00666A54"/>
    <w:rsid w:val="00666DB0"/>
    <w:rsid w:val="006703B3"/>
    <w:rsid w:val="0067062B"/>
    <w:rsid w:val="00672D95"/>
    <w:rsid w:val="00672E41"/>
    <w:rsid w:val="00674209"/>
    <w:rsid w:val="0068057B"/>
    <w:rsid w:val="00682BCD"/>
    <w:rsid w:val="00683A9F"/>
    <w:rsid w:val="00684AA6"/>
    <w:rsid w:val="00690720"/>
    <w:rsid w:val="00691659"/>
    <w:rsid w:val="00692297"/>
    <w:rsid w:val="0069349E"/>
    <w:rsid w:val="00693889"/>
    <w:rsid w:val="006938E0"/>
    <w:rsid w:val="00693ED6"/>
    <w:rsid w:val="00695E10"/>
    <w:rsid w:val="006967EA"/>
    <w:rsid w:val="00696DF4"/>
    <w:rsid w:val="006A06C5"/>
    <w:rsid w:val="006A0AC1"/>
    <w:rsid w:val="006A1A3A"/>
    <w:rsid w:val="006A2BAC"/>
    <w:rsid w:val="006A3309"/>
    <w:rsid w:val="006A38C7"/>
    <w:rsid w:val="006A4682"/>
    <w:rsid w:val="006A64FB"/>
    <w:rsid w:val="006A6A68"/>
    <w:rsid w:val="006B3A69"/>
    <w:rsid w:val="006B3BFA"/>
    <w:rsid w:val="006B4E8F"/>
    <w:rsid w:val="006B544F"/>
    <w:rsid w:val="006B74B7"/>
    <w:rsid w:val="006B7DD3"/>
    <w:rsid w:val="006B7E0E"/>
    <w:rsid w:val="006C179D"/>
    <w:rsid w:val="006C1A88"/>
    <w:rsid w:val="006C2E5D"/>
    <w:rsid w:val="006C35ED"/>
    <w:rsid w:val="006C542C"/>
    <w:rsid w:val="006C5A3C"/>
    <w:rsid w:val="006C7ECD"/>
    <w:rsid w:val="006D01A5"/>
    <w:rsid w:val="006D01A8"/>
    <w:rsid w:val="006D02D2"/>
    <w:rsid w:val="006D07EA"/>
    <w:rsid w:val="006D1597"/>
    <w:rsid w:val="006D21EA"/>
    <w:rsid w:val="006D281C"/>
    <w:rsid w:val="006D33EA"/>
    <w:rsid w:val="006D4009"/>
    <w:rsid w:val="006D636D"/>
    <w:rsid w:val="006D6563"/>
    <w:rsid w:val="006E05A0"/>
    <w:rsid w:val="006E2F2E"/>
    <w:rsid w:val="006E36B8"/>
    <w:rsid w:val="006E3A7D"/>
    <w:rsid w:val="006E3C5D"/>
    <w:rsid w:val="006E6895"/>
    <w:rsid w:val="006E71F6"/>
    <w:rsid w:val="006F175E"/>
    <w:rsid w:val="006F2ACC"/>
    <w:rsid w:val="006F2F79"/>
    <w:rsid w:val="006F37EA"/>
    <w:rsid w:val="006F49E8"/>
    <w:rsid w:val="006F4AA7"/>
    <w:rsid w:val="006F6E2D"/>
    <w:rsid w:val="006F7584"/>
    <w:rsid w:val="006F7D02"/>
    <w:rsid w:val="00703FD6"/>
    <w:rsid w:val="007047BA"/>
    <w:rsid w:val="00704B05"/>
    <w:rsid w:val="00705C58"/>
    <w:rsid w:val="007063FB"/>
    <w:rsid w:val="00710830"/>
    <w:rsid w:val="007108DD"/>
    <w:rsid w:val="0071154E"/>
    <w:rsid w:val="00711D4D"/>
    <w:rsid w:val="00713F74"/>
    <w:rsid w:val="007147F0"/>
    <w:rsid w:val="00721A11"/>
    <w:rsid w:val="007220D0"/>
    <w:rsid w:val="00722D84"/>
    <w:rsid w:val="0072509E"/>
    <w:rsid w:val="00725EAC"/>
    <w:rsid w:val="0072675F"/>
    <w:rsid w:val="00727AB9"/>
    <w:rsid w:val="00730F8E"/>
    <w:rsid w:val="00733DA8"/>
    <w:rsid w:val="007344DF"/>
    <w:rsid w:val="007364E4"/>
    <w:rsid w:val="0073684E"/>
    <w:rsid w:val="00741B38"/>
    <w:rsid w:val="0074527B"/>
    <w:rsid w:val="00745C08"/>
    <w:rsid w:val="00746999"/>
    <w:rsid w:val="00746E95"/>
    <w:rsid w:val="007503D8"/>
    <w:rsid w:val="00750766"/>
    <w:rsid w:val="0075326F"/>
    <w:rsid w:val="0075340A"/>
    <w:rsid w:val="00755EBA"/>
    <w:rsid w:val="007569E2"/>
    <w:rsid w:val="00760055"/>
    <w:rsid w:val="007646B7"/>
    <w:rsid w:val="00767151"/>
    <w:rsid w:val="00770787"/>
    <w:rsid w:val="00771F12"/>
    <w:rsid w:val="00772A6D"/>
    <w:rsid w:val="00773127"/>
    <w:rsid w:val="007731BD"/>
    <w:rsid w:val="00773974"/>
    <w:rsid w:val="00773AF8"/>
    <w:rsid w:val="007744C9"/>
    <w:rsid w:val="00775CD9"/>
    <w:rsid w:val="00776150"/>
    <w:rsid w:val="007814CD"/>
    <w:rsid w:val="0078285E"/>
    <w:rsid w:val="00782B69"/>
    <w:rsid w:val="00782BDA"/>
    <w:rsid w:val="00785213"/>
    <w:rsid w:val="00785BBC"/>
    <w:rsid w:val="00785BD9"/>
    <w:rsid w:val="00787088"/>
    <w:rsid w:val="00790DBB"/>
    <w:rsid w:val="00791027"/>
    <w:rsid w:val="00791235"/>
    <w:rsid w:val="00791286"/>
    <w:rsid w:val="00791EBD"/>
    <w:rsid w:val="00792688"/>
    <w:rsid w:val="00794DEF"/>
    <w:rsid w:val="00795FE2"/>
    <w:rsid w:val="00796232"/>
    <w:rsid w:val="00796F52"/>
    <w:rsid w:val="00797B38"/>
    <w:rsid w:val="00797E10"/>
    <w:rsid w:val="00797ED8"/>
    <w:rsid w:val="007A0AE0"/>
    <w:rsid w:val="007A0C7E"/>
    <w:rsid w:val="007A1AD0"/>
    <w:rsid w:val="007A51B6"/>
    <w:rsid w:val="007A55AD"/>
    <w:rsid w:val="007A701F"/>
    <w:rsid w:val="007A7653"/>
    <w:rsid w:val="007A7FD4"/>
    <w:rsid w:val="007B00A7"/>
    <w:rsid w:val="007B1142"/>
    <w:rsid w:val="007B1C6D"/>
    <w:rsid w:val="007B225F"/>
    <w:rsid w:val="007B4B23"/>
    <w:rsid w:val="007B4DE4"/>
    <w:rsid w:val="007B4FF2"/>
    <w:rsid w:val="007B53A6"/>
    <w:rsid w:val="007B6920"/>
    <w:rsid w:val="007B6CF6"/>
    <w:rsid w:val="007B6FB5"/>
    <w:rsid w:val="007B73F8"/>
    <w:rsid w:val="007C1181"/>
    <w:rsid w:val="007C294C"/>
    <w:rsid w:val="007C3A78"/>
    <w:rsid w:val="007C3E48"/>
    <w:rsid w:val="007C55F2"/>
    <w:rsid w:val="007C5BD4"/>
    <w:rsid w:val="007C5C0D"/>
    <w:rsid w:val="007C7612"/>
    <w:rsid w:val="007D3001"/>
    <w:rsid w:val="007D3892"/>
    <w:rsid w:val="007D5A4F"/>
    <w:rsid w:val="007D5AA7"/>
    <w:rsid w:val="007D5DAD"/>
    <w:rsid w:val="007D6BAB"/>
    <w:rsid w:val="007E065E"/>
    <w:rsid w:val="007E189C"/>
    <w:rsid w:val="007E2A1A"/>
    <w:rsid w:val="007E2C56"/>
    <w:rsid w:val="007E47B0"/>
    <w:rsid w:val="007E74B8"/>
    <w:rsid w:val="007F0E73"/>
    <w:rsid w:val="007F0E9E"/>
    <w:rsid w:val="007F1095"/>
    <w:rsid w:val="007F111F"/>
    <w:rsid w:val="007F1EAA"/>
    <w:rsid w:val="007F24C5"/>
    <w:rsid w:val="007F26F1"/>
    <w:rsid w:val="007F2A08"/>
    <w:rsid w:val="007F738A"/>
    <w:rsid w:val="007F7823"/>
    <w:rsid w:val="008006DD"/>
    <w:rsid w:val="00803448"/>
    <w:rsid w:val="00803F3F"/>
    <w:rsid w:val="00804383"/>
    <w:rsid w:val="00804C24"/>
    <w:rsid w:val="00804EB3"/>
    <w:rsid w:val="00805023"/>
    <w:rsid w:val="00805FC9"/>
    <w:rsid w:val="0080699B"/>
    <w:rsid w:val="00806E10"/>
    <w:rsid w:val="00807139"/>
    <w:rsid w:val="00815B8E"/>
    <w:rsid w:val="00815E69"/>
    <w:rsid w:val="00817736"/>
    <w:rsid w:val="00817F10"/>
    <w:rsid w:val="00820A34"/>
    <w:rsid w:val="008231ED"/>
    <w:rsid w:val="0082592A"/>
    <w:rsid w:val="0082654D"/>
    <w:rsid w:val="00826F29"/>
    <w:rsid w:val="00826F7E"/>
    <w:rsid w:val="00831685"/>
    <w:rsid w:val="00832DA8"/>
    <w:rsid w:val="00833C5F"/>
    <w:rsid w:val="008353C0"/>
    <w:rsid w:val="0083682D"/>
    <w:rsid w:val="00841EE9"/>
    <w:rsid w:val="00842FE4"/>
    <w:rsid w:val="008432A9"/>
    <w:rsid w:val="0084542C"/>
    <w:rsid w:val="00850337"/>
    <w:rsid w:val="00850AB9"/>
    <w:rsid w:val="00850B73"/>
    <w:rsid w:val="00851593"/>
    <w:rsid w:val="00852761"/>
    <w:rsid w:val="00852AF6"/>
    <w:rsid w:val="00854721"/>
    <w:rsid w:val="008555F2"/>
    <w:rsid w:val="00855F5E"/>
    <w:rsid w:val="00856027"/>
    <w:rsid w:val="008560A3"/>
    <w:rsid w:val="008564EA"/>
    <w:rsid w:val="0085661C"/>
    <w:rsid w:val="00857921"/>
    <w:rsid w:val="00857D2A"/>
    <w:rsid w:val="00860151"/>
    <w:rsid w:val="0086296D"/>
    <w:rsid w:val="00863080"/>
    <w:rsid w:val="008644B6"/>
    <w:rsid w:val="00864F65"/>
    <w:rsid w:val="008677EB"/>
    <w:rsid w:val="00870786"/>
    <w:rsid w:val="00870EF0"/>
    <w:rsid w:val="008726BF"/>
    <w:rsid w:val="00872B86"/>
    <w:rsid w:val="0087376C"/>
    <w:rsid w:val="00874421"/>
    <w:rsid w:val="008767BA"/>
    <w:rsid w:val="00880E85"/>
    <w:rsid w:val="00881703"/>
    <w:rsid w:val="00881839"/>
    <w:rsid w:val="00881B48"/>
    <w:rsid w:val="0088689B"/>
    <w:rsid w:val="00887672"/>
    <w:rsid w:val="00890AA3"/>
    <w:rsid w:val="00890EC2"/>
    <w:rsid w:val="008917F8"/>
    <w:rsid w:val="008937DA"/>
    <w:rsid w:val="008947EC"/>
    <w:rsid w:val="00894D31"/>
    <w:rsid w:val="00894EAF"/>
    <w:rsid w:val="00895B11"/>
    <w:rsid w:val="0089651C"/>
    <w:rsid w:val="00897027"/>
    <w:rsid w:val="008A0EE8"/>
    <w:rsid w:val="008A3ABB"/>
    <w:rsid w:val="008A46FC"/>
    <w:rsid w:val="008A4A34"/>
    <w:rsid w:val="008A4F5F"/>
    <w:rsid w:val="008A5D5C"/>
    <w:rsid w:val="008A6214"/>
    <w:rsid w:val="008A6A64"/>
    <w:rsid w:val="008B22E5"/>
    <w:rsid w:val="008B35A2"/>
    <w:rsid w:val="008B3743"/>
    <w:rsid w:val="008B3A73"/>
    <w:rsid w:val="008B3A8B"/>
    <w:rsid w:val="008B4E7E"/>
    <w:rsid w:val="008B5264"/>
    <w:rsid w:val="008B5BFD"/>
    <w:rsid w:val="008B621B"/>
    <w:rsid w:val="008B7D19"/>
    <w:rsid w:val="008C1938"/>
    <w:rsid w:val="008C49E1"/>
    <w:rsid w:val="008C6618"/>
    <w:rsid w:val="008C7334"/>
    <w:rsid w:val="008D11DB"/>
    <w:rsid w:val="008D1520"/>
    <w:rsid w:val="008D328C"/>
    <w:rsid w:val="008D3D31"/>
    <w:rsid w:val="008D47AA"/>
    <w:rsid w:val="008D6AFA"/>
    <w:rsid w:val="008D6DC7"/>
    <w:rsid w:val="008D6EB3"/>
    <w:rsid w:val="008D71E4"/>
    <w:rsid w:val="008D74AE"/>
    <w:rsid w:val="008D7613"/>
    <w:rsid w:val="008E0C69"/>
    <w:rsid w:val="008E28CA"/>
    <w:rsid w:val="008E35E4"/>
    <w:rsid w:val="008E4D1C"/>
    <w:rsid w:val="008E5BD7"/>
    <w:rsid w:val="008E7239"/>
    <w:rsid w:val="008F228E"/>
    <w:rsid w:val="008F2CD0"/>
    <w:rsid w:val="008F3566"/>
    <w:rsid w:val="008F37B9"/>
    <w:rsid w:val="008F3B0B"/>
    <w:rsid w:val="008F491A"/>
    <w:rsid w:val="008F53A2"/>
    <w:rsid w:val="008F59B0"/>
    <w:rsid w:val="008F6100"/>
    <w:rsid w:val="008F6EB8"/>
    <w:rsid w:val="008F7412"/>
    <w:rsid w:val="009009F3"/>
    <w:rsid w:val="009017A3"/>
    <w:rsid w:val="00901951"/>
    <w:rsid w:val="00902D21"/>
    <w:rsid w:val="009031DE"/>
    <w:rsid w:val="00905B4F"/>
    <w:rsid w:val="00905F47"/>
    <w:rsid w:val="0090699D"/>
    <w:rsid w:val="00907739"/>
    <w:rsid w:val="00907948"/>
    <w:rsid w:val="009118BE"/>
    <w:rsid w:val="0091222A"/>
    <w:rsid w:val="009123AC"/>
    <w:rsid w:val="00912AC0"/>
    <w:rsid w:val="00914DB4"/>
    <w:rsid w:val="009151CD"/>
    <w:rsid w:val="00917C76"/>
    <w:rsid w:val="00917D6C"/>
    <w:rsid w:val="00920BAA"/>
    <w:rsid w:val="009218B2"/>
    <w:rsid w:val="009224A5"/>
    <w:rsid w:val="00922CDD"/>
    <w:rsid w:val="009241DF"/>
    <w:rsid w:val="00925E23"/>
    <w:rsid w:val="00927262"/>
    <w:rsid w:val="0093089A"/>
    <w:rsid w:val="009311FC"/>
    <w:rsid w:val="00933489"/>
    <w:rsid w:val="00934F2D"/>
    <w:rsid w:val="009360FB"/>
    <w:rsid w:val="009362F9"/>
    <w:rsid w:val="00937163"/>
    <w:rsid w:val="009372FA"/>
    <w:rsid w:val="0093773F"/>
    <w:rsid w:val="00941B0E"/>
    <w:rsid w:val="00944CA3"/>
    <w:rsid w:val="00944CBF"/>
    <w:rsid w:val="00944EE4"/>
    <w:rsid w:val="009504C8"/>
    <w:rsid w:val="009505BE"/>
    <w:rsid w:val="0095077B"/>
    <w:rsid w:val="00951C5E"/>
    <w:rsid w:val="00952015"/>
    <w:rsid w:val="009526EB"/>
    <w:rsid w:val="00953589"/>
    <w:rsid w:val="009536F0"/>
    <w:rsid w:val="00953CF4"/>
    <w:rsid w:val="009540C3"/>
    <w:rsid w:val="00954495"/>
    <w:rsid w:val="00954560"/>
    <w:rsid w:val="009546E1"/>
    <w:rsid w:val="00955054"/>
    <w:rsid w:val="00955853"/>
    <w:rsid w:val="009558DB"/>
    <w:rsid w:val="00956237"/>
    <w:rsid w:val="00956BC7"/>
    <w:rsid w:val="00956FE6"/>
    <w:rsid w:val="00957A85"/>
    <w:rsid w:val="00957D9D"/>
    <w:rsid w:val="0096130A"/>
    <w:rsid w:val="00961F37"/>
    <w:rsid w:val="009626A5"/>
    <w:rsid w:val="009646E8"/>
    <w:rsid w:val="0096585F"/>
    <w:rsid w:val="00965AF4"/>
    <w:rsid w:val="00966723"/>
    <w:rsid w:val="00967662"/>
    <w:rsid w:val="00967AEF"/>
    <w:rsid w:val="0097022E"/>
    <w:rsid w:val="0097085A"/>
    <w:rsid w:val="00971255"/>
    <w:rsid w:val="00971318"/>
    <w:rsid w:val="00973071"/>
    <w:rsid w:val="00973242"/>
    <w:rsid w:val="0097334B"/>
    <w:rsid w:val="0097431E"/>
    <w:rsid w:val="00975874"/>
    <w:rsid w:val="009764C6"/>
    <w:rsid w:val="009764E3"/>
    <w:rsid w:val="00976D18"/>
    <w:rsid w:val="00977607"/>
    <w:rsid w:val="00977A30"/>
    <w:rsid w:val="00982273"/>
    <w:rsid w:val="00982BCC"/>
    <w:rsid w:val="00983A31"/>
    <w:rsid w:val="00984537"/>
    <w:rsid w:val="0098527F"/>
    <w:rsid w:val="0098599C"/>
    <w:rsid w:val="009863B5"/>
    <w:rsid w:val="00986E03"/>
    <w:rsid w:val="00987D3B"/>
    <w:rsid w:val="009911D2"/>
    <w:rsid w:val="00991A87"/>
    <w:rsid w:val="00993F15"/>
    <w:rsid w:val="00995373"/>
    <w:rsid w:val="00995593"/>
    <w:rsid w:val="009958BF"/>
    <w:rsid w:val="009A0522"/>
    <w:rsid w:val="009A0A58"/>
    <w:rsid w:val="009A1B33"/>
    <w:rsid w:val="009A33D1"/>
    <w:rsid w:val="009A40E2"/>
    <w:rsid w:val="009A5E48"/>
    <w:rsid w:val="009A77A8"/>
    <w:rsid w:val="009A785A"/>
    <w:rsid w:val="009B1125"/>
    <w:rsid w:val="009B2900"/>
    <w:rsid w:val="009B5BE5"/>
    <w:rsid w:val="009B5C59"/>
    <w:rsid w:val="009B678E"/>
    <w:rsid w:val="009B6B03"/>
    <w:rsid w:val="009B6E28"/>
    <w:rsid w:val="009C16B8"/>
    <w:rsid w:val="009C26CD"/>
    <w:rsid w:val="009C5A16"/>
    <w:rsid w:val="009C657A"/>
    <w:rsid w:val="009C6CA6"/>
    <w:rsid w:val="009C7C69"/>
    <w:rsid w:val="009D2975"/>
    <w:rsid w:val="009D31B0"/>
    <w:rsid w:val="009D32A2"/>
    <w:rsid w:val="009D3FD7"/>
    <w:rsid w:val="009D4643"/>
    <w:rsid w:val="009D4AA0"/>
    <w:rsid w:val="009D4E27"/>
    <w:rsid w:val="009D4E7E"/>
    <w:rsid w:val="009D57E1"/>
    <w:rsid w:val="009E02DA"/>
    <w:rsid w:val="009E02F5"/>
    <w:rsid w:val="009E12FA"/>
    <w:rsid w:val="009E1D24"/>
    <w:rsid w:val="009E3772"/>
    <w:rsid w:val="009E40E6"/>
    <w:rsid w:val="009E4270"/>
    <w:rsid w:val="009E470F"/>
    <w:rsid w:val="009E585F"/>
    <w:rsid w:val="009F2634"/>
    <w:rsid w:val="009F29B3"/>
    <w:rsid w:val="009F4593"/>
    <w:rsid w:val="009F48A7"/>
    <w:rsid w:val="009F4EE2"/>
    <w:rsid w:val="009F55BB"/>
    <w:rsid w:val="009F7245"/>
    <w:rsid w:val="00A00E86"/>
    <w:rsid w:val="00A028BA"/>
    <w:rsid w:val="00A07FD8"/>
    <w:rsid w:val="00A1083C"/>
    <w:rsid w:val="00A11225"/>
    <w:rsid w:val="00A11732"/>
    <w:rsid w:val="00A13370"/>
    <w:rsid w:val="00A16ADF"/>
    <w:rsid w:val="00A16AF8"/>
    <w:rsid w:val="00A16C2A"/>
    <w:rsid w:val="00A17C66"/>
    <w:rsid w:val="00A17CF8"/>
    <w:rsid w:val="00A20225"/>
    <w:rsid w:val="00A224C1"/>
    <w:rsid w:val="00A22BAB"/>
    <w:rsid w:val="00A23AF1"/>
    <w:rsid w:val="00A255FA"/>
    <w:rsid w:val="00A2586F"/>
    <w:rsid w:val="00A31AF3"/>
    <w:rsid w:val="00A322A7"/>
    <w:rsid w:val="00A3245E"/>
    <w:rsid w:val="00A3332A"/>
    <w:rsid w:val="00A34043"/>
    <w:rsid w:val="00A365CE"/>
    <w:rsid w:val="00A36A26"/>
    <w:rsid w:val="00A426C3"/>
    <w:rsid w:val="00A43134"/>
    <w:rsid w:val="00A437FB"/>
    <w:rsid w:val="00A44586"/>
    <w:rsid w:val="00A449A6"/>
    <w:rsid w:val="00A45866"/>
    <w:rsid w:val="00A50B64"/>
    <w:rsid w:val="00A50FA7"/>
    <w:rsid w:val="00A53F62"/>
    <w:rsid w:val="00A54621"/>
    <w:rsid w:val="00A548A1"/>
    <w:rsid w:val="00A54CA6"/>
    <w:rsid w:val="00A555C6"/>
    <w:rsid w:val="00A55DC2"/>
    <w:rsid w:val="00A5711E"/>
    <w:rsid w:val="00A57C4A"/>
    <w:rsid w:val="00A60140"/>
    <w:rsid w:val="00A61275"/>
    <w:rsid w:val="00A636AA"/>
    <w:rsid w:val="00A63F5C"/>
    <w:rsid w:val="00A64EEC"/>
    <w:rsid w:val="00A715DA"/>
    <w:rsid w:val="00A71886"/>
    <w:rsid w:val="00A73180"/>
    <w:rsid w:val="00A73988"/>
    <w:rsid w:val="00A73A5E"/>
    <w:rsid w:val="00A74C93"/>
    <w:rsid w:val="00A74FF1"/>
    <w:rsid w:val="00A76203"/>
    <w:rsid w:val="00A80501"/>
    <w:rsid w:val="00A81D90"/>
    <w:rsid w:val="00A821E7"/>
    <w:rsid w:val="00A825E1"/>
    <w:rsid w:val="00A82B03"/>
    <w:rsid w:val="00A857E7"/>
    <w:rsid w:val="00A87DB2"/>
    <w:rsid w:val="00A90149"/>
    <w:rsid w:val="00A908FA"/>
    <w:rsid w:val="00A922B5"/>
    <w:rsid w:val="00A930C7"/>
    <w:rsid w:val="00A9340D"/>
    <w:rsid w:val="00A96A01"/>
    <w:rsid w:val="00A97056"/>
    <w:rsid w:val="00A972A0"/>
    <w:rsid w:val="00AA1317"/>
    <w:rsid w:val="00AA38D4"/>
    <w:rsid w:val="00AA463B"/>
    <w:rsid w:val="00AA4884"/>
    <w:rsid w:val="00AA4E64"/>
    <w:rsid w:val="00AA5981"/>
    <w:rsid w:val="00AA5A07"/>
    <w:rsid w:val="00AA6A89"/>
    <w:rsid w:val="00AA72A7"/>
    <w:rsid w:val="00AA744A"/>
    <w:rsid w:val="00AA7B4B"/>
    <w:rsid w:val="00AB08A6"/>
    <w:rsid w:val="00AB16C4"/>
    <w:rsid w:val="00AB1C70"/>
    <w:rsid w:val="00AB2118"/>
    <w:rsid w:val="00AB4687"/>
    <w:rsid w:val="00AB4A81"/>
    <w:rsid w:val="00AB638E"/>
    <w:rsid w:val="00AC0143"/>
    <w:rsid w:val="00AC0E70"/>
    <w:rsid w:val="00AC1F7F"/>
    <w:rsid w:val="00AC210D"/>
    <w:rsid w:val="00AC34CE"/>
    <w:rsid w:val="00AC39D7"/>
    <w:rsid w:val="00AC49D0"/>
    <w:rsid w:val="00AC6207"/>
    <w:rsid w:val="00AD169A"/>
    <w:rsid w:val="00AD3952"/>
    <w:rsid w:val="00AD42B7"/>
    <w:rsid w:val="00AD66B6"/>
    <w:rsid w:val="00AD6B2C"/>
    <w:rsid w:val="00AE1B30"/>
    <w:rsid w:val="00AE1C8E"/>
    <w:rsid w:val="00AE2DF3"/>
    <w:rsid w:val="00AE46D6"/>
    <w:rsid w:val="00AE675F"/>
    <w:rsid w:val="00AE6B0B"/>
    <w:rsid w:val="00AF0CCF"/>
    <w:rsid w:val="00AF1A41"/>
    <w:rsid w:val="00AF2DED"/>
    <w:rsid w:val="00AF54A4"/>
    <w:rsid w:val="00AF66ED"/>
    <w:rsid w:val="00AF6CF2"/>
    <w:rsid w:val="00AF6E5C"/>
    <w:rsid w:val="00B00163"/>
    <w:rsid w:val="00B012E1"/>
    <w:rsid w:val="00B018DE"/>
    <w:rsid w:val="00B037F7"/>
    <w:rsid w:val="00B049E2"/>
    <w:rsid w:val="00B04C60"/>
    <w:rsid w:val="00B058FA"/>
    <w:rsid w:val="00B05A27"/>
    <w:rsid w:val="00B06574"/>
    <w:rsid w:val="00B06EE8"/>
    <w:rsid w:val="00B10251"/>
    <w:rsid w:val="00B1056C"/>
    <w:rsid w:val="00B1159D"/>
    <w:rsid w:val="00B12A01"/>
    <w:rsid w:val="00B12C7B"/>
    <w:rsid w:val="00B1402D"/>
    <w:rsid w:val="00B1649D"/>
    <w:rsid w:val="00B20E39"/>
    <w:rsid w:val="00B21336"/>
    <w:rsid w:val="00B21A12"/>
    <w:rsid w:val="00B22A39"/>
    <w:rsid w:val="00B22A86"/>
    <w:rsid w:val="00B324F7"/>
    <w:rsid w:val="00B3371B"/>
    <w:rsid w:val="00B339CE"/>
    <w:rsid w:val="00B344A9"/>
    <w:rsid w:val="00B34A64"/>
    <w:rsid w:val="00B355FE"/>
    <w:rsid w:val="00B37531"/>
    <w:rsid w:val="00B41067"/>
    <w:rsid w:val="00B45B39"/>
    <w:rsid w:val="00B509F4"/>
    <w:rsid w:val="00B51D10"/>
    <w:rsid w:val="00B547F0"/>
    <w:rsid w:val="00B54AC0"/>
    <w:rsid w:val="00B54BA8"/>
    <w:rsid w:val="00B55054"/>
    <w:rsid w:val="00B550DB"/>
    <w:rsid w:val="00B55BD1"/>
    <w:rsid w:val="00B55D2B"/>
    <w:rsid w:val="00B562AE"/>
    <w:rsid w:val="00B5688D"/>
    <w:rsid w:val="00B573FE"/>
    <w:rsid w:val="00B57737"/>
    <w:rsid w:val="00B579C1"/>
    <w:rsid w:val="00B57AD4"/>
    <w:rsid w:val="00B602D8"/>
    <w:rsid w:val="00B60874"/>
    <w:rsid w:val="00B61339"/>
    <w:rsid w:val="00B61811"/>
    <w:rsid w:val="00B61D75"/>
    <w:rsid w:val="00B62332"/>
    <w:rsid w:val="00B624DE"/>
    <w:rsid w:val="00B62563"/>
    <w:rsid w:val="00B628B2"/>
    <w:rsid w:val="00B6455B"/>
    <w:rsid w:val="00B64814"/>
    <w:rsid w:val="00B64878"/>
    <w:rsid w:val="00B64ED0"/>
    <w:rsid w:val="00B6727C"/>
    <w:rsid w:val="00B7000B"/>
    <w:rsid w:val="00B7199F"/>
    <w:rsid w:val="00B73BCB"/>
    <w:rsid w:val="00B75976"/>
    <w:rsid w:val="00B75EA6"/>
    <w:rsid w:val="00B76369"/>
    <w:rsid w:val="00B816C5"/>
    <w:rsid w:val="00B81CCA"/>
    <w:rsid w:val="00B83663"/>
    <w:rsid w:val="00B843DA"/>
    <w:rsid w:val="00B86400"/>
    <w:rsid w:val="00B86645"/>
    <w:rsid w:val="00B903E2"/>
    <w:rsid w:val="00B91687"/>
    <w:rsid w:val="00B91F5F"/>
    <w:rsid w:val="00B93751"/>
    <w:rsid w:val="00B9654E"/>
    <w:rsid w:val="00BA00B8"/>
    <w:rsid w:val="00BA1ECA"/>
    <w:rsid w:val="00BA47BD"/>
    <w:rsid w:val="00BA4848"/>
    <w:rsid w:val="00BA499C"/>
    <w:rsid w:val="00BA5FC9"/>
    <w:rsid w:val="00BA604E"/>
    <w:rsid w:val="00BA6154"/>
    <w:rsid w:val="00BA66F4"/>
    <w:rsid w:val="00BA68C0"/>
    <w:rsid w:val="00BA6E05"/>
    <w:rsid w:val="00BA7777"/>
    <w:rsid w:val="00BB0590"/>
    <w:rsid w:val="00BB1243"/>
    <w:rsid w:val="00BB3A25"/>
    <w:rsid w:val="00BB47A2"/>
    <w:rsid w:val="00BB5709"/>
    <w:rsid w:val="00BB6618"/>
    <w:rsid w:val="00BB6CC2"/>
    <w:rsid w:val="00BC11CF"/>
    <w:rsid w:val="00BC34F7"/>
    <w:rsid w:val="00BC3A33"/>
    <w:rsid w:val="00BC4C08"/>
    <w:rsid w:val="00BC4D2D"/>
    <w:rsid w:val="00BC4E22"/>
    <w:rsid w:val="00BC53FE"/>
    <w:rsid w:val="00BC5CA8"/>
    <w:rsid w:val="00BC5E8A"/>
    <w:rsid w:val="00BC6E30"/>
    <w:rsid w:val="00BC702D"/>
    <w:rsid w:val="00BC71CE"/>
    <w:rsid w:val="00BC7975"/>
    <w:rsid w:val="00BD304A"/>
    <w:rsid w:val="00BD35CF"/>
    <w:rsid w:val="00BD4C4B"/>
    <w:rsid w:val="00BD4D9F"/>
    <w:rsid w:val="00BD6273"/>
    <w:rsid w:val="00BD6345"/>
    <w:rsid w:val="00BD7DF3"/>
    <w:rsid w:val="00BE0BAB"/>
    <w:rsid w:val="00BE3C0E"/>
    <w:rsid w:val="00BE4B9A"/>
    <w:rsid w:val="00BE537E"/>
    <w:rsid w:val="00BF0A0F"/>
    <w:rsid w:val="00BF4AA8"/>
    <w:rsid w:val="00BF5D4D"/>
    <w:rsid w:val="00BF6670"/>
    <w:rsid w:val="00BF76F6"/>
    <w:rsid w:val="00BF7851"/>
    <w:rsid w:val="00C005CF"/>
    <w:rsid w:val="00C00E24"/>
    <w:rsid w:val="00C01A09"/>
    <w:rsid w:val="00C01C0C"/>
    <w:rsid w:val="00C021CA"/>
    <w:rsid w:val="00C02E50"/>
    <w:rsid w:val="00C0343E"/>
    <w:rsid w:val="00C04A9D"/>
    <w:rsid w:val="00C059D9"/>
    <w:rsid w:val="00C06A88"/>
    <w:rsid w:val="00C10E3A"/>
    <w:rsid w:val="00C11D2F"/>
    <w:rsid w:val="00C11F60"/>
    <w:rsid w:val="00C124A0"/>
    <w:rsid w:val="00C135CC"/>
    <w:rsid w:val="00C148C2"/>
    <w:rsid w:val="00C15CEB"/>
    <w:rsid w:val="00C17549"/>
    <w:rsid w:val="00C21C6B"/>
    <w:rsid w:val="00C22EDB"/>
    <w:rsid w:val="00C243A3"/>
    <w:rsid w:val="00C24501"/>
    <w:rsid w:val="00C24FBF"/>
    <w:rsid w:val="00C25356"/>
    <w:rsid w:val="00C26934"/>
    <w:rsid w:val="00C26B5A"/>
    <w:rsid w:val="00C2747A"/>
    <w:rsid w:val="00C27C43"/>
    <w:rsid w:val="00C27F2F"/>
    <w:rsid w:val="00C306D7"/>
    <w:rsid w:val="00C3086E"/>
    <w:rsid w:val="00C30BF4"/>
    <w:rsid w:val="00C312BA"/>
    <w:rsid w:val="00C3171E"/>
    <w:rsid w:val="00C32F22"/>
    <w:rsid w:val="00C33505"/>
    <w:rsid w:val="00C34F28"/>
    <w:rsid w:val="00C36039"/>
    <w:rsid w:val="00C37127"/>
    <w:rsid w:val="00C3768A"/>
    <w:rsid w:val="00C400CF"/>
    <w:rsid w:val="00C403F5"/>
    <w:rsid w:val="00C4361F"/>
    <w:rsid w:val="00C46541"/>
    <w:rsid w:val="00C4757A"/>
    <w:rsid w:val="00C47C91"/>
    <w:rsid w:val="00C51DE8"/>
    <w:rsid w:val="00C523D8"/>
    <w:rsid w:val="00C53CE9"/>
    <w:rsid w:val="00C5623E"/>
    <w:rsid w:val="00C56FB3"/>
    <w:rsid w:val="00C57718"/>
    <w:rsid w:val="00C604FD"/>
    <w:rsid w:val="00C609BC"/>
    <w:rsid w:val="00C60B55"/>
    <w:rsid w:val="00C6280D"/>
    <w:rsid w:val="00C62A4F"/>
    <w:rsid w:val="00C62E7F"/>
    <w:rsid w:val="00C640A1"/>
    <w:rsid w:val="00C6439D"/>
    <w:rsid w:val="00C7066A"/>
    <w:rsid w:val="00C72A7C"/>
    <w:rsid w:val="00C73F92"/>
    <w:rsid w:val="00C742EA"/>
    <w:rsid w:val="00C745C5"/>
    <w:rsid w:val="00C75317"/>
    <w:rsid w:val="00C7671A"/>
    <w:rsid w:val="00C8117D"/>
    <w:rsid w:val="00C8232A"/>
    <w:rsid w:val="00C82790"/>
    <w:rsid w:val="00C83EA1"/>
    <w:rsid w:val="00C8426A"/>
    <w:rsid w:val="00C8614F"/>
    <w:rsid w:val="00C86F1C"/>
    <w:rsid w:val="00C92484"/>
    <w:rsid w:val="00C92914"/>
    <w:rsid w:val="00C95D23"/>
    <w:rsid w:val="00C96F12"/>
    <w:rsid w:val="00C978CC"/>
    <w:rsid w:val="00CA05BC"/>
    <w:rsid w:val="00CA0EF5"/>
    <w:rsid w:val="00CA100A"/>
    <w:rsid w:val="00CA1B88"/>
    <w:rsid w:val="00CA21B5"/>
    <w:rsid w:val="00CA4767"/>
    <w:rsid w:val="00CA5E39"/>
    <w:rsid w:val="00CA6339"/>
    <w:rsid w:val="00CB139E"/>
    <w:rsid w:val="00CB18B3"/>
    <w:rsid w:val="00CB1C5A"/>
    <w:rsid w:val="00CB2391"/>
    <w:rsid w:val="00CB26D4"/>
    <w:rsid w:val="00CB31BA"/>
    <w:rsid w:val="00CB366F"/>
    <w:rsid w:val="00CB3CF3"/>
    <w:rsid w:val="00CB597C"/>
    <w:rsid w:val="00CB5C9F"/>
    <w:rsid w:val="00CB6426"/>
    <w:rsid w:val="00CB64BA"/>
    <w:rsid w:val="00CB74A0"/>
    <w:rsid w:val="00CC04F3"/>
    <w:rsid w:val="00CC1564"/>
    <w:rsid w:val="00CC1D70"/>
    <w:rsid w:val="00CC1F3B"/>
    <w:rsid w:val="00CC2014"/>
    <w:rsid w:val="00CC2637"/>
    <w:rsid w:val="00CC3BC6"/>
    <w:rsid w:val="00CC7F76"/>
    <w:rsid w:val="00CD5210"/>
    <w:rsid w:val="00CD5A30"/>
    <w:rsid w:val="00CE083D"/>
    <w:rsid w:val="00CE0EC8"/>
    <w:rsid w:val="00CE221F"/>
    <w:rsid w:val="00CE22B6"/>
    <w:rsid w:val="00CE302A"/>
    <w:rsid w:val="00CE4219"/>
    <w:rsid w:val="00CE477D"/>
    <w:rsid w:val="00CE5544"/>
    <w:rsid w:val="00CE7656"/>
    <w:rsid w:val="00CF11FF"/>
    <w:rsid w:val="00CF162A"/>
    <w:rsid w:val="00CF1DB4"/>
    <w:rsid w:val="00CF1EAE"/>
    <w:rsid w:val="00CF3F32"/>
    <w:rsid w:val="00CF6581"/>
    <w:rsid w:val="00CF65A1"/>
    <w:rsid w:val="00D0199E"/>
    <w:rsid w:val="00D028E1"/>
    <w:rsid w:val="00D02DEF"/>
    <w:rsid w:val="00D037A8"/>
    <w:rsid w:val="00D0430E"/>
    <w:rsid w:val="00D04C61"/>
    <w:rsid w:val="00D04E8B"/>
    <w:rsid w:val="00D04FB6"/>
    <w:rsid w:val="00D0626F"/>
    <w:rsid w:val="00D06750"/>
    <w:rsid w:val="00D12D3B"/>
    <w:rsid w:val="00D13A26"/>
    <w:rsid w:val="00D147EF"/>
    <w:rsid w:val="00D14F3E"/>
    <w:rsid w:val="00D15DAC"/>
    <w:rsid w:val="00D17D1D"/>
    <w:rsid w:val="00D20FF2"/>
    <w:rsid w:val="00D21798"/>
    <w:rsid w:val="00D21F34"/>
    <w:rsid w:val="00D22A08"/>
    <w:rsid w:val="00D231BC"/>
    <w:rsid w:val="00D23E15"/>
    <w:rsid w:val="00D242E2"/>
    <w:rsid w:val="00D24586"/>
    <w:rsid w:val="00D26642"/>
    <w:rsid w:val="00D27B06"/>
    <w:rsid w:val="00D31C94"/>
    <w:rsid w:val="00D32663"/>
    <w:rsid w:val="00D3436C"/>
    <w:rsid w:val="00D3558E"/>
    <w:rsid w:val="00D35D8F"/>
    <w:rsid w:val="00D40816"/>
    <w:rsid w:val="00D40B46"/>
    <w:rsid w:val="00D40FCF"/>
    <w:rsid w:val="00D4221A"/>
    <w:rsid w:val="00D42D3E"/>
    <w:rsid w:val="00D439D5"/>
    <w:rsid w:val="00D440C8"/>
    <w:rsid w:val="00D45479"/>
    <w:rsid w:val="00D45C7B"/>
    <w:rsid w:val="00D516F3"/>
    <w:rsid w:val="00D52C65"/>
    <w:rsid w:val="00D53E73"/>
    <w:rsid w:val="00D54DA2"/>
    <w:rsid w:val="00D54E2E"/>
    <w:rsid w:val="00D54F6E"/>
    <w:rsid w:val="00D57103"/>
    <w:rsid w:val="00D61113"/>
    <w:rsid w:val="00D6389E"/>
    <w:rsid w:val="00D63E7C"/>
    <w:rsid w:val="00D65122"/>
    <w:rsid w:val="00D66175"/>
    <w:rsid w:val="00D675B7"/>
    <w:rsid w:val="00D70841"/>
    <w:rsid w:val="00D70CBB"/>
    <w:rsid w:val="00D71908"/>
    <w:rsid w:val="00D71D4B"/>
    <w:rsid w:val="00D71DD3"/>
    <w:rsid w:val="00D72BB7"/>
    <w:rsid w:val="00D72C01"/>
    <w:rsid w:val="00D73225"/>
    <w:rsid w:val="00D76122"/>
    <w:rsid w:val="00D80B6F"/>
    <w:rsid w:val="00D80C8A"/>
    <w:rsid w:val="00D8204E"/>
    <w:rsid w:val="00D83B8E"/>
    <w:rsid w:val="00D84BB3"/>
    <w:rsid w:val="00D8539E"/>
    <w:rsid w:val="00D86662"/>
    <w:rsid w:val="00D90239"/>
    <w:rsid w:val="00D93E85"/>
    <w:rsid w:val="00D9472F"/>
    <w:rsid w:val="00D95639"/>
    <w:rsid w:val="00D965D5"/>
    <w:rsid w:val="00D976B6"/>
    <w:rsid w:val="00DA0288"/>
    <w:rsid w:val="00DA0BE8"/>
    <w:rsid w:val="00DA15B6"/>
    <w:rsid w:val="00DA3BB6"/>
    <w:rsid w:val="00DA55BD"/>
    <w:rsid w:val="00DA5D93"/>
    <w:rsid w:val="00DA6255"/>
    <w:rsid w:val="00DA76C8"/>
    <w:rsid w:val="00DB1D57"/>
    <w:rsid w:val="00DB262A"/>
    <w:rsid w:val="00DB5021"/>
    <w:rsid w:val="00DB5144"/>
    <w:rsid w:val="00DB5275"/>
    <w:rsid w:val="00DB6CE3"/>
    <w:rsid w:val="00DB749E"/>
    <w:rsid w:val="00DC0955"/>
    <w:rsid w:val="00DC15C8"/>
    <w:rsid w:val="00DC17F0"/>
    <w:rsid w:val="00DC51AE"/>
    <w:rsid w:val="00DD32A8"/>
    <w:rsid w:val="00DD3BD6"/>
    <w:rsid w:val="00DD47A9"/>
    <w:rsid w:val="00DD4DC5"/>
    <w:rsid w:val="00DD55A3"/>
    <w:rsid w:val="00DD5787"/>
    <w:rsid w:val="00DD603E"/>
    <w:rsid w:val="00DD6517"/>
    <w:rsid w:val="00DD7840"/>
    <w:rsid w:val="00DE0888"/>
    <w:rsid w:val="00DE1959"/>
    <w:rsid w:val="00DE223E"/>
    <w:rsid w:val="00DE63BE"/>
    <w:rsid w:val="00DE643B"/>
    <w:rsid w:val="00DF2572"/>
    <w:rsid w:val="00DF2D46"/>
    <w:rsid w:val="00DF36C8"/>
    <w:rsid w:val="00DF3E3C"/>
    <w:rsid w:val="00DF3EBA"/>
    <w:rsid w:val="00DF58D5"/>
    <w:rsid w:val="00E00048"/>
    <w:rsid w:val="00E0182C"/>
    <w:rsid w:val="00E03371"/>
    <w:rsid w:val="00E039C5"/>
    <w:rsid w:val="00E04061"/>
    <w:rsid w:val="00E05089"/>
    <w:rsid w:val="00E05B02"/>
    <w:rsid w:val="00E112E1"/>
    <w:rsid w:val="00E1360A"/>
    <w:rsid w:val="00E13FD0"/>
    <w:rsid w:val="00E1449E"/>
    <w:rsid w:val="00E148B2"/>
    <w:rsid w:val="00E14A7E"/>
    <w:rsid w:val="00E152EF"/>
    <w:rsid w:val="00E165A1"/>
    <w:rsid w:val="00E17A7C"/>
    <w:rsid w:val="00E200EB"/>
    <w:rsid w:val="00E2022A"/>
    <w:rsid w:val="00E20EC6"/>
    <w:rsid w:val="00E21B9E"/>
    <w:rsid w:val="00E21FDD"/>
    <w:rsid w:val="00E23127"/>
    <w:rsid w:val="00E23A03"/>
    <w:rsid w:val="00E24D2A"/>
    <w:rsid w:val="00E2504F"/>
    <w:rsid w:val="00E25AB8"/>
    <w:rsid w:val="00E271AB"/>
    <w:rsid w:val="00E2788D"/>
    <w:rsid w:val="00E302C4"/>
    <w:rsid w:val="00E31988"/>
    <w:rsid w:val="00E31D9B"/>
    <w:rsid w:val="00E32968"/>
    <w:rsid w:val="00E33485"/>
    <w:rsid w:val="00E34FBE"/>
    <w:rsid w:val="00E3519A"/>
    <w:rsid w:val="00E35798"/>
    <w:rsid w:val="00E36C35"/>
    <w:rsid w:val="00E41DFC"/>
    <w:rsid w:val="00E44090"/>
    <w:rsid w:val="00E44533"/>
    <w:rsid w:val="00E45605"/>
    <w:rsid w:val="00E456EA"/>
    <w:rsid w:val="00E46BD5"/>
    <w:rsid w:val="00E508E2"/>
    <w:rsid w:val="00E518E7"/>
    <w:rsid w:val="00E528AD"/>
    <w:rsid w:val="00E536BA"/>
    <w:rsid w:val="00E539E4"/>
    <w:rsid w:val="00E540D3"/>
    <w:rsid w:val="00E5462A"/>
    <w:rsid w:val="00E546D9"/>
    <w:rsid w:val="00E54C33"/>
    <w:rsid w:val="00E54E32"/>
    <w:rsid w:val="00E54FEC"/>
    <w:rsid w:val="00E55427"/>
    <w:rsid w:val="00E558CE"/>
    <w:rsid w:val="00E56071"/>
    <w:rsid w:val="00E566B4"/>
    <w:rsid w:val="00E56B3D"/>
    <w:rsid w:val="00E57214"/>
    <w:rsid w:val="00E608D5"/>
    <w:rsid w:val="00E62B2D"/>
    <w:rsid w:val="00E62E70"/>
    <w:rsid w:val="00E62F6D"/>
    <w:rsid w:val="00E63819"/>
    <w:rsid w:val="00E64072"/>
    <w:rsid w:val="00E644B4"/>
    <w:rsid w:val="00E64557"/>
    <w:rsid w:val="00E6492A"/>
    <w:rsid w:val="00E6524F"/>
    <w:rsid w:val="00E67569"/>
    <w:rsid w:val="00E67DD8"/>
    <w:rsid w:val="00E7056B"/>
    <w:rsid w:val="00E71217"/>
    <w:rsid w:val="00E72BF2"/>
    <w:rsid w:val="00E74A18"/>
    <w:rsid w:val="00E7535A"/>
    <w:rsid w:val="00E759A0"/>
    <w:rsid w:val="00E765E3"/>
    <w:rsid w:val="00E77BCF"/>
    <w:rsid w:val="00E8074B"/>
    <w:rsid w:val="00E80795"/>
    <w:rsid w:val="00E81A4B"/>
    <w:rsid w:val="00E821B1"/>
    <w:rsid w:val="00E8249F"/>
    <w:rsid w:val="00E82FA3"/>
    <w:rsid w:val="00E84FA7"/>
    <w:rsid w:val="00E855C6"/>
    <w:rsid w:val="00E860ED"/>
    <w:rsid w:val="00E869F2"/>
    <w:rsid w:val="00E876EB"/>
    <w:rsid w:val="00E920A4"/>
    <w:rsid w:val="00E921FA"/>
    <w:rsid w:val="00E92300"/>
    <w:rsid w:val="00E92C3E"/>
    <w:rsid w:val="00E9355A"/>
    <w:rsid w:val="00E958CA"/>
    <w:rsid w:val="00E972C9"/>
    <w:rsid w:val="00EA09B4"/>
    <w:rsid w:val="00EA1377"/>
    <w:rsid w:val="00EA1483"/>
    <w:rsid w:val="00EA174F"/>
    <w:rsid w:val="00EA27B3"/>
    <w:rsid w:val="00EA5ABB"/>
    <w:rsid w:val="00EA5E4C"/>
    <w:rsid w:val="00EA6795"/>
    <w:rsid w:val="00EA6A0F"/>
    <w:rsid w:val="00EA6BBE"/>
    <w:rsid w:val="00EA6BEB"/>
    <w:rsid w:val="00EA6E9F"/>
    <w:rsid w:val="00EA77D8"/>
    <w:rsid w:val="00EB0AC6"/>
    <w:rsid w:val="00EB2098"/>
    <w:rsid w:val="00EB351E"/>
    <w:rsid w:val="00EB39AD"/>
    <w:rsid w:val="00EB40FF"/>
    <w:rsid w:val="00EB4186"/>
    <w:rsid w:val="00EB4CBC"/>
    <w:rsid w:val="00EB4FC0"/>
    <w:rsid w:val="00EB5493"/>
    <w:rsid w:val="00EB75E7"/>
    <w:rsid w:val="00EB7B95"/>
    <w:rsid w:val="00EC033C"/>
    <w:rsid w:val="00EC0514"/>
    <w:rsid w:val="00EC13A2"/>
    <w:rsid w:val="00EC17A4"/>
    <w:rsid w:val="00EC4780"/>
    <w:rsid w:val="00EC634E"/>
    <w:rsid w:val="00EC65EC"/>
    <w:rsid w:val="00EC7045"/>
    <w:rsid w:val="00EC70A1"/>
    <w:rsid w:val="00ED0B41"/>
    <w:rsid w:val="00ED24BC"/>
    <w:rsid w:val="00ED392B"/>
    <w:rsid w:val="00ED5294"/>
    <w:rsid w:val="00EE07E2"/>
    <w:rsid w:val="00EE0C99"/>
    <w:rsid w:val="00EE17DF"/>
    <w:rsid w:val="00EE3DAD"/>
    <w:rsid w:val="00EE454C"/>
    <w:rsid w:val="00EE496B"/>
    <w:rsid w:val="00EE6FA6"/>
    <w:rsid w:val="00EF0D37"/>
    <w:rsid w:val="00EF3377"/>
    <w:rsid w:val="00EF339C"/>
    <w:rsid w:val="00EF3ED1"/>
    <w:rsid w:val="00EF522D"/>
    <w:rsid w:val="00EF5470"/>
    <w:rsid w:val="00EF6B6B"/>
    <w:rsid w:val="00EF79AA"/>
    <w:rsid w:val="00EF7D38"/>
    <w:rsid w:val="00EF7F96"/>
    <w:rsid w:val="00F00893"/>
    <w:rsid w:val="00F00A7A"/>
    <w:rsid w:val="00F012FB"/>
    <w:rsid w:val="00F0250C"/>
    <w:rsid w:val="00F034DD"/>
    <w:rsid w:val="00F0379B"/>
    <w:rsid w:val="00F045B8"/>
    <w:rsid w:val="00F04A83"/>
    <w:rsid w:val="00F056F3"/>
    <w:rsid w:val="00F05FB6"/>
    <w:rsid w:val="00F100F1"/>
    <w:rsid w:val="00F101AE"/>
    <w:rsid w:val="00F1053B"/>
    <w:rsid w:val="00F129F5"/>
    <w:rsid w:val="00F1362D"/>
    <w:rsid w:val="00F161D1"/>
    <w:rsid w:val="00F172BA"/>
    <w:rsid w:val="00F17487"/>
    <w:rsid w:val="00F21945"/>
    <w:rsid w:val="00F2201C"/>
    <w:rsid w:val="00F257E9"/>
    <w:rsid w:val="00F32300"/>
    <w:rsid w:val="00F328EE"/>
    <w:rsid w:val="00F33F22"/>
    <w:rsid w:val="00F33F41"/>
    <w:rsid w:val="00F350DF"/>
    <w:rsid w:val="00F3549F"/>
    <w:rsid w:val="00F35749"/>
    <w:rsid w:val="00F357FF"/>
    <w:rsid w:val="00F40BD5"/>
    <w:rsid w:val="00F41451"/>
    <w:rsid w:val="00F437EA"/>
    <w:rsid w:val="00F44BF1"/>
    <w:rsid w:val="00F44D25"/>
    <w:rsid w:val="00F45BB0"/>
    <w:rsid w:val="00F46034"/>
    <w:rsid w:val="00F46951"/>
    <w:rsid w:val="00F47101"/>
    <w:rsid w:val="00F50D37"/>
    <w:rsid w:val="00F50E82"/>
    <w:rsid w:val="00F51258"/>
    <w:rsid w:val="00F51C45"/>
    <w:rsid w:val="00F529B3"/>
    <w:rsid w:val="00F52E4D"/>
    <w:rsid w:val="00F5562C"/>
    <w:rsid w:val="00F56173"/>
    <w:rsid w:val="00F574F5"/>
    <w:rsid w:val="00F57675"/>
    <w:rsid w:val="00F60FF9"/>
    <w:rsid w:val="00F611FA"/>
    <w:rsid w:val="00F61505"/>
    <w:rsid w:val="00F6201F"/>
    <w:rsid w:val="00F6250A"/>
    <w:rsid w:val="00F706EA"/>
    <w:rsid w:val="00F72BDD"/>
    <w:rsid w:val="00F7483D"/>
    <w:rsid w:val="00F749FE"/>
    <w:rsid w:val="00F75478"/>
    <w:rsid w:val="00F75D8B"/>
    <w:rsid w:val="00F7690B"/>
    <w:rsid w:val="00F779C4"/>
    <w:rsid w:val="00F80A4E"/>
    <w:rsid w:val="00F80FB6"/>
    <w:rsid w:val="00F81F89"/>
    <w:rsid w:val="00F829F1"/>
    <w:rsid w:val="00F8375C"/>
    <w:rsid w:val="00F8426C"/>
    <w:rsid w:val="00F853CA"/>
    <w:rsid w:val="00F871A5"/>
    <w:rsid w:val="00F8740D"/>
    <w:rsid w:val="00F87A14"/>
    <w:rsid w:val="00F87F2A"/>
    <w:rsid w:val="00F9021A"/>
    <w:rsid w:val="00F91089"/>
    <w:rsid w:val="00F912AA"/>
    <w:rsid w:val="00F93E8D"/>
    <w:rsid w:val="00F949E9"/>
    <w:rsid w:val="00F97FA7"/>
    <w:rsid w:val="00FA0C73"/>
    <w:rsid w:val="00FA418D"/>
    <w:rsid w:val="00FA6227"/>
    <w:rsid w:val="00FA62F0"/>
    <w:rsid w:val="00FA7D31"/>
    <w:rsid w:val="00FB0845"/>
    <w:rsid w:val="00FB08FE"/>
    <w:rsid w:val="00FB10C1"/>
    <w:rsid w:val="00FB1724"/>
    <w:rsid w:val="00FB21E5"/>
    <w:rsid w:val="00FB2F64"/>
    <w:rsid w:val="00FB349C"/>
    <w:rsid w:val="00FB415B"/>
    <w:rsid w:val="00FB674A"/>
    <w:rsid w:val="00FB6CDA"/>
    <w:rsid w:val="00FB6D1F"/>
    <w:rsid w:val="00FC0CE4"/>
    <w:rsid w:val="00FC0FBA"/>
    <w:rsid w:val="00FC17B3"/>
    <w:rsid w:val="00FC43A1"/>
    <w:rsid w:val="00FC6284"/>
    <w:rsid w:val="00FD06A7"/>
    <w:rsid w:val="00FD2848"/>
    <w:rsid w:val="00FD2AAC"/>
    <w:rsid w:val="00FD4032"/>
    <w:rsid w:val="00FD4264"/>
    <w:rsid w:val="00FD52E1"/>
    <w:rsid w:val="00FE01E7"/>
    <w:rsid w:val="00FE0902"/>
    <w:rsid w:val="00FE0E83"/>
    <w:rsid w:val="00FE1AEE"/>
    <w:rsid w:val="00FE4E68"/>
    <w:rsid w:val="00FE5332"/>
    <w:rsid w:val="00FE66E2"/>
    <w:rsid w:val="00FE69B9"/>
    <w:rsid w:val="00FE6DA8"/>
    <w:rsid w:val="00FF0001"/>
    <w:rsid w:val="00FF001E"/>
    <w:rsid w:val="00FF07AC"/>
    <w:rsid w:val="00FF0E9B"/>
    <w:rsid w:val="00FF10FB"/>
    <w:rsid w:val="00FF1CDF"/>
    <w:rsid w:val="00FF25A3"/>
    <w:rsid w:val="00FF2F5B"/>
    <w:rsid w:val="00FF3A40"/>
    <w:rsid w:val="00FF3CC6"/>
    <w:rsid w:val="00FF4EF8"/>
    <w:rsid w:val="00FF5F16"/>
    <w:rsid w:val="00FF74A6"/>
    <w:rsid w:val="00FF7588"/>
    <w:rsid w:val="3FFEFDD9"/>
    <w:rsid w:val="6F4049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DB9BAD"/>
  <w15:chartTrackingRefBased/>
  <w15:docId w15:val="{E9F15554-3667-48B4-9588-8945F36A1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300"/>
    <w:pPr>
      <w:spacing w:line="256" w:lineRule="auto"/>
    </w:pPr>
    <w:rPr>
      <w:kern w:val="0"/>
      <w14:ligatures w14:val="none"/>
    </w:rPr>
  </w:style>
  <w:style w:type="paragraph" w:styleId="Heading1">
    <w:name w:val="heading 1"/>
    <w:basedOn w:val="Normal"/>
    <w:next w:val="Text1"/>
    <w:link w:val="Heading1Char"/>
    <w:uiPriority w:val="9"/>
    <w:qFormat/>
    <w:rsid w:val="00BA4848"/>
    <w:pPr>
      <w:keepNext/>
      <w:numPr>
        <w:numId w:val="3"/>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rsid w:val="00BA4848"/>
    <w:pPr>
      <w:keepNext/>
      <w:numPr>
        <w:ilvl w:val="1"/>
        <w:numId w:val="3"/>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uiPriority w:val="9"/>
    <w:qFormat/>
    <w:rsid w:val="00BA4848"/>
    <w:pPr>
      <w:keepNext/>
      <w:numPr>
        <w:ilvl w:val="2"/>
        <w:numId w:val="3"/>
      </w:numPr>
      <w:tabs>
        <w:tab w:val="clear" w:pos="1920"/>
        <w:tab w:val="num" w:pos="643"/>
      </w:tabs>
      <w:spacing w:after="240" w:line="240" w:lineRule="auto"/>
      <w:ind w:left="643" w:hanging="360"/>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rsid w:val="00BA4848"/>
    <w:pPr>
      <w:keepNext/>
      <w:numPr>
        <w:ilvl w:val="3"/>
        <w:numId w:val="3"/>
      </w:numPr>
      <w:tabs>
        <w:tab w:val="clear" w:pos="2880"/>
        <w:tab w:val="num" w:pos="643"/>
      </w:tabs>
      <w:spacing w:after="240" w:line="240" w:lineRule="auto"/>
      <w:ind w:left="643" w:hanging="360"/>
      <w:jc w:val="both"/>
      <w:outlineLvl w:val="3"/>
    </w:pPr>
    <w:rPr>
      <w:rFonts w:ascii="Times New Roman" w:eastAsia="Times New Roman" w:hAnsi="Times New Roman" w:cs="Times New Roman"/>
      <w:sz w:val="24"/>
      <w:szCs w:val="20"/>
    </w:rPr>
  </w:style>
  <w:style w:type="paragraph" w:styleId="Heading5">
    <w:name w:val="heading 5"/>
    <w:basedOn w:val="Normal"/>
    <w:next w:val="Normal"/>
    <w:link w:val="Heading5Char"/>
    <w:unhideWhenUsed/>
    <w:qFormat/>
    <w:rsid w:val="00BA4848"/>
    <w:pPr>
      <w:keepNext/>
      <w:keepLines/>
      <w:spacing w:before="40" w:after="0" w:line="259" w:lineRule="auto"/>
      <w:outlineLvl w:val="4"/>
    </w:pPr>
    <w:rPr>
      <w:rFonts w:ascii="Arial" w:eastAsia="MS Gothic" w:hAnsi="Arial" w:cs="Times New Roman"/>
      <w:color w:val="2E74B5"/>
    </w:rPr>
  </w:style>
  <w:style w:type="paragraph" w:styleId="Heading6">
    <w:name w:val="heading 6"/>
    <w:basedOn w:val="Normal"/>
    <w:next w:val="Normal"/>
    <w:link w:val="Heading6Char"/>
    <w:uiPriority w:val="9"/>
    <w:unhideWhenUsed/>
    <w:qFormat/>
    <w:rsid w:val="00BA4848"/>
    <w:pPr>
      <w:keepNext/>
      <w:keepLines/>
      <w:spacing w:before="40" w:after="0" w:line="259" w:lineRule="auto"/>
      <w:outlineLvl w:val="5"/>
    </w:pPr>
    <w:rPr>
      <w:rFonts w:ascii="Arial" w:eastAsia="MS Gothic" w:hAnsi="Arial" w:cs="Times New Roman"/>
      <w:color w:val="1F4D78"/>
    </w:rPr>
  </w:style>
  <w:style w:type="paragraph" w:styleId="Heading7">
    <w:name w:val="heading 7"/>
    <w:basedOn w:val="Normal"/>
    <w:next w:val="Normal"/>
    <w:link w:val="Heading7Char"/>
    <w:uiPriority w:val="9"/>
    <w:unhideWhenUsed/>
    <w:qFormat/>
    <w:rsid w:val="00BA4848"/>
    <w:pPr>
      <w:keepNext/>
      <w:keepLines/>
      <w:spacing w:before="40" w:after="0" w:line="259" w:lineRule="auto"/>
      <w:outlineLvl w:val="6"/>
    </w:pPr>
    <w:rPr>
      <w:rFonts w:ascii="Arial" w:eastAsia="MS Gothic" w:hAnsi="Arial" w:cs="Times New Roman"/>
      <w:i/>
      <w:iCs/>
      <w:color w:val="1F4D78"/>
    </w:rPr>
  </w:style>
  <w:style w:type="paragraph" w:styleId="Heading8">
    <w:name w:val="heading 8"/>
    <w:basedOn w:val="Normal"/>
    <w:next w:val="Normal"/>
    <w:link w:val="Heading8Char"/>
    <w:uiPriority w:val="9"/>
    <w:semiHidden/>
    <w:unhideWhenUsed/>
    <w:qFormat/>
    <w:rsid w:val="00BA4848"/>
    <w:pPr>
      <w:keepNext/>
      <w:keepLines/>
      <w:spacing w:before="40" w:after="0" w:line="259" w:lineRule="auto"/>
      <w:outlineLvl w:val="7"/>
    </w:pPr>
    <w:rPr>
      <w:rFonts w:ascii="Arial" w:eastAsia="MS Gothic" w:hAnsi="Arial" w:cs="Times New Roman"/>
      <w:color w:val="272727"/>
      <w:sz w:val="21"/>
      <w:szCs w:val="21"/>
    </w:rPr>
  </w:style>
  <w:style w:type="paragraph" w:styleId="Heading9">
    <w:name w:val="heading 9"/>
    <w:basedOn w:val="Normal"/>
    <w:next w:val="Normal"/>
    <w:link w:val="Heading9Char"/>
    <w:uiPriority w:val="9"/>
    <w:semiHidden/>
    <w:unhideWhenUsed/>
    <w:qFormat/>
    <w:rsid w:val="00BA4848"/>
    <w:pPr>
      <w:keepNext/>
      <w:keepLines/>
      <w:spacing w:before="40" w:after="0" w:line="259" w:lineRule="auto"/>
      <w:outlineLvl w:val="8"/>
    </w:pPr>
    <w:rPr>
      <w:rFonts w:ascii="Arial" w:eastAsia="MS Gothic" w:hAnsi="Arial"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2830A6"/>
  </w:style>
  <w:style w:type="character" w:styleId="Hyperlink">
    <w:name w:val="Hyperlink"/>
    <w:basedOn w:val="DefaultParagraphFont"/>
    <w:uiPriority w:val="99"/>
    <w:unhideWhenUsed/>
    <w:rsid w:val="002830A6"/>
    <w:rPr>
      <w:color w:val="0000FF"/>
      <w:u w:val="single"/>
    </w:rPr>
  </w:style>
  <w:style w:type="paragraph" w:styleId="Header">
    <w:name w:val="header"/>
    <w:basedOn w:val="Normal"/>
    <w:link w:val="HeaderChar"/>
    <w:uiPriority w:val="99"/>
    <w:unhideWhenUsed/>
    <w:rsid w:val="00426D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6D89"/>
    <w:rPr>
      <w:kern w:val="0"/>
      <w:lang w:val="es-ES"/>
      <w14:ligatures w14:val="none"/>
    </w:rPr>
  </w:style>
  <w:style w:type="paragraph" w:styleId="Footer">
    <w:name w:val="footer"/>
    <w:basedOn w:val="Normal"/>
    <w:link w:val="FooterChar"/>
    <w:uiPriority w:val="99"/>
    <w:unhideWhenUsed/>
    <w:rsid w:val="00426D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D89"/>
    <w:rPr>
      <w:kern w:val="0"/>
      <w:lang w:val="es-ES"/>
      <w14:ligatures w14:val="none"/>
    </w:rPr>
  </w:style>
  <w:style w:type="table" w:styleId="TableGrid">
    <w:name w:val="Table Grid"/>
    <w:basedOn w:val="TableNormal"/>
    <w:uiPriority w:val="39"/>
    <w:rsid w:val="00512513"/>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A4848"/>
    <w:rPr>
      <w:rFonts w:ascii="Times New Roman" w:eastAsia="Times New Roman" w:hAnsi="Times New Roman" w:cs="Times New Roman"/>
      <w:b/>
      <w:smallCaps/>
      <w:kern w:val="0"/>
      <w:sz w:val="24"/>
      <w:szCs w:val="20"/>
      <w14:ligatures w14:val="none"/>
    </w:rPr>
  </w:style>
  <w:style w:type="character" w:customStyle="1" w:styleId="Heading2Char">
    <w:name w:val="Heading 2 Char"/>
    <w:basedOn w:val="DefaultParagraphFont"/>
    <w:link w:val="Heading2"/>
    <w:rsid w:val="00BA4848"/>
    <w:rPr>
      <w:rFonts w:ascii="Times New Roman" w:eastAsia="Times New Roman" w:hAnsi="Times New Roman" w:cs="Times New Roman"/>
      <w:b/>
      <w:kern w:val="0"/>
      <w:sz w:val="24"/>
      <w:szCs w:val="20"/>
      <w14:ligatures w14:val="none"/>
    </w:rPr>
  </w:style>
  <w:style w:type="character" w:customStyle="1" w:styleId="Heading3Char">
    <w:name w:val="Heading 3 Char"/>
    <w:basedOn w:val="DefaultParagraphFont"/>
    <w:link w:val="Heading3"/>
    <w:uiPriority w:val="9"/>
    <w:rsid w:val="00BA4848"/>
    <w:rPr>
      <w:rFonts w:ascii="Times New Roman" w:eastAsia="Times New Roman" w:hAnsi="Times New Roman" w:cs="Times New Roman"/>
      <w:i/>
      <w:kern w:val="0"/>
      <w:sz w:val="24"/>
      <w:szCs w:val="20"/>
      <w14:ligatures w14:val="none"/>
    </w:rPr>
  </w:style>
  <w:style w:type="character" w:customStyle="1" w:styleId="Heading4Char">
    <w:name w:val="Heading 4 Char"/>
    <w:basedOn w:val="DefaultParagraphFont"/>
    <w:link w:val="Heading4"/>
    <w:rsid w:val="00BA4848"/>
    <w:rPr>
      <w:rFonts w:ascii="Times New Roman" w:eastAsia="Times New Roman" w:hAnsi="Times New Roman" w:cs="Times New Roman"/>
      <w:kern w:val="0"/>
      <w:sz w:val="24"/>
      <w:szCs w:val="20"/>
      <w14:ligatures w14:val="none"/>
    </w:rPr>
  </w:style>
  <w:style w:type="character" w:customStyle="1" w:styleId="Heading5Char">
    <w:name w:val="Heading 5 Char"/>
    <w:basedOn w:val="DefaultParagraphFont"/>
    <w:link w:val="Heading5"/>
    <w:rsid w:val="00BA4848"/>
    <w:rPr>
      <w:rFonts w:ascii="Arial" w:eastAsia="MS Gothic" w:hAnsi="Arial" w:cs="Times New Roman"/>
      <w:color w:val="2E74B5"/>
      <w:kern w:val="0"/>
      <w14:ligatures w14:val="none"/>
    </w:rPr>
  </w:style>
  <w:style w:type="character" w:customStyle="1" w:styleId="Heading6Char">
    <w:name w:val="Heading 6 Char"/>
    <w:basedOn w:val="DefaultParagraphFont"/>
    <w:link w:val="Heading6"/>
    <w:uiPriority w:val="9"/>
    <w:rsid w:val="00BA4848"/>
    <w:rPr>
      <w:rFonts w:ascii="Arial" w:eastAsia="MS Gothic" w:hAnsi="Arial" w:cs="Times New Roman"/>
      <w:color w:val="1F4D78"/>
      <w:kern w:val="0"/>
      <w14:ligatures w14:val="none"/>
    </w:rPr>
  </w:style>
  <w:style w:type="character" w:customStyle="1" w:styleId="Heading7Char">
    <w:name w:val="Heading 7 Char"/>
    <w:basedOn w:val="DefaultParagraphFont"/>
    <w:link w:val="Heading7"/>
    <w:uiPriority w:val="9"/>
    <w:rsid w:val="00BA4848"/>
    <w:rPr>
      <w:rFonts w:ascii="Arial" w:eastAsia="MS Gothic" w:hAnsi="Arial" w:cs="Times New Roman"/>
      <w:i/>
      <w:iCs/>
      <w:color w:val="1F4D78"/>
      <w:kern w:val="0"/>
      <w14:ligatures w14:val="none"/>
    </w:rPr>
  </w:style>
  <w:style w:type="character" w:customStyle="1" w:styleId="Heading8Char">
    <w:name w:val="Heading 8 Char"/>
    <w:basedOn w:val="DefaultParagraphFont"/>
    <w:link w:val="Heading8"/>
    <w:uiPriority w:val="9"/>
    <w:semiHidden/>
    <w:rsid w:val="00BA4848"/>
    <w:rPr>
      <w:rFonts w:ascii="Arial" w:eastAsia="MS Gothic" w:hAnsi="Arial" w:cs="Times New Roman"/>
      <w:color w:val="272727"/>
      <w:kern w:val="0"/>
      <w:sz w:val="21"/>
      <w:szCs w:val="21"/>
      <w14:ligatures w14:val="none"/>
    </w:rPr>
  </w:style>
  <w:style w:type="character" w:customStyle="1" w:styleId="Heading9Char">
    <w:name w:val="Heading 9 Char"/>
    <w:basedOn w:val="DefaultParagraphFont"/>
    <w:link w:val="Heading9"/>
    <w:uiPriority w:val="9"/>
    <w:semiHidden/>
    <w:rsid w:val="00BA4848"/>
    <w:rPr>
      <w:rFonts w:ascii="Arial" w:eastAsia="MS Gothic" w:hAnsi="Arial" w:cs="Times New Roman"/>
      <w:i/>
      <w:iCs/>
      <w:color w:val="272727"/>
      <w:kern w:val="0"/>
      <w:sz w:val="21"/>
      <w:szCs w:val="21"/>
      <w14:ligatures w14:val="none"/>
    </w:rPr>
  </w:style>
  <w:style w:type="paragraph" w:styleId="NormalWeb">
    <w:name w:val="Normal (Web)"/>
    <w:basedOn w:val="Normal"/>
    <w:uiPriority w:val="99"/>
    <w:unhideWhenUsed/>
    <w:rsid w:val="00BA484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BA4848"/>
    <w:pPr>
      <w:widowControl w:val="0"/>
      <w:spacing w:after="0" w:line="240" w:lineRule="auto"/>
      <w:jc w:val="both"/>
    </w:pPr>
    <w:rPr>
      <w:rFonts w:asciiTheme="majorHAnsi" w:eastAsiaTheme="majorEastAsia" w:hAnsiTheme="majorHAnsi" w:cstheme="majorBidi"/>
      <w:color w:val="000000"/>
      <w:sz w:val="18"/>
      <w:szCs w:val="18"/>
      <w:lang w:eastAsia="fr-FR" w:bidi="fr-FR"/>
    </w:rPr>
  </w:style>
  <w:style w:type="character" w:customStyle="1" w:styleId="BalloonTextChar">
    <w:name w:val="Balloon Text Char"/>
    <w:basedOn w:val="DefaultParagraphFont"/>
    <w:link w:val="BalloonText"/>
    <w:uiPriority w:val="99"/>
    <w:rsid w:val="00BA4848"/>
    <w:rPr>
      <w:rFonts w:asciiTheme="majorHAnsi" w:eastAsiaTheme="majorEastAsia" w:hAnsiTheme="majorHAnsi" w:cstheme="majorBidi"/>
      <w:color w:val="000000"/>
      <w:kern w:val="0"/>
      <w:sz w:val="18"/>
      <w:szCs w:val="18"/>
      <w:lang w:val="es-ES" w:eastAsia="fr-FR" w:bidi="fr-FR"/>
      <w14:ligatures w14:val="none"/>
    </w:rPr>
  </w:style>
  <w:style w:type="character" w:styleId="CommentReference">
    <w:name w:val="annotation reference"/>
    <w:basedOn w:val="DefaultParagraphFont"/>
    <w:uiPriority w:val="99"/>
    <w:unhideWhenUsed/>
    <w:qFormat/>
    <w:rsid w:val="00BA4848"/>
    <w:rPr>
      <w:sz w:val="16"/>
      <w:szCs w:val="16"/>
    </w:rPr>
  </w:style>
  <w:style w:type="paragraph" w:styleId="CommentText">
    <w:name w:val="annotation text"/>
    <w:basedOn w:val="Normal"/>
    <w:link w:val="CommentTextChar"/>
    <w:uiPriority w:val="99"/>
    <w:unhideWhenUsed/>
    <w:rsid w:val="00BA4848"/>
    <w:pPr>
      <w:widowControl w:val="0"/>
      <w:spacing w:after="0" w:line="240" w:lineRule="auto"/>
      <w:jc w:val="both"/>
    </w:pPr>
    <w:rPr>
      <w:rFonts w:ascii="Times New Roman" w:eastAsia="MS Gothic" w:hAnsi="Times New Roman" w:cs="Times New Roman"/>
      <w:color w:val="000000"/>
      <w:sz w:val="20"/>
      <w:szCs w:val="20"/>
      <w:lang w:eastAsia="fr-FR" w:bidi="fr-FR"/>
    </w:rPr>
  </w:style>
  <w:style w:type="character" w:customStyle="1" w:styleId="CommentTextChar">
    <w:name w:val="Comment Text Char"/>
    <w:basedOn w:val="DefaultParagraphFont"/>
    <w:link w:val="CommentText"/>
    <w:uiPriority w:val="99"/>
    <w:rsid w:val="00BA4848"/>
    <w:rPr>
      <w:rFonts w:ascii="Times New Roman" w:eastAsia="MS Gothic" w:hAnsi="Times New Roman" w:cs="Times New Roman"/>
      <w:color w:val="000000"/>
      <w:kern w:val="0"/>
      <w:sz w:val="20"/>
      <w:szCs w:val="20"/>
      <w:lang w:val="es-ES" w:eastAsia="fr-FR" w:bidi="fr-FR"/>
      <w14:ligatures w14:val="none"/>
    </w:rPr>
  </w:style>
  <w:style w:type="paragraph" w:styleId="CommentSubject">
    <w:name w:val="annotation subject"/>
    <w:basedOn w:val="CommentText"/>
    <w:next w:val="CommentText"/>
    <w:link w:val="CommentSubjectChar"/>
    <w:uiPriority w:val="99"/>
    <w:semiHidden/>
    <w:unhideWhenUsed/>
    <w:rsid w:val="00BA4848"/>
    <w:rPr>
      <w:b/>
      <w:bCs/>
    </w:rPr>
  </w:style>
  <w:style w:type="character" w:customStyle="1" w:styleId="CommentSubjectChar">
    <w:name w:val="Comment Subject Char"/>
    <w:basedOn w:val="CommentTextChar"/>
    <w:link w:val="CommentSubject"/>
    <w:uiPriority w:val="99"/>
    <w:semiHidden/>
    <w:rsid w:val="00BA4848"/>
    <w:rPr>
      <w:rFonts w:ascii="Times New Roman" w:eastAsia="MS Gothic" w:hAnsi="Times New Roman" w:cs="Times New Roman"/>
      <w:b/>
      <w:bCs/>
      <w:color w:val="000000"/>
      <w:kern w:val="0"/>
      <w:sz w:val="20"/>
      <w:szCs w:val="20"/>
      <w:lang w:val="es-ES" w:eastAsia="fr-FR" w:bidi="fr-FR"/>
      <w14:ligatures w14:val="none"/>
    </w:rPr>
  </w:style>
  <w:style w:type="paragraph" w:styleId="ListParagraph">
    <w:name w:val="List Paragraph"/>
    <w:basedOn w:val="Normal"/>
    <w:uiPriority w:val="34"/>
    <w:qFormat/>
    <w:rsid w:val="00BA4848"/>
    <w:pPr>
      <w:widowControl w:val="0"/>
      <w:spacing w:after="0" w:line="240" w:lineRule="auto"/>
      <w:ind w:left="720"/>
      <w:contextualSpacing/>
      <w:jc w:val="both"/>
    </w:pPr>
    <w:rPr>
      <w:rFonts w:ascii="Times New Roman" w:eastAsia="MS Gothic" w:hAnsi="Times New Roman" w:cs="Times New Roman"/>
      <w:color w:val="000000"/>
      <w:sz w:val="24"/>
      <w:szCs w:val="24"/>
      <w:lang w:eastAsia="fr-FR" w:bidi="fr-FR"/>
    </w:rPr>
  </w:style>
  <w:style w:type="character" w:customStyle="1" w:styleId="Bodytext2">
    <w:name w:val="Body text (2)_"/>
    <w:link w:val="Bodytext21"/>
    <w:rsid w:val="00BA4848"/>
    <w:rPr>
      <w:sz w:val="20"/>
      <w:szCs w:val="20"/>
      <w:shd w:val="clear" w:color="auto" w:fill="FFFFFF"/>
    </w:rPr>
  </w:style>
  <w:style w:type="paragraph" w:customStyle="1" w:styleId="Bodytext21">
    <w:name w:val="Body text (2)1"/>
    <w:basedOn w:val="Normal"/>
    <w:link w:val="Bodytext2"/>
    <w:rsid w:val="00BA4848"/>
    <w:pPr>
      <w:widowControl w:val="0"/>
      <w:shd w:val="clear" w:color="auto" w:fill="FFFFFF"/>
      <w:spacing w:before="480" w:after="0" w:line="456" w:lineRule="exact"/>
      <w:ind w:hanging="720"/>
      <w:jc w:val="center"/>
    </w:pPr>
    <w:rPr>
      <w:kern w:val="2"/>
      <w:sz w:val="20"/>
      <w:szCs w:val="20"/>
      <w14:ligatures w14:val="standardContextual"/>
    </w:rPr>
  </w:style>
  <w:style w:type="character" w:customStyle="1" w:styleId="Hyperlink0">
    <w:name w:val="Hyperlink.0"/>
    <w:basedOn w:val="DefaultParagraphFont"/>
    <w:rsid w:val="00BA4848"/>
    <w:rPr>
      <w:color w:val="000000"/>
      <w:u w:color="000000"/>
      <w:lang w:val="es-ES"/>
    </w:rPr>
  </w:style>
  <w:style w:type="character" w:customStyle="1" w:styleId="None">
    <w:name w:val="None"/>
    <w:rsid w:val="00BA4848"/>
  </w:style>
  <w:style w:type="paragraph" w:styleId="Revision">
    <w:name w:val="Revision"/>
    <w:hidden/>
    <w:uiPriority w:val="99"/>
    <w:semiHidden/>
    <w:rsid w:val="00BA4848"/>
    <w:pPr>
      <w:spacing w:after="0" w:line="240" w:lineRule="auto"/>
    </w:pPr>
    <w:rPr>
      <w:rFonts w:ascii="Times New Roman" w:eastAsia="MS Gothic" w:hAnsi="Times New Roman" w:cs="Times New Roman"/>
      <w:color w:val="000000"/>
      <w:kern w:val="0"/>
      <w:sz w:val="24"/>
      <w:szCs w:val="24"/>
      <w:lang w:eastAsia="fr-FR" w:bidi="fr-FR"/>
      <w14:ligatures w14:val="none"/>
    </w:rPr>
  </w:style>
  <w:style w:type="paragraph" w:customStyle="1" w:styleId="Text1">
    <w:name w:val="Text 1"/>
    <w:basedOn w:val="Normal"/>
    <w:uiPriority w:val="99"/>
    <w:rsid w:val="00BA4848"/>
    <w:pPr>
      <w:spacing w:after="240" w:line="240" w:lineRule="auto"/>
      <w:ind w:left="482"/>
      <w:jc w:val="both"/>
    </w:pPr>
    <w:rPr>
      <w:rFonts w:ascii="Times New Roman" w:eastAsia="Times New Roman" w:hAnsi="Times New Roman" w:cs="Times New Roman"/>
      <w:sz w:val="24"/>
      <w:szCs w:val="20"/>
    </w:rPr>
  </w:style>
  <w:style w:type="paragraph" w:styleId="FootnoteText">
    <w:name w:val="footnote text"/>
    <w:basedOn w:val="Normal"/>
    <w:link w:val="FootnoteTextChar"/>
    <w:uiPriority w:val="99"/>
    <w:qFormat/>
    <w:rsid w:val="00BA4848"/>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BA4848"/>
    <w:rPr>
      <w:rFonts w:ascii="Times New Roman" w:eastAsia="Times New Roman" w:hAnsi="Times New Roman" w:cs="Times New Roman"/>
      <w:kern w:val="0"/>
      <w:sz w:val="20"/>
      <w:szCs w:val="20"/>
      <w:lang w:val="es-ES"/>
      <w14:ligatures w14:val="none"/>
    </w:rPr>
  </w:style>
  <w:style w:type="paragraph" w:customStyle="1" w:styleId="ListBullet1">
    <w:name w:val="List Bullet 1"/>
    <w:basedOn w:val="Text1"/>
    <w:uiPriority w:val="99"/>
    <w:rsid w:val="00BA4848"/>
    <w:pPr>
      <w:numPr>
        <w:numId w:val="4"/>
      </w:numPr>
    </w:pPr>
  </w:style>
  <w:style w:type="character" w:styleId="FootnoteReference">
    <w:name w:val="footnote reference"/>
    <w:rsid w:val="00BA4848"/>
    <w:rPr>
      <w:vertAlign w:val="superscript"/>
    </w:rPr>
  </w:style>
  <w:style w:type="paragraph" w:customStyle="1" w:styleId="TableParagraph">
    <w:name w:val="Table Paragraph"/>
    <w:basedOn w:val="Normal"/>
    <w:uiPriority w:val="1"/>
    <w:qFormat/>
    <w:rsid w:val="00BA4848"/>
    <w:pPr>
      <w:widowControl w:val="0"/>
      <w:spacing w:after="0" w:line="240" w:lineRule="auto"/>
    </w:pPr>
  </w:style>
  <w:style w:type="paragraph" w:styleId="BodyText">
    <w:name w:val="Body Text"/>
    <w:basedOn w:val="Normal"/>
    <w:link w:val="BodyTextChar"/>
    <w:uiPriority w:val="99"/>
    <w:qFormat/>
    <w:rsid w:val="00BA4848"/>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rsid w:val="00BA4848"/>
    <w:rPr>
      <w:rFonts w:ascii="Times New Roman" w:eastAsia="Times New Roman" w:hAnsi="Times New Roman" w:cs="Times New Roman"/>
      <w:kern w:val="0"/>
      <w:sz w:val="24"/>
      <w:szCs w:val="20"/>
      <w14:ligatures w14:val="none"/>
    </w:rPr>
  </w:style>
  <w:style w:type="character" w:customStyle="1" w:styleId="hps">
    <w:name w:val="hps"/>
    <w:basedOn w:val="DefaultParagraphFont"/>
    <w:rsid w:val="00BA4848"/>
  </w:style>
  <w:style w:type="character" w:customStyle="1" w:styleId="alt-edited">
    <w:name w:val="alt-edited"/>
    <w:basedOn w:val="DefaultParagraphFont"/>
    <w:rsid w:val="00BA4848"/>
  </w:style>
  <w:style w:type="paragraph" w:customStyle="1" w:styleId="Default">
    <w:name w:val="Default"/>
    <w:rsid w:val="00BA4848"/>
    <w:pPr>
      <w:autoSpaceDE w:val="0"/>
      <w:autoSpaceDN w:val="0"/>
      <w:adjustRightInd w:val="0"/>
      <w:spacing w:after="0" w:line="240" w:lineRule="auto"/>
    </w:pPr>
    <w:rPr>
      <w:rFonts w:ascii="Cambria" w:eastAsia="MS Gothic" w:hAnsi="Cambria" w:cs="Cambria"/>
      <w:color w:val="000000"/>
      <w:kern w:val="0"/>
      <w:sz w:val="24"/>
      <w:szCs w:val="24"/>
      <w:lang w:eastAsia="fr-FR"/>
      <w14:ligatures w14:val="none"/>
    </w:rPr>
  </w:style>
  <w:style w:type="paragraph" w:styleId="Subtitle">
    <w:name w:val="Subtitle"/>
    <w:basedOn w:val="Normal"/>
    <w:next w:val="Normal"/>
    <w:link w:val="SubtitleChar"/>
    <w:uiPriority w:val="11"/>
    <w:qFormat/>
    <w:rsid w:val="00BA4848"/>
    <w:pPr>
      <w:widowControl w:val="0"/>
      <w:numPr>
        <w:ilvl w:val="1"/>
      </w:numPr>
      <w:spacing w:line="240" w:lineRule="auto"/>
      <w:jc w:val="both"/>
    </w:pPr>
    <w:rPr>
      <w:rFonts w:eastAsiaTheme="minorEastAsia"/>
      <w:color w:val="5A5A5A" w:themeColor="text1" w:themeTint="A5"/>
      <w:spacing w:val="15"/>
      <w:lang w:eastAsia="fr-FR" w:bidi="fr-FR"/>
    </w:rPr>
  </w:style>
  <w:style w:type="character" w:customStyle="1" w:styleId="SubtitleChar">
    <w:name w:val="Subtitle Char"/>
    <w:basedOn w:val="DefaultParagraphFont"/>
    <w:link w:val="Subtitle"/>
    <w:uiPriority w:val="11"/>
    <w:rsid w:val="00BA4848"/>
    <w:rPr>
      <w:rFonts w:eastAsiaTheme="minorEastAsia"/>
      <w:color w:val="5A5A5A" w:themeColor="text1" w:themeTint="A5"/>
      <w:spacing w:val="15"/>
      <w:kern w:val="0"/>
      <w:lang w:val="es-ES" w:eastAsia="fr-FR" w:bidi="fr-FR"/>
      <w14:ligatures w14:val="none"/>
    </w:rPr>
  </w:style>
  <w:style w:type="table" w:customStyle="1" w:styleId="TableGrid1">
    <w:name w:val="Table Grid1"/>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51">
    <w:name w:val="Heading 51"/>
    <w:basedOn w:val="Normal"/>
    <w:next w:val="Normal"/>
    <w:uiPriority w:val="9"/>
    <w:semiHidden/>
    <w:unhideWhenUsed/>
    <w:qFormat/>
    <w:rsid w:val="00BA4848"/>
    <w:pPr>
      <w:keepNext/>
      <w:keepLines/>
      <w:widowControl w:val="0"/>
      <w:spacing w:before="40" w:after="0" w:line="240" w:lineRule="auto"/>
      <w:jc w:val="both"/>
      <w:outlineLvl w:val="4"/>
    </w:pPr>
    <w:rPr>
      <w:rFonts w:ascii="Arial" w:eastAsia="MS Gothic" w:hAnsi="Arial" w:cs="Times New Roman"/>
      <w:color w:val="2E74B5"/>
      <w:sz w:val="24"/>
      <w:szCs w:val="24"/>
      <w:lang w:eastAsia="fr-FR" w:bidi="fr-FR"/>
    </w:rPr>
  </w:style>
  <w:style w:type="paragraph" w:customStyle="1" w:styleId="Heading61">
    <w:name w:val="Heading 61"/>
    <w:basedOn w:val="Normal"/>
    <w:next w:val="Normal"/>
    <w:uiPriority w:val="9"/>
    <w:semiHidden/>
    <w:unhideWhenUsed/>
    <w:qFormat/>
    <w:rsid w:val="00BA4848"/>
    <w:pPr>
      <w:keepNext/>
      <w:keepLines/>
      <w:widowControl w:val="0"/>
      <w:spacing w:before="40" w:after="0" w:line="240" w:lineRule="auto"/>
      <w:jc w:val="both"/>
      <w:outlineLvl w:val="5"/>
    </w:pPr>
    <w:rPr>
      <w:rFonts w:ascii="Arial" w:eastAsia="MS Gothic" w:hAnsi="Arial" w:cs="Times New Roman"/>
      <w:color w:val="1F4D78"/>
      <w:sz w:val="24"/>
      <w:szCs w:val="24"/>
      <w:lang w:eastAsia="fr-FR" w:bidi="fr-FR"/>
    </w:rPr>
  </w:style>
  <w:style w:type="paragraph" w:customStyle="1" w:styleId="Heading71">
    <w:name w:val="Heading 71"/>
    <w:basedOn w:val="Normal"/>
    <w:next w:val="Normal"/>
    <w:uiPriority w:val="9"/>
    <w:semiHidden/>
    <w:unhideWhenUsed/>
    <w:qFormat/>
    <w:rsid w:val="00BA4848"/>
    <w:pPr>
      <w:keepNext/>
      <w:keepLines/>
      <w:widowControl w:val="0"/>
      <w:spacing w:before="40" w:after="0" w:line="240" w:lineRule="auto"/>
      <w:jc w:val="both"/>
      <w:outlineLvl w:val="6"/>
    </w:pPr>
    <w:rPr>
      <w:rFonts w:ascii="Arial" w:eastAsia="MS Gothic" w:hAnsi="Arial" w:cs="Times New Roman"/>
      <w:i/>
      <w:iCs/>
      <w:color w:val="1F4D78"/>
      <w:sz w:val="24"/>
      <w:szCs w:val="24"/>
      <w:lang w:eastAsia="fr-FR" w:bidi="fr-FR"/>
    </w:rPr>
  </w:style>
  <w:style w:type="paragraph" w:customStyle="1" w:styleId="Heading81">
    <w:name w:val="Heading 81"/>
    <w:basedOn w:val="Normal"/>
    <w:next w:val="Normal"/>
    <w:uiPriority w:val="9"/>
    <w:semiHidden/>
    <w:unhideWhenUsed/>
    <w:qFormat/>
    <w:rsid w:val="00BA4848"/>
    <w:pPr>
      <w:keepNext/>
      <w:keepLines/>
      <w:widowControl w:val="0"/>
      <w:spacing w:before="40" w:after="0" w:line="240" w:lineRule="auto"/>
      <w:jc w:val="both"/>
      <w:outlineLvl w:val="7"/>
    </w:pPr>
    <w:rPr>
      <w:rFonts w:ascii="Arial" w:eastAsia="MS Gothic" w:hAnsi="Arial" w:cs="Times New Roman"/>
      <w:color w:val="272727"/>
      <w:sz w:val="21"/>
      <w:szCs w:val="21"/>
      <w:lang w:eastAsia="fr-FR" w:bidi="fr-FR"/>
    </w:rPr>
  </w:style>
  <w:style w:type="paragraph" w:customStyle="1" w:styleId="Heading91">
    <w:name w:val="Heading 91"/>
    <w:basedOn w:val="Normal"/>
    <w:next w:val="Normal"/>
    <w:uiPriority w:val="9"/>
    <w:semiHidden/>
    <w:unhideWhenUsed/>
    <w:qFormat/>
    <w:rsid w:val="00BA4848"/>
    <w:pPr>
      <w:keepNext/>
      <w:keepLines/>
      <w:widowControl w:val="0"/>
      <w:spacing w:before="40" w:after="0" w:line="240" w:lineRule="auto"/>
      <w:jc w:val="both"/>
      <w:outlineLvl w:val="8"/>
    </w:pPr>
    <w:rPr>
      <w:rFonts w:ascii="Arial" w:eastAsia="MS Gothic" w:hAnsi="Arial" w:cs="Times New Roman"/>
      <w:i/>
      <w:iCs/>
      <w:color w:val="272727"/>
      <w:sz w:val="21"/>
      <w:szCs w:val="21"/>
      <w:lang w:eastAsia="fr-FR" w:bidi="fr-FR"/>
    </w:rPr>
  </w:style>
  <w:style w:type="table" w:customStyle="1" w:styleId="TableGrid5">
    <w:name w:val="Table Grid5"/>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bis">
    <w:name w:val="Heading 1bis"/>
    <w:basedOn w:val="List"/>
    <w:link w:val="Heading1bisChar"/>
    <w:qFormat/>
    <w:rsid w:val="00BA4848"/>
    <w:pPr>
      <w:widowControl/>
      <w:numPr>
        <w:numId w:val="5"/>
      </w:numPr>
      <w:jc w:val="left"/>
    </w:pPr>
    <w:rPr>
      <w:b/>
      <w:smallCaps/>
      <w:color w:val="auto"/>
    </w:rPr>
  </w:style>
  <w:style w:type="character" w:customStyle="1" w:styleId="Heading1bisChar">
    <w:name w:val="Heading 1bis Char"/>
    <w:basedOn w:val="DefaultParagraphFont"/>
    <w:link w:val="Heading1bis"/>
    <w:rsid w:val="00BA4848"/>
    <w:rPr>
      <w:rFonts w:ascii="Times New Roman" w:eastAsia="MS Gothic" w:hAnsi="Times New Roman" w:cs="Times New Roman"/>
      <w:b/>
      <w:smallCaps/>
      <w:kern w:val="0"/>
      <w:sz w:val="24"/>
      <w:szCs w:val="24"/>
      <w:lang w:eastAsia="fr-FR" w:bidi="fr-FR"/>
      <w14:ligatures w14:val="none"/>
    </w:rPr>
  </w:style>
  <w:style w:type="paragraph" w:styleId="List">
    <w:name w:val="List"/>
    <w:basedOn w:val="Normal"/>
    <w:link w:val="ListChar"/>
    <w:uiPriority w:val="99"/>
    <w:semiHidden/>
    <w:unhideWhenUsed/>
    <w:rsid w:val="00BA4848"/>
    <w:pPr>
      <w:widowControl w:val="0"/>
      <w:spacing w:after="0" w:line="240" w:lineRule="auto"/>
      <w:ind w:left="283" w:hanging="283"/>
      <w:contextualSpacing/>
      <w:jc w:val="both"/>
    </w:pPr>
    <w:rPr>
      <w:rFonts w:ascii="Times New Roman" w:eastAsia="MS Gothic" w:hAnsi="Times New Roman" w:cs="Times New Roman"/>
      <w:color w:val="000000"/>
      <w:sz w:val="24"/>
      <w:szCs w:val="24"/>
      <w:lang w:eastAsia="fr-FR" w:bidi="fr-FR"/>
    </w:rPr>
  </w:style>
  <w:style w:type="table" w:customStyle="1" w:styleId="LightShading1">
    <w:name w:val="Light Shading1"/>
    <w:basedOn w:val="TableNormal"/>
    <w:next w:val="LightShading"/>
    <w:uiPriority w:val="60"/>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tyle1">
    <w:name w:val="Style1"/>
    <w:basedOn w:val="Normal"/>
    <w:link w:val="Style1Char"/>
    <w:qFormat/>
    <w:rsid w:val="00BA4848"/>
    <w:pPr>
      <w:spacing w:after="0" w:line="240" w:lineRule="auto"/>
    </w:pPr>
    <w:rPr>
      <w:rFonts w:ascii="Times New Roman" w:eastAsia="MS Gothic" w:hAnsi="Times New Roman" w:cs="Times New Roman"/>
      <w:smallCaps/>
      <w:color w:val="000000"/>
      <w:sz w:val="24"/>
      <w:szCs w:val="24"/>
      <w:lang w:eastAsia="fr-FR" w:bidi="fr-FR"/>
    </w:rPr>
  </w:style>
  <w:style w:type="character" w:customStyle="1" w:styleId="Style1Char">
    <w:name w:val="Style1 Char"/>
    <w:basedOn w:val="DefaultParagraphFont"/>
    <w:link w:val="Style1"/>
    <w:rsid w:val="00BA4848"/>
    <w:rPr>
      <w:rFonts w:ascii="Times New Roman" w:eastAsia="MS Gothic" w:hAnsi="Times New Roman" w:cs="Times New Roman"/>
      <w:smallCaps/>
      <w:color w:val="000000"/>
      <w:kern w:val="0"/>
      <w:sz w:val="24"/>
      <w:szCs w:val="24"/>
      <w:lang w:val="es-ES" w:eastAsia="fr-FR" w:bidi="fr-FR"/>
      <w14:ligatures w14:val="none"/>
    </w:rPr>
  </w:style>
  <w:style w:type="character" w:customStyle="1" w:styleId="WW8Num4z5">
    <w:name w:val="WW8Num4z5"/>
    <w:rsid w:val="00BA4848"/>
  </w:style>
  <w:style w:type="paragraph" w:styleId="Bibliography">
    <w:name w:val="Bibliography"/>
    <w:basedOn w:val="Normal"/>
    <w:next w:val="Normal"/>
    <w:uiPriority w:val="37"/>
    <w:semiHidden/>
    <w:unhideWhenUsed/>
    <w:rsid w:val="00BA4848"/>
    <w:pPr>
      <w:widowControl w:val="0"/>
      <w:spacing w:after="0" w:line="240" w:lineRule="auto"/>
      <w:jc w:val="both"/>
    </w:pPr>
    <w:rPr>
      <w:rFonts w:ascii="Times New Roman" w:eastAsia="MS Gothic" w:hAnsi="Times New Roman" w:cs="Times New Roman"/>
      <w:color w:val="000000"/>
      <w:sz w:val="24"/>
      <w:szCs w:val="24"/>
      <w:lang w:eastAsia="fr-FR" w:bidi="fr-FR"/>
    </w:rPr>
  </w:style>
  <w:style w:type="paragraph" w:customStyle="1" w:styleId="BlockText1">
    <w:name w:val="Block Text1"/>
    <w:basedOn w:val="Normal"/>
    <w:next w:val="BlockText"/>
    <w:uiPriority w:val="99"/>
    <w:semiHidden/>
    <w:unhideWhenUsed/>
    <w:rsid w:val="00BA4848"/>
    <w:pPr>
      <w:widowControl w:val="0"/>
      <w:pBdr>
        <w:top w:val="single" w:sz="2" w:space="10" w:color="5B9BD5"/>
        <w:left w:val="single" w:sz="2" w:space="10" w:color="5B9BD5"/>
        <w:bottom w:val="single" w:sz="2" w:space="10" w:color="5B9BD5"/>
        <w:right w:val="single" w:sz="2" w:space="10" w:color="5B9BD5"/>
      </w:pBdr>
      <w:spacing w:after="0" w:line="240" w:lineRule="auto"/>
      <w:ind w:left="1152" w:right="1152"/>
      <w:jc w:val="both"/>
    </w:pPr>
    <w:rPr>
      <w:i/>
      <w:iCs/>
      <w:color w:val="5B9BD5"/>
      <w:sz w:val="24"/>
      <w:szCs w:val="24"/>
      <w:lang w:eastAsia="fr-FR" w:bidi="fr-FR"/>
    </w:rPr>
  </w:style>
  <w:style w:type="paragraph" w:styleId="BodyText20">
    <w:name w:val="Body Text 2"/>
    <w:basedOn w:val="Normal"/>
    <w:link w:val="BodyText2Char"/>
    <w:uiPriority w:val="99"/>
    <w:unhideWhenUsed/>
    <w:rsid w:val="00BA4848"/>
    <w:pPr>
      <w:widowControl w:val="0"/>
      <w:spacing w:after="120" w:line="480" w:lineRule="auto"/>
      <w:jc w:val="both"/>
    </w:pPr>
    <w:rPr>
      <w:rFonts w:ascii="Times New Roman" w:eastAsia="MS Gothic" w:hAnsi="Times New Roman" w:cs="Times New Roman"/>
      <w:color w:val="000000"/>
      <w:sz w:val="24"/>
      <w:szCs w:val="24"/>
      <w:lang w:eastAsia="fr-FR" w:bidi="fr-FR"/>
    </w:rPr>
  </w:style>
  <w:style w:type="character" w:customStyle="1" w:styleId="BodyText2Char">
    <w:name w:val="Body Text 2 Char"/>
    <w:basedOn w:val="DefaultParagraphFont"/>
    <w:link w:val="BodyText20"/>
    <w:uiPriority w:val="99"/>
    <w:rsid w:val="00BA4848"/>
    <w:rPr>
      <w:rFonts w:ascii="Times New Roman" w:eastAsia="MS Gothic" w:hAnsi="Times New Roman" w:cs="Times New Roman"/>
      <w:color w:val="000000"/>
      <w:kern w:val="0"/>
      <w:sz w:val="24"/>
      <w:szCs w:val="24"/>
      <w:lang w:val="es-ES" w:eastAsia="fr-FR" w:bidi="fr-FR"/>
      <w14:ligatures w14:val="none"/>
    </w:rPr>
  </w:style>
  <w:style w:type="paragraph" w:styleId="BodyText3">
    <w:name w:val="Body Text 3"/>
    <w:basedOn w:val="Normal"/>
    <w:link w:val="BodyText3Char"/>
    <w:uiPriority w:val="99"/>
    <w:semiHidden/>
    <w:unhideWhenUsed/>
    <w:rsid w:val="00BA4848"/>
    <w:pPr>
      <w:widowControl w:val="0"/>
      <w:spacing w:after="120" w:line="240" w:lineRule="auto"/>
      <w:jc w:val="both"/>
    </w:pPr>
    <w:rPr>
      <w:rFonts w:ascii="Times New Roman" w:eastAsia="MS Gothic" w:hAnsi="Times New Roman" w:cs="Times New Roman"/>
      <w:color w:val="000000"/>
      <w:sz w:val="16"/>
      <w:szCs w:val="16"/>
      <w:lang w:eastAsia="fr-FR" w:bidi="fr-FR"/>
    </w:rPr>
  </w:style>
  <w:style w:type="character" w:customStyle="1" w:styleId="BodyText3Char">
    <w:name w:val="Body Text 3 Char"/>
    <w:basedOn w:val="DefaultParagraphFont"/>
    <w:link w:val="BodyText3"/>
    <w:uiPriority w:val="99"/>
    <w:semiHidden/>
    <w:rsid w:val="00BA4848"/>
    <w:rPr>
      <w:rFonts w:ascii="Times New Roman" w:eastAsia="MS Gothic" w:hAnsi="Times New Roman" w:cs="Times New Roman"/>
      <w:color w:val="000000"/>
      <w:kern w:val="0"/>
      <w:sz w:val="16"/>
      <w:szCs w:val="16"/>
      <w:lang w:val="es-ES" w:eastAsia="fr-FR" w:bidi="fr-FR"/>
      <w14:ligatures w14:val="none"/>
    </w:rPr>
  </w:style>
  <w:style w:type="paragraph" w:styleId="BodyTextFirstIndent">
    <w:name w:val="Body Text First Indent"/>
    <w:basedOn w:val="BodyText"/>
    <w:link w:val="BodyTextFirstIndentChar"/>
    <w:uiPriority w:val="99"/>
    <w:semiHidden/>
    <w:unhideWhenUsed/>
    <w:rsid w:val="00BA4848"/>
    <w:pPr>
      <w:widowControl w:val="0"/>
      <w:ind w:firstLine="360"/>
    </w:pPr>
    <w:rPr>
      <w:rFonts w:eastAsia="MS Gothic"/>
      <w:color w:val="000000"/>
      <w:szCs w:val="24"/>
      <w:lang w:eastAsia="fr-FR" w:bidi="fr-FR"/>
    </w:rPr>
  </w:style>
  <w:style w:type="character" w:customStyle="1" w:styleId="BodyTextFirstIndentChar">
    <w:name w:val="Body Text First Indent Char"/>
    <w:basedOn w:val="BodyTextChar"/>
    <w:link w:val="BodyTextFirstIndent"/>
    <w:uiPriority w:val="99"/>
    <w:semiHidden/>
    <w:rsid w:val="00BA4848"/>
    <w:rPr>
      <w:rFonts w:ascii="Times New Roman" w:eastAsia="MS Gothic" w:hAnsi="Times New Roman" w:cs="Times New Roman"/>
      <w:color w:val="000000"/>
      <w:kern w:val="0"/>
      <w:sz w:val="24"/>
      <w:szCs w:val="24"/>
      <w:lang w:val="es-ES" w:eastAsia="fr-FR" w:bidi="fr-FR"/>
      <w14:ligatures w14:val="none"/>
    </w:rPr>
  </w:style>
  <w:style w:type="paragraph" w:styleId="BodyTextIndent">
    <w:name w:val="Body Text Indent"/>
    <w:basedOn w:val="Normal"/>
    <w:link w:val="BodyTextIndentChar"/>
    <w:unhideWhenUsed/>
    <w:rsid w:val="00BA4848"/>
    <w:pPr>
      <w:widowControl w:val="0"/>
      <w:spacing w:after="120" w:line="240" w:lineRule="auto"/>
      <w:ind w:left="283"/>
      <w:jc w:val="both"/>
    </w:pPr>
    <w:rPr>
      <w:rFonts w:ascii="Times New Roman" w:eastAsia="MS Gothic" w:hAnsi="Times New Roman" w:cs="Times New Roman"/>
      <w:color w:val="000000"/>
      <w:sz w:val="24"/>
      <w:szCs w:val="24"/>
      <w:lang w:eastAsia="fr-FR" w:bidi="fr-FR"/>
    </w:rPr>
  </w:style>
  <w:style w:type="character" w:customStyle="1" w:styleId="BodyTextIndentChar">
    <w:name w:val="Body Text Indent Char"/>
    <w:basedOn w:val="DefaultParagraphFont"/>
    <w:link w:val="BodyTextIndent"/>
    <w:rsid w:val="00BA4848"/>
    <w:rPr>
      <w:rFonts w:ascii="Times New Roman" w:eastAsia="MS Gothic" w:hAnsi="Times New Roman" w:cs="Times New Roman"/>
      <w:color w:val="000000"/>
      <w:kern w:val="0"/>
      <w:sz w:val="24"/>
      <w:szCs w:val="24"/>
      <w:lang w:val="es-ES" w:eastAsia="fr-FR" w:bidi="fr-FR"/>
      <w14:ligatures w14:val="none"/>
    </w:rPr>
  </w:style>
  <w:style w:type="paragraph" w:styleId="BodyTextFirstIndent2">
    <w:name w:val="Body Text First Indent 2"/>
    <w:basedOn w:val="BodyTextIndent"/>
    <w:link w:val="BodyTextFirstIndent2Char"/>
    <w:uiPriority w:val="99"/>
    <w:semiHidden/>
    <w:unhideWhenUsed/>
    <w:rsid w:val="00BA4848"/>
    <w:pPr>
      <w:spacing w:after="0"/>
      <w:ind w:left="360" w:firstLine="360"/>
    </w:pPr>
  </w:style>
  <w:style w:type="character" w:customStyle="1" w:styleId="BodyTextFirstIndent2Char">
    <w:name w:val="Body Text First Indent 2 Char"/>
    <w:basedOn w:val="BodyTextIndentChar"/>
    <w:link w:val="BodyTextFirstIndent2"/>
    <w:uiPriority w:val="99"/>
    <w:semiHidden/>
    <w:rsid w:val="00BA4848"/>
    <w:rPr>
      <w:rFonts w:ascii="Times New Roman" w:eastAsia="MS Gothic" w:hAnsi="Times New Roman" w:cs="Times New Roman"/>
      <w:color w:val="000000"/>
      <w:kern w:val="0"/>
      <w:sz w:val="24"/>
      <w:szCs w:val="24"/>
      <w:lang w:val="es-ES" w:eastAsia="fr-FR" w:bidi="fr-FR"/>
      <w14:ligatures w14:val="none"/>
    </w:rPr>
  </w:style>
  <w:style w:type="paragraph" w:styleId="BodyTextIndent2">
    <w:name w:val="Body Text Indent 2"/>
    <w:basedOn w:val="Normal"/>
    <w:link w:val="BodyTextIndent2Char"/>
    <w:uiPriority w:val="99"/>
    <w:semiHidden/>
    <w:unhideWhenUsed/>
    <w:rsid w:val="00BA4848"/>
    <w:pPr>
      <w:widowControl w:val="0"/>
      <w:spacing w:after="120" w:line="480" w:lineRule="auto"/>
      <w:ind w:left="283"/>
      <w:jc w:val="both"/>
    </w:pPr>
    <w:rPr>
      <w:rFonts w:ascii="Times New Roman" w:eastAsia="MS Gothic" w:hAnsi="Times New Roman" w:cs="Times New Roman"/>
      <w:color w:val="000000"/>
      <w:sz w:val="24"/>
      <w:szCs w:val="24"/>
      <w:lang w:eastAsia="fr-FR" w:bidi="fr-FR"/>
    </w:rPr>
  </w:style>
  <w:style w:type="character" w:customStyle="1" w:styleId="BodyTextIndent2Char">
    <w:name w:val="Body Text Indent 2 Char"/>
    <w:basedOn w:val="DefaultParagraphFont"/>
    <w:link w:val="BodyTextIndent2"/>
    <w:uiPriority w:val="99"/>
    <w:semiHidden/>
    <w:rsid w:val="00BA4848"/>
    <w:rPr>
      <w:rFonts w:ascii="Times New Roman" w:eastAsia="MS Gothic" w:hAnsi="Times New Roman" w:cs="Times New Roman"/>
      <w:color w:val="000000"/>
      <w:kern w:val="0"/>
      <w:sz w:val="24"/>
      <w:szCs w:val="24"/>
      <w:lang w:val="es-ES" w:eastAsia="fr-FR" w:bidi="fr-FR"/>
      <w14:ligatures w14:val="none"/>
    </w:rPr>
  </w:style>
  <w:style w:type="paragraph" w:styleId="BodyTextIndent3">
    <w:name w:val="Body Text Indent 3"/>
    <w:basedOn w:val="Normal"/>
    <w:link w:val="BodyTextIndent3Char"/>
    <w:uiPriority w:val="99"/>
    <w:semiHidden/>
    <w:unhideWhenUsed/>
    <w:rsid w:val="00BA4848"/>
    <w:pPr>
      <w:widowControl w:val="0"/>
      <w:spacing w:after="120" w:line="240" w:lineRule="auto"/>
      <w:ind w:left="283"/>
      <w:jc w:val="both"/>
    </w:pPr>
    <w:rPr>
      <w:rFonts w:ascii="Times New Roman" w:eastAsia="MS Gothic" w:hAnsi="Times New Roman" w:cs="Times New Roman"/>
      <w:color w:val="000000"/>
      <w:sz w:val="16"/>
      <w:szCs w:val="16"/>
      <w:lang w:eastAsia="fr-FR" w:bidi="fr-FR"/>
    </w:rPr>
  </w:style>
  <w:style w:type="character" w:customStyle="1" w:styleId="BodyTextIndent3Char">
    <w:name w:val="Body Text Indent 3 Char"/>
    <w:basedOn w:val="DefaultParagraphFont"/>
    <w:link w:val="BodyTextIndent3"/>
    <w:uiPriority w:val="99"/>
    <w:semiHidden/>
    <w:rsid w:val="00BA4848"/>
    <w:rPr>
      <w:rFonts w:ascii="Times New Roman" w:eastAsia="MS Gothic" w:hAnsi="Times New Roman" w:cs="Times New Roman"/>
      <w:color w:val="000000"/>
      <w:kern w:val="0"/>
      <w:sz w:val="16"/>
      <w:szCs w:val="16"/>
      <w:lang w:val="es-ES" w:eastAsia="fr-FR" w:bidi="fr-FR"/>
      <w14:ligatures w14:val="none"/>
    </w:rPr>
  </w:style>
  <w:style w:type="paragraph" w:customStyle="1" w:styleId="Caption1">
    <w:name w:val="Caption1"/>
    <w:basedOn w:val="Normal"/>
    <w:next w:val="Normal"/>
    <w:uiPriority w:val="35"/>
    <w:semiHidden/>
    <w:unhideWhenUsed/>
    <w:qFormat/>
    <w:rsid w:val="00BA4848"/>
    <w:pPr>
      <w:widowControl w:val="0"/>
      <w:spacing w:after="200" w:line="240" w:lineRule="auto"/>
      <w:jc w:val="both"/>
    </w:pPr>
    <w:rPr>
      <w:rFonts w:ascii="Times New Roman" w:eastAsia="MS Gothic" w:hAnsi="Times New Roman" w:cs="Times New Roman"/>
      <w:i/>
      <w:iCs/>
      <w:color w:val="44546A"/>
      <w:sz w:val="18"/>
      <w:szCs w:val="18"/>
      <w:lang w:eastAsia="fr-FR" w:bidi="fr-FR"/>
    </w:rPr>
  </w:style>
  <w:style w:type="paragraph" w:styleId="Closing">
    <w:name w:val="Closing"/>
    <w:basedOn w:val="Normal"/>
    <w:link w:val="ClosingChar"/>
    <w:uiPriority w:val="99"/>
    <w:semiHidden/>
    <w:unhideWhenUsed/>
    <w:rsid w:val="00BA4848"/>
    <w:pPr>
      <w:widowControl w:val="0"/>
      <w:spacing w:after="0" w:line="240" w:lineRule="auto"/>
      <w:ind w:left="4252"/>
      <w:jc w:val="both"/>
    </w:pPr>
    <w:rPr>
      <w:rFonts w:ascii="Times New Roman" w:eastAsia="MS Gothic" w:hAnsi="Times New Roman" w:cs="Times New Roman"/>
      <w:color w:val="000000"/>
      <w:sz w:val="24"/>
      <w:szCs w:val="24"/>
      <w:lang w:eastAsia="fr-FR" w:bidi="fr-FR"/>
    </w:rPr>
  </w:style>
  <w:style w:type="character" w:customStyle="1" w:styleId="ClosingChar">
    <w:name w:val="Closing Char"/>
    <w:basedOn w:val="DefaultParagraphFont"/>
    <w:link w:val="Closing"/>
    <w:uiPriority w:val="99"/>
    <w:semiHidden/>
    <w:rsid w:val="00BA4848"/>
    <w:rPr>
      <w:rFonts w:ascii="Times New Roman" w:eastAsia="MS Gothic" w:hAnsi="Times New Roman" w:cs="Times New Roman"/>
      <w:color w:val="000000"/>
      <w:kern w:val="0"/>
      <w:sz w:val="24"/>
      <w:szCs w:val="24"/>
      <w:lang w:val="es-ES" w:eastAsia="fr-FR" w:bidi="fr-FR"/>
      <w14:ligatures w14:val="none"/>
    </w:rPr>
  </w:style>
  <w:style w:type="paragraph" w:styleId="Date">
    <w:name w:val="Date"/>
    <w:basedOn w:val="Normal"/>
    <w:next w:val="Normal"/>
    <w:link w:val="DateChar"/>
    <w:uiPriority w:val="99"/>
    <w:semiHidden/>
    <w:unhideWhenUsed/>
    <w:rsid w:val="00BA4848"/>
    <w:pPr>
      <w:widowControl w:val="0"/>
      <w:spacing w:after="0" w:line="240" w:lineRule="auto"/>
      <w:jc w:val="both"/>
    </w:pPr>
    <w:rPr>
      <w:rFonts w:ascii="Times New Roman" w:eastAsia="MS Gothic" w:hAnsi="Times New Roman" w:cs="Times New Roman"/>
      <w:color w:val="000000"/>
      <w:sz w:val="24"/>
      <w:szCs w:val="24"/>
      <w:lang w:eastAsia="fr-FR" w:bidi="fr-FR"/>
    </w:rPr>
  </w:style>
  <w:style w:type="character" w:customStyle="1" w:styleId="DateChar">
    <w:name w:val="Date Char"/>
    <w:basedOn w:val="DefaultParagraphFont"/>
    <w:link w:val="Date"/>
    <w:uiPriority w:val="99"/>
    <w:semiHidden/>
    <w:rsid w:val="00BA4848"/>
    <w:rPr>
      <w:rFonts w:ascii="Times New Roman" w:eastAsia="MS Gothic" w:hAnsi="Times New Roman" w:cs="Times New Roman"/>
      <w:color w:val="000000"/>
      <w:kern w:val="0"/>
      <w:sz w:val="24"/>
      <w:szCs w:val="24"/>
      <w:lang w:val="es-ES" w:eastAsia="fr-FR" w:bidi="fr-FR"/>
      <w14:ligatures w14:val="none"/>
    </w:rPr>
  </w:style>
  <w:style w:type="paragraph" w:styleId="DocumentMap">
    <w:name w:val="Document Map"/>
    <w:basedOn w:val="Normal"/>
    <w:link w:val="DocumentMapChar"/>
    <w:uiPriority w:val="99"/>
    <w:semiHidden/>
    <w:unhideWhenUsed/>
    <w:rsid w:val="00BA4848"/>
    <w:pPr>
      <w:widowControl w:val="0"/>
      <w:spacing w:after="0" w:line="240" w:lineRule="auto"/>
      <w:jc w:val="both"/>
    </w:pPr>
    <w:rPr>
      <w:rFonts w:ascii="Segoe UI" w:eastAsia="MS Gothic" w:hAnsi="Segoe UI" w:cs="Segoe UI"/>
      <w:color w:val="000000"/>
      <w:sz w:val="16"/>
      <w:szCs w:val="16"/>
      <w:lang w:eastAsia="fr-FR" w:bidi="fr-FR"/>
    </w:rPr>
  </w:style>
  <w:style w:type="character" w:customStyle="1" w:styleId="DocumentMapChar">
    <w:name w:val="Document Map Char"/>
    <w:basedOn w:val="DefaultParagraphFont"/>
    <w:link w:val="DocumentMap"/>
    <w:uiPriority w:val="99"/>
    <w:semiHidden/>
    <w:rsid w:val="00BA4848"/>
    <w:rPr>
      <w:rFonts w:ascii="Segoe UI" w:eastAsia="MS Gothic" w:hAnsi="Segoe UI" w:cs="Segoe UI"/>
      <w:color w:val="000000"/>
      <w:kern w:val="0"/>
      <w:sz w:val="16"/>
      <w:szCs w:val="16"/>
      <w:lang w:val="es-ES" w:eastAsia="fr-FR" w:bidi="fr-FR"/>
      <w14:ligatures w14:val="none"/>
    </w:rPr>
  </w:style>
  <w:style w:type="paragraph" w:styleId="E-mailSignature">
    <w:name w:val="E-mail Signature"/>
    <w:basedOn w:val="Normal"/>
    <w:link w:val="E-mailSignatureChar"/>
    <w:uiPriority w:val="99"/>
    <w:semiHidden/>
    <w:unhideWhenUsed/>
    <w:rsid w:val="00BA4848"/>
    <w:pPr>
      <w:widowControl w:val="0"/>
      <w:spacing w:after="0" w:line="240" w:lineRule="auto"/>
      <w:jc w:val="both"/>
    </w:pPr>
    <w:rPr>
      <w:rFonts w:ascii="Times New Roman" w:eastAsia="MS Gothic" w:hAnsi="Times New Roman" w:cs="Times New Roman"/>
      <w:color w:val="000000"/>
      <w:sz w:val="24"/>
      <w:szCs w:val="24"/>
      <w:lang w:eastAsia="fr-FR" w:bidi="fr-FR"/>
    </w:rPr>
  </w:style>
  <w:style w:type="character" w:customStyle="1" w:styleId="E-mailSignatureChar">
    <w:name w:val="E-mail Signature Char"/>
    <w:basedOn w:val="DefaultParagraphFont"/>
    <w:link w:val="E-mailSignature"/>
    <w:uiPriority w:val="99"/>
    <w:semiHidden/>
    <w:rsid w:val="00BA4848"/>
    <w:rPr>
      <w:rFonts w:ascii="Times New Roman" w:eastAsia="MS Gothic" w:hAnsi="Times New Roman" w:cs="Times New Roman"/>
      <w:color w:val="000000"/>
      <w:kern w:val="0"/>
      <w:sz w:val="24"/>
      <w:szCs w:val="24"/>
      <w:lang w:val="es-ES" w:eastAsia="fr-FR" w:bidi="fr-FR"/>
      <w14:ligatures w14:val="none"/>
    </w:rPr>
  </w:style>
  <w:style w:type="paragraph" w:styleId="EndnoteText">
    <w:name w:val="endnote text"/>
    <w:basedOn w:val="Normal"/>
    <w:link w:val="EndnoteTextChar"/>
    <w:uiPriority w:val="99"/>
    <w:semiHidden/>
    <w:unhideWhenUsed/>
    <w:rsid w:val="00BA4848"/>
    <w:pPr>
      <w:widowControl w:val="0"/>
      <w:spacing w:after="0" w:line="240" w:lineRule="auto"/>
      <w:jc w:val="both"/>
    </w:pPr>
    <w:rPr>
      <w:rFonts w:ascii="Times New Roman" w:eastAsia="MS Gothic" w:hAnsi="Times New Roman" w:cs="Times New Roman"/>
      <w:color w:val="000000"/>
      <w:sz w:val="20"/>
      <w:szCs w:val="20"/>
      <w:lang w:eastAsia="fr-FR" w:bidi="fr-FR"/>
    </w:rPr>
  </w:style>
  <w:style w:type="character" w:customStyle="1" w:styleId="EndnoteTextChar">
    <w:name w:val="Endnote Text Char"/>
    <w:basedOn w:val="DefaultParagraphFont"/>
    <w:link w:val="EndnoteText"/>
    <w:uiPriority w:val="99"/>
    <w:semiHidden/>
    <w:rsid w:val="00BA4848"/>
    <w:rPr>
      <w:rFonts w:ascii="Times New Roman" w:eastAsia="MS Gothic" w:hAnsi="Times New Roman" w:cs="Times New Roman"/>
      <w:color w:val="000000"/>
      <w:kern w:val="0"/>
      <w:sz w:val="20"/>
      <w:szCs w:val="20"/>
      <w:lang w:val="es-ES" w:eastAsia="fr-FR" w:bidi="fr-FR"/>
      <w14:ligatures w14:val="none"/>
    </w:rPr>
  </w:style>
  <w:style w:type="paragraph" w:customStyle="1" w:styleId="EnvelopeAddress1">
    <w:name w:val="Envelope Address1"/>
    <w:basedOn w:val="Normal"/>
    <w:next w:val="EnvelopeAddress"/>
    <w:uiPriority w:val="99"/>
    <w:semiHidden/>
    <w:unhideWhenUsed/>
    <w:rsid w:val="00BA4848"/>
    <w:pPr>
      <w:framePr w:w="7920" w:h="1980" w:hRule="exact" w:hSpace="180" w:wrap="auto" w:hAnchor="page" w:xAlign="center" w:yAlign="bottom"/>
      <w:widowControl w:val="0"/>
      <w:spacing w:after="0" w:line="240" w:lineRule="auto"/>
      <w:ind w:left="2880"/>
      <w:jc w:val="both"/>
    </w:pPr>
    <w:rPr>
      <w:rFonts w:ascii="Arial" w:eastAsia="MS Gothic" w:hAnsi="Arial" w:cs="Times New Roman"/>
      <w:color w:val="000000"/>
      <w:sz w:val="24"/>
      <w:szCs w:val="24"/>
      <w:lang w:eastAsia="fr-FR" w:bidi="fr-FR"/>
    </w:rPr>
  </w:style>
  <w:style w:type="paragraph" w:customStyle="1" w:styleId="EnvelopeReturn1">
    <w:name w:val="Envelope Return1"/>
    <w:basedOn w:val="Normal"/>
    <w:next w:val="EnvelopeReturn"/>
    <w:uiPriority w:val="99"/>
    <w:semiHidden/>
    <w:unhideWhenUsed/>
    <w:rsid w:val="00BA4848"/>
    <w:pPr>
      <w:widowControl w:val="0"/>
      <w:spacing w:after="0" w:line="240" w:lineRule="auto"/>
      <w:jc w:val="both"/>
    </w:pPr>
    <w:rPr>
      <w:rFonts w:ascii="Arial" w:eastAsia="MS Gothic" w:hAnsi="Arial" w:cs="Times New Roman"/>
      <w:color w:val="000000"/>
      <w:sz w:val="20"/>
      <w:szCs w:val="20"/>
      <w:lang w:eastAsia="fr-FR" w:bidi="fr-FR"/>
    </w:rPr>
  </w:style>
  <w:style w:type="paragraph" w:styleId="HTMLAddress">
    <w:name w:val="HTML Address"/>
    <w:basedOn w:val="Normal"/>
    <w:link w:val="HTMLAddressChar"/>
    <w:uiPriority w:val="99"/>
    <w:semiHidden/>
    <w:unhideWhenUsed/>
    <w:rsid w:val="00BA4848"/>
    <w:pPr>
      <w:widowControl w:val="0"/>
      <w:spacing w:after="0" w:line="240" w:lineRule="auto"/>
      <w:jc w:val="both"/>
    </w:pPr>
    <w:rPr>
      <w:rFonts w:ascii="Times New Roman" w:eastAsia="MS Gothic" w:hAnsi="Times New Roman" w:cs="Times New Roman"/>
      <w:i/>
      <w:iCs/>
      <w:color w:val="000000"/>
      <w:sz w:val="24"/>
      <w:szCs w:val="24"/>
      <w:lang w:eastAsia="fr-FR" w:bidi="fr-FR"/>
    </w:rPr>
  </w:style>
  <w:style w:type="character" w:customStyle="1" w:styleId="HTMLAddressChar">
    <w:name w:val="HTML Address Char"/>
    <w:basedOn w:val="DefaultParagraphFont"/>
    <w:link w:val="HTMLAddress"/>
    <w:uiPriority w:val="99"/>
    <w:semiHidden/>
    <w:rsid w:val="00BA4848"/>
    <w:rPr>
      <w:rFonts w:ascii="Times New Roman" w:eastAsia="MS Gothic" w:hAnsi="Times New Roman" w:cs="Times New Roman"/>
      <w:i/>
      <w:iCs/>
      <w:color w:val="000000"/>
      <w:kern w:val="0"/>
      <w:sz w:val="24"/>
      <w:szCs w:val="24"/>
      <w:lang w:val="es-ES" w:eastAsia="fr-FR" w:bidi="fr-FR"/>
      <w14:ligatures w14:val="none"/>
    </w:rPr>
  </w:style>
  <w:style w:type="paragraph" w:styleId="HTMLPreformatted">
    <w:name w:val="HTML Preformatted"/>
    <w:basedOn w:val="Normal"/>
    <w:link w:val="HTMLPreformattedChar"/>
    <w:uiPriority w:val="99"/>
    <w:semiHidden/>
    <w:unhideWhenUsed/>
    <w:rsid w:val="00BA4848"/>
    <w:pPr>
      <w:widowControl w:val="0"/>
      <w:spacing w:after="0" w:line="240" w:lineRule="auto"/>
      <w:jc w:val="both"/>
    </w:pPr>
    <w:rPr>
      <w:rFonts w:ascii="Consolas" w:eastAsia="MS Gothic" w:hAnsi="Consolas" w:cs="Times New Roman"/>
      <w:color w:val="000000"/>
      <w:sz w:val="20"/>
      <w:szCs w:val="20"/>
      <w:lang w:eastAsia="fr-FR" w:bidi="fr-FR"/>
    </w:rPr>
  </w:style>
  <w:style w:type="character" w:customStyle="1" w:styleId="HTMLPreformattedChar">
    <w:name w:val="HTML Preformatted Char"/>
    <w:basedOn w:val="DefaultParagraphFont"/>
    <w:link w:val="HTMLPreformatted"/>
    <w:uiPriority w:val="99"/>
    <w:semiHidden/>
    <w:rsid w:val="00BA4848"/>
    <w:rPr>
      <w:rFonts w:ascii="Consolas" w:eastAsia="MS Gothic" w:hAnsi="Consolas" w:cs="Times New Roman"/>
      <w:color w:val="000000"/>
      <w:kern w:val="0"/>
      <w:sz w:val="20"/>
      <w:szCs w:val="20"/>
      <w:lang w:val="es-ES" w:eastAsia="fr-FR" w:bidi="fr-FR"/>
      <w14:ligatures w14:val="none"/>
    </w:rPr>
  </w:style>
  <w:style w:type="paragraph" w:styleId="Index1">
    <w:name w:val="index 1"/>
    <w:basedOn w:val="Normal"/>
    <w:next w:val="Normal"/>
    <w:autoRedefine/>
    <w:uiPriority w:val="99"/>
    <w:semiHidden/>
    <w:unhideWhenUsed/>
    <w:rsid w:val="00BA4848"/>
    <w:pPr>
      <w:widowControl w:val="0"/>
      <w:spacing w:after="0" w:line="240" w:lineRule="auto"/>
      <w:ind w:left="240" w:hanging="240"/>
      <w:jc w:val="both"/>
    </w:pPr>
    <w:rPr>
      <w:rFonts w:ascii="Times New Roman" w:eastAsia="MS Gothic" w:hAnsi="Times New Roman" w:cs="Times New Roman"/>
      <w:color w:val="000000"/>
      <w:sz w:val="24"/>
      <w:szCs w:val="24"/>
      <w:lang w:eastAsia="fr-FR" w:bidi="fr-FR"/>
    </w:rPr>
  </w:style>
  <w:style w:type="paragraph" w:styleId="Index2">
    <w:name w:val="index 2"/>
    <w:basedOn w:val="Normal"/>
    <w:next w:val="Normal"/>
    <w:autoRedefine/>
    <w:uiPriority w:val="99"/>
    <w:semiHidden/>
    <w:unhideWhenUsed/>
    <w:rsid w:val="00BA4848"/>
    <w:pPr>
      <w:widowControl w:val="0"/>
      <w:spacing w:after="0" w:line="240" w:lineRule="auto"/>
      <w:ind w:left="480" w:hanging="240"/>
      <w:jc w:val="both"/>
    </w:pPr>
    <w:rPr>
      <w:rFonts w:ascii="Times New Roman" w:eastAsia="MS Gothic" w:hAnsi="Times New Roman" w:cs="Times New Roman"/>
      <w:color w:val="000000"/>
      <w:sz w:val="24"/>
      <w:szCs w:val="24"/>
      <w:lang w:eastAsia="fr-FR" w:bidi="fr-FR"/>
    </w:rPr>
  </w:style>
  <w:style w:type="paragraph" w:styleId="Index3">
    <w:name w:val="index 3"/>
    <w:basedOn w:val="Normal"/>
    <w:next w:val="Normal"/>
    <w:autoRedefine/>
    <w:uiPriority w:val="99"/>
    <w:semiHidden/>
    <w:unhideWhenUsed/>
    <w:rsid w:val="00BA4848"/>
    <w:pPr>
      <w:widowControl w:val="0"/>
      <w:spacing w:after="0" w:line="240" w:lineRule="auto"/>
      <w:ind w:left="720" w:hanging="240"/>
      <w:jc w:val="both"/>
    </w:pPr>
    <w:rPr>
      <w:rFonts w:ascii="Times New Roman" w:eastAsia="MS Gothic" w:hAnsi="Times New Roman" w:cs="Times New Roman"/>
      <w:color w:val="000000"/>
      <w:sz w:val="24"/>
      <w:szCs w:val="24"/>
      <w:lang w:eastAsia="fr-FR" w:bidi="fr-FR"/>
    </w:rPr>
  </w:style>
  <w:style w:type="paragraph" w:styleId="Index4">
    <w:name w:val="index 4"/>
    <w:basedOn w:val="Normal"/>
    <w:next w:val="Normal"/>
    <w:autoRedefine/>
    <w:uiPriority w:val="99"/>
    <w:semiHidden/>
    <w:unhideWhenUsed/>
    <w:rsid w:val="00BA4848"/>
    <w:pPr>
      <w:widowControl w:val="0"/>
      <w:spacing w:after="0" w:line="240" w:lineRule="auto"/>
      <w:ind w:left="960" w:hanging="240"/>
      <w:jc w:val="both"/>
    </w:pPr>
    <w:rPr>
      <w:rFonts w:ascii="Times New Roman" w:eastAsia="MS Gothic" w:hAnsi="Times New Roman" w:cs="Times New Roman"/>
      <w:color w:val="000000"/>
      <w:sz w:val="24"/>
      <w:szCs w:val="24"/>
      <w:lang w:eastAsia="fr-FR" w:bidi="fr-FR"/>
    </w:rPr>
  </w:style>
  <w:style w:type="paragraph" w:styleId="Index5">
    <w:name w:val="index 5"/>
    <w:basedOn w:val="Normal"/>
    <w:next w:val="Normal"/>
    <w:autoRedefine/>
    <w:uiPriority w:val="99"/>
    <w:semiHidden/>
    <w:unhideWhenUsed/>
    <w:rsid w:val="00BA4848"/>
    <w:pPr>
      <w:widowControl w:val="0"/>
      <w:spacing w:after="0" w:line="240" w:lineRule="auto"/>
      <w:ind w:left="1200" w:hanging="240"/>
      <w:jc w:val="both"/>
    </w:pPr>
    <w:rPr>
      <w:rFonts w:ascii="Times New Roman" w:eastAsia="MS Gothic" w:hAnsi="Times New Roman" w:cs="Times New Roman"/>
      <w:color w:val="000000"/>
      <w:sz w:val="24"/>
      <w:szCs w:val="24"/>
      <w:lang w:eastAsia="fr-FR" w:bidi="fr-FR"/>
    </w:rPr>
  </w:style>
  <w:style w:type="paragraph" w:styleId="Index6">
    <w:name w:val="index 6"/>
    <w:basedOn w:val="Normal"/>
    <w:next w:val="Normal"/>
    <w:autoRedefine/>
    <w:uiPriority w:val="99"/>
    <w:semiHidden/>
    <w:unhideWhenUsed/>
    <w:rsid w:val="00BA4848"/>
    <w:pPr>
      <w:widowControl w:val="0"/>
      <w:spacing w:after="0" w:line="240" w:lineRule="auto"/>
      <w:ind w:left="1440" w:hanging="240"/>
      <w:jc w:val="both"/>
    </w:pPr>
    <w:rPr>
      <w:rFonts w:ascii="Times New Roman" w:eastAsia="MS Gothic" w:hAnsi="Times New Roman" w:cs="Times New Roman"/>
      <w:color w:val="000000"/>
      <w:sz w:val="24"/>
      <w:szCs w:val="24"/>
      <w:lang w:eastAsia="fr-FR" w:bidi="fr-FR"/>
    </w:rPr>
  </w:style>
  <w:style w:type="paragraph" w:styleId="Index7">
    <w:name w:val="index 7"/>
    <w:basedOn w:val="Normal"/>
    <w:next w:val="Normal"/>
    <w:autoRedefine/>
    <w:uiPriority w:val="99"/>
    <w:semiHidden/>
    <w:unhideWhenUsed/>
    <w:rsid w:val="00BA4848"/>
    <w:pPr>
      <w:widowControl w:val="0"/>
      <w:spacing w:after="0" w:line="240" w:lineRule="auto"/>
      <w:ind w:left="1680" w:hanging="240"/>
      <w:jc w:val="both"/>
    </w:pPr>
    <w:rPr>
      <w:rFonts w:ascii="Times New Roman" w:eastAsia="MS Gothic" w:hAnsi="Times New Roman" w:cs="Times New Roman"/>
      <w:color w:val="000000"/>
      <w:sz w:val="24"/>
      <w:szCs w:val="24"/>
      <w:lang w:eastAsia="fr-FR" w:bidi="fr-FR"/>
    </w:rPr>
  </w:style>
  <w:style w:type="paragraph" w:styleId="Index8">
    <w:name w:val="index 8"/>
    <w:basedOn w:val="Normal"/>
    <w:next w:val="Normal"/>
    <w:autoRedefine/>
    <w:uiPriority w:val="99"/>
    <w:semiHidden/>
    <w:unhideWhenUsed/>
    <w:rsid w:val="00BA4848"/>
    <w:pPr>
      <w:widowControl w:val="0"/>
      <w:spacing w:after="0" w:line="240" w:lineRule="auto"/>
      <w:ind w:left="1920" w:hanging="240"/>
      <w:jc w:val="both"/>
    </w:pPr>
    <w:rPr>
      <w:rFonts w:ascii="Times New Roman" w:eastAsia="MS Gothic" w:hAnsi="Times New Roman" w:cs="Times New Roman"/>
      <w:color w:val="000000"/>
      <w:sz w:val="24"/>
      <w:szCs w:val="24"/>
      <w:lang w:eastAsia="fr-FR" w:bidi="fr-FR"/>
    </w:rPr>
  </w:style>
  <w:style w:type="paragraph" w:styleId="Index9">
    <w:name w:val="index 9"/>
    <w:basedOn w:val="Normal"/>
    <w:next w:val="Normal"/>
    <w:autoRedefine/>
    <w:uiPriority w:val="99"/>
    <w:semiHidden/>
    <w:unhideWhenUsed/>
    <w:rsid w:val="00BA4848"/>
    <w:pPr>
      <w:widowControl w:val="0"/>
      <w:spacing w:after="0" w:line="240" w:lineRule="auto"/>
      <w:ind w:left="2160" w:hanging="240"/>
      <w:jc w:val="both"/>
    </w:pPr>
    <w:rPr>
      <w:rFonts w:ascii="Times New Roman" w:eastAsia="MS Gothic" w:hAnsi="Times New Roman" w:cs="Times New Roman"/>
      <w:color w:val="000000"/>
      <w:sz w:val="24"/>
      <w:szCs w:val="24"/>
      <w:lang w:eastAsia="fr-FR" w:bidi="fr-FR"/>
    </w:rPr>
  </w:style>
  <w:style w:type="paragraph" w:customStyle="1" w:styleId="IndexHeading1">
    <w:name w:val="Index Heading1"/>
    <w:basedOn w:val="Normal"/>
    <w:next w:val="Index1"/>
    <w:uiPriority w:val="99"/>
    <w:semiHidden/>
    <w:unhideWhenUsed/>
    <w:rsid w:val="00BA4848"/>
    <w:pPr>
      <w:widowControl w:val="0"/>
      <w:spacing w:after="0" w:line="240" w:lineRule="auto"/>
      <w:jc w:val="both"/>
    </w:pPr>
    <w:rPr>
      <w:rFonts w:ascii="Arial" w:eastAsia="MS Gothic" w:hAnsi="Arial" w:cs="Times New Roman"/>
      <w:b/>
      <w:bCs/>
      <w:color w:val="000000"/>
      <w:sz w:val="24"/>
      <w:szCs w:val="24"/>
      <w:lang w:eastAsia="fr-FR" w:bidi="fr-FR"/>
    </w:rPr>
  </w:style>
  <w:style w:type="paragraph" w:customStyle="1" w:styleId="IntenseQuote1">
    <w:name w:val="Intense Quote1"/>
    <w:basedOn w:val="Normal"/>
    <w:next w:val="Normal"/>
    <w:uiPriority w:val="30"/>
    <w:qFormat/>
    <w:rsid w:val="00BA4848"/>
    <w:pPr>
      <w:widowControl w:val="0"/>
      <w:pBdr>
        <w:top w:val="single" w:sz="4" w:space="10" w:color="5B9BD5"/>
        <w:bottom w:val="single" w:sz="4" w:space="10" w:color="5B9BD5"/>
      </w:pBdr>
      <w:spacing w:before="360" w:after="360" w:line="240" w:lineRule="auto"/>
      <w:ind w:left="864" w:right="864"/>
      <w:jc w:val="center"/>
    </w:pPr>
    <w:rPr>
      <w:rFonts w:ascii="Times New Roman" w:eastAsia="MS Gothic" w:hAnsi="Times New Roman" w:cs="Times New Roman"/>
      <w:i/>
      <w:iCs/>
      <w:color w:val="5B9BD5"/>
      <w:sz w:val="24"/>
      <w:szCs w:val="24"/>
      <w:lang w:eastAsia="fr-FR" w:bidi="fr-FR"/>
    </w:rPr>
  </w:style>
  <w:style w:type="character" w:customStyle="1" w:styleId="IntenseQuoteChar">
    <w:name w:val="Intense Quote Char"/>
    <w:basedOn w:val="DefaultParagraphFont"/>
    <w:link w:val="IntenseQuote"/>
    <w:uiPriority w:val="30"/>
    <w:rsid w:val="00BA4848"/>
    <w:rPr>
      <w:i/>
      <w:iCs/>
      <w:color w:val="5B9BD5"/>
    </w:rPr>
  </w:style>
  <w:style w:type="paragraph" w:styleId="List2">
    <w:name w:val="List 2"/>
    <w:basedOn w:val="Normal"/>
    <w:uiPriority w:val="99"/>
    <w:semiHidden/>
    <w:unhideWhenUsed/>
    <w:rsid w:val="00BA4848"/>
    <w:pPr>
      <w:widowControl w:val="0"/>
      <w:spacing w:after="0" w:line="240" w:lineRule="auto"/>
      <w:ind w:left="566" w:hanging="283"/>
      <w:contextualSpacing/>
      <w:jc w:val="both"/>
    </w:pPr>
    <w:rPr>
      <w:rFonts w:ascii="Times New Roman" w:eastAsia="MS Gothic" w:hAnsi="Times New Roman" w:cs="Times New Roman"/>
      <w:color w:val="000000"/>
      <w:sz w:val="24"/>
      <w:szCs w:val="24"/>
      <w:lang w:eastAsia="fr-FR" w:bidi="fr-FR"/>
    </w:rPr>
  </w:style>
  <w:style w:type="paragraph" w:styleId="List3">
    <w:name w:val="List 3"/>
    <w:basedOn w:val="Normal"/>
    <w:uiPriority w:val="99"/>
    <w:semiHidden/>
    <w:unhideWhenUsed/>
    <w:rsid w:val="00BA4848"/>
    <w:pPr>
      <w:widowControl w:val="0"/>
      <w:spacing w:after="0" w:line="240" w:lineRule="auto"/>
      <w:ind w:left="849" w:hanging="283"/>
      <w:contextualSpacing/>
      <w:jc w:val="both"/>
    </w:pPr>
    <w:rPr>
      <w:rFonts w:ascii="Times New Roman" w:eastAsia="MS Gothic" w:hAnsi="Times New Roman" w:cs="Times New Roman"/>
      <w:color w:val="000000"/>
      <w:sz w:val="24"/>
      <w:szCs w:val="24"/>
      <w:lang w:eastAsia="fr-FR" w:bidi="fr-FR"/>
    </w:rPr>
  </w:style>
  <w:style w:type="paragraph" w:styleId="List4">
    <w:name w:val="List 4"/>
    <w:basedOn w:val="Normal"/>
    <w:uiPriority w:val="99"/>
    <w:semiHidden/>
    <w:unhideWhenUsed/>
    <w:rsid w:val="00BA4848"/>
    <w:pPr>
      <w:widowControl w:val="0"/>
      <w:spacing w:after="0" w:line="240" w:lineRule="auto"/>
      <w:ind w:left="1132" w:hanging="283"/>
      <w:contextualSpacing/>
      <w:jc w:val="both"/>
    </w:pPr>
    <w:rPr>
      <w:rFonts w:ascii="Times New Roman" w:eastAsia="MS Gothic" w:hAnsi="Times New Roman" w:cs="Times New Roman"/>
      <w:color w:val="000000"/>
      <w:sz w:val="24"/>
      <w:szCs w:val="24"/>
      <w:lang w:eastAsia="fr-FR" w:bidi="fr-FR"/>
    </w:rPr>
  </w:style>
  <w:style w:type="paragraph" w:styleId="List5">
    <w:name w:val="List 5"/>
    <w:basedOn w:val="Normal"/>
    <w:uiPriority w:val="99"/>
    <w:semiHidden/>
    <w:unhideWhenUsed/>
    <w:rsid w:val="00BA4848"/>
    <w:pPr>
      <w:widowControl w:val="0"/>
      <w:spacing w:after="0" w:line="240" w:lineRule="auto"/>
      <w:ind w:left="1415" w:hanging="283"/>
      <w:contextualSpacing/>
      <w:jc w:val="both"/>
    </w:pPr>
    <w:rPr>
      <w:rFonts w:ascii="Times New Roman" w:eastAsia="MS Gothic" w:hAnsi="Times New Roman" w:cs="Times New Roman"/>
      <w:color w:val="000000"/>
      <w:sz w:val="24"/>
      <w:szCs w:val="24"/>
      <w:lang w:eastAsia="fr-FR" w:bidi="fr-FR"/>
    </w:rPr>
  </w:style>
  <w:style w:type="paragraph" w:styleId="ListBullet">
    <w:name w:val="List Bullet"/>
    <w:basedOn w:val="Normal"/>
    <w:uiPriority w:val="99"/>
    <w:semiHidden/>
    <w:unhideWhenUsed/>
    <w:rsid w:val="00BA4848"/>
    <w:pPr>
      <w:widowControl w:val="0"/>
      <w:numPr>
        <w:numId w:val="7"/>
      </w:numPr>
      <w:spacing w:after="0" w:line="240" w:lineRule="auto"/>
      <w:contextualSpacing/>
      <w:jc w:val="both"/>
    </w:pPr>
    <w:rPr>
      <w:rFonts w:ascii="Times New Roman" w:eastAsia="MS Gothic" w:hAnsi="Times New Roman" w:cs="Times New Roman"/>
      <w:color w:val="000000"/>
      <w:sz w:val="24"/>
      <w:szCs w:val="24"/>
      <w:lang w:eastAsia="fr-FR" w:bidi="fr-FR"/>
    </w:rPr>
  </w:style>
  <w:style w:type="paragraph" w:styleId="ListBullet2">
    <w:name w:val="List Bullet 2"/>
    <w:basedOn w:val="Normal"/>
    <w:uiPriority w:val="99"/>
    <w:semiHidden/>
    <w:unhideWhenUsed/>
    <w:rsid w:val="00BA4848"/>
    <w:pPr>
      <w:widowControl w:val="0"/>
      <w:numPr>
        <w:numId w:val="8"/>
      </w:numPr>
      <w:tabs>
        <w:tab w:val="clear" w:pos="643"/>
        <w:tab w:val="num" w:pos="1209"/>
      </w:tabs>
      <w:spacing w:after="0" w:line="240" w:lineRule="auto"/>
      <w:ind w:left="1209"/>
      <w:contextualSpacing/>
      <w:jc w:val="both"/>
    </w:pPr>
    <w:rPr>
      <w:rFonts w:ascii="Times New Roman" w:eastAsia="MS Gothic" w:hAnsi="Times New Roman" w:cs="Times New Roman"/>
      <w:color w:val="000000"/>
      <w:sz w:val="24"/>
      <w:szCs w:val="24"/>
      <w:lang w:eastAsia="fr-FR" w:bidi="fr-FR"/>
    </w:rPr>
  </w:style>
  <w:style w:type="paragraph" w:styleId="ListBullet3">
    <w:name w:val="List Bullet 3"/>
    <w:basedOn w:val="Normal"/>
    <w:uiPriority w:val="99"/>
    <w:semiHidden/>
    <w:unhideWhenUsed/>
    <w:rsid w:val="00BA4848"/>
    <w:pPr>
      <w:widowControl w:val="0"/>
      <w:numPr>
        <w:numId w:val="9"/>
      </w:numPr>
      <w:tabs>
        <w:tab w:val="clear" w:pos="926"/>
        <w:tab w:val="num" w:pos="1492"/>
      </w:tabs>
      <w:spacing w:after="0" w:line="240" w:lineRule="auto"/>
      <w:ind w:left="1492"/>
      <w:contextualSpacing/>
      <w:jc w:val="both"/>
    </w:pPr>
    <w:rPr>
      <w:rFonts w:ascii="Times New Roman" w:eastAsia="MS Gothic" w:hAnsi="Times New Roman" w:cs="Times New Roman"/>
      <w:color w:val="000000"/>
      <w:sz w:val="24"/>
      <w:szCs w:val="24"/>
      <w:lang w:eastAsia="fr-FR" w:bidi="fr-FR"/>
    </w:rPr>
  </w:style>
  <w:style w:type="paragraph" w:styleId="ListBullet4">
    <w:name w:val="List Bullet 4"/>
    <w:basedOn w:val="Normal"/>
    <w:uiPriority w:val="99"/>
    <w:semiHidden/>
    <w:unhideWhenUsed/>
    <w:rsid w:val="00BA4848"/>
    <w:pPr>
      <w:widowControl w:val="0"/>
      <w:numPr>
        <w:numId w:val="10"/>
      </w:numPr>
      <w:tabs>
        <w:tab w:val="clear" w:pos="1209"/>
      </w:tabs>
      <w:spacing w:after="0" w:line="240" w:lineRule="auto"/>
      <w:ind w:left="720"/>
      <w:contextualSpacing/>
      <w:jc w:val="both"/>
    </w:pPr>
    <w:rPr>
      <w:rFonts w:ascii="Times New Roman" w:eastAsia="MS Gothic" w:hAnsi="Times New Roman" w:cs="Times New Roman"/>
      <w:color w:val="000000"/>
      <w:sz w:val="24"/>
      <w:szCs w:val="24"/>
      <w:lang w:eastAsia="fr-FR" w:bidi="fr-FR"/>
    </w:rPr>
  </w:style>
  <w:style w:type="paragraph" w:styleId="ListBullet5">
    <w:name w:val="List Bullet 5"/>
    <w:basedOn w:val="Normal"/>
    <w:uiPriority w:val="99"/>
    <w:semiHidden/>
    <w:unhideWhenUsed/>
    <w:rsid w:val="00BA4848"/>
    <w:pPr>
      <w:widowControl w:val="0"/>
      <w:numPr>
        <w:numId w:val="11"/>
      </w:numPr>
      <w:tabs>
        <w:tab w:val="clear" w:pos="1492"/>
      </w:tabs>
      <w:spacing w:after="0" w:line="240" w:lineRule="auto"/>
      <w:ind w:left="785"/>
      <w:contextualSpacing/>
      <w:jc w:val="both"/>
    </w:pPr>
    <w:rPr>
      <w:rFonts w:ascii="Times New Roman" w:eastAsia="MS Gothic" w:hAnsi="Times New Roman" w:cs="Times New Roman"/>
      <w:color w:val="000000"/>
      <w:sz w:val="24"/>
      <w:szCs w:val="24"/>
      <w:lang w:eastAsia="fr-FR" w:bidi="fr-FR"/>
    </w:rPr>
  </w:style>
  <w:style w:type="paragraph" w:styleId="ListContinue">
    <w:name w:val="List Continue"/>
    <w:basedOn w:val="Normal"/>
    <w:uiPriority w:val="99"/>
    <w:semiHidden/>
    <w:unhideWhenUsed/>
    <w:rsid w:val="00BA4848"/>
    <w:pPr>
      <w:widowControl w:val="0"/>
      <w:spacing w:after="120" w:line="240" w:lineRule="auto"/>
      <w:ind w:left="283"/>
      <w:contextualSpacing/>
      <w:jc w:val="both"/>
    </w:pPr>
    <w:rPr>
      <w:rFonts w:ascii="Times New Roman" w:eastAsia="MS Gothic" w:hAnsi="Times New Roman" w:cs="Times New Roman"/>
      <w:color w:val="000000"/>
      <w:sz w:val="24"/>
      <w:szCs w:val="24"/>
      <w:lang w:eastAsia="fr-FR" w:bidi="fr-FR"/>
    </w:rPr>
  </w:style>
  <w:style w:type="paragraph" w:styleId="ListContinue2">
    <w:name w:val="List Continue 2"/>
    <w:basedOn w:val="Normal"/>
    <w:uiPriority w:val="99"/>
    <w:semiHidden/>
    <w:unhideWhenUsed/>
    <w:rsid w:val="00BA4848"/>
    <w:pPr>
      <w:widowControl w:val="0"/>
      <w:spacing w:after="120" w:line="240" w:lineRule="auto"/>
      <w:ind w:left="566"/>
      <w:contextualSpacing/>
      <w:jc w:val="both"/>
    </w:pPr>
    <w:rPr>
      <w:rFonts w:ascii="Times New Roman" w:eastAsia="MS Gothic" w:hAnsi="Times New Roman" w:cs="Times New Roman"/>
      <w:color w:val="000000"/>
      <w:sz w:val="24"/>
      <w:szCs w:val="24"/>
      <w:lang w:eastAsia="fr-FR" w:bidi="fr-FR"/>
    </w:rPr>
  </w:style>
  <w:style w:type="paragraph" w:styleId="ListContinue3">
    <w:name w:val="List Continue 3"/>
    <w:basedOn w:val="Normal"/>
    <w:uiPriority w:val="99"/>
    <w:semiHidden/>
    <w:unhideWhenUsed/>
    <w:rsid w:val="00BA4848"/>
    <w:pPr>
      <w:widowControl w:val="0"/>
      <w:spacing w:after="120" w:line="240" w:lineRule="auto"/>
      <w:ind w:left="849"/>
      <w:contextualSpacing/>
      <w:jc w:val="both"/>
    </w:pPr>
    <w:rPr>
      <w:rFonts w:ascii="Times New Roman" w:eastAsia="MS Gothic" w:hAnsi="Times New Roman" w:cs="Times New Roman"/>
      <w:color w:val="000000"/>
      <w:sz w:val="24"/>
      <w:szCs w:val="24"/>
      <w:lang w:eastAsia="fr-FR" w:bidi="fr-FR"/>
    </w:rPr>
  </w:style>
  <w:style w:type="paragraph" w:styleId="ListContinue4">
    <w:name w:val="List Continue 4"/>
    <w:basedOn w:val="Normal"/>
    <w:uiPriority w:val="99"/>
    <w:semiHidden/>
    <w:unhideWhenUsed/>
    <w:rsid w:val="00BA4848"/>
    <w:pPr>
      <w:widowControl w:val="0"/>
      <w:spacing w:after="120" w:line="240" w:lineRule="auto"/>
      <w:ind w:left="1132"/>
      <w:contextualSpacing/>
      <w:jc w:val="both"/>
    </w:pPr>
    <w:rPr>
      <w:rFonts w:ascii="Times New Roman" w:eastAsia="MS Gothic" w:hAnsi="Times New Roman" w:cs="Times New Roman"/>
      <w:color w:val="000000"/>
      <w:sz w:val="24"/>
      <w:szCs w:val="24"/>
      <w:lang w:eastAsia="fr-FR" w:bidi="fr-FR"/>
    </w:rPr>
  </w:style>
  <w:style w:type="paragraph" w:styleId="ListContinue5">
    <w:name w:val="List Continue 5"/>
    <w:basedOn w:val="Normal"/>
    <w:uiPriority w:val="99"/>
    <w:semiHidden/>
    <w:unhideWhenUsed/>
    <w:rsid w:val="00BA4848"/>
    <w:pPr>
      <w:widowControl w:val="0"/>
      <w:spacing w:after="120" w:line="240" w:lineRule="auto"/>
      <w:ind w:left="1415"/>
      <w:contextualSpacing/>
      <w:jc w:val="both"/>
    </w:pPr>
    <w:rPr>
      <w:rFonts w:ascii="Times New Roman" w:eastAsia="MS Gothic" w:hAnsi="Times New Roman" w:cs="Times New Roman"/>
      <w:color w:val="000000"/>
      <w:sz w:val="24"/>
      <w:szCs w:val="24"/>
      <w:lang w:eastAsia="fr-FR" w:bidi="fr-FR"/>
    </w:rPr>
  </w:style>
  <w:style w:type="paragraph" w:styleId="ListNumber">
    <w:name w:val="List Number"/>
    <w:basedOn w:val="Normal"/>
    <w:uiPriority w:val="99"/>
    <w:semiHidden/>
    <w:unhideWhenUsed/>
    <w:rsid w:val="00BA4848"/>
    <w:pPr>
      <w:widowControl w:val="0"/>
      <w:numPr>
        <w:numId w:val="12"/>
      </w:numPr>
      <w:tabs>
        <w:tab w:val="clear" w:pos="360"/>
      </w:tabs>
      <w:spacing w:after="0" w:line="240" w:lineRule="auto"/>
      <w:contextualSpacing/>
      <w:jc w:val="both"/>
    </w:pPr>
    <w:rPr>
      <w:rFonts w:ascii="Times New Roman" w:eastAsia="MS Gothic" w:hAnsi="Times New Roman" w:cs="Times New Roman"/>
      <w:color w:val="000000"/>
      <w:sz w:val="24"/>
      <w:szCs w:val="24"/>
      <w:lang w:eastAsia="fr-FR" w:bidi="fr-FR"/>
    </w:rPr>
  </w:style>
  <w:style w:type="paragraph" w:styleId="ListNumber2">
    <w:name w:val="List Number 2"/>
    <w:basedOn w:val="Normal"/>
    <w:uiPriority w:val="99"/>
    <w:semiHidden/>
    <w:unhideWhenUsed/>
    <w:rsid w:val="00BA4848"/>
    <w:pPr>
      <w:widowControl w:val="0"/>
      <w:numPr>
        <w:numId w:val="13"/>
      </w:numPr>
      <w:tabs>
        <w:tab w:val="clear" w:pos="643"/>
      </w:tabs>
      <w:spacing w:after="0" w:line="240" w:lineRule="auto"/>
      <w:ind w:left="720"/>
      <w:contextualSpacing/>
      <w:jc w:val="both"/>
    </w:pPr>
    <w:rPr>
      <w:rFonts w:ascii="Times New Roman" w:eastAsia="MS Gothic" w:hAnsi="Times New Roman" w:cs="Times New Roman"/>
      <w:color w:val="000000"/>
      <w:sz w:val="24"/>
      <w:szCs w:val="24"/>
      <w:lang w:eastAsia="fr-FR" w:bidi="fr-FR"/>
    </w:rPr>
  </w:style>
  <w:style w:type="paragraph" w:styleId="ListNumber3">
    <w:name w:val="List Number 3"/>
    <w:basedOn w:val="Normal"/>
    <w:uiPriority w:val="99"/>
    <w:semiHidden/>
    <w:unhideWhenUsed/>
    <w:rsid w:val="00BA4848"/>
    <w:pPr>
      <w:widowControl w:val="0"/>
      <w:numPr>
        <w:numId w:val="14"/>
      </w:numPr>
      <w:tabs>
        <w:tab w:val="clear" w:pos="926"/>
        <w:tab w:val="num" w:pos="360"/>
      </w:tabs>
      <w:spacing w:after="0" w:line="240" w:lineRule="auto"/>
      <w:ind w:left="0" w:firstLine="0"/>
      <w:contextualSpacing/>
      <w:jc w:val="both"/>
    </w:pPr>
    <w:rPr>
      <w:rFonts w:ascii="Times New Roman" w:eastAsia="MS Gothic" w:hAnsi="Times New Roman" w:cs="Times New Roman"/>
      <w:color w:val="000000"/>
      <w:sz w:val="24"/>
      <w:szCs w:val="24"/>
      <w:lang w:eastAsia="fr-FR" w:bidi="fr-FR"/>
    </w:rPr>
  </w:style>
  <w:style w:type="paragraph" w:styleId="ListNumber4">
    <w:name w:val="List Number 4"/>
    <w:basedOn w:val="Normal"/>
    <w:uiPriority w:val="99"/>
    <w:semiHidden/>
    <w:unhideWhenUsed/>
    <w:rsid w:val="00BA4848"/>
    <w:pPr>
      <w:widowControl w:val="0"/>
      <w:numPr>
        <w:numId w:val="15"/>
      </w:numPr>
      <w:tabs>
        <w:tab w:val="clear" w:pos="1209"/>
        <w:tab w:val="num" w:pos="360"/>
      </w:tabs>
      <w:spacing w:after="0" w:line="240" w:lineRule="auto"/>
      <w:ind w:left="0" w:firstLine="0"/>
      <w:contextualSpacing/>
      <w:jc w:val="both"/>
    </w:pPr>
    <w:rPr>
      <w:rFonts w:ascii="Times New Roman" w:eastAsia="MS Gothic" w:hAnsi="Times New Roman" w:cs="Times New Roman"/>
      <w:color w:val="000000"/>
      <w:sz w:val="24"/>
      <w:szCs w:val="24"/>
      <w:lang w:eastAsia="fr-FR" w:bidi="fr-FR"/>
    </w:rPr>
  </w:style>
  <w:style w:type="paragraph" w:styleId="ListNumber5">
    <w:name w:val="List Number 5"/>
    <w:basedOn w:val="Normal"/>
    <w:uiPriority w:val="99"/>
    <w:semiHidden/>
    <w:unhideWhenUsed/>
    <w:rsid w:val="00BA4848"/>
    <w:pPr>
      <w:widowControl w:val="0"/>
      <w:numPr>
        <w:numId w:val="16"/>
      </w:numPr>
      <w:tabs>
        <w:tab w:val="clear" w:pos="1492"/>
        <w:tab w:val="num" w:pos="360"/>
      </w:tabs>
      <w:spacing w:after="0" w:line="240" w:lineRule="auto"/>
      <w:ind w:left="0" w:firstLine="0"/>
      <w:contextualSpacing/>
      <w:jc w:val="both"/>
    </w:pPr>
    <w:rPr>
      <w:rFonts w:ascii="Times New Roman" w:eastAsia="MS Gothic" w:hAnsi="Times New Roman" w:cs="Times New Roman"/>
      <w:color w:val="000000"/>
      <w:sz w:val="24"/>
      <w:szCs w:val="24"/>
      <w:lang w:eastAsia="fr-FR" w:bidi="fr-FR"/>
    </w:rPr>
  </w:style>
  <w:style w:type="paragraph" w:styleId="MacroText">
    <w:name w:val="macro"/>
    <w:link w:val="MacroTextChar"/>
    <w:uiPriority w:val="99"/>
    <w:semiHidden/>
    <w:unhideWhenUsed/>
    <w:rsid w:val="00BA4848"/>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Gothic" w:hAnsi="Consolas" w:cs="Times New Roman"/>
      <w:color w:val="000000"/>
      <w:kern w:val="0"/>
      <w:sz w:val="20"/>
      <w:szCs w:val="20"/>
      <w:lang w:eastAsia="fr-FR" w:bidi="fr-FR"/>
      <w14:ligatures w14:val="none"/>
    </w:rPr>
  </w:style>
  <w:style w:type="character" w:customStyle="1" w:styleId="MacroTextChar">
    <w:name w:val="Macro Text Char"/>
    <w:basedOn w:val="DefaultParagraphFont"/>
    <w:link w:val="MacroText"/>
    <w:uiPriority w:val="99"/>
    <w:semiHidden/>
    <w:rsid w:val="00BA4848"/>
    <w:rPr>
      <w:rFonts w:ascii="Consolas" w:eastAsia="MS Gothic" w:hAnsi="Consolas" w:cs="Times New Roman"/>
      <w:color w:val="000000"/>
      <w:kern w:val="0"/>
      <w:sz w:val="20"/>
      <w:szCs w:val="20"/>
      <w:lang w:val="es-ES" w:eastAsia="fr-FR" w:bidi="fr-FR"/>
      <w14:ligatures w14:val="none"/>
    </w:rPr>
  </w:style>
  <w:style w:type="paragraph" w:customStyle="1" w:styleId="MessageHeader1">
    <w:name w:val="Message Header1"/>
    <w:basedOn w:val="Normal"/>
    <w:next w:val="MessageHeader"/>
    <w:link w:val="MessageHeaderChar"/>
    <w:uiPriority w:val="99"/>
    <w:semiHidden/>
    <w:unhideWhenUsed/>
    <w:rsid w:val="00BA4848"/>
    <w:pPr>
      <w:widowControl w:val="0"/>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Arial" w:eastAsia="MS Gothic" w:hAnsi="Arial" w:cs="Times New Roman"/>
    </w:rPr>
  </w:style>
  <w:style w:type="character" w:customStyle="1" w:styleId="MessageHeaderChar">
    <w:name w:val="Message Header Char"/>
    <w:basedOn w:val="DefaultParagraphFont"/>
    <w:link w:val="MessageHeader1"/>
    <w:uiPriority w:val="99"/>
    <w:semiHidden/>
    <w:rsid w:val="00BA4848"/>
    <w:rPr>
      <w:rFonts w:ascii="Arial" w:eastAsia="MS Gothic" w:hAnsi="Arial" w:cs="Times New Roman"/>
      <w:kern w:val="0"/>
      <w:shd w:val="pct20" w:color="auto" w:fill="auto"/>
      <w14:ligatures w14:val="none"/>
    </w:rPr>
  </w:style>
  <w:style w:type="paragraph" w:styleId="NoSpacing">
    <w:name w:val="No Spacing"/>
    <w:uiPriority w:val="1"/>
    <w:qFormat/>
    <w:rsid w:val="00BA4848"/>
    <w:pPr>
      <w:widowControl w:val="0"/>
      <w:spacing w:after="0" w:line="240" w:lineRule="auto"/>
      <w:jc w:val="both"/>
    </w:pPr>
    <w:rPr>
      <w:rFonts w:ascii="Times New Roman" w:eastAsia="MS Gothic" w:hAnsi="Times New Roman" w:cs="Times New Roman"/>
      <w:color w:val="000000"/>
      <w:kern w:val="0"/>
      <w:sz w:val="24"/>
      <w:szCs w:val="24"/>
      <w:lang w:eastAsia="fr-FR" w:bidi="fr-FR"/>
      <w14:ligatures w14:val="none"/>
    </w:rPr>
  </w:style>
  <w:style w:type="paragraph" w:styleId="NormalIndent">
    <w:name w:val="Normal Indent"/>
    <w:basedOn w:val="Normal"/>
    <w:uiPriority w:val="99"/>
    <w:semiHidden/>
    <w:unhideWhenUsed/>
    <w:rsid w:val="00BA4848"/>
    <w:pPr>
      <w:widowControl w:val="0"/>
      <w:spacing w:after="0" w:line="240" w:lineRule="auto"/>
      <w:ind w:left="720"/>
      <w:jc w:val="both"/>
    </w:pPr>
    <w:rPr>
      <w:rFonts w:ascii="Times New Roman" w:eastAsia="MS Gothic" w:hAnsi="Times New Roman" w:cs="Times New Roman"/>
      <w:color w:val="000000"/>
      <w:sz w:val="24"/>
      <w:szCs w:val="24"/>
      <w:lang w:eastAsia="fr-FR" w:bidi="fr-FR"/>
    </w:rPr>
  </w:style>
  <w:style w:type="paragraph" w:styleId="NoteHeading">
    <w:name w:val="Note Heading"/>
    <w:basedOn w:val="Normal"/>
    <w:next w:val="Normal"/>
    <w:link w:val="NoteHeadingChar"/>
    <w:uiPriority w:val="99"/>
    <w:semiHidden/>
    <w:unhideWhenUsed/>
    <w:rsid w:val="00BA4848"/>
    <w:pPr>
      <w:widowControl w:val="0"/>
      <w:spacing w:after="0" w:line="240" w:lineRule="auto"/>
      <w:jc w:val="both"/>
    </w:pPr>
    <w:rPr>
      <w:rFonts w:ascii="Times New Roman" w:eastAsia="MS Gothic" w:hAnsi="Times New Roman" w:cs="Times New Roman"/>
      <w:color w:val="000000"/>
      <w:sz w:val="24"/>
      <w:szCs w:val="24"/>
      <w:lang w:eastAsia="fr-FR" w:bidi="fr-FR"/>
    </w:rPr>
  </w:style>
  <w:style w:type="character" w:customStyle="1" w:styleId="NoteHeadingChar">
    <w:name w:val="Note Heading Char"/>
    <w:basedOn w:val="DefaultParagraphFont"/>
    <w:link w:val="NoteHeading"/>
    <w:uiPriority w:val="99"/>
    <w:semiHidden/>
    <w:rsid w:val="00BA4848"/>
    <w:rPr>
      <w:rFonts w:ascii="Times New Roman" w:eastAsia="MS Gothic" w:hAnsi="Times New Roman" w:cs="Times New Roman"/>
      <w:color w:val="000000"/>
      <w:kern w:val="0"/>
      <w:sz w:val="24"/>
      <w:szCs w:val="24"/>
      <w:lang w:val="es-ES" w:eastAsia="fr-FR" w:bidi="fr-FR"/>
      <w14:ligatures w14:val="none"/>
    </w:rPr>
  </w:style>
  <w:style w:type="paragraph" w:styleId="PlainText">
    <w:name w:val="Plain Text"/>
    <w:basedOn w:val="Normal"/>
    <w:link w:val="PlainTextChar"/>
    <w:uiPriority w:val="99"/>
    <w:unhideWhenUsed/>
    <w:rsid w:val="00BA4848"/>
    <w:pPr>
      <w:widowControl w:val="0"/>
      <w:spacing w:after="0" w:line="240" w:lineRule="auto"/>
      <w:jc w:val="both"/>
    </w:pPr>
    <w:rPr>
      <w:rFonts w:ascii="Consolas" w:eastAsia="MS Gothic" w:hAnsi="Consolas" w:cs="Times New Roman"/>
      <w:color w:val="000000"/>
      <w:sz w:val="21"/>
      <w:szCs w:val="21"/>
      <w:lang w:eastAsia="fr-FR" w:bidi="fr-FR"/>
    </w:rPr>
  </w:style>
  <w:style w:type="character" w:customStyle="1" w:styleId="PlainTextChar">
    <w:name w:val="Plain Text Char"/>
    <w:basedOn w:val="DefaultParagraphFont"/>
    <w:link w:val="PlainText"/>
    <w:uiPriority w:val="99"/>
    <w:rsid w:val="00BA4848"/>
    <w:rPr>
      <w:rFonts w:ascii="Consolas" w:eastAsia="MS Gothic" w:hAnsi="Consolas" w:cs="Times New Roman"/>
      <w:color w:val="000000"/>
      <w:kern w:val="0"/>
      <w:sz w:val="21"/>
      <w:szCs w:val="21"/>
      <w:lang w:val="es-ES" w:eastAsia="fr-FR" w:bidi="fr-FR"/>
      <w14:ligatures w14:val="none"/>
    </w:rPr>
  </w:style>
  <w:style w:type="paragraph" w:customStyle="1" w:styleId="Quote1">
    <w:name w:val="Quote1"/>
    <w:basedOn w:val="Normal"/>
    <w:next w:val="Normal"/>
    <w:uiPriority w:val="29"/>
    <w:qFormat/>
    <w:rsid w:val="00BA4848"/>
    <w:pPr>
      <w:widowControl w:val="0"/>
      <w:spacing w:before="200" w:line="240" w:lineRule="auto"/>
      <w:ind w:left="864" w:right="864"/>
      <w:jc w:val="center"/>
    </w:pPr>
    <w:rPr>
      <w:rFonts w:ascii="Times New Roman" w:eastAsia="MS Gothic" w:hAnsi="Times New Roman" w:cs="Times New Roman"/>
      <w:i/>
      <w:iCs/>
      <w:color w:val="404040"/>
      <w:sz w:val="24"/>
      <w:szCs w:val="24"/>
      <w:lang w:eastAsia="fr-FR" w:bidi="fr-FR"/>
    </w:rPr>
  </w:style>
  <w:style w:type="character" w:customStyle="1" w:styleId="QuoteChar">
    <w:name w:val="Quote Char"/>
    <w:basedOn w:val="DefaultParagraphFont"/>
    <w:link w:val="Quote"/>
    <w:uiPriority w:val="29"/>
    <w:rsid w:val="00BA4848"/>
    <w:rPr>
      <w:i/>
      <w:iCs/>
      <w:color w:val="404040"/>
    </w:rPr>
  </w:style>
  <w:style w:type="paragraph" w:styleId="Salutation">
    <w:name w:val="Salutation"/>
    <w:basedOn w:val="Normal"/>
    <w:next w:val="Normal"/>
    <w:link w:val="SalutationChar"/>
    <w:uiPriority w:val="99"/>
    <w:semiHidden/>
    <w:unhideWhenUsed/>
    <w:rsid w:val="00BA4848"/>
    <w:pPr>
      <w:widowControl w:val="0"/>
      <w:spacing w:after="0" w:line="240" w:lineRule="auto"/>
      <w:jc w:val="both"/>
    </w:pPr>
    <w:rPr>
      <w:rFonts w:ascii="Times New Roman" w:eastAsia="MS Gothic" w:hAnsi="Times New Roman" w:cs="Times New Roman"/>
      <w:color w:val="000000"/>
      <w:sz w:val="24"/>
      <w:szCs w:val="24"/>
      <w:lang w:eastAsia="fr-FR" w:bidi="fr-FR"/>
    </w:rPr>
  </w:style>
  <w:style w:type="character" w:customStyle="1" w:styleId="SalutationChar">
    <w:name w:val="Salutation Char"/>
    <w:basedOn w:val="DefaultParagraphFont"/>
    <w:link w:val="Salutation"/>
    <w:uiPriority w:val="99"/>
    <w:semiHidden/>
    <w:rsid w:val="00BA4848"/>
    <w:rPr>
      <w:rFonts w:ascii="Times New Roman" w:eastAsia="MS Gothic" w:hAnsi="Times New Roman" w:cs="Times New Roman"/>
      <w:color w:val="000000"/>
      <w:kern w:val="0"/>
      <w:sz w:val="24"/>
      <w:szCs w:val="24"/>
      <w:lang w:val="es-ES" w:eastAsia="fr-FR" w:bidi="fr-FR"/>
      <w14:ligatures w14:val="none"/>
    </w:rPr>
  </w:style>
  <w:style w:type="paragraph" w:styleId="Signature">
    <w:name w:val="Signature"/>
    <w:basedOn w:val="Normal"/>
    <w:link w:val="SignatureChar"/>
    <w:uiPriority w:val="99"/>
    <w:semiHidden/>
    <w:unhideWhenUsed/>
    <w:rsid w:val="00BA4848"/>
    <w:pPr>
      <w:widowControl w:val="0"/>
      <w:spacing w:after="0" w:line="240" w:lineRule="auto"/>
      <w:ind w:left="4252"/>
      <w:jc w:val="both"/>
    </w:pPr>
    <w:rPr>
      <w:rFonts w:ascii="Times New Roman" w:eastAsia="MS Gothic" w:hAnsi="Times New Roman" w:cs="Times New Roman"/>
      <w:color w:val="000000"/>
      <w:sz w:val="24"/>
      <w:szCs w:val="24"/>
      <w:lang w:eastAsia="fr-FR" w:bidi="fr-FR"/>
    </w:rPr>
  </w:style>
  <w:style w:type="character" w:customStyle="1" w:styleId="SignatureChar">
    <w:name w:val="Signature Char"/>
    <w:basedOn w:val="DefaultParagraphFont"/>
    <w:link w:val="Signature"/>
    <w:uiPriority w:val="99"/>
    <w:semiHidden/>
    <w:rsid w:val="00BA4848"/>
    <w:rPr>
      <w:rFonts w:ascii="Times New Roman" w:eastAsia="MS Gothic" w:hAnsi="Times New Roman" w:cs="Times New Roman"/>
      <w:color w:val="000000"/>
      <w:kern w:val="0"/>
      <w:sz w:val="24"/>
      <w:szCs w:val="24"/>
      <w:lang w:val="es-ES" w:eastAsia="fr-FR" w:bidi="fr-FR"/>
      <w14:ligatures w14:val="none"/>
    </w:rPr>
  </w:style>
  <w:style w:type="paragraph" w:styleId="TableofAuthorities">
    <w:name w:val="table of authorities"/>
    <w:basedOn w:val="Normal"/>
    <w:next w:val="Normal"/>
    <w:uiPriority w:val="99"/>
    <w:semiHidden/>
    <w:unhideWhenUsed/>
    <w:rsid w:val="00BA4848"/>
    <w:pPr>
      <w:widowControl w:val="0"/>
      <w:spacing w:after="0" w:line="240" w:lineRule="auto"/>
      <w:ind w:left="240" w:hanging="240"/>
      <w:jc w:val="both"/>
    </w:pPr>
    <w:rPr>
      <w:rFonts w:ascii="Times New Roman" w:eastAsia="MS Gothic" w:hAnsi="Times New Roman" w:cs="Times New Roman"/>
      <w:color w:val="000000"/>
      <w:sz w:val="24"/>
      <w:szCs w:val="24"/>
      <w:lang w:eastAsia="fr-FR" w:bidi="fr-FR"/>
    </w:rPr>
  </w:style>
  <w:style w:type="paragraph" w:styleId="TableofFigures">
    <w:name w:val="table of figures"/>
    <w:basedOn w:val="Normal"/>
    <w:next w:val="Normal"/>
    <w:uiPriority w:val="99"/>
    <w:semiHidden/>
    <w:unhideWhenUsed/>
    <w:rsid w:val="00BA4848"/>
    <w:pPr>
      <w:widowControl w:val="0"/>
      <w:spacing w:after="0" w:line="240" w:lineRule="auto"/>
      <w:jc w:val="both"/>
    </w:pPr>
    <w:rPr>
      <w:rFonts w:ascii="Times New Roman" w:eastAsia="MS Gothic" w:hAnsi="Times New Roman" w:cs="Times New Roman"/>
      <w:color w:val="000000"/>
      <w:sz w:val="24"/>
      <w:szCs w:val="24"/>
      <w:lang w:eastAsia="fr-FR" w:bidi="fr-FR"/>
    </w:rPr>
  </w:style>
  <w:style w:type="paragraph" w:customStyle="1" w:styleId="Title1">
    <w:name w:val="Title1"/>
    <w:basedOn w:val="Normal"/>
    <w:next w:val="Normal"/>
    <w:link w:val="titleChar"/>
    <w:qFormat/>
    <w:rsid w:val="00BA4848"/>
    <w:pPr>
      <w:widowControl w:val="0"/>
      <w:spacing w:after="0" w:line="240" w:lineRule="auto"/>
      <w:contextualSpacing/>
      <w:jc w:val="both"/>
    </w:pPr>
    <w:rPr>
      <w:rFonts w:ascii="Arial" w:eastAsia="MS Gothic" w:hAnsi="Arial" w:cs="Times New Roman"/>
      <w:spacing w:val="-10"/>
      <w:kern w:val="28"/>
      <w:sz w:val="56"/>
      <w:szCs w:val="56"/>
      <w:lang w:eastAsia="fr-FR" w:bidi="fr-FR"/>
    </w:rPr>
  </w:style>
  <w:style w:type="character" w:customStyle="1" w:styleId="TitleChar0">
    <w:name w:val="Title Char"/>
    <w:basedOn w:val="DefaultParagraphFont"/>
    <w:link w:val="Title"/>
    <w:uiPriority w:val="10"/>
    <w:rsid w:val="00BA4848"/>
    <w:rPr>
      <w:rFonts w:ascii="Arial" w:eastAsia="MS Gothic" w:hAnsi="Arial" w:cs="Times New Roman"/>
      <w:spacing w:val="-10"/>
      <w:kern w:val="28"/>
      <w:sz w:val="56"/>
      <w:szCs w:val="56"/>
    </w:rPr>
  </w:style>
  <w:style w:type="paragraph" w:customStyle="1" w:styleId="TOAHeading1">
    <w:name w:val="TOA Heading1"/>
    <w:basedOn w:val="Normal"/>
    <w:next w:val="Normal"/>
    <w:uiPriority w:val="99"/>
    <w:semiHidden/>
    <w:unhideWhenUsed/>
    <w:rsid w:val="00BA4848"/>
    <w:pPr>
      <w:widowControl w:val="0"/>
      <w:spacing w:before="120" w:after="0" w:line="240" w:lineRule="auto"/>
      <w:jc w:val="both"/>
    </w:pPr>
    <w:rPr>
      <w:rFonts w:ascii="Arial" w:eastAsia="MS Gothic" w:hAnsi="Arial" w:cs="Times New Roman"/>
      <w:b/>
      <w:bCs/>
      <w:color w:val="000000"/>
      <w:sz w:val="24"/>
      <w:szCs w:val="24"/>
      <w:lang w:eastAsia="fr-FR" w:bidi="fr-FR"/>
    </w:rPr>
  </w:style>
  <w:style w:type="paragraph" w:styleId="TOC1">
    <w:name w:val="toc 1"/>
    <w:basedOn w:val="Normal"/>
    <w:next w:val="Normal"/>
    <w:autoRedefine/>
    <w:uiPriority w:val="39"/>
    <w:unhideWhenUsed/>
    <w:rsid w:val="00BA4848"/>
    <w:pPr>
      <w:widowControl w:val="0"/>
      <w:spacing w:after="100" w:line="240" w:lineRule="auto"/>
      <w:jc w:val="both"/>
    </w:pPr>
    <w:rPr>
      <w:rFonts w:ascii="Times New Roman" w:eastAsia="MS Gothic" w:hAnsi="Times New Roman" w:cs="Times New Roman"/>
      <w:color w:val="000000"/>
      <w:sz w:val="24"/>
      <w:szCs w:val="24"/>
      <w:lang w:eastAsia="fr-FR" w:bidi="fr-FR"/>
    </w:rPr>
  </w:style>
  <w:style w:type="paragraph" w:styleId="TOC2">
    <w:name w:val="toc 2"/>
    <w:basedOn w:val="Normal"/>
    <w:next w:val="Normal"/>
    <w:autoRedefine/>
    <w:uiPriority w:val="39"/>
    <w:semiHidden/>
    <w:unhideWhenUsed/>
    <w:rsid w:val="00BA4848"/>
    <w:pPr>
      <w:widowControl w:val="0"/>
      <w:spacing w:after="100" w:line="240" w:lineRule="auto"/>
      <w:ind w:left="240"/>
      <w:jc w:val="both"/>
    </w:pPr>
    <w:rPr>
      <w:rFonts w:ascii="Times New Roman" w:eastAsia="MS Gothic" w:hAnsi="Times New Roman" w:cs="Times New Roman"/>
      <w:color w:val="000000"/>
      <w:sz w:val="24"/>
      <w:szCs w:val="24"/>
      <w:lang w:eastAsia="fr-FR" w:bidi="fr-FR"/>
    </w:rPr>
  </w:style>
  <w:style w:type="paragraph" w:styleId="TOC3">
    <w:name w:val="toc 3"/>
    <w:basedOn w:val="Normal"/>
    <w:next w:val="Normal"/>
    <w:autoRedefine/>
    <w:uiPriority w:val="39"/>
    <w:semiHidden/>
    <w:unhideWhenUsed/>
    <w:rsid w:val="00BA4848"/>
    <w:pPr>
      <w:widowControl w:val="0"/>
      <w:spacing w:after="100" w:line="240" w:lineRule="auto"/>
      <w:ind w:left="480"/>
      <w:jc w:val="both"/>
    </w:pPr>
    <w:rPr>
      <w:rFonts w:ascii="Times New Roman" w:eastAsia="MS Gothic" w:hAnsi="Times New Roman" w:cs="Times New Roman"/>
      <w:color w:val="000000"/>
      <w:sz w:val="24"/>
      <w:szCs w:val="24"/>
      <w:lang w:eastAsia="fr-FR" w:bidi="fr-FR"/>
    </w:rPr>
  </w:style>
  <w:style w:type="paragraph" w:styleId="TOC4">
    <w:name w:val="toc 4"/>
    <w:basedOn w:val="Normal"/>
    <w:next w:val="Normal"/>
    <w:autoRedefine/>
    <w:uiPriority w:val="39"/>
    <w:semiHidden/>
    <w:unhideWhenUsed/>
    <w:rsid w:val="00BA4848"/>
    <w:pPr>
      <w:widowControl w:val="0"/>
      <w:spacing w:after="100" w:line="240" w:lineRule="auto"/>
      <w:ind w:left="720"/>
      <w:jc w:val="both"/>
    </w:pPr>
    <w:rPr>
      <w:rFonts w:ascii="Times New Roman" w:eastAsia="MS Gothic" w:hAnsi="Times New Roman" w:cs="Times New Roman"/>
      <w:color w:val="000000"/>
      <w:sz w:val="24"/>
      <w:szCs w:val="24"/>
      <w:lang w:eastAsia="fr-FR" w:bidi="fr-FR"/>
    </w:rPr>
  </w:style>
  <w:style w:type="paragraph" w:styleId="TOC5">
    <w:name w:val="toc 5"/>
    <w:basedOn w:val="Normal"/>
    <w:next w:val="Normal"/>
    <w:autoRedefine/>
    <w:uiPriority w:val="39"/>
    <w:semiHidden/>
    <w:unhideWhenUsed/>
    <w:rsid w:val="00BA4848"/>
    <w:pPr>
      <w:widowControl w:val="0"/>
      <w:spacing w:after="100" w:line="240" w:lineRule="auto"/>
      <w:ind w:left="960"/>
      <w:jc w:val="both"/>
    </w:pPr>
    <w:rPr>
      <w:rFonts w:ascii="Times New Roman" w:eastAsia="MS Gothic" w:hAnsi="Times New Roman" w:cs="Times New Roman"/>
      <w:color w:val="000000"/>
      <w:sz w:val="24"/>
      <w:szCs w:val="24"/>
      <w:lang w:eastAsia="fr-FR" w:bidi="fr-FR"/>
    </w:rPr>
  </w:style>
  <w:style w:type="paragraph" w:styleId="TOC6">
    <w:name w:val="toc 6"/>
    <w:basedOn w:val="Normal"/>
    <w:next w:val="Normal"/>
    <w:autoRedefine/>
    <w:uiPriority w:val="39"/>
    <w:semiHidden/>
    <w:unhideWhenUsed/>
    <w:rsid w:val="00BA4848"/>
    <w:pPr>
      <w:widowControl w:val="0"/>
      <w:spacing w:after="100" w:line="240" w:lineRule="auto"/>
      <w:ind w:left="1200"/>
      <w:jc w:val="both"/>
    </w:pPr>
    <w:rPr>
      <w:rFonts w:ascii="Times New Roman" w:eastAsia="MS Gothic" w:hAnsi="Times New Roman" w:cs="Times New Roman"/>
      <w:color w:val="000000"/>
      <w:sz w:val="24"/>
      <w:szCs w:val="24"/>
      <w:lang w:eastAsia="fr-FR" w:bidi="fr-FR"/>
    </w:rPr>
  </w:style>
  <w:style w:type="paragraph" w:styleId="TOC7">
    <w:name w:val="toc 7"/>
    <w:basedOn w:val="Normal"/>
    <w:next w:val="Normal"/>
    <w:autoRedefine/>
    <w:uiPriority w:val="39"/>
    <w:semiHidden/>
    <w:unhideWhenUsed/>
    <w:rsid w:val="00BA4848"/>
    <w:pPr>
      <w:widowControl w:val="0"/>
      <w:spacing w:after="100" w:line="240" w:lineRule="auto"/>
      <w:ind w:left="1440"/>
      <w:jc w:val="both"/>
    </w:pPr>
    <w:rPr>
      <w:rFonts w:ascii="Times New Roman" w:eastAsia="MS Gothic" w:hAnsi="Times New Roman" w:cs="Times New Roman"/>
      <w:color w:val="000000"/>
      <w:sz w:val="24"/>
      <w:szCs w:val="24"/>
      <w:lang w:eastAsia="fr-FR" w:bidi="fr-FR"/>
    </w:rPr>
  </w:style>
  <w:style w:type="paragraph" w:styleId="TOC8">
    <w:name w:val="toc 8"/>
    <w:basedOn w:val="Normal"/>
    <w:next w:val="Normal"/>
    <w:autoRedefine/>
    <w:uiPriority w:val="39"/>
    <w:semiHidden/>
    <w:unhideWhenUsed/>
    <w:rsid w:val="00BA4848"/>
    <w:pPr>
      <w:widowControl w:val="0"/>
      <w:spacing w:after="100" w:line="240" w:lineRule="auto"/>
      <w:ind w:left="1680"/>
      <w:jc w:val="both"/>
    </w:pPr>
    <w:rPr>
      <w:rFonts w:ascii="Times New Roman" w:eastAsia="MS Gothic" w:hAnsi="Times New Roman" w:cs="Times New Roman"/>
      <w:color w:val="000000"/>
      <w:sz w:val="24"/>
      <w:szCs w:val="24"/>
      <w:lang w:eastAsia="fr-FR" w:bidi="fr-FR"/>
    </w:rPr>
  </w:style>
  <w:style w:type="paragraph" w:styleId="TOC9">
    <w:name w:val="toc 9"/>
    <w:basedOn w:val="Normal"/>
    <w:next w:val="Normal"/>
    <w:autoRedefine/>
    <w:uiPriority w:val="39"/>
    <w:semiHidden/>
    <w:unhideWhenUsed/>
    <w:rsid w:val="00BA4848"/>
    <w:pPr>
      <w:widowControl w:val="0"/>
      <w:spacing w:after="100" w:line="240" w:lineRule="auto"/>
      <w:ind w:left="1920"/>
      <w:jc w:val="both"/>
    </w:pPr>
    <w:rPr>
      <w:rFonts w:ascii="Times New Roman" w:eastAsia="MS Gothic" w:hAnsi="Times New Roman" w:cs="Times New Roman"/>
      <w:color w:val="000000"/>
      <w:sz w:val="24"/>
      <w:szCs w:val="24"/>
      <w:lang w:eastAsia="fr-FR" w:bidi="fr-FR"/>
    </w:rPr>
  </w:style>
  <w:style w:type="paragraph" w:styleId="TOCHeading">
    <w:name w:val="TOC Heading"/>
    <w:basedOn w:val="Heading1"/>
    <w:next w:val="Normal"/>
    <w:uiPriority w:val="39"/>
    <w:semiHidden/>
    <w:unhideWhenUsed/>
    <w:qFormat/>
    <w:rsid w:val="00BA4848"/>
    <w:pPr>
      <w:keepLines/>
      <w:widowControl w:val="0"/>
      <w:numPr>
        <w:numId w:val="0"/>
      </w:numPr>
      <w:spacing w:after="0"/>
      <w:outlineLvl w:val="9"/>
    </w:pPr>
    <w:rPr>
      <w:rFonts w:ascii="Arial" w:eastAsia="MS Gothic" w:hAnsi="Arial"/>
      <w:b w:val="0"/>
      <w:smallCaps w:val="0"/>
      <w:color w:val="2E74B5"/>
      <w:sz w:val="32"/>
      <w:szCs w:val="32"/>
      <w:lang w:eastAsia="fr-FR" w:bidi="fr-FR"/>
    </w:rPr>
  </w:style>
  <w:style w:type="table" w:styleId="LightShading">
    <w:name w:val="Light Shading"/>
    <w:basedOn w:val="TableNormal"/>
    <w:uiPriority w:val="60"/>
    <w:unhideWhenUsed/>
    <w:rsid w:val="00BA4848"/>
    <w:pPr>
      <w:spacing w:after="0" w:line="240" w:lineRule="auto"/>
    </w:pPr>
    <w:rPr>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lockText">
    <w:name w:val="Block Text"/>
    <w:basedOn w:val="Normal"/>
    <w:uiPriority w:val="99"/>
    <w:unhideWhenUsed/>
    <w:rsid w:val="00BA4848"/>
    <w:pPr>
      <w:pBdr>
        <w:top w:val="single" w:sz="2" w:space="10" w:color="4472C4" w:themeColor="accent1"/>
        <w:left w:val="single" w:sz="2" w:space="10" w:color="4472C4" w:themeColor="accent1"/>
        <w:bottom w:val="single" w:sz="2" w:space="10" w:color="4472C4" w:themeColor="accent1"/>
        <w:right w:val="single" w:sz="2" w:space="10" w:color="4472C4" w:themeColor="accent1"/>
      </w:pBdr>
      <w:spacing w:line="259" w:lineRule="auto"/>
      <w:ind w:left="1152" w:right="1152"/>
    </w:pPr>
    <w:rPr>
      <w:rFonts w:eastAsiaTheme="minorEastAsia"/>
      <w:i/>
      <w:iCs/>
      <w:color w:val="4472C4" w:themeColor="accent1"/>
    </w:rPr>
  </w:style>
  <w:style w:type="paragraph" w:styleId="EnvelopeAddress">
    <w:name w:val="envelope address"/>
    <w:basedOn w:val="Normal"/>
    <w:uiPriority w:val="99"/>
    <w:semiHidden/>
    <w:unhideWhenUsed/>
    <w:rsid w:val="00BA4848"/>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unhideWhenUsed/>
    <w:rsid w:val="00BA4848"/>
    <w:pPr>
      <w:spacing w:after="0" w:line="240" w:lineRule="auto"/>
    </w:pPr>
    <w:rPr>
      <w:rFonts w:asciiTheme="majorHAnsi" w:eastAsiaTheme="majorEastAsia" w:hAnsiTheme="majorHAnsi" w:cstheme="majorBidi"/>
      <w:sz w:val="20"/>
      <w:szCs w:val="20"/>
    </w:rPr>
  </w:style>
  <w:style w:type="character" w:customStyle="1" w:styleId="Heading5Char1">
    <w:name w:val="Heading 5 Char1"/>
    <w:basedOn w:val="DefaultParagraphFont"/>
    <w:uiPriority w:val="9"/>
    <w:semiHidden/>
    <w:rsid w:val="00BA4848"/>
    <w:rPr>
      <w:rFonts w:asciiTheme="majorHAnsi" w:eastAsiaTheme="majorEastAsia" w:hAnsiTheme="majorHAnsi" w:cstheme="majorBidi"/>
      <w:color w:val="2F5496" w:themeColor="accent1" w:themeShade="BF"/>
      <w:lang w:val="es-ES"/>
    </w:rPr>
  </w:style>
  <w:style w:type="character" w:customStyle="1" w:styleId="Heading6Char1">
    <w:name w:val="Heading 6 Char1"/>
    <w:basedOn w:val="DefaultParagraphFont"/>
    <w:uiPriority w:val="9"/>
    <w:semiHidden/>
    <w:rsid w:val="00BA4848"/>
    <w:rPr>
      <w:rFonts w:asciiTheme="majorHAnsi" w:eastAsiaTheme="majorEastAsia" w:hAnsiTheme="majorHAnsi" w:cstheme="majorBidi"/>
      <w:color w:val="1F3763" w:themeColor="accent1" w:themeShade="7F"/>
      <w:lang w:val="es-ES"/>
    </w:rPr>
  </w:style>
  <w:style w:type="character" w:customStyle="1" w:styleId="Heading7Char1">
    <w:name w:val="Heading 7 Char1"/>
    <w:basedOn w:val="DefaultParagraphFont"/>
    <w:uiPriority w:val="9"/>
    <w:semiHidden/>
    <w:rsid w:val="00BA4848"/>
    <w:rPr>
      <w:rFonts w:asciiTheme="majorHAnsi" w:eastAsiaTheme="majorEastAsia" w:hAnsiTheme="majorHAnsi" w:cstheme="majorBidi"/>
      <w:i/>
      <w:iCs/>
      <w:color w:val="1F3763" w:themeColor="accent1" w:themeShade="7F"/>
      <w:lang w:val="es-ES"/>
    </w:rPr>
  </w:style>
  <w:style w:type="character" w:customStyle="1" w:styleId="Heading8Char1">
    <w:name w:val="Heading 8 Char1"/>
    <w:basedOn w:val="DefaultParagraphFont"/>
    <w:uiPriority w:val="9"/>
    <w:semiHidden/>
    <w:rsid w:val="00BA4848"/>
    <w:rPr>
      <w:rFonts w:asciiTheme="majorHAnsi" w:eastAsiaTheme="majorEastAsia" w:hAnsiTheme="majorHAnsi" w:cstheme="majorBidi"/>
      <w:color w:val="272727" w:themeColor="text1" w:themeTint="D8"/>
      <w:sz w:val="21"/>
      <w:szCs w:val="21"/>
      <w:lang w:val="es-ES"/>
    </w:rPr>
  </w:style>
  <w:style w:type="character" w:customStyle="1" w:styleId="Heading9Char1">
    <w:name w:val="Heading 9 Char1"/>
    <w:basedOn w:val="DefaultParagraphFont"/>
    <w:uiPriority w:val="9"/>
    <w:semiHidden/>
    <w:rsid w:val="00BA4848"/>
    <w:rPr>
      <w:rFonts w:asciiTheme="majorHAnsi" w:eastAsiaTheme="majorEastAsia" w:hAnsiTheme="majorHAnsi" w:cstheme="majorBidi"/>
      <w:i/>
      <w:iCs/>
      <w:color w:val="272727" w:themeColor="text1" w:themeTint="D8"/>
      <w:sz w:val="21"/>
      <w:szCs w:val="21"/>
      <w:lang w:val="es-ES"/>
    </w:rPr>
  </w:style>
  <w:style w:type="paragraph" w:styleId="IntenseQuote">
    <w:name w:val="Intense Quote"/>
    <w:basedOn w:val="Normal"/>
    <w:next w:val="Normal"/>
    <w:link w:val="IntenseQuoteChar"/>
    <w:uiPriority w:val="30"/>
    <w:qFormat/>
    <w:rsid w:val="00BA4848"/>
    <w:pPr>
      <w:pBdr>
        <w:top w:val="single" w:sz="4" w:space="10" w:color="4472C4" w:themeColor="accent1"/>
        <w:bottom w:val="single" w:sz="4" w:space="10" w:color="4472C4" w:themeColor="accent1"/>
      </w:pBdr>
      <w:spacing w:before="360" w:after="360" w:line="259" w:lineRule="auto"/>
      <w:ind w:left="864" w:right="864"/>
      <w:jc w:val="center"/>
    </w:pPr>
    <w:rPr>
      <w:i/>
      <w:iCs/>
      <w:color w:val="5B9BD5"/>
      <w:kern w:val="2"/>
      <w14:ligatures w14:val="standardContextual"/>
    </w:rPr>
  </w:style>
  <w:style w:type="character" w:customStyle="1" w:styleId="IntenseQuoteChar1">
    <w:name w:val="Intense Quote Char1"/>
    <w:basedOn w:val="DefaultParagraphFont"/>
    <w:uiPriority w:val="30"/>
    <w:rsid w:val="00BA4848"/>
    <w:rPr>
      <w:i/>
      <w:iCs/>
      <w:color w:val="4472C4" w:themeColor="accent1"/>
      <w:kern w:val="0"/>
      <w:lang w:val="es-ES"/>
      <w14:ligatures w14:val="none"/>
    </w:rPr>
  </w:style>
  <w:style w:type="paragraph" w:styleId="MessageHeader">
    <w:name w:val="Message Header"/>
    <w:basedOn w:val="Normal"/>
    <w:link w:val="MessageHeaderChar1"/>
    <w:uiPriority w:val="99"/>
    <w:semiHidden/>
    <w:unhideWhenUsed/>
    <w:rsid w:val="00BA484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BA4848"/>
    <w:rPr>
      <w:rFonts w:asciiTheme="majorHAnsi" w:eastAsiaTheme="majorEastAsia" w:hAnsiTheme="majorHAnsi" w:cstheme="majorBidi"/>
      <w:kern w:val="0"/>
      <w:sz w:val="24"/>
      <w:szCs w:val="24"/>
      <w:shd w:val="pct20" w:color="auto" w:fill="auto"/>
      <w:lang w:val="es-ES"/>
      <w14:ligatures w14:val="none"/>
    </w:rPr>
  </w:style>
  <w:style w:type="paragraph" w:styleId="Quote">
    <w:name w:val="Quote"/>
    <w:basedOn w:val="Normal"/>
    <w:next w:val="Normal"/>
    <w:link w:val="QuoteChar"/>
    <w:uiPriority w:val="29"/>
    <w:qFormat/>
    <w:rsid w:val="00BA4848"/>
    <w:pPr>
      <w:spacing w:before="200" w:line="259" w:lineRule="auto"/>
      <w:ind w:left="864" w:right="864"/>
      <w:jc w:val="center"/>
    </w:pPr>
    <w:rPr>
      <w:i/>
      <w:iCs/>
      <w:color w:val="404040"/>
      <w:kern w:val="2"/>
      <w14:ligatures w14:val="standardContextual"/>
    </w:rPr>
  </w:style>
  <w:style w:type="character" w:customStyle="1" w:styleId="QuoteChar1">
    <w:name w:val="Quote Char1"/>
    <w:basedOn w:val="DefaultParagraphFont"/>
    <w:uiPriority w:val="29"/>
    <w:rsid w:val="00BA4848"/>
    <w:rPr>
      <w:i/>
      <w:iCs/>
      <w:color w:val="404040" w:themeColor="text1" w:themeTint="BF"/>
      <w:kern w:val="0"/>
      <w:lang w:val="es-ES"/>
      <w14:ligatures w14:val="none"/>
    </w:rPr>
  </w:style>
  <w:style w:type="paragraph" w:styleId="Title">
    <w:name w:val="Title"/>
    <w:basedOn w:val="Normal"/>
    <w:next w:val="Normal"/>
    <w:link w:val="TitleChar0"/>
    <w:uiPriority w:val="10"/>
    <w:qFormat/>
    <w:rsid w:val="00BA4848"/>
    <w:pPr>
      <w:spacing w:after="0" w:line="240" w:lineRule="auto"/>
      <w:contextualSpacing/>
    </w:pPr>
    <w:rPr>
      <w:rFonts w:ascii="Arial" w:eastAsia="MS Gothic" w:hAnsi="Arial" w:cs="Times New Roman"/>
      <w:spacing w:val="-10"/>
      <w:kern w:val="28"/>
      <w:sz w:val="56"/>
      <w:szCs w:val="56"/>
      <w14:ligatures w14:val="standardContextual"/>
    </w:rPr>
  </w:style>
  <w:style w:type="character" w:customStyle="1" w:styleId="TitleChar1">
    <w:name w:val="Title Char1"/>
    <w:basedOn w:val="DefaultParagraphFont"/>
    <w:uiPriority w:val="10"/>
    <w:rsid w:val="00BA4848"/>
    <w:rPr>
      <w:rFonts w:asciiTheme="majorHAnsi" w:eastAsiaTheme="majorEastAsia" w:hAnsiTheme="majorHAnsi" w:cstheme="majorBidi"/>
      <w:spacing w:val="-10"/>
      <w:kern w:val="28"/>
      <w:sz w:val="56"/>
      <w:szCs w:val="56"/>
      <w:lang w:val="es-ES"/>
      <w14:ligatures w14:val="none"/>
    </w:rPr>
  </w:style>
  <w:style w:type="table" w:customStyle="1" w:styleId="TableGrid6">
    <w:name w:val="Table Grid6"/>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
    <w:name w:val="Light Shading2"/>
    <w:basedOn w:val="TableNormal"/>
    <w:next w:val="LightShading"/>
    <w:uiPriority w:val="60"/>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aption2">
    <w:name w:val="Caption2"/>
    <w:basedOn w:val="Normal"/>
    <w:next w:val="Normal"/>
    <w:uiPriority w:val="35"/>
    <w:semiHidden/>
    <w:unhideWhenUsed/>
    <w:qFormat/>
    <w:rsid w:val="00BA4848"/>
    <w:pPr>
      <w:widowControl w:val="0"/>
      <w:spacing w:after="200" w:line="240" w:lineRule="auto"/>
      <w:jc w:val="both"/>
    </w:pPr>
    <w:rPr>
      <w:rFonts w:ascii="Times New Roman" w:eastAsia="MS Gothic" w:hAnsi="Times New Roman" w:cs="Times New Roman"/>
      <w:i/>
      <w:iCs/>
      <w:color w:val="44546A"/>
      <w:sz w:val="18"/>
      <w:szCs w:val="18"/>
      <w:lang w:eastAsia="fr-FR" w:bidi="fr-FR"/>
    </w:rPr>
  </w:style>
  <w:style w:type="paragraph" w:customStyle="1" w:styleId="IndexHeading2">
    <w:name w:val="Index Heading2"/>
    <w:basedOn w:val="Normal"/>
    <w:next w:val="Index1"/>
    <w:uiPriority w:val="99"/>
    <w:semiHidden/>
    <w:unhideWhenUsed/>
    <w:rsid w:val="00BA4848"/>
    <w:pPr>
      <w:widowControl w:val="0"/>
      <w:spacing w:after="0" w:line="240" w:lineRule="auto"/>
      <w:jc w:val="both"/>
    </w:pPr>
    <w:rPr>
      <w:rFonts w:ascii="Arial" w:eastAsia="MS Gothic" w:hAnsi="Arial" w:cs="Times New Roman"/>
      <w:b/>
      <w:bCs/>
      <w:color w:val="000000"/>
      <w:sz w:val="24"/>
      <w:szCs w:val="24"/>
      <w:lang w:eastAsia="fr-FR" w:bidi="fr-FR"/>
    </w:rPr>
  </w:style>
  <w:style w:type="paragraph" w:customStyle="1" w:styleId="TOAHeading2">
    <w:name w:val="TOA Heading2"/>
    <w:basedOn w:val="Normal"/>
    <w:next w:val="Normal"/>
    <w:uiPriority w:val="99"/>
    <w:semiHidden/>
    <w:unhideWhenUsed/>
    <w:rsid w:val="00BA4848"/>
    <w:pPr>
      <w:widowControl w:val="0"/>
      <w:spacing w:before="120" w:after="0" w:line="240" w:lineRule="auto"/>
      <w:jc w:val="both"/>
    </w:pPr>
    <w:rPr>
      <w:rFonts w:ascii="Arial" w:eastAsia="MS Gothic" w:hAnsi="Arial" w:cs="Times New Roman"/>
      <w:b/>
      <w:bCs/>
      <w:color w:val="000000"/>
      <w:sz w:val="24"/>
      <w:szCs w:val="24"/>
      <w:lang w:eastAsia="fr-FR" w:bidi="fr-FR"/>
    </w:rPr>
  </w:style>
  <w:style w:type="table" w:customStyle="1" w:styleId="LightShading3">
    <w:name w:val="Light Shading3"/>
    <w:basedOn w:val="TableNormal"/>
    <w:next w:val="LightShading"/>
    <w:uiPriority w:val="60"/>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
    <w:name w:val="Table Grid7"/>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3">
    <w:name w:val="Caption3"/>
    <w:basedOn w:val="Normal"/>
    <w:next w:val="Normal"/>
    <w:uiPriority w:val="35"/>
    <w:semiHidden/>
    <w:unhideWhenUsed/>
    <w:qFormat/>
    <w:rsid w:val="00BA4848"/>
    <w:pPr>
      <w:widowControl w:val="0"/>
      <w:spacing w:after="200" w:line="240" w:lineRule="auto"/>
      <w:jc w:val="both"/>
    </w:pPr>
    <w:rPr>
      <w:rFonts w:ascii="Times New Roman" w:eastAsia="MS Gothic" w:hAnsi="Times New Roman" w:cs="Times New Roman"/>
      <w:i/>
      <w:iCs/>
      <w:color w:val="44546A"/>
      <w:sz w:val="18"/>
      <w:szCs w:val="18"/>
      <w:lang w:eastAsia="fr-FR" w:bidi="fr-FR"/>
    </w:rPr>
  </w:style>
  <w:style w:type="paragraph" w:customStyle="1" w:styleId="IndexHeading3">
    <w:name w:val="Index Heading3"/>
    <w:basedOn w:val="Normal"/>
    <w:next w:val="Index1"/>
    <w:uiPriority w:val="99"/>
    <w:semiHidden/>
    <w:unhideWhenUsed/>
    <w:rsid w:val="00BA4848"/>
    <w:pPr>
      <w:widowControl w:val="0"/>
      <w:spacing w:after="0" w:line="240" w:lineRule="auto"/>
      <w:jc w:val="both"/>
    </w:pPr>
    <w:rPr>
      <w:rFonts w:ascii="Arial" w:eastAsia="MS Gothic" w:hAnsi="Arial" w:cs="Times New Roman"/>
      <w:b/>
      <w:bCs/>
      <w:color w:val="000000"/>
      <w:sz w:val="24"/>
      <w:szCs w:val="24"/>
      <w:lang w:eastAsia="fr-FR" w:bidi="fr-FR"/>
    </w:rPr>
  </w:style>
  <w:style w:type="paragraph" w:customStyle="1" w:styleId="TOAHeading3">
    <w:name w:val="TOA Heading3"/>
    <w:basedOn w:val="Normal"/>
    <w:next w:val="Normal"/>
    <w:uiPriority w:val="99"/>
    <w:semiHidden/>
    <w:unhideWhenUsed/>
    <w:rsid w:val="00BA4848"/>
    <w:pPr>
      <w:widowControl w:val="0"/>
      <w:spacing w:before="120" w:after="0" w:line="240" w:lineRule="auto"/>
      <w:jc w:val="both"/>
    </w:pPr>
    <w:rPr>
      <w:rFonts w:ascii="Arial" w:eastAsia="MS Gothic" w:hAnsi="Arial" w:cs="Times New Roman"/>
      <w:b/>
      <w:bCs/>
      <w:color w:val="000000"/>
      <w:sz w:val="24"/>
      <w:szCs w:val="24"/>
      <w:lang w:eastAsia="fr-FR" w:bidi="fr-FR"/>
    </w:rPr>
  </w:style>
  <w:style w:type="table" w:customStyle="1" w:styleId="TableGrid8">
    <w:name w:val="Table Grid8"/>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BA4848"/>
    <w:rPr>
      <w:vertAlign w:val="superscript"/>
    </w:rPr>
  </w:style>
  <w:style w:type="table" w:customStyle="1" w:styleId="TableGrid10">
    <w:name w:val="Table Grid10"/>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4">
    <w:name w:val="Caption4"/>
    <w:basedOn w:val="Normal"/>
    <w:next w:val="Normal"/>
    <w:uiPriority w:val="35"/>
    <w:semiHidden/>
    <w:unhideWhenUsed/>
    <w:qFormat/>
    <w:rsid w:val="00BA4848"/>
    <w:pPr>
      <w:widowControl w:val="0"/>
      <w:spacing w:after="200" w:line="240" w:lineRule="auto"/>
      <w:jc w:val="both"/>
    </w:pPr>
    <w:rPr>
      <w:rFonts w:ascii="Times New Roman" w:eastAsia="MS Gothic" w:hAnsi="Times New Roman" w:cs="Times New Roman"/>
      <w:i/>
      <w:iCs/>
      <w:color w:val="44546A"/>
      <w:sz w:val="18"/>
      <w:szCs w:val="18"/>
      <w:lang w:eastAsia="fr-FR" w:bidi="fr-FR"/>
    </w:rPr>
  </w:style>
  <w:style w:type="paragraph" w:customStyle="1" w:styleId="IndexHeading4">
    <w:name w:val="Index Heading4"/>
    <w:basedOn w:val="Normal"/>
    <w:next w:val="Index1"/>
    <w:uiPriority w:val="99"/>
    <w:semiHidden/>
    <w:unhideWhenUsed/>
    <w:rsid w:val="00BA4848"/>
    <w:pPr>
      <w:widowControl w:val="0"/>
      <w:spacing w:after="0" w:line="240" w:lineRule="auto"/>
      <w:jc w:val="both"/>
    </w:pPr>
    <w:rPr>
      <w:rFonts w:ascii="Arial" w:eastAsia="MS Gothic" w:hAnsi="Arial" w:cs="Times New Roman"/>
      <w:b/>
      <w:bCs/>
      <w:color w:val="000000"/>
      <w:sz w:val="24"/>
      <w:szCs w:val="24"/>
      <w:lang w:eastAsia="fr-FR" w:bidi="fr-FR"/>
    </w:rPr>
  </w:style>
  <w:style w:type="paragraph" w:customStyle="1" w:styleId="TOAHeading4">
    <w:name w:val="TOA Heading4"/>
    <w:basedOn w:val="Normal"/>
    <w:next w:val="Normal"/>
    <w:uiPriority w:val="99"/>
    <w:semiHidden/>
    <w:unhideWhenUsed/>
    <w:rsid w:val="00BA4848"/>
    <w:pPr>
      <w:widowControl w:val="0"/>
      <w:spacing w:before="120" w:after="0" w:line="240" w:lineRule="auto"/>
      <w:jc w:val="both"/>
    </w:pPr>
    <w:rPr>
      <w:rFonts w:ascii="Arial" w:eastAsia="MS Gothic" w:hAnsi="Arial" w:cs="Times New Roman"/>
      <w:b/>
      <w:bCs/>
      <w:color w:val="000000"/>
      <w:sz w:val="24"/>
      <w:szCs w:val="24"/>
      <w:lang w:eastAsia="fr-FR" w:bidi="fr-FR"/>
    </w:rPr>
  </w:style>
  <w:style w:type="table" w:customStyle="1" w:styleId="TableGrid13">
    <w:name w:val="Table Grid13"/>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A4848"/>
  </w:style>
  <w:style w:type="paragraph" w:customStyle="1" w:styleId="Caption5">
    <w:name w:val="Caption5"/>
    <w:basedOn w:val="Normal"/>
    <w:next w:val="Normal"/>
    <w:uiPriority w:val="35"/>
    <w:semiHidden/>
    <w:unhideWhenUsed/>
    <w:qFormat/>
    <w:rsid w:val="00BA4848"/>
    <w:pPr>
      <w:widowControl w:val="0"/>
      <w:spacing w:after="200" w:line="240" w:lineRule="auto"/>
      <w:jc w:val="both"/>
    </w:pPr>
    <w:rPr>
      <w:rFonts w:ascii="Times New Roman" w:eastAsia="MS Gothic" w:hAnsi="Times New Roman" w:cs="Times New Roman"/>
      <w:i/>
      <w:iCs/>
      <w:color w:val="44546A"/>
      <w:sz w:val="18"/>
      <w:szCs w:val="18"/>
      <w:lang w:eastAsia="fr-FR" w:bidi="fr-FR"/>
    </w:rPr>
  </w:style>
  <w:style w:type="paragraph" w:customStyle="1" w:styleId="IndexHeading5">
    <w:name w:val="Index Heading5"/>
    <w:basedOn w:val="Normal"/>
    <w:next w:val="Index1"/>
    <w:uiPriority w:val="99"/>
    <w:semiHidden/>
    <w:unhideWhenUsed/>
    <w:rsid w:val="00BA4848"/>
    <w:pPr>
      <w:widowControl w:val="0"/>
      <w:spacing w:after="0" w:line="240" w:lineRule="auto"/>
      <w:jc w:val="both"/>
    </w:pPr>
    <w:rPr>
      <w:rFonts w:ascii="Arial" w:eastAsia="Times New Roman" w:hAnsi="Arial" w:cs="Times New Roman"/>
      <w:b/>
      <w:bCs/>
      <w:color w:val="000000"/>
      <w:sz w:val="24"/>
      <w:szCs w:val="24"/>
      <w:lang w:eastAsia="fr-FR" w:bidi="fr-FR"/>
    </w:rPr>
  </w:style>
  <w:style w:type="paragraph" w:customStyle="1" w:styleId="TOAHeading5">
    <w:name w:val="TOA Heading5"/>
    <w:basedOn w:val="Normal"/>
    <w:next w:val="Normal"/>
    <w:uiPriority w:val="99"/>
    <w:semiHidden/>
    <w:unhideWhenUsed/>
    <w:rsid w:val="00BA4848"/>
    <w:pPr>
      <w:widowControl w:val="0"/>
      <w:spacing w:before="120" w:after="0" w:line="240" w:lineRule="auto"/>
      <w:jc w:val="both"/>
    </w:pPr>
    <w:rPr>
      <w:rFonts w:ascii="Arial" w:eastAsia="Times New Roman" w:hAnsi="Arial" w:cs="Times New Roman"/>
      <w:b/>
      <w:bCs/>
      <w:color w:val="000000"/>
      <w:sz w:val="24"/>
      <w:szCs w:val="24"/>
      <w:lang w:eastAsia="fr-FR" w:bidi="fr-FR"/>
    </w:rPr>
  </w:style>
  <w:style w:type="table" w:customStyle="1" w:styleId="TableGrid15">
    <w:name w:val="Table Grid15"/>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TableNormal"/>
    <w:next w:val="TableGrid"/>
    <w:uiPriority w:val="39"/>
    <w:rsid w:val="00BA484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6">
    <w:name w:val="Caption6"/>
    <w:basedOn w:val="Normal"/>
    <w:next w:val="Normal"/>
    <w:uiPriority w:val="35"/>
    <w:semiHidden/>
    <w:unhideWhenUsed/>
    <w:qFormat/>
    <w:rsid w:val="00BA4848"/>
    <w:pPr>
      <w:widowControl w:val="0"/>
      <w:spacing w:after="200" w:line="240" w:lineRule="auto"/>
      <w:jc w:val="both"/>
    </w:pPr>
    <w:rPr>
      <w:rFonts w:ascii="Times New Roman" w:eastAsia="MS Gothic" w:hAnsi="Times New Roman" w:cs="Times New Roman"/>
      <w:i/>
      <w:iCs/>
      <w:color w:val="44546A"/>
      <w:sz w:val="18"/>
      <w:szCs w:val="18"/>
      <w:lang w:eastAsia="fr-FR" w:bidi="fr-FR"/>
    </w:rPr>
  </w:style>
  <w:style w:type="paragraph" w:customStyle="1" w:styleId="IndexHeading6">
    <w:name w:val="Index Heading6"/>
    <w:basedOn w:val="Normal"/>
    <w:next w:val="Index1"/>
    <w:uiPriority w:val="99"/>
    <w:semiHidden/>
    <w:unhideWhenUsed/>
    <w:rsid w:val="00BA4848"/>
    <w:pPr>
      <w:widowControl w:val="0"/>
      <w:spacing w:after="0" w:line="240" w:lineRule="auto"/>
      <w:jc w:val="both"/>
    </w:pPr>
    <w:rPr>
      <w:rFonts w:ascii="Arial" w:eastAsia="MS Gothic" w:hAnsi="Arial" w:cs="Times New Roman"/>
      <w:b/>
      <w:bCs/>
      <w:color w:val="000000"/>
      <w:sz w:val="24"/>
      <w:szCs w:val="24"/>
      <w:lang w:eastAsia="fr-FR" w:bidi="fr-FR"/>
    </w:rPr>
  </w:style>
  <w:style w:type="paragraph" w:customStyle="1" w:styleId="TOAHeading6">
    <w:name w:val="TOA Heading6"/>
    <w:basedOn w:val="Normal"/>
    <w:next w:val="Normal"/>
    <w:uiPriority w:val="99"/>
    <w:semiHidden/>
    <w:unhideWhenUsed/>
    <w:rsid w:val="00BA4848"/>
    <w:pPr>
      <w:widowControl w:val="0"/>
      <w:spacing w:before="120" w:after="0" w:line="240" w:lineRule="auto"/>
      <w:jc w:val="both"/>
    </w:pPr>
    <w:rPr>
      <w:rFonts w:ascii="Arial" w:eastAsia="MS Gothic" w:hAnsi="Arial" w:cs="Times New Roman"/>
      <w:b/>
      <w:bCs/>
      <w:color w:val="000000"/>
      <w:sz w:val="24"/>
      <w:szCs w:val="24"/>
      <w:lang w:eastAsia="fr-FR" w:bidi="fr-FR"/>
    </w:rPr>
  </w:style>
  <w:style w:type="table" w:customStyle="1" w:styleId="TableGrid17">
    <w:name w:val="Table Grid17"/>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next w:val="LightShading"/>
    <w:uiPriority w:val="60"/>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ubtitle1">
    <w:name w:val="Subtitle1"/>
    <w:basedOn w:val="Normal"/>
    <w:next w:val="Normal"/>
    <w:uiPriority w:val="11"/>
    <w:qFormat/>
    <w:rsid w:val="00BA4848"/>
    <w:pPr>
      <w:widowControl w:val="0"/>
      <w:numPr>
        <w:ilvl w:val="1"/>
      </w:numPr>
      <w:spacing w:line="240" w:lineRule="auto"/>
      <w:jc w:val="both"/>
    </w:pPr>
    <w:rPr>
      <w:rFonts w:ascii="Calibri" w:eastAsia="Yu Mincho" w:hAnsi="Calibri" w:cs="Calibri"/>
      <w:color w:val="5A5A5A"/>
      <w:spacing w:val="15"/>
      <w:lang w:eastAsia="fr-FR" w:bidi="fr-FR"/>
    </w:rPr>
  </w:style>
  <w:style w:type="table" w:customStyle="1" w:styleId="LightShading4">
    <w:name w:val="Light Shading4"/>
    <w:basedOn w:val="TableNormal"/>
    <w:next w:val="LightShading"/>
    <w:uiPriority w:val="60"/>
    <w:semiHidden/>
    <w:unhideWhenUsed/>
    <w:rsid w:val="00BA4848"/>
    <w:pPr>
      <w:spacing w:after="0" w:line="240" w:lineRule="auto"/>
    </w:pPr>
    <w:rPr>
      <w:rFonts w:ascii="Calibri" w:eastAsia="Yu Mincho" w:hAnsi="Calibri" w:cs="Calibri"/>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ubtitleChar1">
    <w:name w:val="Subtitle Char1"/>
    <w:basedOn w:val="DefaultParagraphFont"/>
    <w:uiPriority w:val="11"/>
    <w:rsid w:val="00BA4848"/>
    <w:rPr>
      <w:color w:val="5A5A5A"/>
      <w:spacing w:val="15"/>
    </w:rPr>
  </w:style>
  <w:style w:type="table" w:customStyle="1" w:styleId="TableGrid18">
    <w:name w:val="Table Grid18"/>
    <w:basedOn w:val="TableNormal"/>
    <w:next w:val="TableGrid"/>
    <w:uiPriority w:val="39"/>
    <w:rsid w:val="00BA4848"/>
    <w:pPr>
      <w:spacing w:after="0" w:line="240" w:lineRule="auto"/>
    </w:pPr>
    <w:rPr>
      <w:rFonts w:ascii="Times New Roman" w:eastAsia="MS Gothic"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TableNormal"/>
    <w:next w:val="TableGrid"/>
    <w:uiPriority w:val="39"/>
    <w:rsid w:val="00BA4848"/>
    <w:pPr>
      <w:spacing w:after="0" w:line="240" w:lineRule="auto"/>
    </w:pPr>
    <w:rPr>
      <w:rFonts w:ascii="Calibri" w:eastAsia="Yu Mincho"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A4848"/>
    <w:pPr>
      <w:spacing w:after="0" w:line="240" w:lineRule="auto"/>
    </w:pPr>
    <w:rPr>
      <w:rFonts w:ascii="Calibri" w:eastAsia="Times New Roman" w:hAnsi="Calibri" w:cs="Times New Roman"/>
      <w:kern w:val="0"/>
      <w14:ligatures w14:val="none"/>
    </w:rPr>
    <w:tblPr>
      <w:tblCellMar>
        <w:top w:w="0" w:type="dxa"/>
        <w:left w:w="0" w:type="dxa"/>
        <w:bottom w:w="0" w:type="dxa"/>
        <w:right w:w="0" w:type="dxa"/>
      </w:tblCellMar>
    </w:tblPr>
  </w:style>
  <w:style w:type="table" w:customStyle="1" w:styleId="TableGrid21">
    <w:name w:val="Table Grid21"/>
    <w:basedOn w:val="TableNormal"/>
    <w:next w:val="TableGrid"/>
    <w:uiPriority w:val="59"/>
    <w:rsid w:val="00BA4848"/>
    <w:pPr>
      <w:spacing w:after="0" w:line="240" w:lineRule="auto"/>
    </w:pPr>
    <w:rPr>
      <w:rFonts w:ascii="Calibri" w:eastAsia="Yu Mincho" w:hAnsi="Calibri" w:cs="Calibri"/>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s1">
    <w:name w:val="bullets1"/>
    <w:basedOn w:val="Heading4"/>
    <w:link w:val="bullets1Char"/>
    <w:qFormat/>
    <w:rsid w:val="00BA4848"/>
    <w:pPr>
      <w:keepLines/>
      <w:numPr>
        <w:ilvl w:val="0"/>
        <w:numId w:val="18"/>
      </w:numPr>
      <w:tabs>
        <w:tab w:val="num" w:pos="360"/>
      </w:tabs>
      <w:spacing w:after="0"/>
      <w:ind w:left="643"/>
    </w:pPr>
    <w:rPr>
      <w:b/>
      <w:bCs/>
      <w:iCs/>
      <w:szCs w:val="18"/>
    </w:rPr>
  </w:style>
  <w:style w:type="character" w:customStyle="1" w:styleId="bullets1Char">
    <w:name w:val="bullets1 Char"/>
    <w:basedOn w:val="Heading4Char"/>
    <w:link w:val="bullets1"/>
    <w:rsid w:val="00BA4848"/>
    <w:rPr>
      <w:rFonts w:ascii="Times New Roman" w:eastAsia="Times New Roman" w:hAnsi="Times New Roman" w:cs="Times New Roman"/>
      <w:b/>
      <w:bCs/>
      <w:iCs/>
      <w:kern w:val="0"/>
      <w:sz w:val="24"/>
      <w:szCs w:val="18"/>
      <w14:ligatures w14:val="none"/>
    </w:rPr>
  </w:style>
  <w:style w:type="character" w:customStyle="1" w:styleId="titleChar">
    <w:name w:val="title Char"/>
    <w:basedOn w:val="DefaultParagraphFont"/>
    <w:link w:val="Title1"/>
    <w:rsid w:val="00BA4848"/>
    <w:rPr>
      <w:rFonts w:ascii="Arial" w:eastAsia="MS Gothic" w:hAnsi="Arial" w:cs="Times New Roman"/>
      <w:spacing w:val="-10"/>
      <w:kern w:val="28"/>
      <w:sz w:val="56"/>
      <w:szCs w:val="56"/>
      <w:lang w:val="es-ES" w:eastAsia="fr-FR" w:bidi="fr-FR"/>
      <w14:ligatures w14:val="none"/>
    </w:rPr>
  </w:style>
  <w:style w:type="character" w:customStyle="1" w:styleId="FollowedHyperlink1">
    <w:name w:val="FollowedHyperlink1"/>
    <w:basedOn w:val="DefaultParagraphFont"/>
    <w:semiHidden/>
    <w:unhideWhenUsed/>
    <w:rsid w:val="00BA4848"/>
    <w:rPr>
      <w:color w:val="800080"/>
      <w:u w:val="single"/>
    </w:rPr>
  </w:style>
  <w:style w:type="character" w:customStyle="1" w:styleId="UnresolvedMention1">
    <w:name w:val="Unresolved Mention1"/>
    <w:basedOn w:val="DefaultParagraphFont"/>
    <w:uiPriority w:val="99"/>
    <w:semiHidden/>
    <w:unhideWhenUsed/>
    <w:rsid w:val="00BA4848"/>
    <w:rPr>
      <w:color w:val="605E5C"/>
      <w:shd w:val="clear" w:color="auto" w:fill="E1DFDD"/>
    </w:rPr>
  </w:style>
  <w:style w:type="character" w:customStyle="1" w:styleId="FollowedHyperlink2">
    <w:name w:val="FollowedHyperlink2"/>
    <w:basedOn w:val="DefaultParagraphFont"/>
    <w:uiPriority w:val="99"/>
    <w:semiHidden/>
    <w:unhideWhenUsed/>
    <w:rsid w:val="00BA4848"/>
    <w:rPr>
      <w:color w:val="954F72"/>
      <w:u w:val="single"/>
    </w:rPr>
  </w:style>
  <w:style w:type="table" w:customStyle="1" w:styleId="TableGrid31">
    <w:name w:val="Table Grid31"/>
    <w:basedOn w:val="TableNormal"/>
    <w:next w:val="TableGrid"/>
    <w:uiPriority w:val="39"/>
    <w:rsid w:val="00BA4848"/>
    <w:pPr>
      <w:spacing w:after="0" w:line="240" w:lineRule="auto"/>
    </w:pPr>
    <w:rPr>
      <w:rFonts w:ascii="Calibri" w:eastAsia="Yu Mincho" w:hAnsi="Calibri" w:cs="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BA4848"/>
    <w:pPr>
      <w:spacing w:after="0" w:line="240" w:lineRule="auto"/>
    </w:pPr>
    <w:rPr>
      <w:rFonts w:ascii="Yu Mincho" w:eastAsia="Yu Mincho" w:hAnsi="Yu Mincho" w:cs="Times New Roman"/>
      <w:sz w:val="21"/>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BA4848"/>
    <w:pPr>
      <w:spacing w:after="0" w:line="240" w:lineRule="auto"/>
    </w:pPr>
    <w:rPr>
      <w:rFonts w:ascii="Calibri" w:eastAsia="Yu Mincho" w:hAnsi="Calibri" w:cs="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style11"/>
    <w:basedOn w:val="DefaultParagraphFont"/>
    <w:rsid w:val="00BA4848"/>
    <w:rPr>
      <w:rFonts w:ascii="Cambria" w:hAnsi="Cambria" w:hint="default"/>
      <w:b w:val="0"/>
      <w:bCs w:val="0"/>
      <w:i w:val="0"/>
      <w:iCs w:val="0"/>
      <w:color w:val="000000"/>
      <w:sz w:val="20"/>
      <w:szCs w:val="20"/>
    </w:rPr>
  </w:style>
  <w:style w:type="table" w:customStyle="1" w:styleId="TableGrid51">
    <w:name w:val="Table Grid51"/>
    <w:basedOn w:val="TableNormal"/>
    <w:next w:val="TableGrid"/>
    <w:uiPriority w:val="39"/>
    <w:rsid w:val="00BA4848"/>
    <w:pPr>
      <w:spacing w:after="0" w:line="240" w:lineRule="auto"/>
    </w:pPr>
    <w:rPr>
      <w:rFonts w:ascii="Yu Mincho" w:eastAsia="Yu Mincho" w:hAnsi="Yu Mincho" w:cs="Times New Roman"/>
      <w:sz w:val="21"/>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next w:val="LightShading"/>
    <w:uiPriority w:val="60"/>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61">
    <w:name w:val="Table Grid61"/>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1">
    <w:name w:val="Tablo Kılavuzu111"/>
    <w:basedOn w:val="TableNormal"/>
    <w:next w:val="TableGrid"/>
    <w:uiPriority w:val="39"/>
    <w:rsid w:val="00BA484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7">
    <w:name w:val="Caption7"/>
    <w:basedOn w:val="Normal"/>
    <w:next w:val="Normal"/>
    <w:uiPriority w:val="35"/>
    <w:semiHidden/>
    <w:unhideWhenUsed/>
    <w:qFormat/>
    <w:rsid w:val="00BA4848"/>
    <w:pPr>
      <w:widowControl w:val="0"/>
      <w:spacing w:after="200" w:line="240" w:lineRule="auto"/>
      <w:jc w:val="both"/>
    </w:pPr>
    <w:rPr>
      <w:rFonts w:ascii="Times New Roman" w:eastAsia="MS Gothic" w:hAnsi="Times New Roman" w:cs="Times New Roman"/>
      <w:i/>
      <w:iCs/>
      <w:color w:val="44546A"/>
      <w:sz w:val="18"/>
      <w:szCs w:val="18"/>
      <w:lang w:eastAsia="fr-FR" w:bidi="fr-FR"/>
    </w:rPr>
  </w:style>
  <w:style w:type="paragraph" w:customStyle="1" w:styleId="IndexHeading7">
    <w:name w:val="Index Heading7"/>
    <w:basedOn w:val="Normal"/>
    <w:next w:val="Index1"/>
    <w:uiPriority w:val="99"/>
    <w:semiHidden/>
    <w:unhideWhenUsed/>
    <w:rsid w:val="00BA4848"/>
    <w:pPr>
      <w:widowControl w:val="0"/>
      <w:spacing w:after="0" w:line="240" w:lineRule="auto"/>
      <w:jc w:val="both"/>
    </w:pPr>
    <w:rPr>
      <w:rFonts w:ascii="Arial" w:eastAsia="MS Gothic" w:hAnsi="Arial" w:cs="Times New Roman"/>
      <w:b/>
      <w:bCs/>
      <w:color w:val="000000"/>
      <w:sz w:val="24"/>
      <w:szCs w:val="24"/>
      <w:lang w:eastAsia="fr-FR" w:bidi="fr-FR"/>
    </w:rPr>
  </w:style>
  <w:style w:type="paragraph" w:customStyle="1" w:styleId="TOAHeading7">
    <w:name w:val="TOA Heading7"/>
    <w:basedOn w:val="Normal"/>
    <w:next w:val="Normal"/>
    <w:uiPriority w:val="99"/>
    <w:semiHidden/>
    <w:unhideWhenUsed/>
    <w:rsid w:val="00BA4848"/>
    <w:pPr>
      <w:widowControl w:val="0"/>
      <w:spacing w:before="120" w:after="0" w:line="240" w:lineRule="auto"/>
      <w:jc w:val="both"/>
    </w:pPr>
    <w:rPr>
      <w:rFonts w:ascii="Arial" w:eastAsia="MS Gothic" w:hAnsi="Arial" w:cs="Times New Roman"/>
      <w:b/>
      <w:bCs/>
      <w:color w:val="000000"/>
      <w:sz w:val="24"/>
      <w:szCs w:val="24"/>
      <w:lang w:eastAsia="fr-FR" w:bidi="fr-FR"/>
    </w:rPr>
  </w:style>
  <w:style w:type="table" w:customStyle="1" w:styleId="TableGrid71">
    <w:name w:val="Table Grid71"/>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BA4848"/>
    <w:pPr>
      <w:widowControl w:val="0"/>
      <w:spacing w:after="0" w:line="240" w:lineRule="auto"/>
      <w:jc w:val="both"/>
    </w:pPr>
    <w:rPr>
      <w:rFonts w:ascii="Times New Roman" w:eastAsia="MS Gothic" w:hAnsi="Times New Roman" w:cs="Times New Roman"/>
      <w:color w:val="000000"/>
      <w:sz w:val="24"/>
      <w:szCs w:val="24"/>
      <w:lang w:eastAsia="fr-FR" w:bidi="fr-FR"/>
    </w:rPr>
  </w:style>
  <w:style w:type="paragraph" w:styleId="IndexHeading">
    <w:name w:val="index heading"/>
    <w:basedOn w:val="Normal"/>
    <w:next w:val="Index1"/>
    <w:uiPriority w:val="99"/>
    <w:semiHidden/>
    <w:unhideWhenUsed/>
    <w:rsid w:val="00BA4848"/>
    <w:pPr>
      <w:widowControl w:val="0"/>
      <w:spacing w:after="0" w:line="240" w:lineRule="auto"/>
      <w:jc w:val="both"/>
    </w:pPr>
    <w:rPr>
      <w:rFonts w:ascii="Arial" w:eastAsia="MS Gothic" w:hAnsi="Arial" w:cs="Times New Roman"/>
      <w:b/>
      <w:bCs/>
      <w:color w:val="000000"/>
      <w:sz w:val="24"/>
      <w:szCs w:val="24"/>
      <w:lang w:eastAsia="fr-FR" w:bidi="fr-FR"/>
    </w:rPr>
  </w:style>
  <w:style w:type="paragraph" w:customStyle="1" w:styleId="Caption8">
    <w:name w:val="Caption8"/>
    <w:basedOn w:val="Normal"/>
    <w:next w:val="Normal"/>
    <w:uiPriority w:val="35"/>
    <w:semiHidden/>
    <w:unhideWhenUsed/>
    <w:qFormat/>
    <w:rsid w:val="00BA4848"/>
    <w:pPr>
      <w:widowControl w:val="0"/>
      <w:spacing w:after="200" w:line="240" w:lineRule="auto"/>
      <w:jc w:val="both"/>
    </w:pPr>
    <w:rPr>
      <w:rFonts w:ascii="Times New Roman" w:eastAsia="MS Gothic" w:hAnsi="Times New Roman" w:cs="Times New Roman"/>
      <w:i/>
      <w:iCs/>
      <w:color w:val="44546A"/>
      <w:sz w:val="18"/>
      <w:szCs w:val="18"/>
      <w:lang w:eastAsia="fr-FR" w:bidi="fr-FR"/>
    </w:rPr>
  </w:style>
  <w:style w:type="paragraph" w:styleId="TOAHeading">
    <w:name w:val="toa heading"/>
    <w:basedOn w:val="Normal"/>
    <w:next w:val="Normal"/>
    <w:uiPriority w:val="99"/>
    <w:semiHidden/>
    <w:unhideWhenUsed/>
    <w:rsid w:val="00BA4848"/>
    <w:pPr>
      <w:widowControl w:val="0"/>
      <w:spacing w:before="120" w:after="0" w:line="240" w:lineRule="auto"/>
      <w:jc w:val="both"/>
    </w:pPr>
    <w:rPr>
      <w:rFonts w:ascii="Arial" w:eastAsia="MS Gothic" w:hAnsi="Arial" w:cs="Times New Roman"/>
      <w:b/>
      <w:bCs/>
      <w:color w:val="000000"/>
      <w:sz w:val="24"/>
      <w:szCs w:val="24"/>
      <w:lang w:eastAsia="fr-FR" w:bidi="fr-FR"/>
    </w:rPr>
  </w:style>
  <w:style w:type="table" w:customStyle="1" w:styleId="TableGrid81">
    <w:name w:val="Table Grid81"/>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
    <w:name w:val="Light Shading31"/>
    <w:basedOn w:val="TableNormal"/>
    <w:next w:val="LightShading"/>
    <w:uiPriority w:val="60"/>
    <w:semiHidden/>
    <w:unhideWhenUsed/>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1">
    <w:name w:val="Table Grid91"/>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eastAsia="fr-FR" w:bidi="fr-F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A4848"/>
    <w:rPr>
      <w:color w:val="954F72" w:themeColor="followedHyperlink"/>
      <w:u w:val="single"/>
    </w:rPr>
  </w:style>
  <w:style w:type="paragraph" w:styleId="Caption">
    <w:name w:val="caption"/>
    <w:basedOn w:val="Normal"/>
    <w:next w:val="Normal"/>
    <w:uiPriority w:val="35"/>
    <w:unhideWhenUsed/>
    <w:qFormat/>
    <w:rsid w:val="00BA4848"/>
    <w:pPr>
      <w:widowControl w:val="0"/>
      <w:spacing w:after="200" w:line="240" w:lineRule="auto"/>
      <w:jc w:val="both"/>
    </w:pPr>
    <w:rPr>
      <w:rFonts w:ascii="Times New Roman" w:eastAsia="MS Gothic" w:hAnsi="Times New Roman" w:cs="Times New Roman"/>
      <w:i/>
      <w:iCs/>
      <w:color w:val="44546A" w:themeColor="text2"/>
      <w:sz w:val="18"/>
      <w:szCs w:val="18"/>
      <w:lang w:eastAsia="fr-FR" w:bidi="fr-FR"/>
    </w:rPr>
  </w:style>
  <w:style w:type="table" w:customStyle="1" w:styleId="TableNormal1">
    <w:name w:val="Table Normal1"/>
    <w:uiPriority w:val="2"/>
    <w:semiHidden/>
    <w:qFormat/>
    <w:rsid w:val="00BA4848"/>
    <w:pPr>
      <w:widowControl w:val="0"/>
      <w:spacing w:after="0" w:line="240" w:lineRule="auto"/>
    </w:pPr>
    <w:rPr>
      <w:rFonts w:ascii="Calibri" w:eastAsia="Calibri" w:hAnsi="Calibri" w:cs="Arial"/>
      <w:kern w:val="0"/>
      <w14:ligatures w14:val="none"/>
    </w:rPr>
    <w:tblPr>
      <w:tblCellMar>
        <w:top w:w="0" w:type="dxa"/>
        <w:left w:w="0" w:type="dxa"/>
        <w:bottom w:w="0" w:type="dxa"/>
        <w:right w:w="0" w:type="dxa"/>
      </w:tblCellMar>
    </w:tblPr>
  </w:style>
  <w:style w:type="character" w:customStyle="1" w:styleId="UnresolvedMention2">
    <w:name w:val="Unresolved Mention2"/>
    <w:basedOn w:val="DefaultParagraphFont"/>
    <w:uiPriority w:val="99"/>
    <w:unhideWhenUsed/>
    <w:rsid w:val="00BA4848"/>
    <w:rPr>
      <w:color w:val="605E5C"/>
      <w:shd w:val="clear" w:color="auto" w:fill="E1DFDD"/>
    </w:rPr>
  </w:style>
  <w:style w:type="table" w:customStyle="1" w:styleId="LightShading5">
    <w:name w:val="Light Shading5"/>
    <w:basedOn w:val="TableNormal"/>
    <w:next w:val="LightShading"/>
    <w:uiPriority w:val="60"/>
    <w:rsid w:val="00E44533"/>
    <w:pPr>
      <w:spacing w:after="0" w:line="240" w:lineRule="auto"/>
    </w:pPr>
    <w:rPr>
      <w:rFonts w:ascii="Times New Roman" w:eastAsia="MS Gothic" w:hAnsi="Times New Roman" w:cs="Times New Roman"/>
      <w:color w:val="000000"/>
      <w:kern w:val="0"/>
      <w:sz w:val="24"/>
      <w:szCs w:val="24"/>
      <w:lang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UnresolvedMention20">
    <w:name w:val="Unresolved Mention20"/>
    <w:basedOn w:val="DefaultParagraphFont"/>
    <w:uiPriority w:val="99"/>
    <w:unhideWhenUsed/>
    <w:rsid w:val="00E44533"/>
    <w:rPr>
      <w:color w:val="605E5C"/>
      <w:shd w:val="clear" w:color="auto" w:fill="E1DFDD"/>
    </w:rPr>
  </w:style>
  <w:style w:type="paragraph" w:customStyle="1" w:styleId="xl65">
    <w:name w:val="xl65"/>
    <w:basedOn w:val="Normal"/>
    <w:rsid w:val="00E44533"/>
    <w:pPr>
      <w:pBdr>
        <w:top w:val="single" w:sz="4" w:space="0" w:color="auto"/>
        <w:left w:val="single" w:sz="4" w:space="0" w:color="auto"/>
      </w:pBdr>
      <w:shd w:val="clear" w:color="auto" w:fill="E7E6E6"/>
      <w:spacing w:before="100" w:beforeAutospacing="1" w:after="100" w:afterAutospacing="1" w:line="240" w:lineRule="auto"/>
    </w:pPr>
    <w:rPr>
      <w:rFonts w:ascii="Cambria" w:eastAsia="Times New Roman" w:hAnsi="Cambria" w:cs="Times New Roman"/>
      <w:sz w:val="16"/>
      <w:szCs w:val="16"/>
      <w:lang w:eastAsia="en-GB"/>
    </w:rPr>
  </w:style>
  <w:style w:type="paragraph" w:customStyle="1" w:styleId="xl66">
    <w:name w:val="xl66"/>
    <w:basedOn w:val="Normal"/>
    <w:rsid w:val="00E44533"/>
    <w:pPr>
      <w:pBdr>
        <w:top w:val="single" w:sz="4" w:space="0" w:color="auto"/>
        <w:right w:val="single" w:sz="4" w:space="0" w:color="auto"/>
      </w:pBdr>
      <w:shd w:val="clear" w:color="auto" w:fill="E7E6E6"/>
      <w:spacing w:before="100" w:beforeAutospacing="1" w:after="100" w:afterAutospacing="1" w:line="240" w:lineRule="auto"/>
    </w:pPr>
    <w:rPr>
      <w:rFonts w:ascii="Cambria" w:eastAsia="Times New Roman" w:hAnsi="Cambria" w:cs="Times New Roman"/>
      <w:sz w:val="16"/>
      <w:szCs w:val="16"/>
      <w:lang w:eastAsia="en-GB"/>
    </w:rPr>
  </w:style>
  <w:style w:type="paragraph" w:customStyle="1" w:styleId="xl67">
    <w:name w:val="xl67"/>
    <w:basedOn w:val="Normal"/>
    <w:rsid w:val="00E44533"/>
    <w:pPr>
      <w:spacing w:before="100" w:beforeAutospacing="1" w:after="100" w:afterAutospacing="1" w:line="240" w:lineRule="auto"/>
    </w:pPr>
    <w:rPr>
      <w:rFonts w:ascii="Cambria" w:eastAsia="Times New Roman" w:hAnsi="Cambria" w:cs="Times New Roman"/>
      <w:sz w:val="16"/>
      <w:szCs w:val="16"/>
      <w:lang w:eastAsia="en-GB"/>
    </w:rPr>
  </w:style>
  <w:style w:type="paragraph" w:customStyle="1" w:styleId="xl68">
    <w:name w:val="xl68"/>
    <w:basedOn w:val="Normal"/>
    <w:rsid w:val="00E44533"/>
    <w:pPr>
      <w:pBdr>
        <w:left w:val="single" w:sz="4" w:space="0" w:color="auto"/>
      </w:pBdr>
      <w:spacing w:before="100" w:beforeAutospacing="1" w:after="100" w:afterAutospacing="1" w:line="240" w:lineRule="auto"/>
    </w:pPr>
    <w:rPr>
      <w:rFonts w:ascii="Cambria" w:eastAsia="Times New Roman" w:hAnsi="Cambria" w:cs="Times New Roman"/>
      <w:sz w:val="16"/>
      <w:szCs w:val="16"/>
      <w:lang w:eastAsia="en-GB"/>
    </w:rPr>
  </w:style>
  <w:style w:type="paragraph" w:customStyle="1" w:styleId="xl69">
    <w:name w:val="xl69"/>
    <w:basedOn w:val="Normal"/>
    <w:uiPriority w:val="99"/>
    <w:rsid w:val="00E44533"/>
    <w:pPr>
      <w:pBdr>
        <w:right w:val="single" w:sz="4" w:space="0" w:color="auto"/>
      </w:pBdr>
      <w:spacing w:before="100" w:beforeAutospacing="1" w:after="100" w:afterAutospacing="1" w:line="240" w:lineRule="auto"/>
    </w:pPr>
    <w:rPr>
      <w:rFonts w:ascii="Cambria" w:eastAsia="Times New Roman" w:hAnsi="Cambria" w:cs="Times New Roman"/>
      <w:sz w:val="16"/>
      <w:szCs w:val="16"/>
      <w:lang w:eastAsia="en-GB"/>
    </w:rPr>
  </w:style>
  <w:style w:type="paragraph" w:customStyle="1" w:styleId="xl70">
    <w:name w:val="xl70"/>
    <w:basedOn w:val="Normal"/>
    <w:uiPriority w:val="99"/>
    <w:rsid w:val="00E44533"/>
    <w:pPr>
      <w:pBdr>
        <w:left w:val="single" w:sz="4" w:space="0" w:color="auto"/>
      </w:pBdr>
      <w:spacing w:before="100" w:beforeAutospacing="1" w:after="100" w:afterAutospacing="1" w:line="240" w:lineRule="auto"/>
    </w:pPr>
    <w:rPr>
      <w:rFonts w:ascii="Cambria" w:eastAsia="Times New Roman" w:hAnsi="Cambria" w:cs="Times New Roman"/>
      <w:sz w:val="16"/>
      <w:szCs w:val="16"/>
      <w:lang w:eastAsia="en-GB"/>
    </w:rPr>
  </w:style>
  <w:style w:type="paragraph" w:customStyle="1" w:styleId="xl71">
    <w:name w:val="xl71"/>
    <w:basedOn w:val="Normal"/>
    <w:uiPriority w:val="99"/>
    <w:rsid w:val="00E44533"/>
    <w:pPr>
      <w:pBdr>
        <w:left w:val="single" w:sz="4" w:space="0" w:color="auto"/>
        <w:bottom w:val="single" w:sz="4" w:space="0" w:color="auto"/>
      </w:pBdr>
      <w:spacing w:before="100" w:beforeAutospacing="1" w:after="100" w:afterAutospacing="1" w:line="240" w:lineRule="auto"/>
    </w:pPr>
    <w:rPr>
      <w:rFonts w:ascii="Cambria" w:eastAsia="Times New Roman" w:hAnsi="Cambria" w:cs="Times New Roman"/>
      <w:sz w:val="16"/>
      <w:szCs w:val="16"/>
      <w:lang w:eastAsia="en-GB"/>
    </w:rPr>
  </w:style>
  <w:style w:type="paragraph" w:customStyle="1" w:styleId="xl72">
    <w:name w:val="xl72"/>
    <w:basedOn w:val="Normal"/>
    <w:uiPriority w:val="99"/>
    <w:rsid w:val="00E44533"/>
    <w:pPr>
      <w:pBdr>
        <w:bottom w:val="single" w:sz="4" w:space="0" w:color="auto"/>
        <w:right w:val="single" w:sz="4" w:space="0" w:color="auto"/>
      </w:pBdr>
      <w:spacing w:before="100" w:beforeAutospacing="1" w:after="100" w:afterAutospacing="1" w:line="240" w:lineRule="auto"/>
    </w:pPr>
    <w:rPr>
      <w:rFonts w:ascii="Cambria" w:eastAsia="Times New Roman" w:hAnsi="Cambria" w:cs="Times New Roman"/>
      <w:sz w:val="16"/>
      <w:szCs w:val="16"/>
      <w:lang w:eastAsia="en-GB"/>
    </w:rPr>
  </w:style>
  <w:style w:type="table" w:customStyle="1" w:styleId="TableGrid19">
    <w:name w:val="Table Grid19"/>
    <w:basedOn w:val="TableNormal"/>
    <w:next w:val="TableGrid"/>
    <w:uiPriority w:val="39"/>
    <w:rsid w:val="002660D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2660D0"/>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2660D0"/>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39"/>
    <w:rsid w:val="002660D0"/>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2660D0"/>
    <w:pPr>
      <w:spacing w:after="0" w:line="240" w:lineRule="auto"/>
    </w:pPr>
    <w:rPr>
      <w:rFonts w:ascii="Times New Roman" w:eastAsia="MS Gothic"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oduction">
    <w:name w:val="troduction"/>
    <w:basedOn w:val="Normal"/>
    <w:link w:val="troductionChar"/>
    <w:qFormat/>
    <w:rsid w:val="002660D0"/>
    <w:pPr>
      <w:spacing w:after="0" w:line="240" w:lineRule="auto"/>
    </w:pPr>
    <w:rPr>
      <w:rFonts w:ascii="Cambria" w:eastAsia="MS Gothic" w:hAnsi="Cambria" w:cs="Times New Roman"/>
      <w:b/>
      <w:smallCaps/>
      <w:sz w:val="20"/>
      <w:szCs w:val="20"/>
      <w:lang w:eastAsia="fr-FR" w:bidi="fr-FR"/>
    </w:rPr>
  </w:style>
  <w:style w:type="character" w:customStyle="1" w:styleId="troductionChar">
    <w:name w:val="troduction Char"/>
    <w:link w:val="troduction"/>
    <w:rsid w:val="002660D0"/>
    <w:rPr>
      <w:rFonts w:ascii="Cambria" w:eastAsia="MS Gothic" w:hAnsi="Cambria" w:cs="Times New Roman"/>
      <w:b/>
      <w:smallCaps/>
      <w:kern w:val="0"/>
      <w:sz w:val="20"/>
      <w:szCs w:val="20"/>
      <w:lang w:val="es-ES" w:eastAsia="fr-FR" w:bidi="fr-FR"/>
      <w14:ligatures w14:val="none"/>
    </w:rPr>
  </w:style>
  <w:style w:type="character" w:customStyle="1" w:styleId="ListChar">
    <w:name w:val="List Char"/>
    <w:basedOn w:val="DefaultParagraphFont"/>
    <w:link w:val="List"/>
    <w:uiPriority w:val="99"/>
    <w:semiHidden/>
    <w:rsid w:val="002660D0"/>
    <w:rPr>
      <w:rFonts w:ascii="Times New Roman" w:eastAsia="MS Gothic" w:hAnsi="Times New Roman" w:cs="Times New Roman"/>
      <w:color w:val="000000"/>
      <w:kern w:val="0"/>
      <w:sz w:val="24"/>
      <w:szCs w:val="24"/>
      <w:lang w:val="es-ES" w:eastAsia="fr-FR" w:bidi="fr-FR"/>
      <w14:ligatures w14:val="none"/>
    </w:rPr>
  </w:style>
  <w:style w:type="table" w:customStyle="1" w:styleId="LightShading6">
    <w:name w:val="Light Shading6"/>
    <w:basedOn w:val="TableNormal"/>
    <w:next w:val="LightShading"/>
    <w:uiPriority w:val="60"/>
    <w:rsid w:val="002660D0"/>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Heading2bis">
    <w:name w:val="Heading 2bis"/>
    <w:basedOn w:val="Heading1bis"/>
    <w:link w:val="Heading2bisChar"/>
    <w:qFormat/>
    <w:rsid w:val="002660D0"/>
    <w:pPr>
      <w:numPr>
        <w:ilvl w:val="1"/>
        <w:numId w:val="19"/>
      </w:numPr>
    </w:pPr>
    <w:rPr>
      <w:smallCaps w:val="0"/>
    </w:rPr>
  </w:style>
  <w:style w:type="paragraph" w:customStyle="1" w:styleId="Heading3bis">
    <w:name w:val="Heading 3bis"/>
    <w:basedOn w:val="Heading2bis"/>
    <w:link w:val="Heading3bisChar"/>
    <w:qFormat/>
    <w:rsid w:val="002660D0"/>
    <w:pPr>
      <w:numPr>
        <w:ilvl w:val="2"/>
      </w:numPr>
    </w:pPr>
    <w:rPr>
      <w:b w:val="0"/>
      <w:i/>
    </w:rPr>
  </w:style>
  <w:style w:type="character" w:customStyle="1" w:styleId="Heading2bisChar">
    <w:name w:val="Heading 2bis Char"/>
    <w:link w:val="Heading2bis"/>
    <w:rsid w:val="002660D0"/>
    <w:rPr>
      <w:rFonts w:ascii="Times New Roman" w:eastAsia="MS Gothic" w:hAnsi="Times New Roman" w:cs="Times New Roman"/>
      <w:b/>
      <w:kern w:val="0"/>
      <w:sz w:val="24"/>
      <w:szCs w:val="24"/>
      <w:lang w:eastAsia="fr-FR" w:bidi="fr-FR"/>
      <w14:ligatures w14:val="none"/>
    </w:rPr>
  </w:style>
  <w:style w:type="character" w:customStyle="1" w:styleId="Heading3bisChar">
    <w:name w:val="Heading 3bis Char"/>
    <w:link w:val="Heading3bis"/>
    <w:rsid w:val="002660D0"/>
    <w:rPr>
      <w:rFonts w:ascii="Times New Roman" w:eastAsia="MS Gothic" w:hAnsi="Times New Roman" w:cs="Times New Roman"/>
      <w:i/>
      <w:kern w:val="0"/>
      <w:sz w:val="24"/>
      <w:szCs w:val="24"/>
      <w:lang w:eastAsia="fr-FR" w:bidi="fr-FR"/>
      <w14:ligatures w14:val="none"/>
    </w:rPr>
  </w:style>
  <w:style w:type="table" w:customStyle="1" w:styleId="TableGrid1a">
    <w:name w:val="TableGrid1"/>
    <w:rsid w:val="002660D0"/>
    <w:pPr>
      <w:spacing w:after="0" w:line="240" w:lineRule="auto"/>
    </w:pPr>
    <w:rPr>
      <w:rFonts w:eastAsia="Yu Mincho"/>
      <w:kern w:val="0"/>
      <w14:ligatures w14:val="none"/>
    </w:rPr>
    <w:tblPr>
      <w:tblCellMar>
        <w:top w:w="0" w:type="dxa"/>
        <w:left w:w="0" w:type="dxa"/>
        <w:bottom w:w="0" w:type="dxa"/>
        <w:right w:w="0" w:type="dxa"/>
      </w:tblCellMar>
    </w:tblPr>
  </w:style>
  <w:style w:type="table" w:customStyle="1" w:styleId="TableGrid32">
    <w:name w:val="Table Grid32"/>
    <w:basedOn w:val="TableNormal"/>
    <w:next w:val="TableGrid"/>
    <w:uiPriority w:val="39"/>
    <w:rsid w:val="002660D0"/>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2660D0"/>
    <w:pPr>
      <w:spacing w:after="0" w:line="240" w:lineRule="auto"/>
    </w:pPr>
    <w:rPr>
      <w:rFonts w:eastAsia="Yu Mincho"/>
      <w:sz w:val="21"/>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2660D0"/>
    <w:pPr>
      <w:spacing w:after="0" w:line="240" w:lineRule="auto"/>
    </w:pPr>
    <w:rPr>
      <w:rFonts w:eastAsia="Yu Mincho"/>
      <w:sz w:val="21"/>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2660D0"/>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2660D0"/>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2660D0"/>
    <w:pPr>
      <w:spacing w:after="0" w:line="240" w:lineRule="auto"/>
    </w:pPr>
    <w:rPr>
      <w:rFonts w:eastAsia="Yu Mincho"/>
      <w:sz w:val="21"/>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2660D0"/>
    <w:pPr>
      <w:spacing w:after="0" w:line="240" w:lineRule="auto"/>
    </w:pPr>
    <w:rPr>
      <w:rFonts w:ascii="Times New Roman" w:eastAsia="MS Gothic"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39"/>
    <w:rsid w:val="002660D0"/>
    <w:pPr>
      <w:spacing w:after="0" w:line="240" w:lineRule="auto"/>
    </w:pPr>
    <w:rPr>
      <w:rFonts w:eastAsia="Calibri"/>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1">
    <w:name w:val="Table Grid171"/>
    <w:basedOn w:val="TableNormal"/>
    <w:next w:val="TableGrid"/>
    <w:uiPriority w:val="39"/>
    <w:rsid w:val="002660D0"/>
    <w:pPr>
      <w:spacing w:after="0" w:line="240" w:lineRule="auto"/>
    </w:pPr>
    <w:rPr>
      <w:rFonts w:eastAsia="Calibri"/>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39"/>
    <w:rsid w:val="002660D0"/>
    <w:pPr>
      <w:spacing w:after="0" w:line="240" w:lineRule="auto"/>
    </w:pPr>
    <w:rPr>
      <w:rFonts w:eastAsia="Calibri"/>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
    <w:name w:val="Table Grid221"/>
    <w:basedOn w:val="TableNormal"/>
    <w:next w:val="TableGrid"/>
    <w:uiPriority w:val="39"/>
    <w:rsid w:val="002660D0"/>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660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2660D0"/>
  </w:style>
  <w:style w:type="character" w:customStyle="1" w:styleId="pagebreaktextspan">
    <w:name w:val="pagebreaktextspan"/>
    <w:basedOn w:val="DefaultParagraphFont"/>
    <w:rsid w:val="002660D0"/>
  </w:style>
  <w:style w:type="character" w:customStyle="1" w:styleId="superscript">
    <w:name w:val="superscript"/>
    <w:basedOn w:val="DefaultParagraphFont"/>
    <w:rsid w:val="002660D0"/>
  </w:style>
  <w:style w:type="character" w:customStyle="1" w:styleId="Mention1">
    <w:name w:val="Mention1"/>
    <w:basedOn w:val="DefaultParagraphFont"/>
    <w:uiPriority w:val="99"/>
    <w:unhideWhenUsed/>
    <w:rsid w:val="002660D0"/>
    <w:rPr>
      <w:color w:val="2B579A"/>
      <w:shd w:val="clear" w:color="auto" w:fill="E6E6E6"/>
    </w:rPr>
  </w:style>
  <w:style w:type="table" w:customStyle="1" w:styleId="TableGrid1101">
    <w:name w:val="Table Grid1101"/>
    <w:basedOn w:val="TableNormal"/>
    <w:next w:val="TableGrid"/>
    <w:uiPriority w:val="39"/>
    <w:rsid w:val="002660D0"/>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39"/>
    <w:rsid w:val="002660D0"/>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6E3A7D"/>
    <w:pPr>
      <w:spacing w:before="60" w:after="80" w:line="240" w:lineRule="auto"/>
    </w:pPr>
    <w:rPr>
      <w:rFonts w:ascii="Helvetica" w:hAnsi="Helvetica" w:cs="Times New Roman"/>
      <w:kern w:val="0"/>
      <w:szCs w:val="20"/>
      <w:lang w:eastAsia="en-GB"/>
      <w14:ligatures w14:val="none"/>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style>
  <w:style w:type="table" w:styleId="LightGrid">
    <w:name w:val="Light Grid"/>
    <w:basedOn w:val="TableNormal"/>
    <w:uiPriority w:val="62"/>
    <w:rsid w:val="006E3A7D"/>
    <w:pPr>
      <w:spacing w:after="0" w:line="240" w:lineRule="auto"/>
    </w:pPr>
    <w:rPr>
      <w:rFonts w:ascii="Helvetica" w:hAnsi="Helvetica" w:cs="Times New Roman"/>
      <w:kern w:val="0"/>
      <w:sz w:val="20"/>
      <w:szCs w:val="20"/>
      <w:lang w:eastAsia="en-GB"/>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UnresolvedMention">
    <w:name w:val="Unresolved Mention"/>
    <w:basedOn w:val="DefaultParagraphFont"/>
    <w:uiPriority w:val="99"/>
    <w:unhideWhenUsed/>
    <w:rsid w:val="00D95639"/>
    <w:rPr>
      <w:color w:val="605E5C"/>
      <w:shd w:val="clear" w:color="auto" w:fill="E1DFDD"/>
    </w:rPr>
  </w:style>
  <w:style w:type="character" w:customStyle="1" w:styleId="UnresolvedMention200">
    <w:name w:val="Unresolved Mention200"/>
    <w:basedOn w:val="DefaultParagraphFont"/>
    <w:uiPriority w:val="99"/>
    <w:semiHidden/>
    <w:unhideWhenUsed/>
    <w:rsid w:val="00B55BD1"/>
    <w:rPr>
      <w:color w:val="605E5C"/>
      <w:shd w:val="clear" w:color="auto" w:fill="E1DFDD"/>
    </w:rPr>
  </w:style>
  <w:style w:type="table" w:customStyle="1" w:styleId="TableGrid24">
    <w:name w:val="Table Grid24"/>
    <w:basedOn w:val="TableNormal"/>
    <w:next w:val="TableGrid"/>
    <w:uiPriority w:val="39"/>
    <w:rsid w:val="00DA3BB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90699D"/>
  </w:style>
  <w:style w:type="character" w:customStyle="1" w:styleId="UnresolvedMention3">
    <w:name w:val="Unresolved Mention3"/>
    <w:basedOn w:val="DefaultParagraphFont"/>
    <w:uiPriority w:val="99"/>
    <w:semiHidden/>
    <w:unhideWhenUsed/>
    <w:rsid w:val="00850AB9"/>
    <w:rPr>
      <w:color w:val="605E5C"/>
      <w:shd w:val="clear" w:color="auto" w:fill="E1DFDD"/>
    </w:rPr>
  </w:style>
  <w:style w:type="character" w:styleId="Mention">
    <w:name w:val="Mention"/>
    <w:basedOn w:val="DefaultParagraphFont"/>
    <w:uiPriority w:val="99"/>
    <w:unhideWhenUsed/>
    <w:rsid w:val="0088689B"/>
    <w:rPr>
      <w:color w:val="2B579A"/>
      <w:shd w:val="clear" w:color="auto" w:fill="E1DFDD"/>
    </w:rPr>
  </w:style>
  <w:style w:type="paragraph" w:customStyle="1" w:styleId="Paras">
    <w:name w:val="Paras"/>
    <w:basedOn w:val="Normal"/>
    <w:qFormat/>
    <w:rsid w:val="00CC3BC6"/>
    <w:pPr>
      <w:widowControl w:val="0"/>
      <w:numPr>
        <w:numId w:val="25"/>
      </w:numPr>
      <w:spacing w:after="0" w:line="240" w:lineRule="auto"/>
      <w:jc w:val="both"/>
    </w:pPr>
    <w:rPr>
      <w:rFonts w:asciiTheme="majorHAnsi" w:eastAsiaTheme="minorEastAsia" w:hAnsiTheme="majorHAnsi" w:cstheme="majorHAnsi"/>
      <w:sz w:val="24"/>
      <w:lang w:eastAsia="ja-JP"/>
    </w:rPr>
  </w:style>
  <w:style w:type="paragraph" w:customStyle="1" w:styleId="AgendaNo">
    <w:name w:val="Agenda No."/>
    <w:basedOn w:val="Normal"/>
    <w:next w:val="Normal"/>
    <w:qFormat/>
    <w:rsid w:val="00CC3BC6"/>
    <w:pPr>
      <w:widowControl w:val="0"/>
      <w:numPr>
        <w:numId w:val="26"/>
      </w:numPr>
      <w:spacing w:after="0" w:line="240" w:lineRule="auto"/>
      <w:jc w:val="both"/>
    </w:pPr>
    <w:rPr>
      <w:rFonts w:asciiTheme="majorHAnsi" w:eastAsiaTheme="minorEastAsia" w:hAnsiTheme="majorHAnsi" w:cstheme="majorHAnsi"/>
      <w:b/>
      <w:bCs/>
      <w:sz w:val="24"/>
      <w:lang w:eastAsia="ja-JP"/>
    </w:rPr>
  </w:style>
  <w:style w:type="paragraph" w:customStyle="1" w:styleId="CoverPageVenue">
    <w:name w:val="Cover Page Venue"/>
    <w:basedOn w:val="Normal"/>
    <w:qFormat/>
    <w:rsid w:val="00CC3BC6"/>
    <w:pPr>
      <w:widowControl w:val="0"/>
      <w:spacing w:before="480" w:after="480" w:line="240" w:lineRule="auto"/>
      <w:jc w:val="center"/>
    </w:pPr>
    <w:rPr>
      <w:rFonts w:ascii="Times New Roman" w:eastAsiaTheme="minorEastAsia" w:hAnsi="Times New Roman"/>
      <w:sz w:val="36"/>
      <w:lang w:eastAsia="ja-JP"/>
    </w:rPr>
  </w:style>
  <w:style w:type="paragraph" w:customStyle="1" w:styleId="CoverPageVenueDate">
    <w:name w:val="Cover Page Venue / Date"/>
    <w:basedOn w:val="Normal"/>
    <w:qFormat/>
    <w:rsid w:val="00CC3BC6"/>
    <w:pPr>
      <w:widowControl w:val="0"/>
      <w:spacing w:before="720" w:after="720" w:line="240" w:lineRule="auto"/>
      <w:jc w:val="center"/>
    </w:pPr>
    <w:rPr>
      <w:rFonts w:ascii="Times New Roman" w:eastAsiaTheme="minorEastAsia" w:hAnsi="Times New Roman"/>
      <w:sz w:val="36"/>
      <w:lang w:eastAsia="ja-JP"/>
    </w:rPr>
  </w:style>
  <w:style w:type="paragraph" w:customStyle="1" w:styleId="CoverPageMeetingName">
    <w:name w:val="Cover Page Meeting Name"/>
    <w:basedOn w:val="Normal"/>
    <w:qFormat/>
    <w:rsid w:val="00CC3BC6"/>
    <w:pPr>
      <w:widowControl w:val="0"/>
      <w:spacing w:after="0" w:line="240" w:lineRule="auto"/>
      <w:jc w:val="center"/>
    </w:pPr>
    <w:rPr>
      <w:rFonts w:ascii="Times New Roman" w:eastAsiaTheme="minorEastAsia" w:hAnsi="Times New Roman"/>
      <w:sz w:val="48"/>
      <w:lang w:eastAsia="ja-JP"/>
    </w:rPr>
  </w:style>
  <w:style w:type="paragraph" w:customStyle="1" w:styleId="AgendaSubheading">
    <w:name w:val="Agenda Subheading"/>
    <w:basedOn w:val="Normal"/>
    <w:next w:val="Normal"/>
    <w:qFormat/>
    <w:rsid w:val="00CC3BC6"/>
    <w:pPr>
      <w:widowControl w:val="0"/>
      <w:spacing w:before="120" w:after="0" w:line="240" w:lineRule="auto"/>
      <w:jc w:val="both"/>
    </w:pPr>
    <w:rPr>
      <w:rFonts w:ascii="Calibri" w:eastAsiaTheme="minorEastAsia" w:hAnsi="Calibri"/>
      <w:b/>
      <w:sz w:val="24"/>
      <w:lang w:eastAsia="ja-JP"/>
    </w:rPr>
  </w:style>
  <w:style w:type="paragraph" w:customStyle="1" w:styleId="AgendaSub-subheading">
    <w:name w:val="Agenda Sub-subheading"/>
    <w:basedOn w:val="Normal"/>
    <w:qFormat/>
    <w:rsid w:val="00CC3BC6"/>
    <w:pPr>
      <w:widowControl w:val="0"/>
      <w:spacing w:after="0" w:line="240" w:lineRule="auto"/>
      <w:jc w:val="both"/>
    </w:pPr>
    <w:rPr>
      <w:rFonts w:ascii="Calibri" w:eastAsiaTheme="minorEastAsia" w:hAnsi="Calibri"/>
      <w:b/>
      <w:sz w:val="24"/>
      <w:lang w:eastAsia="ja-JP"/>
    </w:rPr>
  </w:style>
  <w:style w:type="paragraph" w:customStyle="1" w:styleId="SIOFAPara">
    <w:name w:val="SIOFA Para"/>
    <w:basedOn w:val="Normal"/>
    <w:autoRedefine/>
    <w:qFormat/>
    <w:rsid w:val="00CC3BC6"/>
    <w:pPr>
      <w:widowControl w:val="0"/>
      <w:numPr>
        <w:numId w:val="27"/>
      </w:numPr>
      <w:spacing w:after="0" w:line="240" w:lineRule="auto"/>
    </w:pPr>
    <w:rPr>
      <w:rFonts w:ascii="Calibri" w:eastAsiaTheme="minorEastAsia" w:hAnsi="Calibri"/>
      <w:sz w:val="24"/>
      <w:lang w:eastAsia="ja-JP"/>
    </w:rPr>
  </w:style>
  <w:style w:type="paragraph" w:customStyle="1" w:styleId="AgendaAnnexHeading">
    <w:name w:val="Agenda / Annex Heading"/>
    <w:basedOn w:val="Normal"/>
    <w:next w:val="Normal"/>
    <w:qFormat/>
    <w:rsid w:val="00CC3BC6"/>
    <w:pPr>
      <w:widowControl w:val="0"/>
      <w:spacing w:before="120" w:after="0" w:line="240" w:lineRule="auto"/>
      <w:jc w:val="both"/>
    </w:pPr>
    <w:rPr>
      <w:rFonts w:ascii="Calibri" w:eastAsiaTheme="minorEastAsia" w:hAnsi="Calibri"/>
      <w:b/>
      <w:sz w:val="28"/>
      <w:lang w:eastAsia="ja-JP"/>
    </w:rPr>
  </w:style>
  <w:style w:type="paragraph" w:customStyle="1" w:styleId="ICCATAgenda">
    <w:name w:val="ICCAT Agenda"/>
    <w:basedOn w:val="Normal"/>
    <w:qFormat/>
    <w:rsid w:val="00CC3BC6"/>
    <w:pPr>
      <w:widowControl w:val="0"/>
      <w:numPr>
        <w:numId w:val="28"/>
      </w:numPr>
      <w:spacing w:after="0" w:line="240" w:lineRule="auto"/>
      <w:jc w:val="both"/>
    </w:pPr>
    <w:rPr>
      <w:rFonts w:ascii="Times New Roman" w:eastAsiaTheme="minorEastAsia" w:hAnsi="Times New Roman"/>
      <w:b/>
      <w:bCs/>
      <w:sz w:val="24"/>
      <w:lang w:eastAsia="ja-JP"/>
    </w:rPr>
  </w:style>
  <w:style w:type="numbering" w:customStyle="1" w:styleId="NoList1">
    <w:name w:val="No List1"/>
    <w:next w:val="NoList"/>
    <w:uiPriority w:val="99"/>
    <w:semiHidden/>
    <w:unhideWhenUsed/>
    <w:rsid w:val="009123AC"/>
  </w:style>
  <w:style w:type="numbering" w:customStyle="1" w:styleId="NoList11">
    <w:name w:val="No List11"/>
    <w:next w:val="NoList"/>
    <w:uiPriority w:val="99"/>
    <w:semiHidden/>
    <w:unhideWhenUsed/>
    <w:rsid w:val="009123AC"/>
  </w:style>
  <w:style w:type="numbering" w:customStyle="1" w:styleId="NoList2">
    <w:name w:val="No List2"/>
    <w:next w:val="NoList"/>
    <w:uiPriority w:val="99"/>
    <w:semiHidden/>
    <w:unhideWhenUsed/>
    <w:rsid w:val="009123AC"/>
  </w:style>
  <w:style w:type="paragraph" w:customStyle="1" w:styleId="Footer1">
    <w:name w:val="Footer1"/>
    <w:basedOn w:val="Footer"/>
    <w:link w:val="footerChar0"/>
    <w:qFormat/>
    <w:rsid w:val="009123AC"/>
    <w:rPr>
      <w:rFonts w:eastAsiaTheme="minorEastAsia"/>
      <w:lang w:eastAsia="ja-JP"/>
    </w:rPr>
  </w:style>
  <w:style w:type="character" w:customStyle="1" w:styleId="footerChar0">
    <w:name w:val="footer Char"/>
    <w:basedOn w:val="FooterChar"/>
    <w:link w:val="Footer1"/>
    <w:rsid w:val="009123AC"/>
    <w:rPr>
      <w:rFonts w:eastAsiaTheme="minorEastAsia"/>
      <w:kern w:val="0"/>
      <w:lang w:val="es-ES" w:eastAsia="ja-JP"/>
      <w14:ligatures w14:val="none"/>
    </w:rPr>
  </w:style>
  <w:style w:type="numbering" w:customStyle="1" w:styleId="NoList111">
    <w:name w:val="No List111"/>
    <w:next w:val="NoList"/>
    <w:uiPriority w:val="99"/>
    <w:semiHidden/>
    <w:unhideWhenUsed/>
    <w:rsid w:val="009123AC"/>
  </w:style>
  <w:style w:type="paragraph" w:customStyle="1" w:styleId="BalloonText1">
    <w:name w:val="Balloon Text1"/>
    <w:basedOn w:val="Normal"/>
    <w:next w:val="BalloonText"/>
    <w:uiPriority w:val="99"/>
    <w:semiHidden/>
    <w:unhideWhenUsed/>
    <w:rsid w:val="009123AC"/>
    <w:pPr>
      <w:widowControl w:val="0"/>
      <w:spacing w:after="0" w:line="240" w:lineRule="auto"/>
      <w:jc w:val="both"/>
    </w:pPr>
    <w:rPr>
      <w:rFonts w:ascii="Arial" w:eastAsia="MS Gothic" w:hAnsi="Arial" w:cs="Times New Roman"/>
      <w:sz w:val="18"/>
      <w:szCs w:val="18"/>
      <w:lang w:val="es-ES_tradnl"/>
    </w:rPr>
  </w:style>
  <w:style w:type="character" w:customStyle="1" w:styleId="BalloonTextChar1">
    <w:name w:val="Balloon Text Char1"/>
    <w:basedOn w:val="DefaultParagraphFont"/>
    <w:uiPriority w:val="99"/>
    <w:rsid w:val="009123AC"/>
    <w:rPr>
      <w:rFonts w:ascii="Segoe UI" w:eastAsia="Times New Roman" w:hAnsi="Segoe UI" w:cs="Segoe UI"/>
      <w:sz w:val="18"/>
      <w:szCs w:val="18"/>
      <w:lang w:val="es-ES_tradnl"/>
      <w14:ligatures w14:val="none"/>
    </w:rPr>
  </w:style>
  <w:style w:type="paragraph" w:customStyle="1" w:styleId="Heading11">
    <w:name w:val="Heading 11"/>
    <w:basedOn w:val="Normal"/>
    <w:next w:val="Normal"/>
    <w:uiPriority w:val="9"/>
    <w:qFormat/>
    <w:rsid w:val="009123AC"/>
    <w:pPr>
      <w:keepNext/>
      <w:keepLines/>
      <w:spacing w:before="240" w:after="0" w:line="240" w:lineRule="auto"/>
      <w:outlineLvl w:val="0"/>
    </w:pPr>
    <w:rPr>
      <w:rFonts w:ascii="Arial" w:eastAsia="MS Gothic" w:hAnsi="Arial" w:cs="Times New Roman"/>
      <w:color w:val="2E74B5"/>
      <w:sz w:val="32"/>
      <w:szCs w:val="32"/>
      <w:lang w:eastAsia="fr-FR" w:bidi="fr-FR"/>
    </w:rPr>
  </w:style>
  <w:style w:type="paragraph" w:customStyle="1" w:styleId="Heading31">
    <w:name w:val="Heading 31"/>
    <w:basedOn w:val="Normal"/>
    <w:next w:val="Normal"/>
    <w:uiPriority w:val="9"/>
    <w:semiHidden/>
    <w:unhideWhenUsed/>
    <w:qFormat/>
    <w:rsid w:val="009123AC"/>
    <w:pPr>
      <w:keepNext/>
      <w:keepLines/>
      <w:spacing w:before="40" w:after="0" w:line="240" w:lineRule="auto"/>
      <w:outlineLvl w:val="2"/>
    </w:pPr>
    <w:rPr>
      <w:rFonts w:ascii="Arial" w:eastAsia="MS Gothic" w:hAnsi="Arial" w:cs="Times New Roman"/>
      <w:color w:val="1F4D78"/>
      <w:sz w:val="24"/>
      <w:szCs w:val="24"/>
      <w:lang w:eastAsia="fr-FR" w:bidi="fr-FR"/>
    </w:rPr>
  </w:style>
  <w:style w:type="numbering" w:customStyle="1" w:styleId="NoList21">
    <w:name w:val="No List21"/>
    <w:next w:val="NoList"/>
    <w:uiPriority w:val="99"/>
    <w:semiHidden/>
    <w:unhideWhenUsed/>
    <w:rsid w:val="009123AC"/>
  </w:style>
  <w:style w:type="table" w:customStyle="1" w:styleId="LightShading111">
    <w:name w:val="Light Shading111"/>
    <w:basedOn w:val="TableNormal"/>
    <w:next w:val="LightShading"/>
    <w:uiPriority w:val="60"/>
    <w:unhideWhenUsed/>
    <w:rsid w:val="009123AC"/>
    <w:pPr>
      <w:spacing w:after="0" w:line="240" w:lineRule="auto"/>
    </w:pPr>
    <w:rPr>
      <w:rFonts w:ascii="Times New Roman" w:eastAsia="MS Gothic" w:hAnsi="Times New Roman" w:cs="Times New Roman"/>
      <w:color w:val="000000"/>
      <w:kern w:val="0"/>
      <w:sz w:val="24"/>
      <w:szCs w:val="24"/>
      <w:lang w:eastAsia="fr-FR" w:bidi="fr-FR"/>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Heading1Char1">
    <w:name w:val="Heading 1 Char1"/>
    <w:basedOn w:val="DefaultParagraphFont"/>
    <w:uiPriority w:val="9"/>
    <w:rsid w:val="009123AC"/>
    <w:rPr>
      <w:rFonts w:asciiTheme="majorHAnsi" w:eastAsiaTheme="majorEastAsia" w:hAnsiTheme="majorHAnsi" w:cstheme="majorBidi"/>
      <w:color w:val="2F5496" w:themeColor="accent1" w:themeShade="BF"/>
      <w:kern w:val="2"/>
      <w:sz w:val="32"/>
      <w:szCs w:val="32"/>
      <w:lang w:eastAsia="ja-JP"/>
    </w:rPr>
  </w:style>
  <w:style w:type="character" w:customStyle="1" w:styleId="Heading3Char1">
    <w:name w:val="Heading 3 Char1"/>
    <w:basedOn w:val="DefaultParagraphFont"/>
    <w:semiHidden/>
    <w:rsid w:val="009123AC"/>
    <w:rPr>
      <w:rFonts w:asciiTheme="majorHAnsi" w:eastAsiaTheme="majorEastAsia" w:hAnsiTheme="majorHAnsi" w:cstheme="majorBidi"/>
      <w:color w:val="1F3763" w:themeColor="accent1" w:themeShade="7F"/>
      <w:kern w:val="2"/>
      <w:sz w:val="24"/>
      <w:szCs w:val="24"/>
      <w:lang w:eastAsia="ja-JP"/>
    </w:rPr>
  </w:style>
  <w:style w:type="table" w:customStyle="1" w:styleId="LightShading7">
    <w:name w:val="Light Shading7"/>
    <w:basedOn w:val="TableNormal"/>
    <w:next w:val="LightShading"/>
    <w:uiPriority w:val="60"/>
    <w:unhideWhenUsed/>
    <w:rsid w:val="009123AC"/>
    <w:pPr>
      <w:spacing w:after="0" w:line="240" w:lineRule="auto"/>
    </w:pPr>
    <w:rPr>
      <w:rFonts w:eastAsia="Times New Roman"/>
      <w:color w:val="000000" w:themeColor="text1" w:themeShade="BF"/>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13">
    <w:name w:val="Table Grid113"/>
    <w:basedOn w:val="TableNormal"/>
    <w:next w:val="TableGrid"/>
    <w:uiPriority w:val="39"/>
    <w:rsid w:val="009123AC"/>
    <w:pPr>
      <w:spacing w:after="0" w:line="240" w:lineRule="auto"/>
    </w:pPr>
    <w:rPr>
      <w:rFonts w:ascii="Cambria" w:eastAsia="Calibri" w:hAnsi="Cambria" w:cs="Times New Roman"/>
      <w:kern w:val="0"/>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REC">
    <w:name w:val="TITULO REC"/>
    <w:basedOn w:val="Normal"/>
    <w:link w:val="TITULORECChar"/>
    <w:qFormat/>
    <w:rsid w:val="009123AC"/>
    <w:pPr>
      <w:widowControl w:val="0"/>
      <w:pBdr>
        <w:top w:val="double" w:sz="4" w:space="1" w:color="auto"/>
        <w:left w:val="double" w:sz="4" w:space="4" w:color="auto"/>
        <w:bottom w:val="double" w:sz="4" w:space="1" w:color="auto"/>
        <w:right w:val="double" w:sz="4" w:space="4" w:color="auto"/>
      </w:pBdr>
      <w:tabs>
        <w:tab w:val="left" w:pos="8505"/>
      </w:tabs>
      <w:autoSpaceDE w:val="0"/>
      <w:autoSpaceDN w:val="0"/>
      <w:spacing w:after="0" w:line="240" w:lineRule="auto"/>
      <w:jc w:val="center"/>
    </w:pPr>
    <w:rPr>
      <w:rFonts w:ascii="Times New Roman" w:eastAsia="Times New Roman" w:hAnsi="Times New Roman" w:cs="Times New Roman"/>
      <w:b/>
      <w:sz w:val="20"/>
      <w:szCs w:val="20"/>
      <w:lang w:val="es-ES_tradnl" w:eastAsia="es-ES"/>
    </w:rPr>
  </w:style>
  <w:style w:type="character" w:customStyle="1" w:styleId="TITULORECChar">
    <w:name w:val="TITULO REC Char"/>
    <w:basedOn w:val="DefaultParagraphFont"/>
    <w:link w:val="TITULOREC"/>
    <w:rsid w:val="009123AC"/>
    <w:rPr>
      <w:rFonts w:ascii="Times New Roman" w:eastAsia="Times New Roman" w:hAnsi="Times New Roman" w:cs="Times New Roman"/>
      <w:b/>
      <w:kern w:val="0"/>
      <w:sz w:val="20"/>
      <w:szCs w:val="20"/>
      <w:lang w:val="es-ES_tradnl" w:eastAsia="es-ES"/>
      <w14:ligatures w14:val="none"/>
    </w:rPr>
  </w:style>
  <w:style w:type="paragraph" w:customStyle="1" w:styleId="Heading21">
    <w:name w:val="Heading 21"/>
    <w:basedOn w:val="Normal"/>
    <w:next w:val="Normal"/>
    <w:semiHidden/>
    <w:unhideWhenUsed/>
    <w:qFormat/>
    <w:rsid w:val="009123AC"/>
    <w:pPr>
      <w:keepNext/>
      <w:keepLines/>
      <w:widowControl w:val="0"/>
      <w:autoSpaceDE w:val="0"/>
      <w:autoSpaceDN w:val="0"/>
      <w:adjustRightInd w:val="0"/>
      <w:spacing w:before="200" w:after="0" w:line="240" w:lineRule="auto"/>
      <w:outlineLvl w:val="1"/>
    </w:pPr>
    <w:rPr>
      <w:rFonts w:ascii="Cambria" w:eastAsia="Times New Roman" w:hAnsi="Cambria" w:cs="Times New Roman"/>
      <w:b/>
      <w:bCs/>
      <w:color w:val="4F81BD"/>
      <w:sz w:val="26"/>
      <w:szCs w:val="26"/>
      <w:lang w:val="fr-FR"/>
    </w:rPr>
  </w:style>
  <w:style w:type="paragraph" w:customStyle="1" w:styleId="Heading41">
    <w:name w:val="Heading 41"/>
    <w:basedOn w:val="Normal"/>
    <w:next w:val="Normal"/>
    <w:semiHidden/>
    <w:unhideWhenUsed/>
    <w:qFormat/>
    <w:rsid w:val="009123AC"/>
    <w:pPr>
      <w:keepNext/>
      <w:keepLines/>
      <w:widowControl w:val="0"/>
      <w:autoSpaceDE w:val="0"/>
      <w:autoSpaceDN w:val="0"/>
      <w:adjustRightInd w:val="0"/>
      <w:spacing w:before="200" w:after="0" w:line="240" w:lineRule="auto"/>
      <w:outlineLvl w:val="3"/>
    </w:pPr>
    <w:rPr>
      <w:rFonts w:ascii="Cambria" w:eastAsia="Times New Roman" w:hAnsi="Cambria" w:cs="Times New Roman"/>
      <w:b/>
      <w:bCs/>
      <w:i/>
      <w:iCs/>
      <w:color w:val="4F81BD"/>
      <w:sz w:val="20"/>
      <w:szCs w:val="20"/>
      <w:lang w:val="fr-FR"/>
    </w:rPr>
  </w:style>
  <w:style w:type="paragraph" w:customStyle="1" w:styleId="ListParagraph1">
    <w:name w:val="List Paragraph1"/>
    <w:basedOn w:val="Normal"/>
    <w:next w:val="ListParagraph"/>
    <w:uiPriority w:val="34"/>
    <w:qFormat/>
    <w:rsid w:val="009123AC"/>
    <w:pPr>
      <w:spacing w:before="240" w:after="60" w:line="276" w:lineRule="auto"/>
      <w:ind w:left="720" w:hanging="360"/>
      <w:contextualSpacing/>
      <w:jc w:val="both"/>
    </w:pPr>
    <w:rPr>
      <w:rFonts w:ascii="Times New Roman" w:eastAsiaTheme="minorHAnsi" w:hAnsi="Times New Roman" w:cs="Times New Roman"/>
      <w:b/>
      <w:i/>
      <w:szCs w:val="18"/>
      <w:lang w:val="fr-FR"/>
    </w:rPr>
  </w:style>
  <w:style w:type="character" w:customStyle="1" w:styleId="Hyperlink1">
    <w:name w:val="Hyperlink1"/>
    <w:basedOn w:val="DefaultParagraphFont"/>
    <w:uiPriority w:val="99"/>
    <w:unhideWhenUsed/>
    <w:rsid w:val="009123AC"/>
    <w:rPr>
      <w:color w:val="0000FF"/>
      <w:u w:val="single"/>
    </w:rPr>
  </w:style>
  <w:style w:type="paragraph" w:customStyle="1" w:styleId="PlainText1">
    <w:name w:val="Plain Text1"/>
    <w:basedOn w:val="Normal"/>
    <w:next w:val="PlainText"/>
    <w:uiPriority w:val="99"/>
    <w:unhideWhenUsed/>
    <w:rsid w:val="009123AC"/>
    <w:pPr>
      <w:spacing w:after="0" w:line="240" w:lineRule="auto"/>
    </w:pPr>
    <w:rPr>
      <w:rFonts w:ascii="Consolas" w:eastAsia="Calibri" w:hAnsi="Consolas" w:cs="Times New Roman"/>
      <w:sz w:val="21"/>
      <w:szCs w:val="21"/>
      <w:lang w:val="fr-FR"/>
    </w:rPr>
  </w:style>
  <w:style w:type="numbering" w:customStyle="1" w:styleId="NoList1111">
    <w:name w:val="No List1111"/>
    <w:next w:val="NoList"/>
    <w:uiPriority w:val="99"/>
    <w:semiHidden/>
    <w:unhideWhenUsed/>
    <w:rsid w:val="009123AC"/>
  </w:style>
  <w:style w:type="table" w:customStyle="1" w:styleId="LightShading22">
    <w:name w:val="Light Shading22"/>
    <w:basedOn w:val="TableNormal"/>
    <w:next w:val="LightShading"/>
    <w:uiPriority w:val="60"/>
    <w:unhideWhenUsed/>
    <w:rsid w:val="009123AC"/>
    <w:pPr>
      <w:spacing w:after="0" w:line="240" w:lineRule="auto"/>
    </w:pPr>
    <w:rPr>
      <w:rFonts w:ascii="Times New Roman" w:eastAsia="Times New Roman" w:hAnsi="Times New Roman" w:cs="Times New Roman"/>
      <w:color w:val="000000"/>
      <w:kern w:val="0"/>
      <w:sz w:val="20"/>
      <w:szCs w:val="20"/>
      <w:lang w:val="fr-FR" w:eastAsia="en-GB"/>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9123AC"/>
  </w:style>
  <w:style w:type="numbering" w:customStyle="1" w:styleId="NoList4">
    <w:name w:val="No List4"/>
    <w:next w:val="NoList"/>
    <w:uiPriority w:val="99"/>
    <w:semiHidden/>
    <w:unhideWhenUsed/>
    <w:rsid w:val="009123AC"/>
  </w:style>
  <w:style w:type="table" w:customStyle="1" w:styleId="TableGrid72">
    <w:name w:val="Table Grid72"/>
    <w:basedOn w:val="TableNormal"/>
    <w:next w:val="TableGrid"/>
    <w:uiPriority w:val="39"/>
    <w:rsid w:val="009123AC"/>
    <w:pPr>
      <w:spacing w:after="0" w:line="240" w:lineRule="auto"/>
    </w:pPr>
    <w:rPr>
      <w:rFonts w:ascii="Times New Roman" w:eastAsia="MS Gothic"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9123AC"/>
  </w:style>
  <w:style w:type="numbering" w:customStyle="1" w:styleId="NoList6">
    <w:name w:val="No List6"/>
    <w:next w:val="NoList"/>
    <w:uiPriority w:val="99"/>
    <w:semiHidden/>
    <w:unhideWhenUsed/>
    <w:rsid w:val="009123AC"/>
  </w:style>
  <w:style w:type="numbering" w:customStyle="1" w:styleId="NoList7">
    <w:name w:val="No List7"/>
    <w:next w:val="NoList"/>
    <w:uiPriority w:val="99"/>
    <w:semiHidden/>
    <w:unhideWhenUsed/>
    <w:rsid w:val="009123AC"/>
  </w:style>
  <w:style w:type="table" w:customStyle="1" w:styleId="TableGrid123">
    <w:name w:val="Table Grid123"/>
    <w:basedOn w:val="TableNormal"/>
    <w:next w:val="TableGrid"/>
    <w:uiPriority w:val="39"/>
    <w:rsid w:val="009123AC"/>
    <w:pPr>
      <w:spacing w:after="0" w:line="240" w:lineRule="auto"/>
    </w:pPr>
    <w:rPr>
      <w:rFonts w:ascii="Calibri" w:eastAsia="Calibri" w:hAnsi="Calibri" w:cs="Arial"/>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basedOn w:val="DefaultParagraphFont"/>
    <w:uiPriority w:val="9"/>
    <w:semiHidden/>
    <w:rsid w:val="009123AC"/>
    <w:rPr>
      <w:rFonts w:asciiTheme="majorHAnsi" w:eastAsiaTheme="majorEastAsia" w:hAnsiTheme="majorHAnsi" w:cstheme="majorBidi"/>
      <w:color w:val="2F5496" w:themeColor="accent1" w:themeShade="BF"/>
      <w:sz w:val="26"/>
      <w:szCs w:val="26"/>
      <w:lang w:val="es-ES_tradnl"/>
    </w:rPr>
  </w:style>
  <w:style w:type="character" w:customStyle="1" w:styleId="Heading4Char1">
    <w:name w:val="Heading 4 Char1"/>
    <w:basedOn w:val="DefaultParagraphFont"/>
    <w:uiPriority w:val="9"/>
    <w:semiHidden/>
    <w:rsid w:val="009123AC"/>
    <w:rPr>
      <w:rFonts w:asciiTheme="majorHAnsi" w:eastAsiaTheme="majorEastAsia" w:hAnsiTheme="majorHAnsi" w:cstheme="majorBidi"/>
      <w:i/>
      <w:iCs/>
      <w:color w:val="2F5496" w:themeColor="accent1" w:themeShade="BF"/>
      <w:lang w:val="es-ES_tradnl"/>
    </w:rPr>
  </w:style>
  <w:style w:type="character" w:customStyle="1" w:styleId="PlainTextChar1">
    <w:name w:val="Plain Text Char1"/>
    <w:basedOn w:val="DefaultParagraphFont"/>
    <w:uiPriority w:val="99"/>
    <w:rsid w:val="009123AC"/>
    <w:rPr>
      <w:rFonts w:ascii="Consolas" w:eastAsiaTheme="minorHAnsi" w:hAnsi="Consolas"/>
      <w:kern w:val="0"/>
      <w:sz w:val="21"/>
      <w:szCs w:val="21"/>
      <w:lang w:val="es-ES_tradnl" w:eastAsia="en-US"/>
      <w14:ligatures w14:val="none"/>
    </w:rPr>
  </w:style>
  <w:style w:type="numbering" w:customStyle="1" w:styleId="NoList8">
    <w:name w:val="No List8"/>
    <w:next w:val="NoList"/>
    <w:uiPriority w:val="99"/>
    <w:semiHidden/>
    <w:unhideWhenUsed/>
    <w:rsid w:val="009123AC"/>
  </w:style>
  <w:style w:type="numbering" w:customStyle="1" w:styleId="NoList9">
    <w:name w:val="No List9"/>
    <w:next w:val="NoList"/>
    <w:uiPriority w:val="99"/>
    <w:semiHidden/>
    <w:unhideWhenUsed/>
    <w:rsid w:val="009123AC"/>
  </w:style>
  <w:style w:type="numbering" w:customStyle="1" w:styleId="NoList12">
    <w:name w:val="No List12"/>
    <w:next w:val="NoList"/>
    <w:uiPriority w:val="99"/>
    <w:semiHidden/>
    <w:unhideWhenUsed/>
    <w:rsid w:val="009123AC"/>
  </w:style>
  <w:style w:type="numbering" w:customStyle="1" w:styleId="NoList22">
    <w:name w:val="No List22"/>
    <w:next w:val="NoList"/>
    <w:uiPriority w:val="99"/>
    <w:semiHidden/>
    <w:unhideWhenUsed/>
    <w:rsid w:val="009123AC"/>
  </w:style>
  <w:style w:type="numbering" w:customStyle="1" w:styleId="NoList112">
    <w:name w:val="No List112"/>
    <w:next w:val="NoList"/>
    <w:uiPriority w:val="99"/>
    <w:semiHidden/>
    <w:unhideWhenUsed/>
    <w:rsid w:val="009123AC"/>
  </w:style>
  <w:style w:type="numbering" w:customStyle="1" w:styleId="NoList31">
    <w:name w:val="No List31"/>
    <w:next w:val="NoList"/>
    <w:uiPriority w:val="99"/>
    <w:semiHidden/>
    <w:unhideWhenUsed/>
    <w:rsid w:val="009123AC"/>
  </w:style>
  <w:style w:type="numbering" w:customStyle="1" w:styleId="NoList41">
    <w:name w:val="No List41"/>
    <w:next w:val="NoList"/>
    <w:uiPriority w:val="99"/>
    <w:semiHidden/>
    <w:unhideWhenUsed/>
    <w:rsid w:val="009123AC"/>
  </w:style>
  <w:style w:type="numbering" w:customStyle="1" w:styleId="NoList51">
    <w:name w:val="No List51"/>
    <w:next w:val="NoList"/>
    <w:uiPriority w:val="99"/>
    <w:semiHidden/>
    <w:unhideWhenUsed/>
    <w:rsid w:val="009123AC"/>
  </w:style>
  <w:style w:type="numbering" w:customStyle="1" w:styleId="NoList61">
    <w:name w:val="No List61"/>
    <w:next w:val="NoList"/>
    <w:uiPriority w:val="99"/>
    <w:semiHidden/>
    <w:unhideWhenUsed/>
    <w:rsid w:val="009123AC"/>
  </w:style>
  <w:style w:type="numbering" w:customStyle="1" w:styleId="NoList71">
    <w:name w:val="No List71"/>
    <w:next w:val="NoList"/>
    <w:uiPriority w:val="99"/>
    <w:semiHidden/>
    <w:unhideWhenUsed/>
    <w:rsid w:val="009123AC"/>
  </w:style>
  <w:style w:type="numbering" w:customStyle="1" w:styleId="NoList81">
    <w:name w:val="No List81"/>
    <w:next w:val="NoList"/>
    <w:uiPriority w:val="99"/>
    <w:semiHidden/>
    <w:unhideWhenUsed/>
    <w:rsid w:val="009123AC"/>
  </w:style>
  <w:style w:type="character" w:styleId="Strong">
    <w:name w:val="Strong"/>
    <w:basedOn w:val="DefaultParagraphFont"/>
    <w:uiPriority w:val="22"/>
    <w:qFormat/>
    <w:rsid w:val="009123AC"/>
    <w:rPr>
      <w:b/>
      <w:bCs/>
    </w:rPr>
  </w:style>
  <w:style w:type="numbering" w:customStyle="1" w:styleId="NoList91">
    <w:name w:val="No List91"/>
    <w:next w:val="NoList"/>
    <w:uiPriority w:val="99"/>
    <w:semiHidden/>
    <w:unhideWhenUsed/>
    <w:rsid w:val="009123AC"/>
  </w:style>
  <w:style w:type="numbering" w:customStyle="1" w:styleId="NoList10">
    <w:name w:val="No List10"/>
    <w:next w:val="NoList"/>
    <w:uiPriority w:val="99"/>
    <w:semiHidden/>
    <w:unhideWhenUsed/>
    <w:rsid w:val="009123AC"/>
  </w:style>
  <w:style w:type="numbering" w:customStyle="1" w:styleId="NoList121">
    <w:name w:val="No List121"/>
    <w:next w:val="NoList"/>
    <w:uiPriority w:val="99"/>
    <w:semiHidden/>
    <w:unhideWhenUsed/>
    <w:rsid w:val="009123AC"/>
  </w:style>
  <w:style w:type="numbering" w:customStyle="1" w:styleId="NoList13">
    <w:name w:val="No List13"/>
    <w:next w:val="NoList"/>
    <w:uiPriority w:val="99"/>
    <w:semiHidden/>
    <w:unhideWhenUsed/>
    <w:rsid w:val="009123AC"/>
  </w:style>
  <w:style w:type="numbering" w:customStyle="1" w:styleId="NoList14">
    <w:name w:val="No List14"/>
    <w:next w:val="NoList"/>
    <w:uiPriority w:val="99"/>
    <w:semiHidden/>
    <w:unhideWhenUsed/>
    <w:rsid w:val="009123AC"/>
  </w:style>
  <w:style w:type="numbering" w:customStyle="1" w:styleId="NoList15">
    <w:name w:val="No List15"/>
    <w:next w:val="NoList"/>
    <w:uiPriority w:val="99"/>
    <w:semiHidden/>
    <w:unhideWhenUsed/>
    <w:rsid w:val="009123AC"/>
  </w:style>
  <w:style w:type="numbering" w:customStyle="1" w:styleId="NoList16">
    <w:name w:val="No List16"/>
    <w:next w:val="NoList"/>
    <w:uiPriority w:val="99"/>
    <w:semiHidden/>
    <w:unhideWhenUsed/>
    <w:rsid w:val="009123AC"/>
  </w:style>
  <w:style w:type="numbering" w:customStyle="1" w:styleId="NoList211">
    <w:name w:val="No List211"/>
    <w:next w:val="NoList"/>
    <w:uiPriority w:val="99"/>
    <w:semiHidden/>
    <w:unhideWhenUsed/>
    <w:rsid w:val="009123AC"/>
  </w:style>
  <w:style w:type="numbering" w:customStyle="1" w:styleId="NoList311">
    <w:name w:val="No List311"/>
    <w:next w:val="NoList"/>
    <w:uiPriority w:val="99"/>
    <w:semiHidden/>
    <w:unhideWhenUsed/>
    <w:rsid w:val="009123AC"/>
  </w:style>
  <w:style w:type="numbering" w:customStyle="1" w:styleId="NoList411">
    <w:name w:val="No List411"/>
    <w:next w:val="NoList"/>
    <w:uiPriority w:val="99"/>
    <w:semiHidden/>
    <w:unhideWhenUsed/>
    <w:rsid w:val="009123AC"/>
  </w:style>
  <w:style w:type="numbering" w:customStyle="1" w:styleId="NoList511">
    <w:name w:val="No List511"/>
    <w:next w:val="NoList"/>
    <w:uiPriority w:val="99"/>
    <w:semiHidden/>
    <w:unhideWhenUsed/>
    <w:rsid w:val="009123AC"/>
  </w:style>
  <w:style w:type="numbering" w:customStyle="1" w:styleId="NoList611">
    <w:name w:val="No List611"/>
    <w:next w:val="NoList"/>
    <w:uiPriority w:val="99"/>
    <w:semiHidden/>
    <w:unhideWhenUsed/>
    <w:rsid w:val="009123AC"/>
  </w:style>
  <w:style w:type="numbering" w:customStyle="1" w:styleId="NoList711">
    <w:name w:val="No List711"/>
    <w:next w:val="NoList"/>
    <w:uiPriority w:val="99"/>
    <w:semiHidden/>
    <w:unhideWhenUsed/>
    <w:rsid w:val="009123AC"/>
  </w:style>
  <w:style w:type="numbering" w:customStyle="1" w:styleId="NoList811">
    <w:name w:val="No List811"/>
    <w:next w:val="NoList"/>
    <w:uiPriority w:val="99"/>
    <w:semiHidden/>
    <w:unhideWhenUsed/>
    <w:rsid w:val="009123AC"/>
  </w:style>
  <w:style w:type="numbering" w:customStyle="1" w:styleId="NoList911">
    <w:name w:val="No List911"/>
    <w:next w:val="NoList"/>
    <w:uiPriority w:val="99"/>
    <w:semiHidden/>
    <w:unhideWhenUsed/>
    <w:rsid w:val="009123AC"/>
  </w:style>
  <w:style w:type="numbering" w:customStyle="1" w:styleId="NoList101">
    <w:name w:val="No List101"/>
    <w:next w:val="NoList"/>
    <w:uiPriority w:val="99"/>
    <w:semiHidden/>
    <w:unhideWhenUsed/>
    <w:rsid w:val="009123AC"/>
  </w:style>
  <w:style w:type="numbering" w:customStyle="1" w:styleId="NoList11111">
    <w:name w:val="No List11111"/>
    <w:next w:val="NoList"/>
    <w:uiPriority w:val="99"/>
    <w:semiHidden/>
    <w:unhideWhenUsed/>
    <w:rsid w:val="009123AC"/>
  </w:style>
  <w:style w:type="numbering" w:customStyle="1" w:styleId="NoList1211">
    <w:name w:val="No List1211"/>
    <w:next w:val="NoList"/>
    <w:uiPriority w:val="99"/>
    <w:semiHidden/>
    <w:unhideWhenUsed/>
    <w:rsid w:val="009123AC"/>
  </w:style>
  <w:style w:type="numbering" w:customStyle="1" w:styleId="NoList131">
    <w:name w:val="No List131"/>
    <w:next w:val="NoList"/>
    <w:uiPriority w:val="99"/>
    <w:semiHidden/>
    <w:unhideWhenUsed/>
    <w:rsid w:val="009123AC"/>
  </w:style>
  <w:style w:type="numbering" w:customStyle="1" w:styleId="NoList141">
    <w:name w:val="No List141"/>
    <w:next w:val="NoList"/>
    <w:uiPriority w:val="99"/>
    <w:semiHidden/>
    <w:unhideWhenUsed/>
    <w:rsid w:val="009123AC"/>
  </w:style>
  <w:style w:type="numbering" w:customStyle="1" w:styleId="NoList151">
    <w:name w:val="No List151"/>
    <w:next w:val="NoList"/>
    <w:uiPriority w:val="99"/>
    <w:semiHidden/>
    <w:unhideWhenUsed/>
    <w:rsid w:val="009123AC"/>
  </w:style>
  <w:style w:type="numbering" w:customStyle="1" w:styleId="NoList161">
    <w:name w:val="No List161"/>
    <w:next w:val="NoList"/>
    <w:uiPriority w:val="99"/>
    <w:semiHidden/>
    <w:unhideWhenUsed/>
    <w:rsid w:val="009123AC"/>
  </w:style>
  <w:style w:type="numbering" w:customStyle="1" w:styleId="NoList17">
    <w:name w:val="No List17"/>
    <w:next w:val="NoList"/>
    <w:uiPriority w:val="99"/>
    <w:semiHidden/>
    <w:unhideWhenUsed/>
    <w:rsid w:val="009123AC"/>
  </w:style>
  <w:style w:type="numbering" w:customStyle="1" w:styleId="NoList18">
    <w:name w:val="No List18"/>
    <w:next w:val="NoList"/>
    <w:uiPriority w:val="99"/>
    <w:semiHidden/>
    <w:unhideWhenUsed/>
    <w:rsid w:val="009123AC"/>
  </w:style>
  <w:style w:type="numbering" w:customStyle="1" w:styleId="NoList19">
    <w:name w:val="No List19"/>
    <w:next w:val="NoList"/>
    <w:uiPriority w:val="99"/>
    <w:semiHidden/>
    <w:unhideWhenUsed/>
    <w:rsid w:val="009123AC"/>
  </w:style>
  <w:style w:type="numbering" w:customStyle="1" w:styleId="NoList20">
    <w:name w:val="No List20"/>
    <w:next w:val="NoList"/>
    <w:uiPriority w:val="99"/>
    <w:semiHidden/>
    <w:unhideWhenUsed/>
    <w:rsid w:val="009123AC"/>
  </w:style>
  <w:style w:type="numbering" w:customStyle="1" w:styleId="NoList2111">
    <w:name w:val="No List2111"/>
    <w:next w:val="NoList"/>
    <w:uiPriority w:val="99"/>
    <w:semiHidden/>
    <w:unhideWhenUsed/>
    <w:rsid w:val="009123AC"/>
  </w:style>
  <w:style w:type="numbering" w:customStyle="1" w:styleId="NoList221">
    <w:name w:val="No List221"/>
    <w:next w:val="NoList"/>
    <w:uiPriority w:val="99"/>
    <w:semiHidden/>
    <w:unhideWhenUsed/>
    <w:rsid w:val="009123AC"/>
  </w:style>
  <w:style w:type="numbering" w:customStyle="1" w:styleId="NoList23">
    <w:name w:val="No List23"/>
    <w:next w:val="NoList"/>
    <w:uiPriority w:val="99"/>
    <w:semiHidden/>
    <w:unhideWhenUsed/>
    <w:rsid w:val="009123AC"/>
  </w:style>
  <w:style w:type="numbering" w:customStyle="1" w:styleId="NoList24">
    <w:name w:val="No List24"/>
    <w:next w:val="NoList"/>
    <w:uiPriority w:val="99"/>
    <w:semiHidden/>
    <w:unhideWhenUsed/>
    <w:rsid w:val="009123AC"/>
  </w:style>
  <w:style w:type="numbering" w:customStyle="1" w:styleId="NoList25">
    <w:name w:val="No List25"/>
    <w:next w:val="NoList"/>
    <w:uiPriority w:val="99"/>
    <w:semiHidden/>
    <w:unhideWhenUsed/>
    <w:rsid w:val="009123AC"/>
  </w:style>
  <w:style w:type="character" w:customStyle="1" w:styleId="FootnoteTextChar1">
    <w:name w:val="Footnote Text Char1"/>
    <w:basedOn w:val="DefaultParagraphFont"/>
    <w:uiPriority w:val="99"/>
    <w:rsid w:val="009123AC"/>
    <w:rPr>
      <w:rFonts w:ascii="Cambria" w:eastAsia="Times New Roman" w:hAnsi="Cambria" w:cs="Times New Roman"/>
      <w:sz w:val="20"/>
      <w:szCs w:val="20"/>
    </w:rPr>
  </w:style>
  <w:style w:type="numbering" w:customStyle="1" w:styleId="NoList26">
    <w:name w:val="No List26"/>
    <w:next w:val="NoList"/>
    <w:uiPriority w:val="99"/>
    <w:semiHidden/>
    <w:unhideWhenUsed/>
    <w:rsid w:val="009123AC"/>
  </w:style>
  <w:style w:type="numbering" w:customStyle="1" w:styleId="NoList110">
    <w:name w:val="No List110"/>
    <w:next w:val="NoList"/>
    <w:uiPriority w:val="99"/>
    <w:semiHidden/>
    <w:unhideWhenUsed/>
    <w:rsid w:val="009123AC"/>
  </w:style>
  <w:style w:type="table" w:customStyle="1" w:styleId="TableGrid193">
    <w:name w:val="Table Grid193"/>
    <w:basedOn w:val="TableNormal"/>
    <w:next w:val="TableGrid"/>
    <w:uiPriority w:val="39"/>
    <w:rsid w:val="009123AC"/>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uiPriority w:val="99"/>
    <w:semiHidden/>
    <w:unhideWhenUsed/>
    <w:rsid w:val="009123AC"/>
  </w:style>
  <w:style w:type="numbering" w:customStyle="1" w:styleId="NoList32">
    <w:name w:val="No List32"/>
    <w:next w:val="NoList"/>
    <w:uiPriority w:val="99"/>
    <w:semiHidden/>
    <w:unhideWhenUsed/>
    <w:rsid w:val="009123AC"/>
  </w:style>
  <w:style w:type="numbering" w:customStyle="1" w:styleId="NoList42">
    <w:name w:val="No List42"/>
    <w:next w:val="NoList"/>
    <w:uiPriority w:val="99"/>
    <w:semiHidden/>
    <w:unhideWhenUsed/>
    <w:rsid w:val="009123AC"/>
  </w:style>
  <w:style w:type="numbering" w:customStyle="1" w:styleId="NoList52">
    <w:name w:val="No List52"/>
    <w:next w:val="NoList"/>
    <w:uiPriority w:val="99"/>
    <w:semiHidden/>
    <w:unhideWhenUsed/>
    <w:rsid w:val="009123AC"/>
  </w:style>
  <w:style w:type="table" w:customStyle="1" w:styleId="LightShading221">
    <w:name w:val="Light Shading221"/>
    <w:basedOn w:val="TableNormal"/>
    <w:next w:val="LightShading"/>
    <w:uiPriority w:val="60"/>
    <w:rsid w:val="009123AC"/>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2">
    <w:name w:val="No List62"/>
    <w:next w:val="NoList"/>
    <w:uiPriority w:val="99"/>
    <w:semiHidden/>
    <w:unhideWhenUsed/>
    <w:rsid w:val="009123AC"/>
  </w:style>
  <w:style w:type="table" w:customStyle="1" w:styleId="TableGrid721">
    <w:name w:val="Table Grid721"/>
    <w:basedOn w:val="TableNormal"/>
    <w:next w:val="TableGrid"/>
    <w:uiPriority w:val="39"/>
    <w:rsid w:val="009123AC"/>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9123AC"/>
  </w:style>
  <w:style w:type="numbering" w:customStyle="1" w:styleId="NoList82">
    <w:name w:val="No List82"/>
    <w:next w:val="NoList"/>
    <w:uiPriority w:val="99"/>
    <w:semiHidden/>
    <w:unhideWhenUsed/>
    <w:rsid w:val="009123AC"/>
  </w:style>
  <w:style w:type="numbering" w:customStyle="1" w:styleId="NoList92">
    <w:name w:val="No List92"/>
    <w:next w:val="NoList"/>
    <w:uiPriority w:val="99"/>
    <w:semiHidden/>
    <w:unhideWhenUsed/>
    <w:rsid w:val="009123AC"/>
  </w:style>
  <w:style w:type="numbering" w:customStyle="1" w:styleId="NoList102">
    <w:name w:val="No List102"/>
    <w:next w:val="NoList"/>
    <w:uiPriority w:val="99"/>
    <w:semiHidden/>
    <w:unhideWhenUsed/>
    <w:rsid w:val="009123AC"/>
  </w:style>
  <w:style w:type="numbering" w:customStyle="1" w:styleId="NoList1121">
    <w:name w:val="No List1121"/>
    <w:next w:val="NoList"/>
    <w:uiPriority w:val="99"/>
    <w:semiHidden/>
    <w:unhideWhenUsed/>
    <w:rsid w:val="009123AC"/>
  </w:style>
  <w:style w:type="table" w:customStyle="1" w:styleId="TableGrid1221">
    <w:name w:val="Table Grid1221"/>
    <w:basedOn w:val="TableNormal"/>
    <w:next w:val="TableGrid"/>
    <w:uiPriority w:val="39"/>
    <w:rsid w:val="009123AC"/>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9123AC"/>
  </w:style>
  <w:style w:type="numbering" w:customStyle="1" w:styleId="NoList132">
    <w:name w:val="No List132"/>
    <w:next w:val="NoList"/>
    <w:uiPriority w:val="99"/>
    <w:semiHidden/>
    <w:unhideWhenUsed/>
    <w:rsid w:val="009123AC"/>
  </w:style>
  <w:style w:type="numbering" w:customStyle="1" w:styleId="NoList142">
    <w:name w:val="No List142"/>
    <w:next w:val="NoList"/>
    <w:uiPriority w:val="99"/>
    <w:semiHidden/>
    <w:unhideWhenUsed/>
    <w:rsid w:val="009123AC"/>
  </w:style>
  <w:style w:type="numbering" w:customStyle="1" w:styleId="NoList152">
    <w:name w:val="No List152"/>
    <w:next w:val="NoList"/>
    <w:uiPriority w:val="99"/>
    <w:semiHidden/>
    <w:unhideWhenUsed/>
    <w:rsid w:val="009123AC"/>
  </w:style>
  <w:style w:type="numbering" w:customStyle="1" w:styleId="NoList162">
    <w:name w:val="No List162"/>
    <w:next w:val="NoList"/>
    <w:uiPriority w:val="99"/>
    <w:semiHidden/>
    <w:unhideWhenUsed/>
    <w:rsid w:val="009123AC"/>
  </w:style>
  <w:style w:type="numbering" w:customStyle="1" w:styleId="NoList212">
    <w:name w:val="No List212"/>
    <w:next w:val="NoList"/>
    <w:uiPriority w:val="99"/>
    <w:semiHidden/>
    <w:unhideWhenUsed/>
    <w:rsid w:val="009123AC"/>
  </w:style>
  <w:style w:type="numbering" w:customStyle="1" w:styleId="NoList3111">
    <w:name w:val="No List3111"/>
    <w:next w:val="NoList"/>
    <w:uiPriority w:val="99"/>
    <w:semiHidden/>
    <w:unhideWhenUsed/>
    <w:rsid w:val="009123AC"/>
  </w:style>
  <w:style w:type="numbering" w:customStyle="1" w:styleId="NoList4111">
    <w:name w:val="No List4111"/>
    <w:next w:val="NoList"/>
    <w:uiPriority w:val="99"/>
    <w:semiHidden/>
    <w:unhideWhenUsed/>
    <w:rsid w:val="009123AC"/>
  </w:style>
  <w:style w:type="numbering" w:customStyle="1" w:styleId="NoList5111">
    <w:name w:val="No List5111"/>
    <w:next w:val="NoList"/>
    <w:uiPriority w:val="99"/>
    <w:semiHidden/>
    <w:unhideWhenUsed/>
    <w:rsid w:val="009123AC"/>
  </w:style>
  <w:style w:type="table" w:customStyle="1" w:styleId="LightShading1111">
    <w:name w:val="Light Shading1111"/>
    <w:basedOn w:val="TableNormal"/>
    <w:next w:val="LightShading"/>
    <w:uiPriority w:val="60"/>
    <w:rsid w:val="009123AC"/>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111">
    <w:name w:val="No List6111"/>
    <w:next w:val="NoList"/>
    <w:uiPriority w:val="99"/>
    <w:semiHidden/>
    <w:unhideWhenUsed/>
    <w:rsid w:val="009123AC"/>
  </w:style>
  <w:style w:type="numbering" w:customStyle="1" w:styleId="NoList7111">
    <w:name w:val="No List7111"/>
    <w:next w:val="NoList"/>
    <w:uiPriority w:val="99"/>
    <w:semiHidden/>
    <w:unhideWhenUsed/>
    <w:rsid w:val="009123AC"/>
  </w:style>
  <w:style w:type="numbering" w:customStyle="1" w:styleId="NoList8111">
    <w:name w:val="No List8111"/>
    <w:next w:val="NoList"/>
    <w:uiPriority w:val="99"/>
    <w:semiHidden/>
    <w:unhideWhenUsed/>
    <w:rsid w:val="009123AC"/>
  </w:style>
  <w:style w:type="numbering" w:customStyle="1" w:styleId="NoList9111">
    <w:name w:val="No List9111"/>
    <w:next w:val="NoList"/>
    <w:uiPriority w:val="99"/>
    <w:semiHidden/>
    <w:unhideWhenUsed/>
    <w:rsid w:val="009123AC"/>
  </w:style>
  <w:style w:type="numbering" w:customStyle="1" w:styleId="NoList1011">
    <w:name w:val="No List1011"/>
    <w:next w:val="NoList"/>
    <w:uiPriority w:val="99"/>
    <w:semiHidden/>
    <w:unhideWhenUsed/>
    <w:rsid w:val="009123AC"/>
  </w:style>
  <w:style w:type="numbering" w:customStyle="1" w:styleId="NoList111111">
    <w:name w:val="No List111111"/>
    <w:next w:val="NoList"/>
    <w:uiPriority w:val="99"/>
    <w:semiHidden/>
    <w:unhideWhenUsed/>
    <w:rsid w:val="009123AC"/>
  </w:style>
  <w:style w:type="numbering" w:customStyle="1" w:styleId="NoList12111">
    <w:name w:val="No List12111"/>
    <w:next w:val="NoList"/>
    <w:uiPriority w:val="99"/>
    <w:semiHidden/>
    <w:unhideWhenUsed/>
    <w:rsid w:val="009123AC"/>
  </w:style>
  <w:style w:type="numbering" w:customStyle="1" w:styleId="NoList1311">
    <w:name w:val="No List1311"/>
    <w:next w:val="NoList"/>
    <w:uiPriority w:val="99"/>
    <w:semiHidden/>
    <w:unhideWhenUsed/>
    <w:rsid w:val="009123AC"/>
  </w:style>
  <w:style w:type="numbering" w:customStyle="1" w:styleId="NoList1411">
    <w:name w:val="No List1411"/>
    <w:next w:val="NoList"/>
    <w:uiPriority w:val="99"/>
    <w:semiHidden/>
    <w:unhideWhenUsed/>
    <w:rsid w:val="009123AC"/>
  </w:style>
  <w:style w:type="numbering" w:customStyle="1" w:styleId="NoList1511">
    <w:name w:val="No List1511"/>
    <w:next w:val="NoList"/>
    <w:uiPriority w:val="99"/>
    <w:semiHidden/>
    <w:unhideWhenUsed/>
    <w:rsid w:val="009123AC"/>
  </w:style>
  <w:style w:type="numbering" w:customStyle="1" w:styleId="NoList1611">
    <w:name w:val="No List1611"/>
    <w:next w:val="NoList"/>
    <w:uiPriority w:val="99"/>
    <w:semiHidden/>
    <w:unhideWhenUsed/>
    <w:rsid w:val="009123AC"/>
  </w:style>
  <w:style w:type="numbering" w:customStyle="1" w:styleId="NoList171">
    <w:name w:val="No List171"/>
    <w:next w:val="NoList"/>
    <w:uiPriority w:val="99"/>
    <w:semiHidden/>
    <w:unhideWhenUsed/>
    <w:rsid w:val="009123AC"/>
  </w:style>
  <w:style w:type="numbering" w:customStyle="1" w:styleId="NoList181">
    <w:name w:val="No List181"/>
    <w:next w:val="NoList"/>
    <w:uiPriority w:val="99"/>
    <w:semiHidden/>
    <w:unhideWhenUsed/>
    <w:rsid w:val="009123AC"/>
  </w:style>
  <w:style w:type="numbering" w:customStyle="1" w:styleId="NoList191">
    <w:name w:val="No List191"/>
    <w:next w:val="NoList"/>
    <w:uiPriority w:val="99"/>
    <w:semiHidden/>
    <w:unhideWhenUsed/>
    <w:rsid w:val="009123AC"/>
  </w:style>
  <w:style w:type="numbering" w:customStyle="1" w:styleId="NoList201">
    <w:name w:val="No List201"/>
    <w:next w:val="NoList"/>
    <w:uiPriority w:val="99"/>
    <w:semiHidden/>
    <w:unhideWhenUsed/>
    <w:rsid w:val="009123AC"/>
  </w:style>
  <w:style w:type="numbering" w:customStyle="1" w:styleId="NoList21111">
    <w:name w:val="No List21111"/>
    <w:next w:val="NoList"/>
    <w:uiPriority w:val="99"/>
    <w:semiHidden/>
    <w:unhideWhenUsed/>
    <w:rsid w:val="009123AC"/>
  </w:style>
  <w:style w:type="numbering" w:customStyle="1" w:styleId="NoList2211">
    <w:name w:val="No List2211"/>
    <w:next w:val="NoList"/>
    <w:uiPriority w:val="99"/>
    <w:semiHidden/>
    <w:unhideWhenUsed/>
    <w:rsid w:val="009123AC"/>
  </w:style>
  <w:style w:type="numbering" w:customStyle="1" w:styleId="NoList231">
    <w:name w:val="No List231"/>
    <w:next w:val="NoList"/>
    <w:uiPriority w:val="99"/>
    <w:semiHidden/>
    <w:unhideWhenUsed/>
    <w:rsid w:val="009123AC"/>
  </w:style>
  <w:style w:type="numbering" w:customStyle="1" w:styleId="NoList241">
    <w:name w:val="No List241"/>
    <w:next w:val="NoList"/>
    <w:uiPriority w:val="99"/>
    <w:semiHidden/>
    <w:unhideWhenUsed/>
    <w:rsid w:val="009123AC"/>
  </w:style>
  <w:style w:type="numbering" w:customStyle="1" w:styleId="NoList251">
    <w:name w:val="No List251"/>
    <w:next w:val="NoList"/>
    <w:uiPriority w:val="99"/>
    <w:semiHidden/>
    <w:unhideWhenUsed/>
    <w:rsid w:val="009123AC"/>
  </w:style>
  <w:style w:type="paragraph" w:customStyle="1" w:styleId="LegalNumPar">
    <w:name w:val="LegalNumPar"/>
    <w:basedOn w:val="Normal"/>
    <w:rsid w:val="009123AC"/>
    <w:pPr>
      <w:widowControl w:val="0"/>
      <w:numPr>
        <w:numId w:val="46"/>
      </w:numPr>
      <w:spacing w:after="0" w:line="360" w:lineRule="auto"/>
      <w:ind w:left="0" w:firstLine="0"/>
      <w:jc w:val="both"/>
    </w:pPr>
    <w:rPr>
      <w:rFonts w:ascii="Times New Roman" w:eastAsia="MS Gothic" w:hAnsi="Times New Roman" w:cs="Times New Roman"/>
      <w:color w:val="000000"/>
      <w:sz w:val="24"/>
      <w:szCs w:val="24"/>
      <w:lang w:val="en-GB" w:eastAsia="fr-FR" w:bidi="fr-FR"/>
    </w:rPr>
  </w:style>
  <w:style w:type="paragraph" w:customStyle="1" w:styleId="LegalNumPar2">
    <w:name w:val="LegalNumPar2"/>
    <w:basedOn w:val="Normal"/>
    <w:rsid w:val="009123AC"/>
    <w:pPr>
      <w:widowControl w:val="0"/>
      <w:numPr>
        <w:ilvl w:val="1"/>
        <w:numId w:val="46"/>
      </w:numPr>
      <w:spacing w:after="0" w:line="360" w:lineRule="auto"/>
      <w:ind w:left="0" w:firstLine="0"/>
      <w:jc w:val="both"/>
    </w:pPr>
    <w:rPr>
      <w:rFonts w:ascii="Times New Roman" w:eastAsia="MS Gothic" w:hAnsi="Times New Roman" w:cs="Times New Roman"/>
      <w:color w:val="000000"/>
      <w:sz w:val="24"/>
      <w:szCs w:val="24"/>
      <w:lang w:val="en-GB" w:eastAsia="fr-FR" w:bidi="fr-FR"/>
    </w:rPr>
  </w:style>
  <w:style w:type="paragraph" w:customStyle="1" w:styleId="LegalNumPar3">
    <w:name w:val="LegalNumPar3"/>
    <w:basedOn w:val="Normal"/>
    <w:rsid w:val="009123AC"/>
    <w:pPr>
      <w:widowControl w:val="0"/>
      <w:numPr>
        <w:ilvl w:val="2"/>
        <w:numId w:val="46"/>
      </w:numPr>
      <w:spacing w:after="0" w:line="360" w:lineRule="auto"/>
      <w:ind w:left="0" w:firstLine="0"/>
      <w:jc w:val="both"/>
    </w:pPr>
    <w:rPr>
      <w:rFonts w:ascii="Times New Roman" w:eastAsia="MS Gothic" w:hAnsi="Times New Roman" w:cs="Times New Roman"/>
      <w:color w:val="000000"/>
      <w:sz w:val="24"/>
      <w:szCs w:val="24"/>
      <w:lang w:val="en-GB" w:eastAsia="fr-FR" w:bidi="fr-FR"/>
    </w:rPr>
  </w:style>
  <w:style w:type="paragraph" w:customStyle="1" w:styleId="xl63">
    <w:name w:val="xl63"/>
    <w:basedOn w:val="Normal"/>
    <w:rsid w:val="009123AC"/>
    <w:pPr>
      <w:pBdr>
        <w:top w:val="single" w:sz="4" w:space="0" w:color="auto"/>
        <w:lef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4">
    <w:name w:val="xl64"/>
    <w:basedOn w:val="Normal"/>
    <w:rsid w:val="009123AC"/>
    <w:pPr>
      <w:pBdr>
        <w:top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lang w:val="en-GB" w:eastAsia="en-GB"/>
    </w:rPr>
  </w:style>
  <w:style w:type="numbering" w:customStyle="1" w:styleId="NoList28">
    <w:name w:val="No List28"/>
    <w:next w:val="NoList"/>
    <w:uiPriority w:val="99"/>
    <w:semiHidden/>
    <w:unhideWhenUsed/>
    <w:rsid w:val="009123AC"/>
  </w:style>
  <w:style w:type="numbering" w:customStyle="1" w:styleId="NoList113">
    <w:name w:val="No List113"/>
    <w:next w:val="NoList"/>
    <w:uiPriority w:val="99"/>
    <w:semiHidden/>
    <w:unhideWhenUsed/>
    <w:rsid w:val="009123AC"/>
  </w:style>
  <w:style w:type="numbering" w:customStyle="1" w:styleId="NoList29">
    <w:name w:val="No List29"/>
    <w:next w:val="NoList"/>
    <w:uiPriority w:val="99"/>
    <w:semiHidden/>
    <w:unhideWhenUsed/>
    <w:rsid w:val="009123AC"/>
  </w:style>
  <w:style w:type="numbering" w:customStyle="1" w:styleId="NoList114">
    <w:name w:val="No List114"/>
    <w:next w:val="NoList"/>
    <w:uiPriority w:val="99"/>
    <w:semiHidden/>
    <w:unhideWhenUsed/>
    <w:rsid w:val="009123AC"/>
  </w:style>
  <w:style w:type="numbering" w:customStyle="1" w:styleId="NoList33">
    <w:name w:val="No List33"/>
    <w:next w:val="NoList"/>
    <w:uiPriority w:val="99"/>
    <w:semiHidden/>
    <w:unhideWhenUsed/>
    <w:rsid w:val="009123AC"/>
  </w:style>
  <w:style w:type="numbering" w:customStyle="1" w:styleId="NoList43">
    <w:name w:val="No List43"/>
    <w:next w:val="NoList"/>
    <w:uiPriority w:val="99"/>
    <w:semiHidden/>
    <w:unhideWhenUsed/>
    <w:rsid w:val="009123AC"/>
  </w:style>
  <w:style w:type="numbering" w:customStyle="1" w:styleId="NoList53">
    <w:name w:val="No List53"/>
    <w:next w:val="NoList"/>
    <w:uiPriority w:val="99"/>
    <w:semiHidden/>
    <w:unhideWhenUsed/>
    <w:rsid w:val="009123AC"/>
  </w:style>
  <w:style w:type="numbering" w:customStyle="1" w:styleId="NoList63">
    <w:name w:val="No List63"/>
    <w:next w:val="NoList"/>
    <w:uiPriority w:val="99"/>
    <w:semiHidden/>
    <w:unhideWhenUsed/>
    <w:rsid w:val="009123AC"/>
  </w:style>
  <w:style w:type="numbering" w:customStyle="1" w:styleId="NoList73">
    <w:name w:val="No List73"/>
    <w:next w:val="NoList"/>
    <w:uiPriority w:val="99"/>
    <w:semiHidden/>
    <w:unhideWhenUsed/>
    <w:rsid w:val="009123AC"/>
  </w:style>
  <w:style w:type="numbering" w:customStyle="1" w:styleId="NoList83">
    <w:name w:val="No List83"/>
    <w:next w:val="NoList"/>
    <w:uiPriority w:val="99"/>
    <w:semiHidden/>
    <w:unhideWhenUsed/>
    <w:rsid w:val="009123AC"/>
  </w:style>
  <w:style w:type="numbering" w:customStyle="1" w:styleId="NoList30">
    <w:name w:val="No List30"/>
    <w:next w:val="NoList"/>
    <w:uiPriority w:val="99"/>
    <w:semiHidden/>
    <w:unhideWhenUsed/>
    <w:rsid w:val="009123AC"/>
  </w:style>
  <w:style w:type="numbering" w:customStyle="1" w:styleId="NoList115">
    <w:name w:val="No List115"/>
    <w:next w:val="NoList"/>
    <w:uiPriority w:val="99"/>
    <w:semiHidden/>
    <w:unhideWhenUsed/>
    <w:rsid w:val="009123AC"/>
  </w:style>
  <w:style w:type="numbering" w:customStyle="1" w:styleId="NoList210">
    <w:name w:val="No List210"/>
    <w:next w:val="NoList"/>
    <w:uiPriority w:val="99"/>
    <w:semiHidden/>
    <w:unhideWhenUsed/>
    <w:rsid w:val="009123AC"/>
  </w:style>
  <w:style w:type="numbering" w:customStyle="1" w:styleId="NoList116">
    <w:name w:val="No List116"/>
    <w:next w:val="NoList"/>
    <w:uiPriority w:val="99"/>
    <w:semiHidden/>
    <w:unhideWhenUsed/>
    <w:rsid w:val="009123AC"/>
  </w:style>
  <w:style w:type="numbering" w:customStyle="1" w:styleId="NoList34">
    <w:name w:val="No List34"/>
    <w:next w:val="NoList"/>
    <w:uiPriority w:val="99"/>
    <w:semiHidden/>
    <w:unhideWhenUsed/>
    <w:rsid w:val="009123AC"/>
  </w:style>
  <w:style w:type="numbering" w:customStyle="1" w:styleId="NoList44">
    <w:name w:val="No List44"/>
    <w:next w:val="NoList"/>
    <w:uiPriority w:val="99"/>
    <w:semiHidden/>
    <w:unhideWhenUsed/>
    <w:rsid w:val="009123AC"/>
  </w:style>
  <w:style w:type="numbering" w:customStyle="1" w:styleId="NoList54">
    <w:name w:val="No List54"/>
    <w:next w:val="NoList"/>
    <w:uiPriority w:val="99"/>
    <w:semiHidden/>
    <w:unhideWhenUsed/>
    <w:rsid w:val="009123AC"/>
  </w:style>
  <w:style w:type="numbering" w:customStyle="1" w:styleId="NoList64">
    <w:name w:val="No List64"/>
    <w:next w:val="NoList"/>
    <w:uiPriority w:val="99"/>
    <w:semiHidden/>
    <w:unhideWhenUsed/>
    <w:rsid w:val="009123AC"/>
  </w:style>
  <w:style w:type="numbering" w:customStyle="1" w:styleId="NoList74">
    <w:name w:val="No List74"/>
    <w:next w:val="NoList"/>
    <w:uiPriority w:val="99"/>
    <w:semiHidden/>
    <w:unhideWhenUsed/>
    <w:rsid w:val="009123AC"/>
  </w:style>
  <w:style w:type="numbering" w:customStyle="1" w:styleId="NoList84">
    <w:name w:val="No List84"/>
    <w:next w:val="NoList"/>
    <w:uiPriority w:val="99"/>
    <w:semiHidden/>
    <w:unhideWhenUsed/>
    <w:rsid w:val="009123AC"/>
  </w:style>
  <w:style w:type="numbering" w:customStyle="1" w:styleId="NoList35">
    <w:name w:val="No List35"/>
    <w:next w:val="NoList"/>
    <w:uiPriority w:val="99"/>
    <w:semiHidden/>
    <w:unhideWhenUsed/>
    <w:rsid w:val="009123AC"/>
  </w:style>
  <w:style w:type="numbering" w:customStyle="1" w:styleId="NoList117">
    <w:name w:val="No List117"/>
    <w:next w:val="NoList"/>
    <w:uiPriority w:val="99"/>
    <w:semiHidden/>
    <w:unhideWhenUsed/>
    <w:rsid w:val="009123AC"/>
  </w:style>
  <w:style w:type="numbering" w:customStyle="1" w:styleId="NoList213">
    <w:name w:val="No List213"/>
    <w:next w:val="NoList"/>
    <w:uiPriority w:val="99"/>
    <w:semiHidden/>
    <w:unhideWhenUsed/>
    <w:rsid w:val="009123AC"/>
  </w:style>
  <w:style w:type="numbering" w:customStyle="1" w:styleId="NoList118">
    <w:name w:val="No List118"/>
    <w:next w:val="NoList"/>
    <w:uiPriority w:val="99"/>
    <w:semiHidden/>
    <w:unhideWhenUsed/>
    <w:rsid w:val="009123AC"/>
  </w:style>
  <w:style w:type="numbering" w:customStyle="1" w:styleId="NoList36">
    <w:name w:val="No List36"/>
    <w:next w:val="NoList"/>
    <w:uiPriority w:val="99"/>
    <w:semiHidden/>
    <w:unhideWhenUsed/>
    <w:rsid w:val="009123AC"/>
  </w:style>
  <w:style w:type="numbering" w:customStyle="1" w:styleId="NoList45">
    <w:name w:val="No List45"/>
    <w:next w:val="NoList"/>
    <w:uiPriority w:val="99"/>
    <w:semiHidden/>
    <w:unhideWhenUsed/>
    <w:rsid w:val="009123AC"/>
  </w:style>
  <w:style w:type="numbering" w:customStyle="1" w:styleId="NoList55">
    <w:name w:val="No List55"/>
    <w:next w:val="NoList"/>
    <w:uiPriority w:val="99"/>
    <w:semiHidden/>
    <w:unhideWhenUsed/>
    <w:rsid w:val="009123AC"/>
  </w:style>
  <w:style w:type="numbering" w:customStyle="1" w:styleId="NoList65">
    <w:name w:val="No List65"/>
    <w:next w:val="NoList"/>
    <w:uiPriority w:val="99"/>
    <w:semiHidden/>
    <w:unhideWhenUsed/>
    <w:rsid w:val="009123AC"/>
  </w:style>
  <w:style w:type="numbering" w:customStyle="1" w:styleId="NoList75">
    <w:name w:val="No List75"/>
    <w:next w:val="NoList"/>
    <w:uiPriority w:val="99"/>
    <w:semiHidden/>
    <w:unhideWhenUsed/>
    <w:rsid w:val="009123AC"/>
  </w:style>
  <w:style w:type="numbering" w:customStyle="1" w:styleId="NoList85">
    <w:name w:val="No List85"/>
    <w:next w:val="NoList"/>
    <w:uiPriority w:val="99"/>
    <w:semiHidden/>
    <w:unhideWhenUsed/>
    <w:rsid w:val="009123AC"/>
  </w:style>
  <w:style w:type="numbering" w:customStyle="1" w:styleId="NoList37">
    <w:name w:val="No List37"/>
    <w:next w:val="NoList"/>
    <w:uiPriority w:val="99"/>
    <w:semiHidden/>
    <w:unhideWhenUsed/>
    <w:rsid w:val="009123AC"/>
  </w:style>
  <w:style w:type="numbering" w:customStyle="1" w:styleId="NoList38">
    <w:name w:val="No List38"/>
    <w:next w:val="NoList"/>
    <w:uiPriority w:val="99"/>
    <w:semiHidden/>
    <w:unhideWhenUsed/>
    <w:rsid w:val="009123AC"/>
  </w:style>
  <w:style w:type="numbering" w:customStyle="1" w:styleId="NoList39">
    <w:name w:val="No List39"/>
    <w:next w:val="NoList"/>
    <w:uiPriority w:val="99"/>
    <w:semiHidden/>
    <w:unhideWhenUsed/>
    <w:rsid w:val="009123AC"/>
  </w:style>
  <w:style w:type="numbering" w:customStyle="1" w:styleId="NoList40">
    <w:name w:val="No List40"/>
    <w:next w:val="NoList"/>
    <w:uiPriority w:val="99"/>
    <w:semiHidden/>
    <w:unhideWhenUsed/>
    <w:rsid w:val="009123AC"/>
  </w:style>
  <w:style w:type="table" w:customStyle="1" w:styleId="TableGrid1102">
    <w:name w:val="Table Grid1102"/>
    <w:basedOn w:val="TableNormal"/>
    <w:next w:val="TableGrid"/>
    <w:uiPriority w:val="39"/>
    <w:rsid w:val="009123AC"/>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39"/>
    <w:rsid w:val="009123AC"/>
    <w:pPr>
      <w:spacing w:after="0" w:line="240" w:lineRule="auto"/>
    </w:pPr>
    <w:rPr>
      <w:rFonts w:ascii="Times New Roman" w:eastAsia="MS Gothic" w:hAnsi="Times New Roman" w:cs="Times New Roman"/>
      <w:color w:val="000000"/>
      <w:kern w:val="0"/>
      <w:sz w:val="24"/>
      <w:szCs w:val="24"/>
      <w:lang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3">
    <w:name w:val="Grid Table 5 Dark Accent 3"/>
    <w:basedOn w:val="TableNormal"/>
    <w:uiPriority w:val="50"/>
    <w:rsid w:val="009123AC"/>
    <w:pPr>
      <w:spacing w:after="0" w:line="240" w:lineRule="auto"/>
    </w:pPr>
    <w:rPr>
      <w:rFonts w:eastAsiaTheme="minorHAnsi"/>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numbering" w:customStyle="1" w:styleId="NoList46">
    <w:name w:val="No List46"/>
    <w:next w:val="NoList"/>
    <w:uiPriority w:val="99"/>
    <w:semiHidden/>
    <w:unhideWhenUsed/>
    <w:rsid w:val="009123AC"/>
  </w:style>
  <w:style w:type="character" w:customStyle="1" w:styleId="Mentionnonrsolue1">
    <w:name w:val="Mention non résolue1"/>
    <w:basedOn w:val="DefaultParagraphFont"/>
    <w:uiPriority w:val="99"/>
    <w:semiHidden/>
    <w:unhideWhenUsed/>
    <w:rsid w:val="009123AC"/>
    <w:rPr>
      <w:color w:val="605E5C"/>
      <w:shd w:val="clear" w:color="auto" w:fill="E1DFDD"/>
    </w:rPr>
  </w:style>
  <w:style w:type="table" w:customStyle="1" w:styleId="LightShading61">
    <w:name w:val="Light Shading61"/>
    <w:basedOn w:val="TableNormal"/>
    <w:next w:val="LightShading"/>
    <w:uiPriority w:val="60"/>
    <w:rsid w:val="009123AC"/>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
    <w:name w:val="Light Shading23"/>
    <w:basedOn w:val="TableNormal"/>
    <w:next w:val="LightShading"/>
    <w:uiPriority w:val="60"/>
    <w:rsid w:val="009123AC"/>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3">
    <w:name w:val="Table Grid73"/>
    <w:basedOn w:val="TableNormal"/>
    <w:next w:val="TableGrid"/>
    <w:uiPriority w:val="39"/>
    <w:rsid w:val="009123AC"/>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
    <w:name w:val="No List93"/>
    <w:next w:val="NoList"/>
    <w:uiPriority w:val="99"/>
    <w:semiHidden/>
    <w:unhideWhenUsed/>
    <w:rsid w:val="009123AC"/>
  </w:style>
  <w:style w:type="numbering" w:customStyle="1" w:styleId="NoList103">
    <w:name w:val="No List103"/>
    <w:next w:val="NoList"/>
    <w:uiPriority w:val="99"/>
    <w:semiHidden/>
    <w:unhideWhenUsed/>
    <w:rsid w:val="009123AC"/>
  </w:style>
  <w:style w:type="table" w:customStyle="1" w:styleId="TableGrid1231">
    <w:name w:val="Table Grid1231"/>
    <w:basedOn w:val="TableNormal"/>
    <w:next w:val="TableGrid"/>
    <w:uiPriority w:val="39"/>
    <w:rsid w:val="009123AC"/>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NoList"/>
    <w:uiPriority w:val="99"/>
    <w:semiHidden/>
    <w:unhideWhenUsed/>
    <w:rsid w:val="009123AC"/>
  </w:style>
  <w:style w:type="numbering" w:customStyle="1" w:styleId="NoList133">
    <w:name w:val="No List133"/>
    <w:next w:val="NoList"/>
    <w:uiPriority w:val="99"/>
    <w:semiHidden/>
    <w:unhideWhenUsed/>
    <w:rsid w:val="009123AC"/>
  </w:style>
  <w:style w:type="numbering" w:customStyle="1" w:styleId="NoList143">
    <w:name w:val="No List143"/>
    <w:next w:val="NoList"/>
    <w:uiPriority w:val="99"/>
    <w:semiHidden/>
    <w:unhideWhenUsed/>
    <w:rsid w:val="009123AC"/>
  </w:style>
  <w:style w:type="numbering" w:customStyle="1" w:styleId="NoList153">
    <w:name w:val="No List153"/>
    <w:next w:val="NoList"/>
    <w:uiPriority w:val="99"/>
    <w:semiHidden/>
    <w:unhideWhenUsed/>
    <w:rsid w:val="009123AC"/>
  </w:style>
  <w:style w:type="numbering" w:customStyle="1" w:styleId="NoList163">
    <w:name w:val="No List163"/>
    <w:next w:val="NoList"/>
    <w:uiPriority w:val="99"/>
    <w:semiHidden/>
    <w:unhideWhenUsed/>
    <w:rsid w:val="009123AC"/>
  </w:style>
  <w:style w:type="numbering" w:customStyle="1" w:styleId="NoList312">
    <w:name w:val="No List312"/>
    <w:next w:val="NoList"/>
    <w:uiPriority w:val="99"/>
    <w:semiHidden/>
    <w:unhideWhenUsed/>
    <w:rsid w:val="009123AC"/>
  </w:style>
  <w:style w:type="numbering" w:customStyle="1" w:styleId="NoList412">
    <w:name w:val="No List412"/>
    <w:next w:val="NoList"/>
    <w:uiPriority w:val="99"/>
    <w:semiHidden/>
    <w:unhideWhenUsed/>
    <w:rsid w:val="009123AC"/>
  </w:style>
  <w:style w:type="numbering" w:customStyle="1" w:styleId="NoList512">
    <w:name w:val="No List512"/>
    <w:next w:val="NoList"/>
    <w:uiPriority w:val="99"/>
    <w:semiHidden/>
    <w:unhideWhenUsed/>
    <w:rsid w:val="009123AC"/>
  </w:style>
  <w:style w:type="table" w:customStyle="1" w:styleId="LightShading112">
    <w:name w:val="Light Shading112"/>
    <w:basedOn w:val="TableNormal"/>
    <w:next w:val="LightShading"/>
    <w:uiPriority w:val="60"/>
    <w:rsid w:val="009123AC"/>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12">
    <w:name w:val="No List612"/>
    <w:next w:val="NoList"/>
    <w:uiPriority w:val="99"/>
    <w:semiHidden/>
    <w:unhideWhenUsed/>
    <w:rsid w:val="009123AC"/>
  </w:style>
  <w:style w:type="numbering" w:customStyle="1" w:styleId="NoList712">
    <w:name w:val="No List712"/>
    <w:next w:val="NoList"/>
    <w:uiPriority w:val="99"/>
    <w:semiHidden/>
    <w:unhideWhenUsed/>
    <w:rsid w:val="009123AC"/>
  </w:style>
  <w:style w:type="numbering" w:customStyle="1" w:styleId="NoList812">
    <w:name w:val="No List812"/>
    <w:next w:val="NoList"/>
    <w:uiPriority w:val="99"/>
    <w:semiHidden/>
    <w:unhideWhenUsed/>
    <w:rsid w:val="009123AC"/>
  </w:style>
  <w:style w:type="numbering" w:customStyle="1" w:styleId="NoList912">
    <w:name w:val="No List912"/>
    <w:next w:val="NoList"/>
    <w:uiPriority w:val="99"/>
    <w:semiHidden/>
    <w:unhideWhenUsed/>
    <w:rsid w:val="009123AC"/>
  </w:style>
  <w:style w:type="numbering" w:customStyle="1" w:styleId="NoList1012">
    <w:name w:val="No List1012"/>
    <w:next w:val="NoList"/>
    <w:uiPriority w:val="99"/>
    <w:semiHidden/>
    <w:unhideWhenUsed/>
    <w:rsid w:val="009123AC"/>
  </w:style>
  <w:style w:type="numbering" w:customStyle="1" w:styleId="NoList1112">
    <w:name w:val="No List1112"/>
    <w:next w:val="NoList"/>
    <w:uiPriority w:val="99"/>
    <w:semiHidden/>
    <w:unhideWhenUsed/>
    <w:rsid w:val="009123AC"/>
  </w:style>
  <w:style w:type="numbering" w:customStyle="1" w:styleId="NoList1212">
    <w:name w:val="No List1212"/>
    <w:next w:val="NoList"/>
    <w:uiPriority w:val="99"/>
    <w:semiHidden/>
    <w:unhideWhenUsed/>
    <w:rsid w:val="009123AC"/>
  </w:style>
  <w:style w:type="numbering" w:customStyle="1" w:styleId="NoList1312">
    <w:name w:val="No List1312"/>
    <w:next w:val="NoList"/>
    <w:uiPriority w:val="99"/>
    <w:semiHidden/>
    <w:unhideWhenUsed/>
    <w:rsid w:val="009123AC"/>
  </w:style>
  <w:style w:type="numbering" w:customStyle="1" w:styleId="NoList1412">
    <w:name w:val="No List1412"/>
    <w:next w:val="NoList"/>
    <w:uiPriority w:val="99"/>
    <w:semiHidden/>
    <w:unhideWhenUsed/>
    <w:rsid w:val="009123AC"/>
  </w:style>
  <w:style w:type="numbering" w:customStyle="1" w:styleId="NoList1512">
    <w:name w:val="No List1512"/>
    <w:next w:val="NoList"/>
    <w:uiPriority w:val="99"/>
    <w:semiHidden/>
    <w:unhideWhenUsed/>
    <w:rsid w:val="009123AC"/>
  </w:style>
  <w:style w:type="numbering" w:customStyle="1" w:styleId="NoList1612">
    <w:name w:val="No List1612"/>
    <w:next w:val="NoList"/>
    <w:uiPriority w:val="99"/>
    <w:semiHidden/>
    <w:unhideWhenUsed/>
    <w:rsid w:val="009123AC"/>
  </w:style>
  <w:style w:type="numbering" w:customStyle="1" w:styleId="NoList172">
    <w:name w:val="No List172"/>
    <w:next w:val="NoList"/>
    <w:uiPriority w:val="99"/>
    <w:semiHidden/>
    <w:unhideWhenUsed/>
    <w:rsid w:val="009123AC"/>
  </w:style>
  <w:style w:type="numbering" w:customStyle="1" w:styleId="NoList182">
    <w:name w:val="No List182"/>
    <w:next w:val="NoList"/>
    <w:uiPriority w:val="99"/>
    <w:semiHidden/>
    <w:unhideWhenUsed/>
    <w:rsid w:val="009123AC"/>
  </w:style>
  <w:style w:type="numbering" w:customStyle="1" w:styleId="NoList192">
    <w:name w:val="No List192"/>
    <w:next w:val="NoList"/>
    <w:uiPriority w:val="99"/>
    <w:semiHidden/>
    <w:unhideWhenUsed/>
    <w:rsid w:val="009123AC"/>
  </w:style>
  <w:style w:type="numbering" w:customStyle="1" w:styleId="NoList202">
    <w:name w:val="No List202"/>
    <w:next w:val="NoList"/>
    <w:uiPriority w:val="99"/>
    <w:semiHidden/>
    <w:unhideWhenUsed/>
    <w:rsid w:val="009123AC"/>
  </w:style>
  <w:style w:type="numbering" w:customStyle="1" w:styleId="NoList2112">
    <w:name w:val="No List2112"/>
    <w:next w:val="NoList"/>
    <w:uiPriority w:val="99"/>
    <w:semiHidden/>
    <w:unhideWhenUsed/>
    <w:rsid w:val="009123AC"/>
  </w:style>
  <w:style w:type="numbering" w:customStyle="1" w:styleId="NoList222">
    <w:name w:val="No List222"/>
    <w:next w:val="NoList"/>
    <w:uiPriority w:val="99"/>
    <w:semiHidden/>
    <w:unhideWhenUsed/>
    <w:rsid w:val="009123AC"/>
  </w:style>
  <w:style w:type="numbering" w:customStyle="1" w:styleId="NoList232">
    <w:name w:val="No List232"/>
    <w:next w:val="NoList"/>
    <w:uiPriority w:val="99"/>
    <w:semiHidden/>
    <w:unhideWhenUsed/>
    <w:rsid w:val="009123AC"/>
  </w:style>
  <w:style w:type="numbering" w:customStyle="1" w:styleId="NoList242">
    <w:name w:val="No List242"/>
    <w:next w:val="NoList"/>
    <w:uiPriority w:val="99"/>
    <w:semiHidden/>
    <w:unhideWhenUsed/>
    <w:rsid w:val="009123AC"/>
  </w:style>
  <w:style w:type="numbering" w:customStyle="1" w:styleId="NoList252">
    <w:name w:val="No List252"/>
    <w:next w:val="NoList"/>
    <w:uiPriority w:val="99"/>
    <w:semiHidden/>
    <w:unhideWhenUsed/>
    <w:rsid w:val="009123AC"/>
  </w:style>
  <w:style w:type="table" w:customStyle="1" w:styleId="ListTable7Colorful1">
    <w:name w:val="List Table 7 Colorful1"/>
    <w:basedOn w:val="TableNormal"/>
    <w:next w:val="ListTable7Colorful"/>
    <w:uiPriority w:val="52"/>
    <w:rsid w:val="009123AC"/>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Pr>
    <w:tblStylePr w:type="firstRow">
      <w:rPr>
        <w:rFonts w:ascii="Arial" w:eastAsia="MS Gothic" w:hAnsi="Arial" w:cs="Times New Roman"/>
        <w:i/>
        <w:iCs/>
        <w:sz w:val="26"/>
      </w:rPr>
      <w:tblPr/>
      <w:tcPr>
        <w:tcBorders>
          <w:bottom w:val="single" w:sz="4" w:space="0" w:color="000000"/>
        </w:tcBorders>
        <w:shd w:val="clear" w:color="auto" w:fill="FFFFFF"/>
      </w:tcPr>
    </w:tblStylePr>
    <w:tblStylePr w:type="lastRow">
      <w:rPr>
        <w:rFonts w:ascii="Arial" w:eastAsia="MS Gothic" w:hAnsi="Arial" w:cs="Times New Roman"/>
        <w:i/>
        <w:iCs/>
        <w:sz w:val="26"/>
      </w:rPr>
      <w:tblPr/>
      <w:tcPr>
        <w:tcBorders>
          <w:top w:val="single" w:sz="4" w:space="0" w:color="000000"/>
        </w:tcBorders>
        <w:shd w:val="clear" w:color="auto" w:fill="FFFFFF"/>
      </w:tcPr>
    </w:tblStylePr>
    <w:tblStylePr w:type="firstCol">
      <w:pPr>
        <w:jc w:val="right"/>
      </w:pPr>
      <w:rPr>
        <w:rFonts w:ascii="Arial" w:eastAsia="MS Gothic" w:hAnsi="Arial" w:cs="Times New Roman"/>
        <w:i/>
        <w:iCs/>
        <w:sz w:val="26"/>
      </w:rPr>
      <w:tblPr/>
      <w:tcPr>
        <w:tcBorders>
          <w:right w:val="single" w:sz="4" w:space="0" w:color="000000"/>
        </w:tcBorders>
        <w:shd w:val="clear" w:color="auto" w:fill="FFFFFF"/>
      </w:tcPr>
    </w:tblStylePr>
    <w:tblStylePr w:type="lastCol">
      <w:rPr>
        <w:rFonts w:ascii="Arial" w:eastAsia="MS Gothic" w:hAnsi="Arial"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31">
    <w:name w:val="Grid Table 3 - Accent 31"/>
    <w:basedOn w:val="TableNormal"/>
    <w:next w:val="GridTable3-Accent3"/>
    <w:uiPriority w:val="48"/>
    <w:rsid w:val="009123AC"/>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31">
    <w:name w:val="Grid Table 31"/>
    <w:basedOn w:val="TableNormal"/>
    <w:next w:val="GridTable3"/>
    <w:uiPriority w:val="48"/>
    <w:rsid w:val="009123AC"/>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ListTable7Colorful">
    <w:name w:val="List Table 7 Colorful"/>
    <w:basedOn w:val="TableNormal"/>
    <w:uiPriority w:val="52"/>
    <w:rsid w:val="009123AC"/>
    <w:pPr>
      <w:spacing w:after="0" w:line="240" w:lineRule="auto"/>
    </w:pPr>
    <w:rPr>
      <w:rFonts w:eastAsia="Times New Roman"/>
      <w:color w:val="000000" w:themeColor="text1"/>
      <w:kern w:val="0"/>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9123AC"/>
    <w:pPr>
      <w:spacing w:after="0" w:line="240" w:lineRule="auto"/>
    </w:pPr>
    <w:rPr>
      <w:rFonts w:eastAsia="Times New Roman"/>
      <w:kern w:val="0"/>
      <w:lang w:val="en-US"/>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
    <w:name w:val="Grid Table 3"/>
    <w:basedOn w:val="TableNormal"/>
    <w:uiPriority w:val="48"/>
    <w:rsid w:val="009123AC"/>
    <w:pPr>
      <w:spacing w:after="0" w:line="240" w:lineRule="auto"/>
    </w:pPr>
    <w:rPr>
      <w:rFonts w:eastAsia="Times New Roman"/>
      <w:kern w:val="0"/>
      <w:lang w:val="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numbering" w:customStyle="1" w:styleId="NoList47">
    <w:name w:val="No List47"/>
    <w:next w:val="NoList"/>
    <w:uiPriority w:val="99"/>
    <w:semiHidden/>
    <w:unhideWhenUsed/>
    <w:rsid w:val="009123AC"/>
  </w:style>
  <w:style w:type="numbering" w:customStyle="1" w:styleId="NoList119">
    <w:name w:val="No List119"/>
    <w:next w:val="NoList"/>
    <w:uiPriority w:val="99"/>
    <w:semiHidden/>
    <w:unhideWhenUsed/>
    <w:rsid w:val="009123AC"/>
  </w:style>
  <w:style w:type="numbering" w:customStyle="1" w:styleId="NoList214">
    <w:name w:val="No List214"/>
    <w:next w:val="NoList"/>
    <w:uiPriority w:val="99"/>
    <w:semiHidden/>
    <w:unhideWhenUsed/>
    <w:rsid w:val="009123AC"/>
  </w:style>
  <w:style w:type="numbering" w:customStyle="1" w:styleId="NoList1110">
    <w:name w:val="No List1110"/>
    <w:next w:val="NoList"/>
    <w:uiPriority w:val="99"/>
    <w:semiHidden/>
    <w:unhideWhenUsed/>
    <w:rsid w:val="009123AC"/>
  </w:style>
  <w:style w:type="numbering" w:customStyle="1" w:styleId="NoList310">
    <w:name w:val="No List310"/>
    <w:next w:val="NoList"/>
    <w:uiPriority w:val="99"/>
    <w:semiHidden/>
    <w:unhideWhenUsed/>
    <w:rsid w:val="009123AC"/>
  </w:style>
  <w:style w:type="numbering" w:customStyle="1" w:styleId="NoList48">
    <w:name w:val="No List48"/>
    <w:next w:val="NoList"/>
    <w:uiPriority w:val="99"/>
    <w:semiHidden/>
    <w:unhideWhenUsed/>
    <w:rsid w:val="009123AC"/>
  </w:style>
  <w:style w:type="numbering" w:customStyle="1" w:styleId="NoList56">
    <w:name w:val="No List56"/>
    <w:next w:val="NoList"/>
    <w:uiPriority w:val="99"/>
    <w:semiHidden/>
    <w:unhideWhenUsed/>
    <w:rsid w:val="009123AC"/>
  </w:style>
  <w:style w:type="numbering" w:customStyle="1" w:styleId="NoList66">
    <w:name w:val="No List66"/>
    <w:next w:val="NoList"/>
    <w:uiPriority w:val="99"/>
    <w:semiHidden/>
    <w:unhideWhenUsed/>
    <w:rsid w:val="009123AC"/>
  </w:style>
  <w:style w:type="numbering" w:customStyle="1" w:styleId="NoList76">
    <w:name w:val="No List76"/>
    <w:next w:val="NoList"/>
    <w:uiPriority w:val="99"/>
    <w:semiHidden/>
    <w:unhideWhenUsed/>
    <w:rsid w:val="009123AC"/>
  </w:style>
  <w:style w:type="numbering" w:customStyle="1" w:styleId="NoList86">
    <w:name w:val="No List86"/>
    <w:next w:val="NoList"/>
    <w:uiPriority w:val="99"/>
    <w:semiHidden/>
    <w:unhideWhenUsed/>
    <w:rsid w:val="009123AC"/>
  </w:style>
  <w:style w:type="numbering" w:customStyle="1" w:styleId="NoList49">
    <w:name w:val="No List49"/>
    <w:next w:val="NoList"/>
    <w:uiPriority w:val="99"/>
    <w:semiHidden/>
    <w:unhideWhenUsed/>
    <w:rsid w:val="009123AC"/>
  </w:style>
  <w:style w:type="numbering" w:customStyle="1" w:styleId="NoList50">
    <w:name w:val="No List50"/>
    <w:next w:val="NoList"/>
    <w:uiPriority w:val="99"/>
    <w:semiHidden/>
    <w:unhideWhenUsed/>
    <w:rsid w:val="009123AC"/>
  </w:style>
  <w:style w:type="numbering" w:customStyle="1" w:styleId="NoList57">
    <w:name w:val="No List57"/>
    <w:next w:val="NoList"/>
    <w:uiPriority w:val="99"/>
    <w:semiHidden/>
    <w:unhideWhenUsed/>
    <w:rsid w:val="009123AC"/>
  </w:style>
  <w:style w:type="numbering" w:customStyle="1" w:styleId="NoList58">
    <w:name w:val="No List58"/>
    <w:next w:val="NoList"/>
    <w:uiPriority w:val="99"/>
    <w:semiHidden/>
    <w:unhideWhenUsed/>
    <w:rsid w:val="009123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23934">
      <w:bodyDiv w:val="1"/>
      <w:marLeft w:val="0"/>
      <w:marRight w:val="0"/>
      <w:marTop w:val="0"/>
      <w:marBottom w:val="0"/>
      <w:divBdr>
        <w:top w:val="none" w:sz="0" w:space="0" w:color="auto"/>
        <w:left w:val="none" w:sz="0" w:space="0" w:color="auto"/>
        <w:bottom w:val="none" w:sz="0" w:space="0" w:color="auto"/>
        <w:right w:val="none" w:sz="0" w:space="0" w:color="auto"/>
      </w:divBdr>
      <w:divsChild>
        <w:div w:id="46347087">
          <w:marLeft w:val="0"/>
          <w:marRight w:val="0"/>
          <w:marTop w:val="0"/>
          <w:marBottom w:val="0"/>
          <w:divBdr>
            <w:top w:val="none" w:sz="0" w:space="0" w:color="auto"/>
            <w:left w:val="none" w:sz="0" w:space="0" w:color="auto"/>
            <w:bottom w:val="none" w:sz="0" w:space="0" w:color="auto"/>
            <w:right w:val="none" w:sz="0" w:space="0" w:color="auto"/>
          </w:divBdr>
        </w:div>
        <w:div w:id="1694767106">
          <w:marLeft w:val="0"/>
          <w:marRight w:val="0"/>
          <w:marTop w:val="0"/>
          <w:marBottom w:val="0"/>
          <w:divBdr>
            <w:top w:val="none" w:sz="0" w:space="0" w:color="auto"/>
            <w:left w:val="none" w:sz="0" w:space="0" w:color="auto"/>
            <w:bottom w:val="none" w:sz="0" w:space="0" w:color="auto"/>
            <w:right w:val="none" w:sz="0" w:space="0" w:color="auto"/>
          </w:divBdr>
        </w:div>
      </w:divsChild>
    </w:div>
    <w:div w:id="475218633">
      <w:bodyDiv w:val="1"/>
      <w:marLeft w:val="0"/>
      <w:marRight w:val="0"/>
      <w:marTop w:val="0"/>
      <w:marBottom w:val="0"/>
      <w:divBdr>
        <w:top w:val="none" w:sz="0" w:space="0" w:color="auto"/>
        <w:left w:val="none" w:sz="0" w:space="0" w:color="auto"/>
        <w:bottom w:val="none" w:sz="0" w:space="0" w:color="auto"/>
        <w:right w:val="none" w:sz="0" w:space="0" w:color="auto"/>
      </w:divBdr>
    </w:div>
    <w:div w:id="848760235">
      <w:bodyDiv w:val="1"/>
      <w:marLeft w:val="0"/>
      <w:marRight w:val="0"/>
      <w:marTop w:val="0"/>
      <w:marBottom w:val="0"/>
      <w:divBdr>
        <w:top w:val="none" w:sz="0" w:space="0" w:color="auto"/>
        <w:left w:val="none" w:sz="0" w:space="0" w:color="auto"/>
        <w:bottom w:val="none" w:sz="0" w:space="0" w:color="auto"/>
        <w:right w:val="none" w:sz="0" w:space="0" w:color="auto"/>
      </w:divBdr>
    </w:div>
    <w:div w:id="869534925">
      <w:bodyDiv w:val="1"/>
      <w:marLeft w:val="0"/>
      <w:marRight w:val="0"/>
      <w:marTop w:val="0"/>
      <w:marBottom w:val="0"/>
      <w:divBdr>
        <w:top w:val="none" w:sz="0" w:space="0" w:color="auto"/>
        <w:left w:val="none" w:sz="0" w:space="0" w:color="auto"/>
        <w:bottom w:val="none" w:sz="0" w:space="0" w:color="auto"/>
        <w:right w:val="none" w:sz="0" w:space="0" w:color="auto"/>
      </w:divBdr>
    </w:div>
    <w:div w:id="182304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ccat.int/Documents/Recs/compendiopdf-s/2024-07-s.pdf" TargetMode="External"/><Relationship Id="rId21" Type="http://schemas.openxmlformats.org/officeDocument/2006/relationships/hyperlink" Target="https://www.iccat.int/Documents/Recs/compendiopdf-s/2025-04-s.pdf" TargetMode="External"/><Relationship Id="rId63" Type="http://schemas.openxmlformats.org/officeDocument/2006/relationships/hyperlink" Target="mailto:Robert.Floyd@gov.wales" TargetMode="External"/><Relationship Id="rId159" Type="http://schemas.openxmlformats.org/officeDocument/2006/relationships/hyperlink" Target="https://iccat.int/Documents/Recs/compendiopdf-s/2025-04-s.pdf" TargetMode="External"/><Relationship Id="rId170" Type="http://schemas.openxmlformats.org/officeDocument/2006/relationships/footer" Target="footer20.xml"/><Relationship Id="rId226" Type="http://schemas.openxmlformats.org/officeDocument/2006/relationships/hyperlink" Target="mailto:semih.sayin@tarimorman.gov.tr" TargetMode="External"/><Relationship Id="rId268" Type="http://schemas.openxmlformats.org/officeDocument/2006/relationships/hyperlink" Target="https://www.iccat.int/Documents/Recs/compendiopdf-s/2025-04-s.pdf" TargetMode="External"/><Relationship Id="rId32" Type="http://schemas.openxmlformats.org/officeDocument/2006/relationships/hyperlink" Target="https://www.iccat.int/Documents/Recs/compendiopdf-s/2025-04-s.pdf" TargetMode="External"/><Relationship Id="rId74" Type="http://schemas.openxmlformats.org/officeDocument/2006/relationships/hyperlink" Target="https://qbz.gov.al/eli/urdher/2026/02/09/131/2d0e5246-64b4-41cc-90ad-9a3062bd3fcd" TargetMode="External"/><Relationship Id="rId128" Type="http://schemas.openxmlformats.org/officeDocument/2006/relationships/hyperlink" Target="mailto:skuli.kristinn.skulason@atrn.is" TargetMode="External"/><Relationship Id="rId5" Type="http://schemas.openxmlformats.org/officeDocument/2006/relationships/numbering" Target="numbering.xml"/><Relationship Id="rId181" Type="http://schemas.openxmlformats.org/officeDocument/2006/relationships/header" Target="header23.xml"/><Relationship Id="rId237" Type="http://schemas.openxmlformats.org/officeDocument/2006/relationships/hyperlink" Target="https://www.iccat.int/Documents/Recs/compendiopdf-s/2024-07-s.pdf" TargetMode="External"/><Relationship Id="rId258" Type="http://schemas.openxmlformats.org/officeDocument/2006/relationships/hyperlink" Target="https://www.iccat.int/Documents/Recs/compendiopdf-s/2025-04-s.pdf" TargetMode="External"/><Relationship Id="rId279" Type="http://schemas.openxmlformats.org/officeDocument/2006/relationships/fontTable" Target="fontTable.xml"/><Relationship Id="rId22" Type="http://schemas.openxmlformats.org/officeDocument/2006/relationships/hyperlink" Target="https://www.iccat.int/Documents/Recs/compendiopdf-s/2025-04-s.pdf" TargetMode="External"/><Relationship Id="rId43" Type="http://schemas.openxmlformats.org/officeDocument/2006/relationships/hyperlink" Target="https://www.iccat.int/Documents/Recs/compendiopdf-s/2021-04-s.pdf" TargetMode="External"/><Relationship Id="rId64" Type="http://schemas.openxmlformats.org/officeDocument/2006/relationships/hyperlink" Target="mailto:burak.yildirim@tarimorman.gov.tr" TargetMode="External"/><Relationship Id="rId118" Type="http://schemas.openxmlformats.org/officeDocument/2006/relationships/image" Target="media/image1.png"/><Relationship Id="rId139" Type="http://schemas.openxmlformats.org/officeDocument/2006/relationships/hyperlink" Target="https://www.iccat.int/Documents/Recs/compendiopdf-s/2024-07-s.pdf" TargetMode="External"/><Relationship Id="rId85" Type="http://schemas.openxmlformats.org/officeDocument/2006/relationships/footer" Target="footer3.xml"/><Relationship Id="rId150" Type="http://schemas.openxmlformats.org/officeDocument/2006/relationships/header" Target="header17.xml"/><Relationship Id="rId171" Type="http://schemas.openxmlformats.org/officeDocument/2006/relationships/header" Target="header20.xml"/><Relationship Id="rId192" Type="http://schemas.openxmlformats.org/officeDocument/2006/relationships/footer" Target="footer26.xml"/><Relationship Id="rId206" Type="http://schemas.openxmlformats.org/officeDocument/2006/relationships/footer" Target="footer28.xml"/><Relationship Id="rId227" Type="http://schemas.openxmlformats.org/officeDocument/2006/relationships/hyperlink" Target="https://www.iccat.int/Documents/Recs/compendiopdf-s/2025-04-s.pdf" TargetMode="External"/><Relationship Id="rId248" Type="http://schemas.openxmlformats.org/officeDocument/2006/relationships/hyperlink" Target="mailto:huangwei0510@ms1.fa.gov.tw" TargetMode="External"/><Relationship Id="rId269" Type="http://schemas.openxmlformats.org/officeDocument/2006/relationships/header" Target="header38.xml"/><Relationship Id="rId12" Type="http://schemas.openxmlformats.org/officeDocument/2006/relationships/hyperlink" Target="https://www.iccat.int/Documents/Recs/compendiopdf-s/2025-04-s.pdf" TargetMode="External"/><Relationship Id="rId33" Type="http://schemas.openxmlformats.org/officeDocument/2006/relationships/hyperlink" Target="https://www.iccat.int/Documents/Recs/compendiopdf-s/2025-04-s.pdf" TargetMode="External"/><Relationship Id="rId108" Type="http://schemas.openxmlformats.org/officeDocument/2006/relationships/header" Target="header9.xml"/><Relationship Id="rId129" Type="http://schemas.openxmlformats.org/officeDocument/2006/relationships/hyperlink" Target="mailto:gudjon.r.steinsson@fiskistofa.is" TargetMode="External"/><Relationship Id="rId280" Type="http://schemas.openxmlformats.org/officeDocument/2006/relationships/theme" Target="theme/theme1.xml"/><Relationship Id="rId54" Type="http://schemas.openxmlformats.org/officeDocument/2006/relationships/hyperlink" Target="https://www.iccat.int/Documents/Recs/compendiopdf-s/2025-04-s.pdf" TargetMode="External"/><Relationship Id="rId75" Type="http://schemas.openxmlformats.org/officeDocument/2006/relationships/hyperlink" Target="https://www.iccat.int/Documents/Recs/compendiopdf-s/2025-04-s.pdf" TargetMode="External"/><Relationship Id="rId96" Type="http://schemas.openxmlformats.org/officeDocument/2006/relationships/footer" Target="footer7.xml"/><Relationship Id="rId140" Type="http://schemas.openxmlformats.org/officeDocument/2006/relationships/hyperlink" Target="https://www.iccat.int/Documents/Recs/compendiopdf-s/2025-04-s.pdf" TargetMode="External"/><Relationship Id="rId161" Type="http://schemas.openxmlformats.org/officeDocument/2006/relationships/hyperlink" Target="mailto:gafrihasan@gmail.com" TargetMode="External"/><Relationship Id="rId182" Type="http://schemas.openxmlformats.org/officeDocument/2006/relationships/footer" Target="footer24.xml"/><Relationship Id="rId217" Type="http://schemas.openxmlformats.org/officeDocument/2006/relationships/hyperlink" Target="https://www.iccat.int/Documents/Recs/compendiopdf-s/2024-05-s.pdf" TargetMode="External"/><Relationship Id="rId6" Type="http://schemas.openxmlformats.org/officeDocument/2006/relationships/styles" Target="styles.xml"/><Relationship Id="rId238" Type="http://schemas.openxmlformats.org/officeDocument/2006/relationships/hyperlink" Target="mailto:MCS@defra.gov.uk" TargetMode="External"/><Relationship Id="rId259" Type="http://schemas.openxmlformats.org/officeDocument/2006/relationships/hyperlink" Target="https://www.iccat.int/Documents/Recs/compendiopdf-s/2025-04-s.pdf" TargetMode="External"/><Relationship Id="rId23" Type="http://schemas.openxmlformats.org/officeDocument/2006/relationships/hyperlink" Target="https://www.iccat.int/Documents/Recs/compendiopdf-s/2025-04-s.pdf" TargetMode="External"/><Relationship Id="rId119" Type="http://schemas.openxmlformats.org/officeDocument/2006/relationships/header" Target="header11.xml"/><Relationship Id="rId270" Type="http://schemas.openxmlformats.org/officeDocument/2006/relationships/footer" Target="footer39.xml"/><Relationship Id="rId44" Type="http://schemas.openxmlformats.org/officeDocument/2006/relationships/hyperlink" Target="https://www.iccat.int/Documents/Recs/compendiopdf-s/2025-04-s.pdf" TargetMode="External"/><Relationship Id="rId65" Type="http://schemas.openxmlformats.org/officeDocument/2006/relationships/hyperlink" Target="mailto:minpescaven@gmail.com" TargetMode="External"/><Relationship Id="rId86" Type="http://schemas.openxmlformats.org/officeDocument/2006/relationships/header" Target="header4.xml"/><Relationship Id="rId130" Type="http://schemas.openxmlformats.org/officeDocument/2006/relationships/header" Target="header13.xml"/><Relationship Id="rId151" Type="http://schemas.openxmlformats.org/officeDocument/2006/relationships/footer" Target="footer18.xml"/><Relationship Id="rId172" Type="http://schemas.openxmlformats.org/officeDocument/2006/relationships/footer" Target="footer21.xml"/><Relationship Id="rId193" Type="http://schemas.openxmlformats.org/officeDocument/2006/relationships/hyperlink" Target="https://www.iccat.int/Documents/Recs/compendiopdf-s/2024-05-s.pdf" TargetMode="External"/><Relationship Id="rId207" Type="http://schemas.openxmlformats.org/officeDocument/2006/relationships/header" Target="header28.xml"/><Relationship Id="rId228" Type="http://schemas.openxmlformats.org/officeDocument/2006/relationships/hyperlink" Target="https://www.iccat.int/Documents/Recs/compendiopdf-s/2024-07-s.pdf" TargetMode="External"/><Relationship Id="rId249" Type="http://schemas.openxmlformats.org/officeDocument/2006/relationships/header" Target="header35.xml"/><Relationship Id="rId13" Type="http://schemas.openxmlformats.org/officeDocument/2006/relationships/hyperlink" Target="https://www.iccat.int/Documents/Recs/compendiopdf-s/2024-05-s.pdf" TargetMode="External"/><Relationship Id="rId109" Type="http://schemas.openxmlformats.org/officeDocument/2006/relationships/footer" Target="footer9.xml"/><Relationship Id="rId260" Type="http://schemas.openxmlformats.org/officeDocument/2006/relationships/hyperlink" Target="https://www.iccat.int/Documents/Recs/compendiopdf-s/2025-04-s.pdf" TargetMode="External"/><Relationship Id="rId34" Type="http://schemas.openxmlformats.org/officeDocument/2006/relationships/hyperlink" Target="https://www.iccat.int/Documents/Recs/compendiopdf-s/2025-04-s.pdf" TargetMode="External"/><Relationship Id="rId55" Type="http://schemas.openxmlformats.org/officeDocument/2006/relationships/hyperlink" Target="https://www.iccat.int/Documents/Recs/compendiopdf-s/2025-04-s.pdf" TargetMode="External"/><Relationship Id="rId76" Type="http://schemas.openxmlformats.org/officeDocument/2006/relationships/hyperlink" Target="https://www.iccat.int/Documents/Recs/compendiopdf-s/2025-04-s.pdf" TargetMode="External"/><Relationship Id="rId97" Type="http://schemas.openxmlformats.org/officeDocument/2006/relationships/hyperlink" Target="https://www.iccat.int/Documents/Recs/compendiopdf-s/2025-04-s.pdf" TargetMode="External"/><Relationship Id="rId120" Type="http://schemas.openxmlformats.org/officeDocument/2006/relationships/footer" Target="footer11.xml"/><Relationship Id="rId141" Type="http://schemas.openxmlformats.org/officeDocument/2006/relationships/hyperlink" Target="https://www.iccat.int/Documents/Recs/compendiopdf-s/2025-04-s.pdf" TargetMode="External"/><Relationship Id="rId7" Type="http://schemas.openxmlformats.org/officeDocument/2006/relationships/settings" Target="settings.xml"/><Relationship Id="rId162" Type="http://schemas.openxmlformats.org/officeDocument/2006/relationships/hyperlink" Target="https://www.iccat.int/Documents/Recs/compendiopdf-s/2025-04-s.pdf" TargetMode="External"/><Relationship Id="rId183" Type="http://schemas.openxmlformats.org/officeDocument/2006/relationships/header" Target="header24.xml"/><Relationship Id="rId218" Type="http://schemas.openxmlformats.org/officeDocument/2006/relationships/hyperlink" Target="https://www.iccat.int/Documents/Recs/compendiopdf-s/2024-07-s.pdf" TargetMode="External"/><Relationship Id="rId239" Type="http://schemas.openxmlformats.org/officeDocument/2006/relationships/header" Target="header33.xml"/><Relationship Id="rId250" Type="http://schemas.openxmlformats.org/officeDocument/2006/relationships/footer" Target="footer36.xml"/><Relationship Id="rId271" Type="http://schemas.openxmlformats.org/officeDocument/2006/relationships/hyperlink" Target="https://www.iccat.int/Documents/Recs/compendiopdf-s/2021-04-s.pdf" TargetMode="External"/><Relationship Id="rId24" Type="http://schemas.openxmlformats.org/officeDocument/2006/relationships/hyperlink" Target="https://iccat.int/Documents/Recs/compendiopdf-s/2025-05-s.pdf" TargetMode="External"/><Relationship Id="rId45" Type="http://schemas.openxmlformats.org/officeDocument/2006/relationships/hyperlink" Target="https://www.iccat.int/Documents/Recs/compendiopdf-s/2015-13-s.pdf" TargetMode="External"/><Relationship Id="rId66" Type="http://schemas.openxmlformats.org/officeDocument/2006/relationships/header" Target="header1.xml"/><Relationship Id="rId87" Type="http://schemas.openxmlformats.org/officeDocument/2006/relationships/footer" Target="footer4.xml"/><Relationship Id="rId110" Type="http://schemas.openxmlformats.org/officeDocument/2006/relationships/header" Target="header10.xml"/><Relationship Id="rId131" Type="http://schemas.openxmlformats.org/officeDocument/2006/relationships/footer" Target="footer14.xml"/><Relationship Id="rId152" Type="http://schemas.openxmlformats.org/officeDocument/2006/relationships/hyperlink" Target="https://www.iccat.int/Documents/Recs/compendiopdf-s/2025-04-s.pdf" TargetMode="External"/><Relationship Id="rId173" Type="http://schemas.openxmlformats.org/officeDocument/2006/relationships/hyperlink" Target="https://www.iccat.int/Documents/Recs/compendiopdf-s/2025-04-s.pdf" TargetMode="External"/><Relationship Id="rId194" Type="http://schemas.openxmlformats.org/officeDocument/2006/relationships/hyperlink" Target="https://www.iccat.int/Documents/Recs/compendiopdf-s/2024-07-s.pdf" TargetMode="External"/><Relationship Id="rId208" Type="http://schemas.openxmlformats.org/officeDocument/2006/relationships/footer" Target="footer29.xml"/><Relationship Id="rId229" Type="http://schemas.openxmlformats.org/officeDocument/2006/relationships/hyperlink" Target="mailto:melih.er@tarimorman.gov.tr" TargetMode="External"/><Relationship Id="rId240" Type="http://schemas.openxmlformats.org/officeDocument/2006/relationships/footer" Target="footer34.xml"/><Relationship Id="rId261" Type="http://schemas.openxmlformats.org/officeDocument/2006/relationships/hyperlink" Target="https://www.iccat.int/Documents/Recs/compendiopdf-s/2025-04-s.pdf" TargetMode="External"/><Relationship Id="rId14" Type="http://schemas.openxmlformats.org/officeDocument/2006/relationships/hyperlink" Target="https://www.iccat.int/Documents/Recs/compendiopdf-s/2024-05-s.pdf" TargetMode="External"/><Relationship Id="rId35" Type="http://schemas.openxmlformats.org/officeDocument/2006/relationships/hyperlink" Target="https://www.iccat.int/Documents/Recs/compendiopdf-s/2025-04-s.pdf" TargetMode="External"/><Relationship Id="rId56" Type="http://schemas.openxmlformats.org/officeDocument/2006/relationships/hyperlink" Target="https://www.iccat.int/Documents/Recs/compendiopdf-s/2025-04-s.pdf" TargetMode="External"/><Relationship Id="rId77" Type="http://schemas.openxmlformats.org/officeDocument/2006/relationships/hyperlink" Target="https://www.iccat.int/Documents/Recs/compendiopdf-s/2025-04-s.pdf" TargetMode="External"/><Relationship Id="rId100" Type="http://schemas.openxmlformats.org/officeDocument/2006/relationships/header" Target="header8.xml"/><Relationship Id="rId8" Type="http://schemas.openxmlformats.org/officeDocument/2006/relationships/webSettings" Target="webSettings.xml"/><Relationship Id="rId98" Type="http://schemas.openxmlformats.org/officeDocument/2006/relationships/hyperlink" Target="https://www.iccat.int/Documents/Recs/compendiopdf-s/2025-04-s.pdf" TargetMode="External"/><Relationship Id="rId121" Type="http://schemas.openxmlformats.org/officeDocument/2006/relationships/footer" Target="footer12.xml"/><Relationship Id="rId142" Type="http://schemas.openxmlformats.org/officeDocument/2006/relationships/hyperlink" Target="https://www.iccat.int/Documents/Recs/compendiopdf-s/2025-04-s.pdf" TargetMode="External"/><Relationship Id="rId163" Type="http://schemas.openxmlformats.org/officeDocument/2006/relationships/hyperlink" Target="https://www.iccat.int/Documents/Recs/compendiopdf-s/2025-04-s.pdf" TargetMode="External"/><Relationship Id="rId184" Type="http://schemas.openxmlformats.org/officeDocument/2006/relationships/footer" Target="footer25.xml"/><Relationship Id="rId219" Type="http://schemas.openxmlformats.org/officeDocument/2006/relationships/header" Target="header30.xml"/><Relationship Id="rId230" Type="http://schemas.openxmlformats.org/officeDocument/2006/relationships/hyperlink" Target="mailto:huseyin.karci@tarimorman.gov.tr" TargetMode="External"/><Relationship Id="rId251" Type="http://schemas.openxmlformats.org/officeDocument/2006/relationships/header" Target="header36.xml"/><Relationship Id="rId25" Type="http://schemas.openxmlformats.org/officeDocument/2006/relationships/hyperlink" Target="https://iccat.int/Documents/Recs/compendiopdf-s/2025-05-s.pdf" TargetMode="External"/><Relationship Id="rId46" Type="http://schemas.openxmlformats.org/officeDocument/2006/relationships/hyperlink" Target="https://www.iccat.int/Documents/Recs/compendiopdf-s/2015-13-s.pdf" TargetMode="External"/><Relationship Id="rId67" Type="http://schemas.openxmlformats.org/officeDocument/2006/relationships/footer" Target="footer1.xml"/><Relationship Id="rId272" Type="http://schemas.openxmlformats.org/officeDocument/2006/relationships/hyperlink" Target="https://www.iccat.int/Documents/Recs/compendiopdf-s/2024-08-s.pdf" TargetMode="External"/><Relationship Id="rId88" Type="http://schemas.openxmlformats.org/officeDocument/2006/relationships/header" Target="header5.xml"/><Relationship Id="rId111" Type="http://schemas.openxmlformats.org/officeDocument/2006/relationships/footer" Target="footer10.xml"/><Relationship Id="rId132" Type="http://schemas.openxmlformats.org/officeDocument/2006/relationships/header" Target="header14.xml"/><Relationship Id="rId153" Type="http://schemas.openxmlformats.org/officeDocument/2006/relationships/hyperlink" Target="https://www.iccat.int/Documents/Recs/compendiopdf-s/2025-04-s.pdf" TargetMode="External"/><Relationship Id="rId174" Type="http://schemas.openxmlformats.org/officeDocument/2006/relationships/hyperlink" Target="https://www.iccat.int/Documents/Recs/compendiopdf-s/2025-04-s.pdf" TargetMode="External"/><Relationship Id="rId195" Type="http://schemas.openxmlformats.org/officeDocument/2006/relationships/hyperlink" Target="mailto:pamaris@arap.gob.pa" TargetMode="External"/><Relationship Id="rId209" Type="http://schemas.openxmlformats.org/officeDocument/2006/relationships/hyperlink" Target="https://iccat.int/Documents/Recs/compendiopdf-s/2025-04-s.pdf" TargetMode="External"/><Relationship Id="rId220" Type="http://schemas.openxmlformats.org/officeDocument/2006/relationships/footer" Target="footer31.xml"/><Relationship Id="rId241" Type="http://schemas.openxmlformats.org/officeDocument/2006/relationships/header" Target="header34.xml"/><Relationship Id="rId15" Type="http://schemas.openxmlformats.org/officeDocument/2006/relationships/hyperlink" Target="https://www.iccat.int/Documents/Recs/compendiopdf-s/2025-04-s.pdf" TargetMode="External"/><Relationship Id="rId36" Type="http://schemas.openxmlformats.org/officeDocument/2006/relationships/hyperlink" Target="https://www.iccat.int/Documents/Recs/compendiopdf-s/2025-04-s.pdf" TargetMode="External"/><Relationship Id="rId57" Type="http://schemas.openxmlformats.org/officeDocument/2006/relationships/hyperlink" Target="https://www.iccat.int/Documents/Recs/compendiopdf-s/2025-04-s.pdf" TargetMode="External"/><Relationship Id="rId262" Type="http://schemas.openxmlformats.org/officeDocument/2006/relationships/hyperlink" Target="https://www.iccat.int/Documents/Recs/compendiopdf-s/2025-04-s.pdf" TargetMode="External"/><Relationship Id="rId78" Type="http://schemas.openxmlformats.org/officeDocument/2006/relationships/hyperlink" Target="https://www.iccat.int/Documents/Recs/compendiopdf-s/2024-07-s.pdf" TargetMode="External"/><Relationship Id="rId99" Type="http://schemas.openxmlformats.org/officeDocument/2006/relationships/hyperlink" Target="https://www.iccat.int/Documents/Recs/compendiopdf-s/2024-07-s.pdf" TargetMode="External"/><Relationship Id="rId101" Type="http://schemas.openxmlformats.org/officeDocument/2006/relationships/footer" Target="footer8.xml"/><Relationship Id="rId122" Type="http://schemas.openxmlformats.org/officeDocument/2006/relationships/header" Target="header12.xml"/><Relationship Id="rId143" Type="http://schemas.openxmlformats.org/officeDocument/2006/relationships/hyperlink" Target="https://www.iccat.int/Documents/Recs/compendiopdf-s/2025-04-s.pdf" TargetMode="External"/><Relationship Id="rId164" Type="http://schemas.openxmlformats.org/officeDocument/2006/relationships/hyperlink" Target="https://www.iccat.int/Documents/Recs/compendiopdf-s/2025-04-s.pdf" TargetMode="External"/><Relationship Id="rId185" Type="http://schemas.openxmlformats.org/officeDocument/2006/relationships/hyperlink" Target="https://www.iccat.int/Documents/Recs/compendiopdf-s/2025-04-s.pdf" TargetMode="External"/><Relationship Id="rId9" Type="http://schemas.openxmlformats.org/officeDocument/2006/relationships/footnotes" Target="footnotes.xml"/><Relationship Id="rId210" Type="http://schemas.openxmlformats.org/officeDocument/2006/relationships/hyperlink" Target="https://iccat.int/Documents/Recs/compendiopdf-s/2022-08-s.pdf" TargetMode="External"/><Relationship Id="rId26" Type="http://schemas.openxmlformats.org/officeDocument/2006/relationships/hyperlink" Target="https://iccat.int/Documents/Recs/compendiopdf-s/2025-05-s.pdf" TargetMode="External"/><Relationship Id="rId231" Type="http://schemas.openxmlformats.org/officeDocument/2006/relationships/hyperlink" Target="mailto:semih.sayin@tarimorman.gov.tr" TargetMode="External"/><Relationship Id="rId252" Type="http://schemas.openxmlformats.org/officeDocument/2006/relationships/footer" Target="footer37.xml"/><Relationship Id="rId273" Type="http://schemas.openxmlformats.org/officeDocument/2006/relationships/hyperlink" Target="https://www.iccat.int/Documents/Recs/compendiopdf-s/2023-07-s.pdf" TargetMode="External"/><Relationship Id="rId47" Type="http://schemas.openxmlformats.org/officeDocument/2006/relationships/hyperlink" Target="https://www.iccat.int/Documents/Recs/compendiopdf-s/2025-04-s.pdf" TargetMode="External"/><Relationship Id="rId68" Type="http://schemas.openxmlformats.org/officeDocument/2006/relationships/hyperlink" Target="https://www.iccat.int/Documents/Recs/compendiopdf-s/2025-04-s.pdf" TargetMode="External"/><Relationship Id="rId89" Type="http://schemas.openxmlformats.org/officeDocument/2006/relationships/footer" Target="footer5.xml"/><Relationship Id="rId112" Type="http://schemas.openxmlformats.org/officeDocument/2006/relationships/hyperlink" Target="https://www.iccat.int/Documents/Recs/compendiopdf-s/2025-04-s.pdf" TargetMode="External"/><Relationship Id="rId133" Type="http://schemas.openxmlformats.org/officeDocument/2006/relationships/footer" Target="footer15.xml"/><Relationship Id="rId154" Type="http://schemas.openxmlformats.org/officeDocument/2006/relationships/hyperlink" Target="https://www.iccat.int/Documents/Recs/compendiopdf-s/2024-07-s.pdf" TargetMode="External"/><Relationship Id="rId175" Type="http://schemas.openxmlformats.org/officeDocument/2006/relationships/hyperlink" Target="https://www.iccat.int/Documents/Recs/compendiopdf-s/2024-07-s.pdf" TargetMode="External"/><Relationship Id="rId196" Type="http://schemas.openxmlformats.org/officeDocument/2006/relationships/hyperlink" Target="mailto:clacasa@arap.gob.pa" TargetMode="External"/><Relationship Id="rId200" Type="http://schemas.openxmlformats.org/officeDocument/2006/relationships/header" Target="header26.xml"/><Relationship Id="rId16" Type="http://schemas.openxmlformats.org/officeDocument/2006/relationships/hyperlink" Target="https://www.iccat.int/Documents/Recs/compendiopdf-s/2025-04-s.pdf" TargetMode="External"/><Relationship Id="rId221" Type="http://schemas.openxmlformats.org/officeDocument/2006/relationships/header" Target="header31.xml"/><Relationship Id="rId242" Type="http://schemas.openxmlformats.org/officeDocument/2006/relationships/footer" Target="footer35.xml"/><Relationship Id="rId263" Type="http://schemas.openxmlformats.org/officeDocument/2006/relationships/hyperlink" Target="https://www.iccat.int/Documents/Recs/compendiopdf-s/2025-04-s.pdf" TargetMode="External"/><Relationship Id="rId37" Type="http://schemas.openxmlformats.org/officeDocument/2006/relationships/hyperlink" Target="https://www.iccat.int/Documents/Recs/compendiopdf-s/2024-05-s.pdf" TargetMode="External"/><Relationship Id="rId58" Type="http://schemas.openxmlformats.org/officeDocument/2006/relationships/hyperlink" Target="https://www.iccat.int/Documents/Recs/compendiopdf-s/2025-04-s.pdf" TargetMode="External"/><Relationship Id="rId79" Type="http://schemas.openxmlformats.org/officeDocument/2006/relationships/hyperlink" Target="https://www.iccat.int/Documents/Recs/compendiopdf-s/2025-04-s.pdf" TargetMode="External"/><Relationship Id="rId102" Type="http://schemas.openxmlformats.org/officeDocument/2006/relationships/hyperlink" Target="https://www.iccat.int/Documents/Recs/compendiopdf-s/2024-04-s.pdf" TargetMode="External"/><Relationship Id="rId123" Type="http://schemas.openxmlformats.org/officeDocument/2006/relationships/footer" Target="footer13.xml"/><Relationship Id="rId144" Type="http://schemas.openxmlformats.org/officeDocument/2006/relationships/hyperlink" Target="https://www.iccat.int/Documents/Recs/compendiopdf-s/2025-04-s.pdf" TargetMode="External"/><Relationship Id="rId90" Type="http://schemas.openxmlformats.org/officeDocument/2006/relationships/hyperlink" Target="https://www.iccat.int/Documents/Recs/compendiopdf-s/2025-04-s.pdf" TargetMode="External"/><Relationship Id="rId165" Type="http://schemas.openxmlformats.org/officeDocument/2006/relationships/hyperlink" Target="https://www.iccat.int/Documents/Recs/compendiopdf-s/2025-04-s.pdf" TargetMode="External"/><Relationship Id="rId186" Type="http://schemas.openxmlformats.org/officeDocument/2006/relationships/hyperlink" Target="https://www.iccat.int/Documents/Recs/compendiopdf-s/2025-04-s.pdf" TargetMode="External"/><Relationship Id="rId211" Type="http://schemas.openxmlformats.org/officeDocument/2006/relationships/hyperlink" Target="https://iccat.int/Documents/Recs/compendiopdf-s/2025-04-s.pdf" TargetMode="External"/><Relationship Id="rId232" Type="http://schemas.openxmlformats.org/officeDocument/2006/relationships/header" Target="header32.xml"/><Relationship Id="rId253" Type="http://schemas.openxmlformats.org/officeDocument/2006/relationships/hyperlink" Target="https://iccat.int/Documents/Recs/compendiopdf-s/2025-05-s.pdf" TargetMode="External"/><Relationship Id="rId274" Type="http://schemas.openxmlformats.org/officeDocument/2006/relationships/hyperlink" Target="https://www.iccat.int/Documents/Recs/compendiopdf-s/2024-05-s.pdf" TargetMode="External"/><Relationship Id="rId27" Type="http://schemas.openxmlformats.org/officeDocument/2006/relationships/hyperlink" Target="https://iccat.int/Documents/Recs/compendiopdf-s/2025-05-s.pdf" TargetMode="External"/><Relationship Id="rId48" Type="http://schemas.openxmlformats.org/officeDocument/2006/relationships/hyperlink" Target="https://www.iccat.int/Documents/Recs/compendiopdf-s/2025-04-s.pdf" TargetMode="External"/><Relationship Id="rId69" Type="http://schemas.openxmlformats.org/officeDocument/2006/relationships/hyperlink" Target="https://qbz.gov.al/eli/vendim/2022/12/01/756/46e86b9b-aa57-46ab-8930-a386a451056b" TargetMode="External"/><Relationship Id="rId113" Type="http://schemas.openxmlformats.org/officeDocument/2006/relationships/hyperlink" Target="https://www.iccat.int/Documents/Recs/compendiopdf-s/2024-05-s.pdf" TargetMode="External"/><Relationship Id="rId134" Type="http://schemas.openxmlformats.org/officeDocument/2006/relationships/header" Target="header15.xml"/><Relationship Id="rId80" Type="http://schemas.openxmlformats.org/officeDocument/2006/relationships/hyperlink" Target="https://www.iccat.int/Documents/Recs/compendiopdf-s/2025-04-s.pdf" TargetMode="External"/><Relationship Id="rId155" Type="http://schemas.openxmlformats.org/officeDocument/2006/relationships/hyperlink" Target="mailto:kyung91206@korea.kr" TargetMode="External"/><Relationship Id="rId176" Type="http://schemas.openxmlformats.org/officeDocument/2006/relationships/hyperlink" Target="mailto:bouaamri@mpm.gov.ma" TargetMode="External"/><Relationship Id="rId197" Type="http://schemas.openxmlformats.org/officeDocument/2006/relationships/hyperlink" Target="mailto:iterrado@arap.gob.pa" TargetMode="External"/><Relationship Id="rId201" Type="http://schemas.openxmlformats.org/officeDocument/2006/relationships/footer" Target="footer27.xml"/><Relationship Id="rId222" Type="http://schemas.openxmlformats.org/officeDocument/2006/relationships/footer" Target="footer32.xml"/><Relationship Id="rId243" Type="http://schemas.openxmlformats.org/officeDocument/2006/relationships/hyperlink" Target="https://iccat.int/Documents/Recs/compendiopdf-s/2025-04-s.pdf" TargetMode="External"/><Relationship Id="rId264" Type="http://schemas.openxmlformats.org/officeDocument/2006/relationships/header" Target="header37.xml"/><Relationship Id="rId17" Type="http://schemas.openxmlformats.org/officeDocument/2006/relationships/hyperlink" Target="https://www.iccat.int/Documents/Recs/compendiopdf-s/2025-04-s.pdf" TargetMode="External"/><Relationship Id="rId38" Type="http://schemas.openxmlformats.org/officeDocument/2006/relationships/hyperlink" Target="https://www.iccat.int/Documents/Recs/compendiopdf-s/2025-04-s.pdf" TargetMode="External"/><Relationship Id="rId59" Type="http://schemas.openxmlformats.org/officeDocument/2006/relationships/hyperlink" Target="mailto:amarouchelli.dz@gmail.com" TargetMode="External"/><Relationship Id="rId103" Type="http://schemas.openxmlformats.org/officeDocument/2006/relationships/hyperlink" Target="https://www.iccat.int/Documents/Recs/compendiopdf-s/2025-04-s.pdf" TargetMode="External"/><Relationship Id="rId124" Type="http://schemas.openxmlformats.org/officeDocument/2006/relationships/hyperlink" Target="https://www.iccat.int/Documents/Recs/compendiopdf-s/2025-04-s.pdf" TargetMode="External"/><Relationship Id="rId70" Type="http://schemas.openxmlformats.org/officeDocument/2006/relationships/hyperlink" Target="https://qbz.gov.al/eli/urdher/2025/02/13/140/07a821b8-e905-40a7-a3e0-5b1235d5351e" TargetMode="External"/><Relationship Id="rId91" Type="http://schemas.openxmlformats.org/officeDocument/2006/relationships/hyperlink" Target="https://www.iccat.int/Documents/Recs/compendiopdf-s/2025-04-s.pdf" TargetMode="External"/><Relationship Id="rId145" Type="http://schemas.openxmlformats.org/officeDocument/2006/relationships/hyperlink" Target="https://www.iccat.int/Documents/Recs/compendiopdf-s/2025-11-s.pdf" TargetMode="External"/><Relationship Id="rId166" Type="http://schemas.openxmlformats.org/officeDocument/2006/relationships/hyperlink" Target="https://www.iccat.int/Documents/Recs/compendiopdf-s/2024-07-s.pdf" TargetMode="External"/><Relationship Id="rId187" Type="http://schemas.openxmlformats.org/officeDocument/2006/relationships/hyperlink" Target="https://www.iccat.int/Documents/Recs/compendiopdf-s/2024-07-s.pdf" TargetMode="External"/><Relationship Id="rId1" Type="http://schemas.openxmlformats.org/officeDocument/2006/relationships/customXml" Target="../customXml/item1.xml"/><Relationship Id="rId212" Type="http://schemas.openxmlformats.org/officeDocument/2006/relationships/hyperlink" Target="https://iccat.int/Documents/Recs/compendiopdf-s/2025-04-s.pdf" TargetMode="External"/><Relationship Id="rId233" Type="http://schemas.openxmlformats.org/officeDocument/2006/relationships/footer" Target="footer33.xml"/><Relationship Id="rId254" Type="http://schemas.openxmlformats.org/officeDocument/2006/relationships/hyperlink" Target="https://www.iccat.int/Documents/Recs/compendiopdf-s/2025-04-s.pdf" TargetMode="External"/><Relationship Id="rId28" Type="http://schemas.openxmlformats.org/officeDocument/2006/relationships/hyperlink" Target="https://iccat.int/Documents/Recs/compendiopdf-s/2025-05-s.pdf" TargetMode="External"/><Relationship Id="rId49" Type="http://schemas.openxmlformats.org/officeDocument/2006/relationships/hyperlink" Target="https://www.iccat.int/Documents/Recs/compendiopdf-s/2025-04-s.pdf" TargetMode="External"/><Relationship Id="rId114" Type="http://schemas.openxmlformats.org/officeDocument/2006/relationships/hyperlink" Target="https://www.irishstatutebook.ie/eli/1959/act/14/enacted/en/html" TargetMode="External"/><Relationship Id="rId275" Type="http://schemas.openxmlformats.org/officeDocument/2006/relationships/hyperlink" Target="https://www.iccat.int/Documents/Recs/compendiopdf-s/2024-05-s.pdf" TargetMode="External"/><Relationship Id="rId60" Type="http://schemas.openxmlformats.org/officeDocument/2006/relationships/hyperlink" Target="mailto:limingfeng8805@126.com" TargetMode="External"/><Relationship Id="rId81" Type="http://schemas.openxmlformats.org/officeDocument/2006/relationships/hyperlink" Target="https://www.iccat.int/Documents/Recs/compendiopdf-s/2025-04-s.pdf" TargetMode="External"/><Relationship Id="rId135" Type="http://schemas.openxmlformats.org/officeDocument/2006/relationships/footer" Target="footer16.xml"/><Relationship Id="rId156" Type="http://schemas.openxmlformats.org/officeDocument/2006/relationships/header" Target="header18.xml"/><Relationship Id="rId177" Type="http://schemas.openxmlformats.org/officeDocument/2006/relationships/header" Target="header21.xml"/><Relationship Id="rId198" Type="http://schemas.openxmlformats.org/officeDocument/2006/relationships/hyperlink" Target="mailto:ivc@arap.gob.pa" TargetMode="External"/><Relationship Id="rId202" Type="http://schemas.openxmlformats.org/officeDocument/2006/relationships/hyperlink" Target="https://www.iccat.int/Documents/Recs/compendiopdf-f/2025-04-f.pdf" TargetMode="External"/><Relationship Id="rId223" Type="http://schemas.openxmlformats.org/officeDocument/2006/relationships/hyperlink" Target="https://www.iccat.int/Documents/Recs/compendiopdf-s/2025-04-s.pdf" TargetMode="External"/><Relationship Id="rId244" Type="http://schemas.openxmlformats.org/officeDocument/2006/relationships/hyperlink" Target="https://iccat.int/Documents/Recs/compendiopdf-s/2025-04-s.pdf" TargetMode="External"/><Relationship Id="rId18" Type="http://schemas.openxmlformats.org/officeDocument/2006/relationships/hyperlink" Target="https://www.iccat.int/Documents/Recs/compendiopdf-s/2025-04-s.pdf" TargetMode="External"/><Relationship Id="rId39" Type="http://schemas.openxmlformats.org/officeDocument/2006/relationships/hyperlink" Target="https://www.iccat.int/Documents/Recs/compendiopdf-s/2021-04-s.pdf" TargetMode="External"/><Relationship Id="rId265" Type="http://schemas.openxmlformats.org/officeDocument/2006/relationships/footer" Target="footer38.xml"/><Relationship Id="rId50" Type="http://schemas.openxmlformats.org/officeDocument/2006/relationships/hyperlink" Target="https://www.iccat.int/Documents/Recs/compendiopdf-s/2025-04-s.pdf" TargetMode="External"/><Relationship Id="rId104" Type="http://schemas.openxmlformats.org/officeDocument/2006/relationships/hyperlink" Target="https://www.iccat.int/Documents/Recs/compendiopdf-s/2024-07-s.pdf" TargetMode="External"/><Relationship Id="rId125" Type="http://schemas.openxmlformats.org/officeDocument/2006/relationships/hyperlink" Target="https://www.iccat.int/Documents/Recs/compendiopdf-s/2025-04-s.pdf" TargetMode="External"/><Relationship Id="rId146" Type="http://schemas.openxmlformats.org/officeDocument/2006/relationships/hyperlink" Target="mailto:chika_fukugama740@maff.go.jp" TargetMode="External"/><Relationship Id="rId167" Type="http://schemas.openxmlformats.org/officeDocument/2006/relationships/hyperlink" Target="mailto:Laminecam2000@yahoo.fr" TargetMode="External"/><Relationship Id="rId188" Type="http://schemas.openxmlformats.org/officeDocument/2006/relationships/hyperlink" Target="mailto:sofie.munch.ellingsen@nfd.dep.no" TargetMode="External"/><Relationship Id="rId71" Type="http://schemas.openxmlformats.org/officeDocument/2006/relationships/hyperlink" Target="https://qbz.gov.al/eli/urdher/2025/02/13/140/07a821b8-e905-40a7-a3e0-5b1235d5351e" TargetMode="External"/><Relationship Id="rId92" Type="http://schemas.openxmlformats.org/officeDocument/2006/relationships/hyperlink" Target="https://www.iccat.int/Documents/Recs/compendiopdf-s/2024-07-s.pdf" TargetMode="External"/><Relationship Id="rId213" Type="http://schemas.openxmlformats.org/officeDocument/2006/relationships/hyperlink" Target="https://www.iccat.int/Documents/Recs/compendiopdf-s/2024-07-s.pdf" TargetMode="External"/><Relationship Id="rId234" Type="http://schemas.openxmlformats.org/officeDocument/2006/relationships/hyperlink" Target="https://www.iccat.int/Documents/Recs/compendiopdf-s/2025-04-s.pdf" TargetMode="External"/><Relationship Id="rId2" Type="http://schemas.openxmlformats.org/officeDocument/2006/relationships/customXml" Target="../customXml/item2.xml"/><Relationship Id="rId29" Type="http://schemas.openxmlformats.org/officeDocument/2006/relationships/hyperlink" Target="https://iccat.int/Documents/Recs/compendiopdf-s/2025-05-s.pdf" TargetMode="External"/><Relationship Id="rId255" Type="http://schemas.openxmlformats.org/officeDocument/2006/relationships/hyperlink" Target="https://www.iccat.int/Documents/Recs/compendiopdf-s/2025-04-s.pdf" TargetMode="External"/><Relationship Id="rId276" Type="http://schemas.openxmlformats.org/officeDocument/2006/relationships/hyperlink" Target="https://www.iccat.int/Documents/Recs/compendiopdf-s/2024-05-s.pdf" TargetMode="External"/><Relationship Id="rId40" Type="http://schemas.openxmlformats.org/officeDocument/2006/relationships/hyperlink" Target="https://www.iccat.int/Documents/CVSP/CV080_2023/n_3/CV080030175.pdf" TargetMode="External"/><Relationship Id="rId115" Type="http://schemas.openxmlformats.org/officeDocument/2006/relationships/hyperlink" Target="https://www.gov.ie/pdf/?file=https://assets.gov.ie/77376/007db25e-64ad-4792-b25a-568987eea8be.pdf" TargetMode="External"/><Relationship Id="rId136" Type="http://schemas.openxmlformats.org/officeDocument/2006/relationships/hyperlink" Target="https://www.iccat.int/Documents/Recs/compendiopdf-s/2025-04-s.pdf" TargetMode="External"/><Relationship Id="rId157" Type="http://schemas.openxmlformats.org/officeDocument/2006/relationships/footer" Target="footer19.xml"/><Relationship Id="rId178" Type="http://schemas.openxmlformats.org/officeDocument/2006/relationships/footer" Target="footer22.xml"/><Relationship Id="rId61" Type="http://schemas.openxmlformats.org/officeDocument/2006/relationships/hyperlink" Target="mailto:marwanasr899@gmail.com" TargetMode="External"/><Relationship Id="rId82" Type="http://schemas.openxmlformats.org/officeDocument/2006/relationships/header" Target="header2.xml"/><Relationship Id="rId199" Type="http://schemas.openxmlformats.org/officeDocument/2006/relationships/hyperlink" Target="mailto:monitoreo@arap.gob.pa" TargetMode="External"/><Relationship Id="rId203" Type="http://schemas.openxmlformats.org/officeDocument/2006/relationships/hyperlink" Target="https://www.iccat.int/Documents/Recs/compendiopdf-s/2025-04-s.pdf" TargetMode="External"/><Relationship Id="rId19" Type="http://schemas.openxmlformats.org/officeDocument/2006/relationships/hyperlink" Target="https://www.iccat.int/Documents/Recs/compendiopdf-s/2025-04-s.pdf" TargetMode="External"/><Relationship Id="rId224" Type="http://schemas.openxmlformats.org/officeDocument/2006/relationships/hyperlink" Target="mailto:ilhan.uze@tarimorman.gov.tr" TargetMode="External"/><Relationship Id="rId245" Type="http://schemas.openxmlformats.org/officeDocument/2006/relationships/hyperlink" Target="https://www.iccat.int/Documents/Recs/compendiopdf-s/2024-07-s.pdf" TargetMode="External"/><Relationship Id="rId266" Type="http://schemas.openxmlformats.org/officeDocument/2006/relationships/hyperlink" Target="https://www.iccat.int/DocsComm/uploads/2025/PA2_606_SPA_20251029181324.docx" TargetMode="External"/><Relationship Id="rId30" Type="http://schemas.openxmlformats.org/officeDocument/2006/relationships/hyperlink" Target="https://iccat.int/Documents/Recs/compendiopdf-s/2025-05-s.pdf" TargetMode="External"/><Relationship Id="rId105" Type="http://schemas.openxmlformats.org/officeDocument/2006/relationships/hyperlink" Target="mailto:gafrd_eg@hotmail.com" TargetMode="External"/><Relationship Id="rId126" Type="http://schemas.openxmlformats.org/officeDocument/2006/relationships/hyperlink" Target="https://www.iccat.int/Documents/Recs/compendiopdf-s/2024-07-s.pdf" TargetMode="External"/><Relationship Id="rId147" Type="http://schemas.openxmlformats.org/officeDocument/2006/relationships/hyperlink" Target="mailto:masataka_kawano320@maff.go.jp" TargetMode="External"/><Relationship Id="rId168" Type="http://schemas.openxmlformats.org/officeDocument/2006/relationships/hyperlink" Target="https://aciccat-my.sharepoint.com/personal/mariajose_garcia_iccat_int/Documents/Documentos/MARIA%20JOSE/2026/INTERSESIONES/4_PA2-%20marzo/cheikhlehmoudhmety@gmail.com" TargetMode="External"/><Relationship Id="rId51" Type="http://schemas.openxmlformats.org/officeDocument/2006/relationships/hyperlink" Target="https://www.iccat.int/Documents/Recs/compendiopdf-s/2015-13-s.pdf" TargetMode="External"/><Relationship Id="rId72" Type="http://schemas.openxmlformats.org/officeDocument/2006/relationships/hyperlink" Target="https://qbz.gov.al/eli/vendim/2022/12/01/756/46e86b9b-aa57-46ab-8930-a386a451056b" TargetMode="External"/><Relationship Id="rId93" Type="http://schemas.openxmlformats.org/officeDocument/2006/relationships/header" Target="header6.xml"/><Relationship Id="rId189" Type="http://schemas.openxmlformats.org/officeDocument/2006/relationships/hyperlink" Target="mailto:rune.mjorlund@fiskeridir.no" TargetMode="External"/><Relationship Id="rId3" Type="http://schemas.openxmlformats.org/officeDocument/2006/relationships/customXml" Target="../customXml/item3.xml"/><Relationship Id="rId214" Type="http://schemas.openxmlformats.org/officeDocument/2006/relationships/header" Target="header29.xml"/><Relationship Id="rId235" Type="http://schemas.openxmlformats.org/officeDocument/2006/relationships/hyperlink" Target="https://www.legislation.gov.uk/uksi/2024/655/contents/made" TargetMode="External"/><Relationship Id="rId256" Type="http://schemas.openxmlformats.org/officeDocument/2006/relationships/hyperlink" Target="https://www.iccat.int/Documents/Recs/compendiopdf-s/2025-04-s.pdf" TargetMode="External"/><Relationship Id="rId277" Type="http://schemas.openxmlformats.org/officeDocument/2006/relationships/hyperlink" Target="https://www.iccat.int/Documents/Recs/compendiopdf-s/2024-05-s.pdf" TargetMode="External"/><Relationship Id="rId116" Type="http://schemas.openxmlformats.org/officeDocument/2006/relationships/hyperlink" Target="https://www.iccat.int/Documents/Recs/compendiopdf-s/2025-04-s.pdf" TargetMode="External"/><Relationship Id="rId137" Type="http://schemas.openxmlformats.org/officeDocument/2006/relationships/hyperlink" Target="https://www.iccat.int/Documents/Recs/compendiopdf-s/2024-05-s.pdf" TargetMode="External"/><Relationship Id="rId158" Type="http://schemas.openxmlformats.org/officeDocument/2006/relationships/hyperlink" Target="https://iccat.int/Documents/Recs/compendiopdf-s/2025-04-s.pdf" TargetMode="External"/><Relationship Id="rId20" Type="http://schemas.openxmlformats.org/officeDocument/2006/relationships/hyperlink" Target="https://www.iccat.int/Documents/Recs/compendiopdf-s/2025-04-s.pdf" TargetMode="External"/><Relationship Id="rId41" Type="http://schemas.openxmlformats.org/officeDocument/2006/relationships/hyperlink" Target="https://www.iccat.int/Documents/Recs/compendiopdf-s/2021-04-s.pdf" TargetMode="External"/><Relationship Id="rId62" Type="http://schemas.openxmlformats.org/officeDocument/2006/relationships/hyperlink" Target="mailto:alexisp@arap.gob.pa" TargetMode="External"/><Relationship Id="rId83" Type="http://schemas.openxmlformats.org/officeDocument/2006/relationships/footer" Target="footer2.xml"/><Relationship Id="rId179" Type="http://schemas.openxmlformats.org/officeDocument/2006/relationships/header" Target="header22.xml"/><Relationship Id="rId190" Type="http://schemas.openxmlformats.org/officeDocument/2006/relationships/hyperlink" Target="mailto:vihni@fiskeridir.no" TargetMode="External"/><Relationship Id="rId204" Type="http://schemas.openxmlformats.org/officeDocument/2006/relationships/hyperlink" Target="https://www.iccat.int/Documents/Recs/compendiopdf-s/2024-07-s.pdf" TargetMode="External"/><Relationship Id="rId225" Type="http://schemas.openxmlformats.org/officeDocument/2006/relationships/hyperlink" Target="mailto:huseyin.karci@tarimorman.gov.tr" TargetMode="External"/><Relationship Id="rId246" Type="http://schemas.openxmlformats.org/officeDocument/2006/relationships/hyperlink" Target="mailto:yenju@ms1.fa.gov.tw" TargetMode="External"/><Relationship Id="rId267" Type="http://schemas.openxmlformats.org/officeDocument/2006/relationships/hyperlink" Target="https://www.iccat.int/DocsComm/uploads/2025/PA2_606_SPA_20251029181324.docx" TargetMode="External"/><Relationship Id="rId106" Type="http://schemas.openxmlformats.org/officeDocument/2006/relationships/hyperlink" Target="mailto:doaahammam01@gmail.com" TargetMode="External"/><Relationship Id="rId127" Type="http://schemas.openxmlformats.org/officeDocument/2006/relationships/hyperlink" Target="mailto:agnar.bragi.bragason@atrn.is" TargetMode="External"/><Relationship Id="rId10" Type="http://schemas.openxmlformats.org/officeDocument/2006/relationships/endnotes" Target="endnotes.xml"/><Relationship Id="rId31" Type="http://schemas.openxmlformats.org/officeDocument/2006/relationships/hyperlink" Target="https://www.iccat.int/Documents/Recs/compendiopdf-s/2025-04-s.pdf" TargetMode="External"/><Relationship Id="rId52" Type="http://schemas.openxmlformats.org/officeDocument/2006/relationships/hyperlink" Target="https://www.iccat.int/Documents/Recs/compendiopdf-s/2013-14-s.pdf" TargetMode="External"/><Relationship Id="rId73" Type="http://schemas.openxmlformats.org/officeDocument/2006/relationships/hyperlink" Target="https://qbz.gov.al/eli/urdher/2025/02/13/140/07a821b8-e905-40a7-a3e0-5b1235d5351e" TargetMode="External"/><Relationship Id="rId94" Type="http://schemas.openxmlformats.org/officeDocument/2006/relationships/footer" Target="footer6.xml"/><Relationship Id="rId148" Type="http://schemas.openxmlformats.org/officeDocument/2006/relationships/header" Target="header16.xml"/><Relationship Id="rId169" Type="http://schemas.openxmlformats.org/officeDocument/2006/relationships/header" Target="header19.xml"/><Relationship Id="rId4" Type="http://schemas.openxmlformats.org/officeDocument/2006/relationships/customXml" Target="../customXml/item4.xml"/><Relationship Id="rId180" Type="http://schemas.openxmlformats.org/officeDocument/2006/relationships/footer" Target="footer23.xml"/><Relationship Id="rId215" Type="http://schemas.openxmlformats.org/officeDocument/2006/relationships/footer" Target="footer30.xml"/><Relationship Id="rId236" Type="http://schemas.openxmlformats.org/officeDocument/2006/relationships/hyperlink" Target="https://www.iccat.int/Documents/Recs/compendiopdf-s/2025-04-s.pdf" TargetMode="External"/><Relationship Id="rId257" Type="http://schemas.openxmlformats.org/officeDocument/2006/relationships/hyperlink" Target="https://www.iccat.int/Documents/Recs/compendiopdf-s/2025-04-s.pdf" TargetMode="External"/><Relationship Id="rId278" Type="http://schemas.openxmlformats.org/officeDocument/2006/relationships/hyperlink" Target="https://www.iccat.int/Documents/Recs/compendiopdf-s/2025-04-s.pdf" TargetMode="External"/><Relationship Id="rId42" Type="http://schemas.openxmlformats.org/officeDocument/2006/relationships/hyperlink" Target="https://www.iccat.int/Documents/Recs/compendiopdf-s/2021-04-s.pdf" TargetMode="External"/><Relationship Id="rId84" Type="http://schemas.openxmlformats.org/officeDocument/2006/relationships/header" Target="header3.xml"/><Relationship Id="rId138" Type="http://schemas.openxmlformats.org/officeDocument/2006/relationships/hyperlink" Target="https://www.iccat.int/Documents/Recs/compendiopdf-s/2025-04-s.pdf" TargetMode="External"/><Relationship Id="rId191" Type="http://schemas.openxmlformats.org/officeDocument/2006/relationships/header" Target="header25.xml"/><Relationship Id="rId205" Type="http://schemas.openxmlformats.org/officeDocument/2006/relationships/header" Target="header27.xml"/><Relationship Id="rId247" Type="http://schemas.openxmlformats.org/officeDocument/2006/relationships/hyperlink" Target="mailto:anchiang@ms1.fa.gov.tw" TargetMode="External"/><Relationship Id="rId107" Type="http://schemas.openxmlformats.org/officeDocument/2006/relationships/hyperlink" Target="mailto:abdelrazek.mohamed004@gmail.com" TargetMode="External"/><Relationship Id="rId11" Type="http://schemas.openxmlformats.org/officeDocument/2006/relationships/hyperlink" Target="https://www.iccat.int/Documents/Recs/compendiopdf-s/2025-04-s.pdf" TargetMode="External"/><Relationship Id="rId53" Type="http://schemas.openxmlformats.org/officeDocument/2006/relationships/hyperlink" Target="https://www.iccat.int/Documents/Recs/compendiopdf-s/2025-04-s.pdf" TargetMode="External"/><Relationship Id="rId149" Type="http://schemas.openxmlformats.org/officeDocument/2006/relationships/footer" Target="footer17.xml"/><Relationship Id="rId95" Type="http://schemas.openxmlformats.org/officeDocument/2006/relationships/header" Target="header7.xml"/><Relationship Id="rId160" Type="http://schemas.openxmlformats.org/officeDocument/2006/relationships/hyperlink" Target="https://www.iccat.int/Documents/Recs/compendiopdf-s/2024-07-s.pdf" TargetMode="External"/><Relationship Id="rId216" Type="http://schemas.openxmlformats.org/officeDocument/2006/relationships/hyperlink" Target="https://www.iccat.int/Documents/Recs/compendiopdf-s/2025-04-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0e051c01c6d3b99038d23966e86db746">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a6942378c86905f7ec7ba784a8a0b73c"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EEB0E2-C619-47AD-9906-253195CDA064}">
  <ds:schemaRefs>
    <ds:schemaRef ds:uri="http://schemas.microsoft.com/sharepoint/v3/contenttype/forms"/>
  </ds:schemaRefs>
</ds:datastoreItem>
</file>

<file path=customXml/itemProps2.xml><?xml version="1.0" encoding="utf-8"?>
<ds:datastoreItem xmlns:ds="http://schemas.openxmlformats.org/officeDocument/2006/customXml" ds:itemID="{44D48E58-248A-4F7F-B272-44462B487E39}">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3.xml><?xml version="1.0" encoding="utf-8"?>
<ds:datastoreItem xmlns:ds="http://schemas.openxmlformats.org/officeDocument/2006/customXml" ds:itemID="{CC12FECD-16D1-44E6-B3C4-C8549D1413FF}">
  <ds:schemaRefs>
    <ds:schemaRef ds:uri="http://schemas.openxmlformats.org/officeDocument/2006/bibliography"/>
  </ds:schemaRefs>
</ds:datastoreItem>
</file>

<file path=customXml/itemProps4.xml><?xml version="1.0" encoding="utf-8"?>
<ds:datastoreItem xmlns:ds="http://schemas.openxmlformats.org/officeDocument/2006/customXml" ds:itemID="{442829CA-6100-4642-BFDD-F4AF87437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115</Pages>
  <Words>95167</Words>
  <Characters>542458</Characters>
  <Application>Microsoft Office Word</Application>
  <DocSecurity>0</DocSecurity>
  <Lines>4520</Lines>
  <Paragraphs>1272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Urban Connections 57</dc:creator>
  <cp:keywords/>
  <dc:description/>
  <cp:lastModifiedBy>Marisa de Andrés</cp:lastModifiedBy>
  <cp:revision>2</cp:revision>
  <cp:lastPrinted>2026-03-11T11:52:00Z</cp:lastPrinted>
  <dcterms:created xsi:type="dcterms:W3CDTF">2026-10-02T11:33:00Z</dcterms:created>
  <dcterms:modified xsi:type="dcterms:W3CDTF">2026-10-02T11:33:00Z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y fmtid="{D5CDD505-2E9C-101B-9397-08002B2CF9AE}" pid="3" name="MediaServiceImageTags">
    <vt:lpwstr/>
  </property>
</Properties>
</file>