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301D95" w:rsidRDefault="00163DC1" w:rsidP="00B53904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301D95">
        <w:rPr>
          <w:rFonts w:ascii="Cambria" w:hAnsi="Cambria"/>
          <w:b/>
          <w:sz w:val="20"/>
          <w:szCs w:val="20"/>
        </w:rPr>
        <w:t xml:space="preserve">Original : </w:t>
      </w:r>
      <w:r w:rsidRPr="00301D95">
        <w:rPr>
          <w:rFonts w:ascii="Cambria" w:hAnsi="Cambria"/>
          <w:b/>
          <w:bCs/>
          <w:sz w:val="20"/>
          <w:szCs w:val="20"/>
        </w:rPr>
        <w:t>anglais</w:t>
      </w:r>
    </w:p>
    <w:p w14:paraId="2B1513CC" w14:textId="77777777" w:rsidR="00442C11" w:rsidRPr="00301D95" w:rsidRDefault="00442C11" w:rsidP="00B53904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14:paraId="5D6AF9F8" w14:textId="70423BC6" w:rsidR="00442C11" w:rsidRPr="00301D95" w:rsidRDefault="007933DA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 w:rsidRPr="00301D95">
        <w:rPr>
          <w:rFonts w:ascii="Cambria" w:hAnsi="Cambria"/>
          <w:b/>
          <w:bCs/>
          <w:sz w:val="20"/>
          <w:szCs w:val="20"/>
        </w:rPr>
        <w:t>Ordre du jour provisoire de la Sous-commission 2</w:t>
      </w:r>
    </w:p>
    <w:p w14:paraId="11DD697E" w14:textId="77777777" w:rsidR="009C52D5" w:rsidRPr="00301D95" w:rsidRDefault="009C52D5" w:rsidP="00F673F4">
      <w:pPr>
        <w:spacing w:after="120"/>
        <w:ind w:left="426" w:hanging="426"/>
        <w:rPr>
          <w:rFonts w:ascii="Cambria" w:hAnsi="Cambria"/>
          <w:bCs/>
          <w:sz w:val="20"/>
          <w:szCs w:val="20"/>
        </w:rPr>
      </w:pPr>
    </w:p>
    <w:p w14:paraId="7624AF4F" w14:textId="6BD87CFF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Ouverture de la réunion</w:t>
      </w:r>
    </w:p>
    <w:p w14:paraId="7DAFC274" w14:textId="77777777" w:rsidR="00F673F4" w:rsidRPr="00301D95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A5BE715" w14:textId="5A733C59" w:rsidR="00F673F4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 xml:space="preserve">Désignation du rapporteur </w:t>
      </w:r>
    </w:p>
    <w:p w14:paraId="1A5FD2EA" w14:textId="77777777" w:rsidR="00F673F4" w:rsidRPr="00301D95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7C3A517" w14:textId="35BAF683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Adoption de l’ordre du jour</w:t>
      </w:r>
    </w:p>
    <w:p w14:paraId="5752D0B1" w14:textId="77777777" w:rsidR="00F673F4" w:rsidRPr="00301D95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7A12151" w14:textId="7796340A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Examen de la composition de la Sous-commission</w:t>
      </w:r>
    </w:p>
    <w:p w14:paraId="5C59AEDD" w14:textId="77777777" w:rsidR="00F673F4" w:rsidRPr="00301D95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B8828F1" w14:textId="0CD43EC3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Rapport du Comité permanent pour la recherche et les statistiques (SCRS)</w:t>
      </w:r>
    </w:p>
    <w:p w14:paraId="5091B2B0" w14:textId="77777777" w:rsidR="00AB5503" w:rsidRPr="00301D95" w:rsidRDefault="00AB5503" w:rsidP="00AB5503">
      <w:pPr>
        <w:pStyle w:val="ListParagraph"/>
        <w:rPr>
          <w:rFonts w:ascii="Cambria" w:hAnsi="Cambria"/>
          <w:sz w:val="20"/>
          <w:szCs w:val="20"/>
        </w:rPr>
      </w:pPr>
    </w:p>
    <w:p w14:paraId="73ABCDF3" w14:textId="77777777" w:rsidR="007D6824" w:rsidRPr="00301D95" w:rsidRDefault="00AB5503" w:rsidP="007D6824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Recherche et réponses à la Commission</w:t>
      </w:r>
    </w:p>
    <w:p w14:paraId="0CD3272E" w14:textId="77777777" w:rsidR="00810F76" w:rsidRPr="00301D95" w:rsidRDefault="00810F76" w:rsidP="00810F76">
      <w:pPr>
        <w:pStyle w:val="ListParagraph"/>
        <w:tabs>
          <w:tab w:val="left" w:pos="426"/>
        </w:tabs>
        <w:ind w:left="851"/>
        <w:jc w:val="both"/>
        <w:rPr>
          <w:rFonts w:ascii="Cambria" w:hAnsi="Cambria"/>
          <w:sz w:val="20"/>
          <w:szCs w:val="20"/>
        </w:rPr>
      </w:pPr>
    </w:p>
    <w:p w14:paraId="6804EE22" w14:textId="7508F4FF" w:rsidR="007D6824" w:rsidRPr="00301D95" w:rsidRDefault="007D6824" w:rsidP="00EC7554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Examen de l'état d'avancement de l'évaluation de la stratégie de gestion (MSE) pour le thon rouge de l'Atlantique (</w:t>
      </w:r>
      <w:hyperlink r:id="rId7" w:history="1">
        <w:r w:rsidRPr="00301D95">
          <w:rPr>
            <w:rStyle w:val="Hyperlink"/>
            <w:rFonts w:ascii="Cambria" w:hAnsi="Cambria"/>
            <w:sz w:val="20"/>
            <w:szCs w:val="20"/>
            <w:u w:val="none"/>
          </w:rPr>
          <w:t>Rec. 23-07</w:t>
        </w:r>
      </w:hyperlink>
      <w:r w:rsidRPr="00301D95">
        <w:rPr>
          <w:rFonts w:ascii="Cambria" w:hAnsi="Cambria"/>
          <w:sz w:val="20"/>
          <w:szCs w:val="20"/>
        </w:rPr>
        <w:t>) et le germon de l'Atlantique Nord (</w:t>
      </w:r>
      <w:hyperlink r:id="rId8" w:history="1">
        <w:r w:rsidRPr="00301D95">
          <w:rPr>
            <w:rStyle w:val="Hyperlink"/>
            <w:rFonts w:ascii="Cambria" w:hAnsi="Cambria"/>
            <w:sz w:val="20"/>
            <w:szCs w:val="20"/>
            <w:u w:val="none"/>
          </w:rPr>
          <w:t>Rec. 23-05</w:t>
        </w:r>
      </w:hyperlink>
      <w:r w:rsidRPr="00301D95">
        <w:rPr>
          <w:rFonts w:ascii="Cambria" w:hAnsi="Cambria"/>
          <w:sz w:val="20"/>
          <w:szCs w:val="20"/>
        </w:rPr>
        <w:t>)</w:t>
      </w:r>
    </w:p>
    <w:p w14:paraId="1D48CC59" w14:textId="77777777" w:rsidR="00F673F4" w:rsidRPr="00301D95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3197A3F5" w14:textId="11303E75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Examen du rapport de la réunion intersessions de la Sous-commission 2 et examen de toute action nécessaire</w:t>
      </w:r>
    </w:p>
    <w:p w14:paraId="7C63869D" w14:textId="77777777" w:rsidR="00F673F4" w:rsidRPr="00301D95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179B1F7" w14:textId="2AF0097F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Examen des tableaux d’application</w:t>
      </w:r>
    </w:p>
    <w:p w14:paraId="065CA344" w14:textId="77777777" w:rsidR="00F673F4" w:rsidRPr="00301D95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4AD20E7" w14:textId="04A7277D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301D95">
        <w:rPr>
          <w:rFonts w:ascii="Cambria" w:hAnsi="Cambria"/>
          <w:sz w:val="20"/>
          <w:szCs w:val="20"/>
        </w:rPr>
        <w:t xml:space="preserve">Mesures de conservation des stocks et mise en œuvre de la </w:t>
      </w:r>
      <w:hyperlink r:id="rId9" w:history="1">
        <w:r w:rsidRPr="00301D95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Résolution de l’ICCAT portant sur les critères pour l’allocation de possibilités de pêche </w:t>
        </w:r>
        <w:r w:rsidRPr="00301D95">
          <w:rPr>
            <w:rStyle w:val="Hyperlink"/>
            <w:rFonts w:ascii="Cambria" w:hAnsi="Cambria"/>
            <w:sz w:val="20"/>
            <w:szCs w:val="20"/>
            <w:u w:val="none"/>
          </w:rPr>
          <w:t>(Rés. 15-13)</w:t>
        </w:r>
      </w:hyperlink>
    </w:p>
    <w:p w14:paraId="48755B15" w14:textId="77777777" w:rsidR="00F673F4" w:rsidRPr="00301D95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10D42566" w14:textId="00227F5C" w:rsidR="009C52D5" w:rsidRPr="00301D9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Identification des mesures obsolètes sur la base du point 8 ci-dessus</w:t>
      </w:r>
    </w:p>
    <w:p w14:paraId="65E42622" w14:textId="77777777" w:rsidR="00F673F4" w:rsidRPr="00301D95" w:rsidRDefault="00F673F4" w:rsidP="0038006F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1387AC4" w14:textId="77777777" w:rsidR="0007263F" w:rsidRPr="00301D95" w:rsidRDefault="009C52D5" w:rsidP="0007263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Autres questions</w:t>
      </w:r>
    </w:p>
    <w:p w14:paraId="3ECA6F05" w14:textId="77777777" w:rsidR="0007263F" w:rsidRPr="00301D95" w:rsidRDefault="0007263F" w:rsidP="0007263F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73A5F358" w14:textId="032B102F" w:rsidR="002B00FD" w:rsidRPr="00301D95" w:rsidRDefault="006B1110" w:rsidP="00EC7554">
      <w:pPr>
        <w:pStyle w:val="ListParagraph"/>
        <w:numPr>
          <w:ilvl w:val="1"/>
          <w:numId w:val="8"/>
        </w:numPr>
        <w:tabs>
          <w:tab w:val="left" w:pos="426"/>
          <w:tab w:val="left" w:pos="993"/>
          <w:tab w:val="left" w:pos="1276"/>
        </w:tabs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Examen de la date de la prochaine réunion intersession</w:t>
      </w:r>
      <w:r w:rsidR="00301D95" w:rsidRPr="00301D95">
        <w:rPr>
          <w:rFonts w:ascii="Cambria" w:hAnsi="Cambria"/>
          <w:sz w:val="20"/>
          <w:szCs w:val="20"/>
        </w:rPr>
        <w:t>s</w:t>
      </w:r>
    </w:p>
    <w:p w14:paraId="0DCB7C2D" w14:textId="77777777" w:rsidR="00F673F4" w:rsidRPr="00301D95" w:rsidRDefault="00F673F4" w:rsidP="00F673F4">
      <w:pPr>
        <w:pStyle w:val="ListParagraph"/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208474A" w14:textId="6A130902" w:rsidR="009C52D5" w:rsidRPr="00301D95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01D95">
        <w:rPr>
          <w:rFonts w:ascii="Cambria" w:hAnsi="Cambria"/>
          <w:sz w:val="20"/>
          <w:szCs w:val="20"/>
        </w:rPr>
        <w:t>Adoption du rapport et clôture</w:t>
      </w:r>
    </w:p>
    <w:p w14:paraId="72A3DF3C" w14:textId="77777777" w:rsidR="009C52D5" w:rsidRPr="00301D95" w:rsidRDefault="009C52D5" w:rsidP="009C52D5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p w14:paraId="08A153AC" w14:textId="77777777" w:rsidR="00442C11" w:rsidRPr="00301D95" w:rsidRDefault="00442C11" w:rsidP="00442C11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3013ACE0" w14:textId="77777777" w:rsidR="00442C11" w:rsidRPr="00301D95" w:rsidRDefault="00442C11" w:rsidP="00442C11">
      <w:pPr>
        <w:tabs>
          <w:tab w:val="left" w:pos="300"/>
        </w:tabs>
        <w:spacing w:before="120" w:after="120" w:line="220" w:lineRule="exact"/>
        <w:rPr>
          <w:rFonts w:ascii="Cambria" w:hAnsi="Cambria"/>
          <w:b/>
          <w:sz w:val="20"/>
          <w:szCs w:val="20"/>
          <w:lang w:val="en-GB"/>
        </w:rPr>
      </w:pPr>
    </w:p>
    <w:sectPr w:rsidR="00442C11" w:rsidRPr="00301D95" w:rsidSect="00D20D32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BA1C" w14:textId="77777777" w:rsidR="001C5AD9" w:rsidRDefault="001C5AD9" w:rsidP="00F35FE1">
      <w:r>
        <w:separator/>
      </w:r>
    </w:p>
  </w:endnote>
  <w:endnote w:type="continuationSeparator" w:id="0">
    <w:p w14:paraId="11E1ACD6" w14:textId="77777777" w:rsidR="001C5AD9" w:rsidRDefault="001C5AD9" w:rsidP="00F35FE1">
      <w:r>
        <w:continuationSeparator/>
      </w:r>
    </w:p>
  </w:endnote>
  <w:endnote w:type="continuationNotice" w:id="1">
    <w:p w14:paraId="1813A66B" w14:textId="77777777" w:rsidR="001C5AD9" w:rsidRDefault="001C5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874272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F32C" w14:textId="77777777" w:rsidR="001C5AD9" w:rsidRDefault="001C5AD9" w:rsidP="00F35FE1">
      <w:r>
        <w:separator/>
      </w:r>
    </w:p>
  </w:footnote>
  <w:footnote w:type="continuationSeparator" w:id="0">
    <w:p w14:paraId="5979DEBD" w14:textId="77777777" w:rsidR="001C5AD9" w:rsidRDefault="001C5AD9" w:rsidP="00F35FE1">
      <w:r>
        <w:continuationSeparator/>
      </w:r>
    </w:p>
  </w:footnote>
  <w:footnote w:type="continuationNotice" w:id="1">
    <w:p w14:paraId="706BF318" w14:textId="77777777" w:rsidR="001C5AD9" w:rsidRDefault="001C5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B850D59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PA2_600/2026</w:t>
    </w:r>
  </w:p>
  <w:p w14:paraId="41BF1EAA" w14:textId="26ACD5B0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F10990">
      <w:rPr>
        <w:rFonts w:ascii="Cambria" w:hAnsi="Cambria"/>
        <w:b/>
        <w:noProof/>
        <w:sz w:val="16"/>
      </w:rPr>
      <w:t>09/07/2026 11:46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6C1523"/>
    <w:multiLevelType w:val="multilevel"/>
    <w:tmpl w:val="1930C096"/>
    <w:lvl w:ilvl="0">
      <w:start w:val="10"/>
      <w:numFmt w:val="decimal"/>
      <w:lvlText w:val="%1"/>
      <w:lvlJc w:val="left"/>
      <w:pPr>
        <w:ind w:left="360" w:hanging="360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cam" w:hAnsi="Ccam" w:hint="default"/>
      </w:rPr>
    </w:lvl>
  </w:abstractNum>
  <w:abstractNum w:abstractNumId="3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4"/>
  </w:num>
  <w:num w:numId="2" w16cid:durableId="1678775420">
    <w:abstractNumId w:val="7"/>
  </w:num>
  <w:num w:numId="3" w16cid:durableId="1567836023">
    <w:abstractNumId w:val="9"/>
  </w:num>
  <w:num w:numId="4" w16cid:durableId="483355663">
    <w:abstractNumId w:val="0"/>
  </w:num>
  <w:num w:numId="5" w16cid:durableId="1939672181">
    <w:abstractNumId w:val="3"/>
  </w:num>
  <w:num w:numId="6" w16cid:durableId="2104837951">
    <w:abstractNumId w:val="8"/>
  </w:num>
  <w:num w:numId="7" w16cid:durableId="1046877025">
    <w:abstractNumId w:val="5"/>
  </w:num>
  <w:num w:numId="8" w16cid:durableId="199952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57C34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263F"/>
    <w:rsid w:val="0007434D"/>
    <w:rsid w:val="00074A9E"/>
    <w:rsid w:val="000774A7"/>
    <w:rsid w:val="00080978"/>
    <w:rsid w:val="00080F6E"/>
    <w:rsid w:val="00085A52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A62E4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8F3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198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5AD9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17D4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1D95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186A"/>
    <w:rsid w:val="00361D8C"/>
    <w:rsid w:val="003647C8"/>
    <w:rsid w:val="003649AE"/>
    <w:rsid w:val="00374216"/>
    <w:rsid w:val="003756D7"/>
    <w:rsid w:val="0037645F"/>
    <w:rsid w:val="003769DA"/>
    <w:rsid w:val="0038006F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B45A4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1EA5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5A2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47165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5C4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C7ABF"/>
    <w:rsid w:val="007D16E2"/>
    <w:rsid w:val="007D2016"/>
    <w:rsid w:val="007D40E5"/>
    <w:rsid w:val="007D5313"/>
    <w:rsid w:val="007D66F4"/>
    <w:rsid w:val="007D682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2B3"/>
    <w:rsid w:val="00802C11"/>
    <w:rsid w:val="00805C8E"/>
    <w:rsid w:val="00805FE5"/>
    <w:rsid w:val="0080641B"/>
    <w:rsid w:val="00810F76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4272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28A6"/>
    <w:rsid w:val="008930DF"/>
    <w:rsid w:val="008943F8"/>
    <w:rsid w:val="00894995"/>
    <w:rsid w:val="008957AD"/>
    <w:rsid w:val="00896175"/>
    <w:rsid w:val="008966E5"/>
    <w:rsid w:val="008975E6"/>
    <w:rsid w:val="008A28C7"/>
    <w:rsid w:val="008A3BA4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B5B"/>
    <w:rsid w:val="008B7CDA"/>
    <w:rsid w:val="008C124D"/>
    <w:rsid w:val="008C4293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573A"/>
    <w:rsid w:val="00977D58"/>
    <w:rsid w:val="009817B1"/>
    <w:rsid w:val="009838C6"/>
    <w:rsid w:val="00984D7A"/>
    <w:rsid w:val="00984DA7"/>
    <w:rsid w:val="0098510B"/>
    <w:rsid w:val="00985309"/>
    <w:rsid w:val="0098622F"/>
    <w:rsid w:val="00992EB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9F54B1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4C1"/>
    <w:rsid w:val="00A5159E"/>
    <w:rsid w:val="00A5184E"/>
    <w:rsid w:val="00A5360F"/>
    <w:rsid w:val="00A54984"/>
    <w:rsid w:val="00A565D1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00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441F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E7FC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6F8F"/>
    <w:rsid w:val="00C77519"/>
    <w:rsid w:val="00C824C8"/>
    <w:rsid w:val="00C82F62"/>
    <w:rsid w:val="00C83639"/>
    <w:rsid w:val="00C90018"/>
    <w:rsid w:val="00C931A2"/>
    <w:rsid w:val="00C935FE"/>
    <w:rsid w:val="00C94265"/>
    <w:rsid w:val="00C97469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09A2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0BC9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82B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C7554"/>
    <w:rsid w:val="00ED10C0"/>
    <w:rsid w:val="00ED2F68"/>
    <w:rsid w:val="00ED4E71"/>
    <w:rsid w:val="00ED579C"/>
    <w:rsid w:val="00ED6F0F"/>
    <w:rsid w:val="00ED7A12"/>
    <w:rsid w:val="00EE273E"/>
    <w:rsid w:val="00EE4F4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0990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6C9D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f/2023-05-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23-07-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f/2015-13-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2026-07-08T13:43:00Z</dcterms:created>
  <dcterms:modified xsi:type="dcterms:W3CDTF">2026-07-09T09:48:00Z</dcterms:modified>
</cp:coreProperties>
</file>