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68213" w14:textId="316641F1" w:rsidR="003B4CF4" w:rsidRPr="004B27FB" w:rsidRDefault="003B4CF4" w:rsidP="003B4CF4">
      <w:pPr>
        <w:spacing w:line="240" w:lineRule="auto"/>
        <w:jc w:val="right"/>
        <w:rPr>
          <w:rFonts w:asciiTheme="minorHAnsi" w:hAnsiTheme="minorHAnsi"/>
          <w:b/>
          <w:sz w:val="20"/>
          <w:szCs w:val="20"/>
        </w:rPr>
      </w:pPr>
      <w:r w:rsidRPr="004B27FB">
        <w:rPr>
          <w:rFonts w:asciiTheme="minorHAnsi" w:hAnsiTheme="minorHAnsi"/>
          <w:b/>
          <w:sz w:val="20"/>
          <w:szCs w:val="20"/>
        </w:rPr>
        <w:t>Original : espagnol</w:t>
      </w:r>
    </w:p>
    <w:p w14:paraId="03D61489" w14:textId="77777777" w:rsidR="003B4CF4" w:rsidRPr="004B27FB" w:rsidRDefault="003B4CF4" w:rsidP="003B4CF4">
      <w:pPr>
        <w:spacing w:line="240" w:lineRule="auto"/>
        <w:jc w:val="right"/>
        <w:rPr>
          <w:rFonts w:asciiTheme="minorHAnsi" w:hAnsiTheme="minorHAnsi"/>
          <w:b/>
          <w:sz w:val="20"/>
          <w:szCs w:val="20"/>
        </w:rPr>
      </w:pPr>
    </w:p>
    <w:p w14:paraId="7C6C8108" w14:textId="0EE5789D" w:rsidR="003B4CF4" w:rsidRPr="004B27FB" w:rsidRDefault="003B4CF4" w:rsidP="003B4CF4">
      <w:pPr>
        <w:spacing w:line="240" w:lineRule="auto"/>
        <w:jc w:val="center"/>
        <w:rPr>
          <w:rFonts w:asciiTheme="minorHAnsi" w:hAnsiTheme="minorHAnsi"/>
          <w:b/>
          <w:sz w:val="20"/>
          <w:szCs w:val="20"/>
        </w:rPr>
      </w:pPr>
      <w:r w:rsidRPr="004B27FB">
        <w:rPr>
          <w:rFonts w:asciiTheme="minorHAnsi" w:hAnsiTheme="minorHAnsi"/>
          <w:b/>
          <w:sz w:val="20"/>
          <w:szCs w:val="20"/>
        </w:rPr>
        <w:t>Déclaration de la République bolivarienne du Venezuela sur l’allocation potentielle</w:t>
      </w:r>
    </w:p>
    <w:p w14:paraId="6E746CDB" w14:textId="5A4AA36D" w:rsidR="00127F32" w:rsidRPr="004B27FB" w:rsidRDefault="003B4CF4" w:rsidP="003B4CF4">
      <w:pPr>
        <w:spacing w:line="240" w:lineRule="auto"/>
        <w:jc w:val="center"/>
        <w:rPr>
          <w:rFonts w:asciiTheme="minorHAnsi" w:hAnsiTheme="minorHAnsi"/>
          <w:b/>
          <w:sz w:val="20"/>
          <w:szCs w:val="20"/>
        </w:rPr>
      </w:pPr>
      <w:r w:rsidRPr="004B27FB">
        <w:rPr>
          <w:rFonts w:asciiTheme="minorHAnsi" w:hAnsiTheme="minorHAnsi"/>
          <w:b/>
          <w:sz w:val="20"/>
          <w:szCs w:val="20"/>
        </w:rPr>
        <w:t>de quotas de capture d’albacore</w:t>
      </w:r>
    </w:p>
    <w:p w14:paraId="6A628621" w14:textId="355CC071" w:rsidR="004B3628" w:rsidRPr="004B2002" w:rsidRDefault="004B3628" w:rsidP="003B4CF4">
      <w:pPr>
        <w:spacing w:line="240" w:lineRule="auto"/>
        <w:jc w:val="center"/>
        <w:rPr>
          <w:rFonts w:asciiTheme="minorHAnsi" w:hAnsiTheme="minorHAnsi"/>
          <w:bCs/>
          <w:sz w:val="20"/>
          <w:szCs w:val="20"/>
        </w:rPr>
      </w:pPr>
      <w:r w:rsidRPr="004B2002">
        <w:rPr>
          <w:rFonts w:asciiTheme="minorHAnsi" w:hAnsiTheme="minorHAnsi"/>
          <w:bCs/>
          <w:sz w:val="20"/>
          <w:szCs w:val="20"/>
        </w:rPr>
        <w:t>(</w:t>
      </w:r>
      <w:r w:rsidRPr="004B2002">
        <w:rPr>
          <w:rFonts w:asciiTheme="minorHAnsi" w:hAnsiTheme="minorHAnsi"/>
          <w:bCs/>
          <w:i/>
          <w:iCs/>
          <w:sz w:val="20"/>
          <w:szCs w:val="20"/>
        </w:rPr>
        <w:t>Document soumis par le Venezuela</w:t>
      </w:r>
      <w:r w:rsidRPr="004B2002">
        <w:rPr>
          <w:rFonts w:asciiTheme="minorHAnsi" w:hAnsiTheme="minorHAnsi"/>
          <w:bCs/>
          <w:sz w:val="20"/>
          <w:szCs w:val="20"/>
        </w:rPr>
        <w:t>)</w:t>
      </w:r>
    </w:p>
    <w:p w14:paraId="0380FFC1" w14:textId="77777777" w:rsidR="00127F32" w:rsidRPr="004B27FB" w:rsidRDefault="00127F32" w:rsidP="003B4CF4">
      <w:pPr>
        <w:spacing w:line="240" w:lineRule="auto"/>
        <w:rPr>
          <w:rFonts w:asciiTheme="minorHAnsi" w:hAnsiTheme="minorHAnsi"/>
          <w:b/>
          <w:sz w:val="20"/>
          <w:szCs w:val="20"/>
        </w:rPr>
      </w:pPr>
    </w:p>
    <w:p w14:paraId="06E03BB3" w14:textId="25CDB697" w:rsidR="00127F32" w:rsidRPr="004B27FB" w:rsidRDefault="00127F32" w:rsidP="003B4CF4">
      <w:pPr>
        <w:spacing w:line="240" w:lineRule="auto"/>
        <w:jc w:val="both"/>
        <w:rPr>
          <w:rFonts w:asciiTheme="minorHAnsi" w:hAnsiTheme="minorHAnsi"/>
          <w:bCs/>
          <w:sz w:val="20"/>
          <w:szCs w:val="20"/>
        </w:rPr>
      </w:pPr>
      <w:r w:rsidRPr="004B27FB">
        <w:rPr>
          <w:rFonts w:asciiTheme="minorHAnsi" w:hAnsiTheme="minorHAnsi"/>
          <w:bCs/>
          <w:sz w:val="20"/>
          <w:szCs w:val="20"/>
        </w:rPr>
        <w:t>La République bolivarienne du Venezuela présente ses salutations aux délégués et aux représentants de Parties contractantes à l'ICCAT ainsi qu’au Secrétariat, en les remerciant par avance de l’extraordinaire gestion réalisée cette année.</w:t>
      </w:r>
    </w:p>
    <w:p w14:paraId="635EF86C" w14:textId="77777777" w:rsidR="00127F32" w:rsidRPr="004B27FB" w:rsidRDefault="00127F32" w:rsidP="003B4CF4">
      <w:pPr>
        <w:spacing w:line="240" w:lineRule="auto"/>
        <w:jc w:val="both"/>
        <w:rPr>
          <w:rFonts w:asciiTheme="minorHAnsi" w:hAnsiTheme="minorHAnsi"/>
          <w:bCs/>
          <w:sz w:val="20"/>
          <w:szCs w:val="20"/>
        </w:rPr>
      </w:pPr>
    </w:p>
    <w:p w14:paraId="4D6D427E" w14:textId="77777777" w:rsidR="00127F32" w:rsidRPr="004B27FB" w:rsidRDefault="00127F32" w:rsidP="003B4CF4">
      <w:pPr>
        <w:spacing w:line="240" w:lineRule="auto"/>
        <w:jc w:val="both"/>
        <w:rPr>
          <w:rFonts w:asciiTheme="minorHAnsi" w:hAnsiTheme="minorHAnsi"/>
          <w:bCs/>
          <w:sz w:val="20"/>
          <w:szCs w:val="20"/>
        </w:rPr>
      </w:pPr>
      <w:r w:rsidRPr="004B27FB">
        <w:rPr>
          <w:rFonts w:asciiTheme="minorHAnsi" w:hAnsiTheme="minorHAnsi"/>
          <w:bCs/>
          <w:sz w:val="20"/>
          <w:szCs w:val="20"/>
        </w:rPr>
        <w:t>Nous nous adressons à vous avec de vives préoccupations quant aux critères pris en compte pour l’allocation de quotas de capture d’albacore (</w:t>
      </w:r>
      <w:r w:rsidRPr="004B27FB">
        <w:rPr>
          <w:rFonts w:asciiTheme="minorHAnsi" w:hAnsiTheme="minorHAnsi"/>
          <w:bCs/>
          <w:i/>
          <w:iCs/>
          <w:sz w:val="20"/>
          <w:szCs w:val="20"/>
        </w:rPr>
        <w:t xml:space="preserve">Thunnus albacares, </w:t>
      </w:r>
      <w:r w:rsidRPr="004B27FB">
        <w:rPr>
          <w:rFonts w:asciiTheme="minorHAnsi" w:hAnsiTheme="minorHAnsi"/>
          <w:bCs/>
          <w:sz w:val="20"/>
          <w:szCs w:val="20"/>
        </w:rPr>
        <w:t>YFT). Nous avons constaté avec inquiétude que les propositions actuelles envisagent d’inclure la République bolivarienne du Venezuela dans le « Groupe C » (petits pêcheurs), un classement qui ne correspond ni à notre réalité historique ni à nos capacités et investissements de pêche. Afin de remettre la situation actuelle de notre secteur dûment dans son contexte, il est essentiel que la Commission ait connaissance des arguments fondamentaux suivants :</w:t>
      </w:r>
    </w:p>
    <w:p w14:paraId="739CADE4" w14:textId="77777777" w:rsidR="00127F32" w:rsidRPr="004B27FB" w:rsidRDefault="00127F32" w:rsidP="003B4CF4">
      <w:pPr>
        <w:spacing w:line="240" w:lineRule="auto"/>
        <w:jc w:val="both"/>
        <w:rPr>
          <w:rFonts w:asciiTheme="minorHAnsi" w:hAnsiTheme="minorHAnsi"/>
          <w:bCs/>
          <w:sz w:val="20"/>
          <w:szCs w:val="20"/>
        </w:rPr>
      </w:pPr>
    </w:p>
    <w:p w14:paraId="5CC80707" w14:textId="77777777" w:rsidR="00127F32" w:rsidRPr="004B27FB" w:rsidRDefault="00127F32" w:rsidP="003B4CF4">
      <w:pPr>
        <w:pStyle w:val="Paragraphedeliste"/>
        <w:numPr>
          <w:ilvl w:val="0"/>
          <w:numId w:val="5"/>
        </w:numPr>
        <w:spacing w:line="240" w:lineRule="auto"/>
        <w:ind w:left="426"/>
        <w:jc w:val="both"/>
        <w:rPr>
          <w:rFonts w:asciiTheme="minorHAnsi" w:hAnsiTheme="minorHAnsi"/>
          <w:bCs/>
          <w:sz w:val="20"/>
          <w:szCs w:val="20"/>
        </w:rPr>
      </w:pPr>
      <w:r w:rsidRPr="004B27FB">
        <w:rPr>
          <w:rFonts w:asciiTheme="minorHAnsi" w:hAnsiTheme="minorHAnsi"/>
          <w:bCs/>
          <w:sz w:val="20"/>
          <w:szCs w:val="20"/>
        </w:rPr>
        <w:t>La République bolivarienne du Venezuela a historiquement maintenu une flottille commerciale robuste et diversifiée. Toutefois, ces six (6) dernières années, notre flottille de pêche industrielle, en particulier de senneurs, a subi une immobilisation forcée et n’a pas pu opérer à pleine capacité. Cette inactivité temporelle a été la conséquence directe de l’impact multifactoriel produit par les mesures coercitives unilatérales imposées à l’encontre de notre nation. Ces restrictions extérieures à l’activité de pêche ont gravement limité l’accès aux combustibles, aux pièces de rechange, à la maintenance spécialisée et à l’infrastructure portuaire internationale. La réduction de nos récentes captures fait donc suite à un cas de force majeure de nature géopolitique et non à un désintérêt commercial de la part de l’État vénézuélien.</w:t>
      </w:r>
    </w:p>
    <w:p w14:paraId="00C2737C" w14:textId="77777777" w:rsidR="00127F32" w:rsidRPr="004B27FB" w:rsidRDefault="00127F32" w:rsidP="003B4CF4">
      <w:pPr>
        <w:spacing w:line="240" w:lineRule="auto"/>
        <w:ind w:left="426"/>
        <w:jc w:val="both"/>
        <w:rPr>
          <w:rFonts w:asciiTheme="minorHAnsi" w:hAnsiTheme="minorHAnsi"/>
          <w:bCs/>
          <w:sz w:val="20"/>
          <w:szCs w:val="20"/>
        </w:rPr>
      </w:pPr>
    </w:p>
    <w:p w14:paraId="3ED50AA7" w14:textId="118787AB" w:rsidR="00127F32" w:rsidRPr="004B27FB" w:rsidRDefault="00127F32" w:rsidP="003B4CF4">
      <w:pPr>
        <w:pStyle w:val="Paragraphedeliste"/>
        <w:numPr>
          <w:ilvl w:val="0"/>
          <w:numId w:val="5"/>
        </w:numPr>
        <w:spacing w:line="240" w:lineRule="auto"/>
        <w:ind w:left="426"/>
        <w:jc w:val="both"/>
        <w:rPr>
          <w:rFonts w:asciiTheme="minorHAnsi" w:hAnsiTheme="minorHAnsi"/>
          <w:bCs/>
          <w:sz w:val="20"/>
          <w:szCs w:val="20"/>
        </w:rPr>
      </w:pPr>
      <w:r w:rsidRPr="004B27FB">
        <w:rPr>
          <w:rFonts w:asciiTheme="minorHAnsi" w:hAnsiTheme="minorHAnsi"/>
          <w:bCs/>
          <w:sz w:val="20"/>
          <w:szCs w:val="20"/>
        </w:rPr>
        <w:t>La République bolivarienne du Venezuela dispose d’une moyenne de captures historiques de plus de 6.000 t lorsque l’ensemble de notre flottille (senneurs, canneurs et palangriers) se trouve entièrement opérationnelle. Reléguer le Venezuela au groupe des « petits pêcheurs », en se basant uniquement sur les données des dernières années, qui ont été affectées par le contexte décrit ci-dessus, comporte de graves inconvénients techniques et socio-économiques tels que les suivants :</w:t>
      </w:r>
    </w:p>
    <w:p w14:paraId="0E0681C3" w14:textId="77777777" w:rsidR="00127F32" w:rsidRPr="004B27FB" w:rsidRDefault="00127F32" w:rsidP="003B4CF4">
      <w:pPr>
        <w:spacing w:line="240" w:lineRule="auto"/>
        <w:jc w:val="both"/>
        <w:rPr>
          <w:rFonts w:asciiTheme="minorHAnsi" w:hAnsiTheme="minorHAnsi"/>
          <w:bCs/>
          <w:sz w:val="20"/>
          <w:szCs w:val="20"/>
        </w:rPr>
      </w:pPr>
    </w:p>
    <w:p w14:paraId="54AE6DE1" w14:textId="77777777" w:rsidR="00127F32" w:rsidRPr="004B27FB" w:rsidRDefault="00127F32" w:rsidP="003B4CF4">
      <w:pPr>
        <w:pStyle w:val="Paragraphedeliste"/>
        <w:numPr>
          <w:ilvl w:val="0"/>
          <w:numId w:val="4"/>
        </w:numPr>
        <w:spacing w:line="240" w:lineRule="auto"/>
        <w:ind w:left="851"/>
        <w:jc w:val="both"/>
        <w:rPr>
          <w:rFonts w:asciiTheme="minorHAnsi" w:hAnsiTheme="minorHAnsi"/>
          <w:bCs/>
          <w:sz w:val="20"/>
          <w:szCs w:val="20"/>
        </w:rPr>
      </w:pPr>
      <w:r w:rsidRPr="004B27FB">
        <w:rPr>
          <w:rFonts w:asciiTheme="minorHAnsi" w:hAnsiTheme="minorHAnsi"/>
          <w:bCs/>
          <w:sz w:val="20"/>
          <w:szCs w:val="20"/>
        </w:rPr>
        <w:t>Notre classement dans le groupe C nous attribuerait une limite de capture marginale, congelant notre activité et faisant obstacle au droit légitime au développement d’un pays de pêche côtier.</w:t>
      </w:r>
    </w:p>
    <w:p w14:paraId="78E48654" w14:textId="58CBC41F" w:rsidR="000B7AE5" w:rsidRPr="004B27FB" w:rsidRDefault="00127F32" w:rsidP="003B4CF4">
      <w:pPr>
        <w:pStyle w:val="Paragraphedeliste"/>
        <w:numPr>
          <w:ilvl w:val="0"/>
          <w:numId w:val="4"/>
        </w:numPr>
        <w:spacing w:line="240" w:lineRule="auto"/>
        <w:ind w:left="851"/>
        <w:jc w:val="both"/>
        <w:rPr>
          <w:rFonts w:asciiTheme="minorHAnsi" w:hAnsiTheme="minorHAnsi"/>
          <w:bCs/>
          <w:sz w:val="20"/>
          <w:szCs w:val="20"/>
        </w:rPr>
      </w:pPr>
      <w:r w:rsidRPr="004B27FB">
        <w:rPr>
          <w:rFonts w:asciiTheme="minorHAnsi" w:hAnsiTheme="minorHAnsi"/>
          <w:bCs/>
          <w:sz w:val="20"/>
          <w:szCs w:val="20"/>
        </w:rPr>
        <w:t>Ne pas tenir compte des captures historiques du Venezuela serait méconnaître l’effort de pêche traditionnel et consolidé de notre pays, pénalisant doublement les pays en développement qui traversent des crises conjoncturelles.</w:t>
      </w:r>
    </w:p>
    <w:p w14:paraId="05D378B8" w14:textId="77777777" w:rsidR="00127F32" w:rsidRPr="004B27FB" w:rsidRDefault="00127F32" w:rsidP="003B4CF4">
      <w:pPr>
        <w:pStyle w:val="Paragraphedeliste"/>
        <w:numPr>
          <w:ilvl w:val="0"/>
          <w:numId w:val="4"/>
        </w:numPr>
        <w:spacing w:line="240" w:lineRule="auto"/>
        <w:ind w:left="851"/>
        <w:jc w:val="both"/>
        <w:rPr>
          <w:rFonts w:asciiTheme="minorHAnsi" w:hAnsiTheme="minorHAnsi"/>
          <w:bCs/>
          <w:sz w:val="20"/>
          <w:szCs w:val="20"/>
        </w:rPr>
      </w:pPr>
      <w:r w:rsidRPr="004B27FB">
        <w:rPr>
          <w:rFonts w:asciiTheme="minorHAnsi" w:hAnsiTheme="minorHAnsi"/>
          <w:bCs/>
          <w:sz w:val="20"/>
          <w:szCs w:val="20"/>
        </w:rPr>
        <w:t>Les pêcheries d’espèces de grands migrateurs, tels que l’albacore, sont le moteur de l’économie nationale et locale de nos côtes, garantissant directement et indirectement l’emploi de milliers de citoyens. Des industries entières, des ports, des chantiers navals, des fournisseurs d’engins de pêche et l’économie des communautés locales dépendent directement de la transformation et de la commercialisation de cette ressource.</w:t>
      </w:r>
    </w:p>
    <w:p w14:paraId="2DF09F44" w14:textId="5C2477D4" w:rsidR="00127F32" w:rsidRPr="004B27FB" w:rsidRDefault="00127F32" w:rsidP="003B4CF4">
      <w:pPr>
        <w:pStyle w:val="Paragraphedeliste"/>
        <w:numPr>
          <w:ilvl w:val="0"/>
          <w:numId w:val="4"/>
        </w:numPr>
        <w:spacing w:line="240" w:lineRule="auto"/>
        <w:ind w:left="851"/>
        <w:jc w:val="both"/>
        <w:rPr>
          <w:rFonts w:asciiTheme="minorHAnsi" w:hAnsiTheme="minorHAnsi"/>
          <w:bCs/>
          <w:sz w:val="20"/>
          <w:szCs w:val="20"/>
        </w:rPr>
      </w:pPr>
      <w:r w:rsidRPr="004B27FB">
        <w:rPr>
          <w:rFonts w:asciiTheme="minorHAnsi" w:hAnsiTheme="minorHAnsi"/>
          <w:bCs/>
          <w:sz w:val="20"/>
          <w:szCs w:val="20"/>
        </w:rPr>
        <w:t>Dans le contexte actuel du Venezuela, les captures d’albacore constituent un pilier irremplaçable pour la souveraineté et la sécurité alimentaire du peuple vénézuélien.</w:t>
      </w:r>
    </w:p>
    <w:p w14:paraId="317AF6A6" w14:textId="40C2C0C5" w:rsidR="00127F32" w:rsidRPr="004B27FB" w:rsidRDefault="00127F32" w:rsidP="003B4CF4">
      <w:pPr>
        <w:pStyle w:val="Paragraphedeliste"/>
        <w:numPr>
          <w:ilvl w:val="0"/>
          <w:numId w:val="4"/>
        </w:numPr>
        <w:spacing w:line="240" w:lineRule="auto"/>
        <w:ind w:left="851"/>
        <w:jc w:val="both"/>
        <w:rPr>
          <w:rFonts w:asciiTheme="minorHAnsi" w:hAnsiTheme="minorHAnsi"/>
          <w:bCs/>
          <w:sz w:val="20"/>
          <w:szCs w:val="20"/>
        </w:rPr>
      </w:pPr>
      <w:r w:rsidRPr="004B27FB">
        <w:rPr>
          <w:rFonts w:asciiTheme="minorHAnsi" w:hAnsiTheme="minorHAnsi"/>
          <w:bCs/>
          <w:sz w:val="20"/>
          <w:szCs w:val="20"/>
        </w:rPr>
        <w:t>Les pays qui ont pu maintenir leur flottille en activité pendant toute la période (sans blocages externes) obtiendraient de plus grands quotas alors que le Venezuela serait pénalisé par des circonstances indépendantes de sa volonté et de sa véritable capacité de pêche.</w:t>
      </w:r>
    </w:p>
    <w:p w14:paraId="3CF68755" w14:textId="77777777" w:rsidR="00127F32" w:rsidRPr="004B27FB" w:rsidRDefault="00127F32" w:rsidP="003B4CF4">
      <w:pPr>
        <w:pStyle w:val="Paragraphedeliste"/>
        <w:numPr>
          <w:ilvl w:val="0"/>
          <w:numId w:val="4"/>
        </w:numPr>
        <w:spacing w:line="240" w:lineRule="auto"/>
        <w:ind w:left="851"/>
        <w:jc w:val="both"/>
        <w:rPr>
          <w:rFonts w:asciiTheme="minorHAnsi" w:hAnsiTheme="minorHAnsi"/>
          <w:bCs/>
          <w:sz w:val="20"/>
          <w:szCs w:val="20"/>
        </w:rPr>
      </w:pPr>
      <w:r w:rsidRPr="004B27FB">
        <w:rPr>
          <w:rFonts w:asciiTheme="minorHAnsi" w:hAnsiTheme="minorHAnsi"/>
          <w:bCs/>
          <w:sz w:val="20"/>
          <w:szCs w:val="20"/>
        </w:rPr>
        <w:t>Un quota réduit dissuaderait les investissements nécessaires pour réactiver la flottille de senneurs, perpétuant la situation de sous-utilisation de notre capacité de pêche et affectant la reprise économique du secteur.</w:t>
      </w:r>
    </w:p>
    <w:p w14:paraId="58B2992D" w14:textId="77777777" w:rsidR="00127F32" w:rsidRPr="004B27FB" w:rsidRDefault="00127F32" w:rsidP="003B4CF4">
      <w:pPr>
        <w:pStyle w:val="Paragraphedeliste"/>
        <w:spacing w:line="240" w:lineRule="auto"/>
        <w:jc w:val="both"/>
        <w:rPr>
          <w:rFonts w:asciiTheme="minorHAnsi" w:hAnsiTheme="minorHAnsi"/>
          <w:bCs/>
          <w:sz w:val="20"/>
          <w:szCs w:val="20"/>
        </w:rPr>
      </w:pPr>
    </w:p>
    <w:p w14:paraId="56AB3042" w14:textId="74E7F0B5" w:rsidR="00127F32" w:rsidRPr="004B27FB" w:rsidRDefault="00127F32" w:rsidP="003B4CF4">
      <w:pPr>
        <w:spacing w:line="240" w:lineRule="auto"/>
        <w:jc w:val="both"/>
        <w:rPr>
          <w:rFonts w:asciiTheme="minorHAnsi" w:hAnsiTheme="minorHAnsi"/>
          <w:bCs/>
          <w:sz w:val="20"/>
          <w:szCs w:val="20"/>
        </w:rPr>
      </w:pPr>
      <w:r w:rsidRPr="004B27FB">
        <w:rPr>
          <w:rFonts w:asciiTheme="minorHAnsi" w:hAnsiTheme="minorHAnsi"/>
          <w:bCs/>
          <w:sz w:val="20"/>
          <w:szCs w:val="20"/>
        </w:rPr>
        <w:t>En conclusion, l’État vénézuélien maintient les flottilles de palangriers et de canneurs opérationnelles, et s’est engagé dans un processus actif de restructuration et d’investissement visant à réactiver pleinement la flottille de senneurs dans l’océan Atlantique. Une allocation restrictive nous placerait dans une position injustement limitée pour cette reprise des opérations. Alors que nous soutenons solidement les objectifs de conservation et de durabilité des stocks promus par l’ICCAT, nous exigeons que les mesures adoptées soient équitables, réalistes et différenciées. Des fardeaux disproportionnés ne doivent pas être imposés aux pays en développement dont la sécurité alimentaire dépend de l’activité marine.</w:t>
      </w:r>
    </w:p>
    <w:p w14:paraId="006736D0" w14:textId="77777777" w:rsidR="00127F32" w:rsidRPr="004B27FB" w:rsidRDefault="00127F32" w:rsidP="003B4CF4">
      <w:pPr>
        <w:spacing w:line="240" w:lineRule="auto"/>
        <w:jc w:val="both"/>
        <w:rPr>
          <w:rFonts w:asciiTheme="minorHAnsi" w:hAnsiTheme="minorHAnsi"/>
          <w:bCs/>
          <w:sz w:val="20"/>
          <w:szCs w:val="20"/>
        </w:rPr>
      </w:pPr>
    </w:p>
    <w:p w14:paraId="12AE6D15" w14:textId="62BCA55B" w:rsidR="00127F32" w:rsidRPr="004B27FB" w:rsidRDefault="00127F32" w:rsidP="003B4CF4">
      <w:pPr>
        <w:spacing w:line="240" w:lineRule="auto"/>
        <w:jc w:val="both"/>
        <w:rPr>
          <w:rFonts w:asciiTheme="minorHAnsi" w:hAnsiTheme="minorHAnsi"/>
          <w:bCs/>
          <w:sz w:val="20"/>
          <w:szCs w:val="20"/>
        </w:rPr>
      </w:pPr>
      <w:r w:rsidRPr="004B27FB">
        <w:rPr>
          <w:rFonts w:asciiTheme="minorHAnsi" w:hAnsiTheme="minorHAnsi"/>
          <w:bCs/>
          <w:sz w:val="20"/>
          <w:szCs w:val="20"/>
        </w:rPr>
        <w:t>Par conséquent, la République bolivarienne du Venezuela demande instamment à ce que les décisions soient fondées sur les séries historiques de données robustes que le pays a, pour sa part, fourni avec une rigoureuse responsabilité au fil du temps aux fins de l’évaluation des stocks. En outre, étant donné que la dernière évaluation du stock d’albacore de 2024 indique que l’albacore n’est pas surexploité et ne fait pas l’objet de surpêche, et que cette pêcherie revêt une importance stratégique et irremplaçable pour notre nation, nous ne pouvons pas être d’accord avec l’adoption de mesures restrictives qui compromettent le développement légitime et la croissance progressive de notre secteur halieutique.</w:t>
      </w:r>
    </w:p>
    <w:p w14:paraId="0596FD4C" w14:textId="77777777" w:rsidR="00127F32" w:rsidRPr="004B27FB" w:rsidRDefault="00127F32" w:rsidP="003B4CF4">
      <w:pPr>
        <w:spacing w:line="240" w:lineRule="auto"/>
        <w:jc w:val="both"/>
        <w:rPr>
          <w:rFonts w:asciiTheme="minorHAnsi" w:hAnsiTheme="minorHAnsi"/>
          <w:bCs/>
          <w:sz w:val="20"/>
          <w:szCs w:val="20"/>
        </w:rPr>
      </w:pPr>
    </w:p>
    <w:p w14:paraId="12C3ACF0" w14:textId="75D15546" w:rsidR="00261A43" w:rsidRPr="003B4CF4" w:rsidRDefault="00127F32" w:rsidP="004B27FB">
      <w:pPr>
        <w:spacing w:line="240" w:lineRule="auto"/>
        <w:jc w:val="both"/>
        <w:rPr>
          <w:rFonts w:asciiTheme="minorHAnsi" w:hAnsiTheme="minorHAnsi"/>
          <w:bCs/>
          <w:sz w:val="20"/>
          <w:szCs w:val="20"/>
        </w:rPr>
      </w:pPr>
      <w:r w:rsidRPr="004B27FB">
        <w:rPr>
          <w:rFonts w:asciiTheme="minorHAnsi" w:hAnsiTheme="minorHAnsi"/>
          <w:bCs/>
          <w:sz w:val="20"/>
          <w:szCs w:val="20"/>
        </w:rPr>
        <w:t>L'État vénézuélien réitère la nécessité de consolider un espace de dialogue souple et constructif, d’un mécanisme permettant d’harmoniser la préservation indispensable des ressources biologiques tout en garantissant pleinement l’intégrité socio-économique et la sécurité alimentaire de notre peuple, ainsi que notre engagement indéfectible envers la gestion internationale des pêches et la soumission continue d’informations scientifiques transparentes.</w:t>
      </w:r>
    </w:p>
    <w:sectPr w:rsidR="00261A43" w:rsidRPr="003B4CF4" w:rsidSect="003B4CF4">
      <w:headerReference w:type="default" r:id="rId11"/>
      <w:footerReference w:type="default" r:id="rId12"/>
      <w:pgSz w:w="11907" w:h="16840" w:code="9"/>
      <w:pgMar w:top="1418" w:right="1418" w:bottom="1418" w:left="1418" w:header="851" w:footer="11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0072E" w14:textId="77777777" w:rsidR="00CE550B" w:rsidRDefault="00CE550B">
      <w:pPr>
        <w:spacing w:line="240" w:lineRule="auto"/>
      </w:pPr>
      <w:r>
        <w:separator/>
      </w:r>
    </w:p>
  </w:endnote>
  <w:endnote w:type="continuationSeparator" w:id="0">
    <w:p w14:paraId="4F0C823D" w14:textId="77777777" w:rsidR="00CE550B" w:rsidRDefault="00CE55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81E6F" w14:textId="3BEB6282" w:rsidR="00FC3031" w:rsidRPr="003B4CF4" w:rsidRDefault="003B4CF4" w:rsidP="003B4CF4">
    <w:pPr>
      <w:tabs>
        <w:tab w:val="center" w:pos="4535"/>
        <w:tab w:val="center" w:pos="4680"/>
        <w:tab w:val="left" w:pos="6150"/>
        <w:tab w:val="right" w:pos="9360"/>
      </w:tabs>
      <w:jc w:val="center"/>
      <w:rPr>
        <w:rFonts w:ascii="Cambria" w:eastAsia="Calibri" w:hAnsi="Cambria" w:cs="Calibri"/>
        <w:sz w:val="20"/>
      </w:rPr>
    </w:pPr>
    <w:r w:rsidRPr="0067469F">
      <w:rPr>
        <w:rFonts w:ascii="Cambria" w:eastAsia="Calibri" w:hAnsi="Cambria" w:cs="Calibri"/>
        <w:sz w:val="20"/>
      </w:rPr>
      <w:fldChar w:fldCharType="begin"/>
    </w:r>
    <w:r w:rsidRPr="0067469F">
      <w:rPr>
        <w:rFonts w:ascii="Cambria" w:eastAsia="Calibri" w:hAnsi="Cambria" w:cs="Calibri"/>
        <w:sz w:val="20"/>
      </w:rPr>
      <w:instrText xml:space="preserve"> PAGE </w:instrText>
    </w:r>
    <w:r w:rsidRPr="0067469F">
      <w:rPr>
        <w:rFonts w:ascii="Cambria" w:eastAsia="Calibri" w:hAnsi="Cambria" w:cs="Calibri"/>
        <w:sz w:val="20"/>
      </w:rPr>
      <w:fldChar w:fldCharType="separate"/>
    </w:r>
    <w:r>
      <w:rPr>
        <w:rFonts w:ascii="Cambria" w:eastAsia="Calibri" w:hAnsi="Cambria" w:cs="Calibri"/>
        <w:sz w:val="20"/>
      </w:rPr>
      <w:t>1</w:t>
    </w:r>
    <w:r w:rsidRPr="0067469F">
      <w:rPr>
        <w:rFonts w:ascii="Cambria" w:eastAsia="Calibri" w:hAnsi="Cambria" w:cs="Calibri"/>
        <w:sz w:val="20"/>
      </w:rPr>
      <w:fldChar w:fldCharType="end"/>
    </w:r>
    <w:r>
      <w:rPr>
        <w:rFonts w:ascii="Cambria" w:hAnsi="Cambria"/>
        <w:sz w:val="20"/>
      </w:rPr>
      <w:t xml:space="preserve"> / </w:t>
    </w:r>
    <w:r w:rsidRPr="0067469F">
      <w:rPr>
        <w:rFonts w:ascii="Cambria" w:eastAsia="Calibri" w:hAnsi="Cambria" w:cs="Calibri"/>
        <w:sz w:val="20"/>
      </w:rPr>
      <w:fldChar w:fldCharType="begin"/>
    </w:r>
    <w:r w:rsidRPr="0067469F">
      <w:rPr>
        <w:rFonts w:ascii="Cambria" w:eastAsia="Calibri" w:hAnsi="Cambria" w:cs="Calibri"/>
        <w:sz w:val="20"/>
      </w:rPr>
      <w:instrText xml:space="preserve"> NUMPAGES </w:instrText>
    </w:r>
    <w:r w:rsidRPr="0067469F">
      <w:rPr>
        <w:rFonts w:ascii="Cambria" w:eastAsia="Calibri" w:hAnsi="Cambria" w:cs="Calibri"/>
        <w:sz w:val="20"/>
      </w:rPr>
      <w:fldChar w:fldCharType="separate"/>
    </w:r>
    <w:r>
      <w:rPr>
        <w:rFonts w:ascii="Cambria" w:eastAsia="Calibri" w:hAnsi="Cambria" w:cs="Calibri"/>
        <w:sz w:val="20"/>
      </w:rPr>
      <w:t>3</w:t>
    </w:r>
    <w:r w:rsidRPr="0067469F">
      <w:rPr>
        <w:rFonts w:ascii="Cambria" w:eastAsia="Calibri" w:hAnsi="Cambria" w:cs="Calibr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368B1" w14:textId="77777777" w:rsidR="00CE550B" w:rsidRDefault="00CE550B">
      <w:pPr>
        <w:spacing w:line="240" w:lineRule="auto"/>
      </w:pPr>
      <w:r>
        <w:separator/>
      </w:r>
    </w:p>
  </w:footnote>
  <w:footnote w:type="continuationSeparator" w:id="0">
    <w:p w14:paraId="14A32882" w14:textId="77777777" w:rsidR="00CE550B" w:rsidRDefault="00CE550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46479" w14:textId="5FB6B896" w:rsidR="003B4CF4" w:rsidRPr="003B4CF4" w:rsidRDefault="003B4CF4" w:rsidP="003B4CF4">
    <w:pPr>
      <w:tabs>
        <w:tab w:val="center" w:pos="4513"/>
        <w:tab w:val="right" w:pos="9026"/>
      </w:tabs>
      <w:spacing w:line="240" w:lineRule="auto"/>
      <w:jc w:val="right"/>
      <w:rPr>
        <w:rFonts w:ascii="Cambria" w:eastAsia="Calibri" w:hAnsi="Cambria" w:cs="Times New Roman"/>
        <w:b/>
        <w:bCs/>
        <w:sz w:val="20"/>
        <w:szCs w:val="20"/>
      </w:rPr>
    </w:pPr>
    <w:r>
      <w:rPr>
        <w:rFonts w:ascii="Cambria" w:hAnsi="Cambria"/>
        <w:b/>
        <w:sz w:val="20"/>
      </w:rPr>
      <w:t>PA1_505/2026</w:t>
    </w:r>
  </w:p>
  <w:p w14:paraId="0FB0398F" w14:textId="5408F11C" w:rsidR="003B4CF4" w:rsidRDefault="00147A9C" w:rsidP="003B4CF4">
    <w:pPr>
      <w:tabs>
        <w:tab w:val="left" w:pos="7320"/>
      </w:tabs>
      <w:spacing w:line="240" w:lineRule="exact"/>
      <w:jc w:val="right"/>
    </w:pPr>
    <w:r>
      <w:rPr>
        <w:rFonts w:ascii="Cambria" w:eastAsia="Times New Roman" w:hAnsi="Cambria" w:cs="Times New Roman"/>
        <w:b/>
        <w:sz w:val="20"/>
      </w:rPr>
      <w:fldChar w:fldCharType="begin"/>
    </w:r>
    <w:r>
      <w:rPr>
        <w:rFonts w:ascii="Cambria" w:eastAsia="Times New Roman" w:hAnsi="Cambria" w:cs="Times New Roman"/>
        <w:b/>
        <w:sz w:val="20"/>
      </w:rPr>
      <w:instrText xml:space="preserve"> TIME  \@ "dd/MM/yyyy HH:mm" </w:instrText>
    </w:r>
    <w:r>
      <w:rPr>
        <w:rFonts w:ascii="Cambria" w:eastAsia="Times New Roman" w:hAnsi="Cambria" w:cs="Times New Roman"/>
        <w:b/>
        <w:sz w:val="20"/>
      </w:rPr>
      <w:fldChar w:fldCharType="separate"/>
    </w:r>
    <w:r w:rsidR="004B2002">
      <w:rPr>
        <w:rFonts w:ascii="Cambria" w:eastAsia="Times New Roman" w:hAnsi="Cambria" w:cs="Times New Roman"/>
        <w:b/>
        <w:noProof/>
        <w:sz w:val="20"/>
      </w:rPr>
      <w:t>09/10/2026 12:41</w:t>
    </w:r>
    <w:r>
      <w:rPr>
        <w:rFonts w:ascii="Cambria" w:eastAsia="Times New Roman" w:hAnsi="Cambria" w:cs="Times New Roman"/>
        <w:b/>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87727"/>
    <w:multiLevelType w:val="hybridMultilevel"/>
    <w:tmpl w:val="E1005D62"/>
    <w:lvl w:ilvl="0" w:tplc="200A000F">
      <w:start w:val="1"/>
      <w:numFmt w:val="decimal"/>
      <w:lvlText w:val="%1."/>
      <w:lvlJc w:val="left"/>
      <w:pPr>
        <w:ind w:left="1210" w:hanging="360"/>
      </w:pPr>
      <w:rPr>
        <w:rFonts w:hint="default"/>
      </w:rPr>
    </w:lvl>
    <w:lvl w:ilvl="1" w:tplc="200A0003" w:tentative="1">
      <w:start w:val="1"/>
      <w:numFmt w:val="bullet"/>
      <w:lvlText w:val="o"/>
      <w:lvlJc w:val="left"/>
      <w:pPr>
        <w:ind w:left="2005" w:hanging="360"/>
      </w:pPr>
      <w:rPr>
        <w:rFonts w:ascii="Courier New" w:hAnsi="Courier New" w:cs="Courier New" w:hint="default"/>
      </w:rPr>
    </w:lvl>
    <w:lvl w:ilvl="2" w:tplc="200A0005" w:tentative="1">
      <w:start w:val="1"/>
      <w:numFmt w:val="bullet"/>
      <w:lvlText w:val=""/>
      <w:lvlJc w:val="left"/>
      <w:pPr>
        <w:ind w:left="2725" w:hanging="360"/>
      </w:pPr>
      <w:rPr>
        <w:rFonts w:ascii="Wingdings" w:hAnsi="Wingdings" w:hint="default"/>
      </w:rPr>
    </w:lvl>
    <w:lvl w:ilvl="3" w:tplc="200A0001" w:tentative="1">
      <w:start w:val="1"/>
      <w:numFmt w:val="bullet"/>
      <w:lvlText w:val=""/>
      <w:lvlJc w:val="left"/>
      <w:pPr>
        <w:ind w:left="3445" w:hanging="360"/>
      </w:pPr>
      <w:rPr>
        <w:rFonts w:ascii="Symbol" w:hAnsi="Symbol" w:hint="default"/>
      </w:rPr>
    </w:lvl>
    <w:lvl w:ilvl="4" w:tplc="200A0003" w:tentative="1">
      <w:start w:val="1"/>
      <w:numFmt w:val="bullet"/>
      <w:lvlText w:val="o"/>
      <w:lvlJc w:val="left"/>
      <w:pPr>
        <w:ind w:left="4165" w:hanging="360"/>
      </w:pPr>
      <w:rPr>
        <w:rFonts w:ascii="Courier New" w:hAnsi="Courier New" w:cs="Courier New" w:hint="default"/>
      </w:rPr>
    </w:lvl>
    <w:lvl w:ilvl="5" w:tplc="200A0005" w:tentative="1">
      <w:start w:val="1"/>
      <w:numFmt w:val="bullet"/>
      <w:lvlText w:val=""/>
      <w:lvlJc w:val="left"/>
      <w:pPr>
        <w:ind w:left="4885" w:hanging="360"/>
      </w:pPr>
      <w:rPr>
        <w:rFonts w:ascii="Wingdings" w:hAnsi="Wingdings" w:hint="default"/>
      </w:rPr>
    </w:lvl>
    <w:lvl w:ilvl="6" w:tplc="200A0001" w:tentative="1">
      <w:start w:val="1"/>
      <w:numFmt w:val="bullet"/>
      <w:lvlText w:val=""/>
      <w:lvlJc w:val="left"/>
      <w:pPr>
        <w:ind w:left="5605" w:hanging="360"/>
      </w:pPr>
      <w:rPr>
        <w:rFonts w:ascii="Symbol" w:hAnsi="Symbol" w:hint="default"/>
      </w:rPr>
    </w:lvl>
    <w:lvl w:ilvl="7" w:tplc="200A0003" w:tentative="1">
      <w:start w:val="1"/>
      <w:numFmt w:val="bullet"/>
      <w:lvlText w:val="o"/>
      <w:lvlJc w:val="left"/>
      <w:pPr>
        <w:ind w:left="6325" w:hanging="360"/>
      </w:pPr>
      <w:rPr>
        <w:rFonts w:ascii="Courier New" w:hAnsi="Courier New" w:cs="Courier New" w:hint="default"/>
      </w:rPr>
    </w:lvl>
    <w:lvl w:ilvl="8" w:tplc="200A0005" w:tentative="1">
      <w:start w:val="1"/>
      <w:numFmt w:val="bullet"/>
      <w:lvlText w:val=""/>
      <w:lvlJc w:val="left"/>
      <w:pPr>
        <w:ind w:left="7045" w:hanging="360"/>
      </w:pPr>
      <w:rPr>
        <w:rFonts w:ascii="Wingdings" w:hAnsi="Wingdings" w:hint="default"/>
      </w:rPr>
    </w:lvl>
  </w:abstractNum>
  <w:abstractNum w:abstractNumId="1" w15:restartNumberingAfterBreak="0">
    <w:nsid w:val="34B40CBA"/>
    <w:multiLevelType w:val="hybridMultilevel"/>
    <w:tmpl w:val="FDFC6EDE"/>
    <w:lvl w:ilvl="0" w:tplc="200A000F">
      <w:start w:val="1"/>
      <w:numFmt w:val="decimal"/>
      <w:lvlText w:val="%1."/>
      <w:lvlJc w:val="left"/>
      <w:pPr>
        <w:ind w:left="720" w:hanging="360"/>
      </w:p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2" w15:restartNumberingAfterBreak="0">
    <w:nsid w:val="50B43D4A"/>
    <w:multiLevelType w:val="hybridMultilevel"/>
    <w:tmpl w:val="E7D6A70C"/>
    <w:lvl w:ilvl="0" w:tplc="5CC08C22">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3" w15:restartNumberingAfterBreak="0">
    <w:nsid w:val="59303DF4"/>
    <w:multiLevelType w:val="hybridMultilevel"/>
    <w:tmpl w:val="FE361082"/>
    <w:lvl w:ilvl="0" w:tplc="200A0001">
      <w:start w:val="1"/>
      <w:numFmt w:val="bullet"/>
      <w:lvlText w:val=""/>
      <w:lvlJc w:val="left"/>
      <w:pPr>
        <w:ind w:left="1428" w:hanging="360"/>
      </w:pPr>
      <w:rPr>
        <w:rFonts w:ascii="Symbol" w:hAnsi="Symbol" w:hint="default"/>
      </w:rPr>
    </w:lvl>
    <w:lvl w:ilvl="1" w:tplc="200A0003" w:tentative="1">
      <w:start w:val="1"/>
      <w:numFmt w:val="bullet"/>
      <w:lvlText w:val="o"/>
      <w:lvlJc w:val="left"/>
      <w:pPr>
        <w:ind w:left="2148" w:hanging="360"/>
      </w:pPr>
      <w:rPr>
        <w:rFonts w:ascii="Courier New" w:hAnsi="Courier New" w:cs="Courier New" w:hint="default"/>
      </w:rPr>
    </w:lvl>
    <w:lvl w:ilvl="2" w:tplc="200A0005" w:tentative="1">
      <w:start w:val="1"/>
      <w:numFmt w:val="bullet"/>
      <w:lvlText w:val=""/>
      <w:lvlJc w:val="left"/>
      <w:pPr>
        <w:ind w:left="2868" w:hanging="360"/>
      </w:pPr>
      <w:rPr>
        <w:rFonts w:ascii="Wingdings" w:hAnsi="Wingdings" w:hint="default"/>
      </w:rPr>
    </w:lvl>
    <w:lvl w:ilvl="3" w:tplc="200A0001" w:tentative="1">
      <w:start w:val="1"/>
      <w:numFmt w:val="bullet"/>
      <w:lvlText w:val=""/>
      <w:lvlJc w:val="left"/>
      <w:pPr>
        <w:ind w:left="3588" w:hanging="360"/>
      </w:pPr>
      <w:rPr>
        <w:rFonts w:ascii="Symbol" w:hAnsi="Symbol" w:hint="default"/>
      </w:rPr>
    </w:lvl>
    <w:lvl w:ilvl="4" w:tplc="200A0003" w:tentative="1">
      <w:start w:val="1"/>
      <w:numFmt w:val="bullet"/>
      <w:lvlText w:val="o"/>
      <w:lvlJc w:val="left"/>
      <w:pPr>
        <w:ind w:left="4308" w:hanging="360"/>
      </w:pPr>
      <w:rPr>
        <w:rFonts w:ascii="Courier New" w:hAnsi="Courier New" w:cs="Courier New" w:hint="default"/>
      </w:rPr>
    </w:lvl>
    <w:lvl w:ilvl="5" w:tplc="200A0005" w:tentative="1">
      <w:start w:val="1"/>
      <w:numFmt w:val="bullet"/>
      <w:lvlText w:val=""/>
      <w:lvlJc w:val="left"/>
      <w:pPr>
        <w:ind w:left="5028" w:hanging="360"/>
      </w:pPr>
      <w:rPr>
        <w:rFonts w:ascii="Wingdings" w:hAnsi="Wingdings" w:hint="default"/>
      </w:rPr>
    </w:lvl>
    <w:lvl w:ilvl="6" w:tplc="200A0001" w:tentative="1">
      <w:start w:val="1"/>
      <w:numFmt w:val="bullet"/>
      <w:lvlText w:val=""/>
      <w:lvlJc w:val="left"/>
      <w:pPr>
        <w:ind w:left="5748" w:hanging="360"/>
      </w:pPr>
      <w:rPr>
        <w:rFonts w:ascii="Symbol" w:hAnsi="Symbol" w:hint="default"/>
      </w:rPr>
    </w:lvl>
    <w:lvl w:ilvl="7" w:tplc="200A0003" w:tentative="1">
      <w:start w:val="1"/>
      <w:numFmt w:val="bullet"/>
      <w:lvlText w:val="o"/>
      <w:lvlJc w:val="left"/>
      <w:pPr>
        <w:ind w:left="6468" w:hanging="360"/>
      </w:pPr>
      <w:rPr>
        <w:rFonts w:ascii="Courier New" w:hAnsi="Courier New" w:cs="Courier New" w:hint="default"/>
      </w:rPr>
    </w:lvl>
    <w:lvl w:ilvl="8" w:tplc="200A0005" w:tentative="1">
      <w:start w:val="1"/>
      <w:numFmt w:val="bullet"/>
      <w:lvlText w:val=""/>
      <w:lvlJc w:val="left"/>
      <w:pPr>
        <w:ind w:left="7188" w:hanging="360"/>
      </w:pPr>
      <w:rPr>
        <w:rFonts w:ascii="Wingdings" w:hAnsi="Wingdings" w:hint="default"/>
      </w:rPr>
    </w:lvl>
  </w:abstractNum>
  <w:abstractNum w:abstractNumId="4" w15:restartNumberingAfterBreak="0">
    <w:nsid w:val="604F0320"/>
    <w:multiLevelType w:val="multilevel"/>
    <w:tmpl w:val="FE28CE8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0493025">
    <w:abstractNumId w:val="4"/>
  </w:num>
  <w:num w:numId="2" w16cid:durableId="140928800">
    <w:abstractNumId w:val="3"/>
  </w:num>
  <w:num w:numId="3" w16cid:durableId="553659235">
    <w:abstractNumId w:val="0"/>
  </w:num>
  <w:num w:numId="4" w16cid:durableId="779297941">
    <w:abstractNumId w:val="2"/>
  </w:num>
  <w:num w:numId="5" w16cid:durableId="3020820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031"/>
    <w:rsid w:val="0000215A"/>
    <w:rsid w:val="0002671E"/>
    <w:rsid w:val="00031324"/>
    <w:rsid w:val="00035037"/>
    <w:rsid w:val="00037315"/>
    <w:rsid w:val="00043F06"/>
    <w:rsid w:val="00063AAB"/>
    <w:rsid w:val="000730C8"/>
    <w:rsid w:val="00091EAE"/>
    <w:rsid w:val="000B6C60"/>
    <w:rsid w:val="000B7AE5"/>
    <w:rsid w:val="000C1180"/>
    <w:rsid w:val="00127F32"/>
    <w:rsid w:val="00130899"/>
    <w:rsid w:val="00147A9C"/>
    <w:rsid w:val="00155FB1"/>
    <w:rsid w:val="001A2E9D"/>
    <w:rsid w:val="001A7AA5"/>
    <w:rsid w:val="001B1EC3"/>
    <w:rsid w:val="00206F11"/>
    <w:rsid w:val="00226B28"/>
    <w:rsid w:val="002375A4"/>
    <w:rsid w:val="00261A43"/>
    <w:rsid w:val="002C365A"/>
    <w:rsid w:val="00316361"/>
    <w:rsid w:val="003400D9"/>
    <w:rsid w:val="00362858"/>
    <w:rsid w:val="003A198E"/>
    <w:rsid w:val="003B4CF4"/>
    <w:rsid w:val="003E258D"/>
    <w:rsid w:val="00424A53"/>
    <w:rsid w:val="00442C4C"/>
    <w:rsid w:val="004507E5"/>
    <w:rsid w:val="00451875"/>
    <w:rsid w:val="00455113"/>
    <w:rsid w:val="004B2002"/>
    <w:rsid w:val="004B27FB"/>
    <w:rsid w:val="004B3628"/>
    <w:rsid w:val="004C482F"/>
    <w:rsid w:val="005034E7"/>
    <w:rsid w:val="00517074"/>
    <w:rsid w:val="005A19D1"/>
    <w:rsid w:val="005A34DF"/>
    <w:rsid w:val="005C7034"/>
    <w:rsid w:val="005D6733"/>
    <w:rsid w:val="005E504C"/>
    <w:rsid w:val="006040CD"/>
    <w:rsid w:val="00617F22"/>
    <w:rsid w:val="006420EF"/>
    <w:rsid w:val="0064507C"/>
    <w:rsid w:val="006618DC"/>
    <w:rsid w:val="00715756"/>
    <w:rsid w:val="007372A3"/>
    <w:rsid w:val="007B1EDB"/>
    <w:rsid w:val="00857F2B"/>
    <w:rsid w:val="008B7917"/>
    <w:rsid w:val="008D07BF"/>
    <w:rsid w:val="008D1024"/>
    <w:rsid w:val="008E2C02"/>
    <w:rsid w:val="008F4012"/>
    <w:rsid w:val="00902B07"/>
    <w:rsid w:val="009208B0"/>
    <w:rsid w:val="0092612D"/>
    <w:rsid w:val="00930C04"/>
    <w:rsid w:val="009425AD"/>
    <w:rsid w:val="009A35B2"/>
    <w:rsid w:val="009B5657"/>
    <w:rsid w:val="009B7ED9"/>
    <w:rsid w:val="009E226C"/>
    <w:rsid w:val="009F641B"/>
    <w:rsid w:val="00A13F39"/>
    <w:rsid w:val="00A2044F"/>
    <w:rsid w:val="00A7463F"/>
    <w:rsid w:val="00AE6FDF"/>
    <w:rsid w:val="00B0426A"/>
    <w:rsid w:val="00BE3AC4"/>
    <w:rsid w:val="00BE654F"/>
    <w:rsid w:val="00C071D8"/>
    <w:rsid w:val="00C07CB2"/>
    <w:rsid w:val="00C10F62"/>
    <w:rsid w:val="00C47DD0"/>
    <w:rsid w:val="00C65EDB"/>
    <w:rsid w:val="00C7269D"/>
    <w:rsid w:val="00CB1DC3"/>
    <w:rsid w:val="00CC5401"/>
    <w:rsid w:val="00CE550B"/>
    <w:rsid w:val="00D046B6"/>
    <w:rsid w:val="00D16DB6"/>
    <w:rsid w:val="00D46A8C"/>
    <w:rsid w:val="00D60B4D"/>
    <w:rsid w:val="00DA132A"/>
    <w:rsid w:val="00E554E7"/>
    <w:rsid w:val="00EC2A2E"/>
    <w:rsid w:val="00F05037"/>
    <w:rsid w:val="00F532C3"/>
    <w:rsid w:val="00F62A8B"/>
    <w:rsid w:val="00F6446C"/>
    <w:rsid w:val="00FB7AF4"/>
    <w:rsid w:val="00FC3031"/>
    <w:rsid w:val="00FC76E2"/>
    <w:rsid w:val="00FD44E3"/>
    <w:rsid w:val="00FE5E45"/>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4E266"/>
  <w15:docId w15:val="{95D9C65B-A487-43BC-B4FF-55B9AB84E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FR" w:eastAsia="es-V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Normal"/>
    <w:tblPr>
      <w:tblCellMar>
        <w:top w:w="0" w:type="dxa"/>
        <w:left w:w="0" w:type="dxa"/>
        <w:bottom w:w="0" w:type="dxa"/>
        <w:right w:w="0" w:type="dxa"/>
      </w:tblCellMar>
    </w:tblPr>
  </w:style>
  <w:style w:type="paragraph" w:styleId="NormalWeb">
    <w:name w:val="Normal (Web)"/>
    <w:basedOn w:val="Normal"/>
    <w:uiPriority w:val="99"/>
    <w:unhideWhenUsed/>
    <w:qFormat/>
    <w:rsid w:val="00BC23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Policepardfaut"/>
    <w:rsid w:val="00BC2395"/>
  </w:style>
  <w:style w:type="paragraph" w:styleId="En-tte">
    <w:name w:val="header"/>
    <w:basedOn w:val="Normal"/>
    <w:link w:val="En-tteCar"/>
    <w:uiPriority w:val="99"/>
    <w:unhideWhenUsed/>
    <w:rsid w:val="00D512F8"/>
    <w:pPr>
      <w:tabs>
        <w:tab w:val="center" w:pos="4419"/>
        <w:tab w:val="right" w:pos="8838"/>
      </w:tabs>
      <w:spacing w:line="240" w:lineRule="auto"/>
    </w:pPr>
  </w:style>
  <w:style w:type="character" w:customStyle="1" w:styleId="En-tteCar">
    <w:name w:val="En-tête Car"/>
    <w:basedOn w:val="Policepardfaut"/>
    <w:link w:val="En-tte"/>
    <w:uiPriority w:val="99"/>
    <w:rsid w:val="00D512F8"/>
  </w:style>
  <w:style w:type="paragraph" w:styleId="Pieddepage">
    <w:name w:val="footer"/>
    <w:basedOn w:val="Normal"/>
    <w:link w:val="PieddepageCar"/>
    <w:uiPriority w:val="99"/>
    <w:unhideWhenUsed/>
    <w:rsid w:val="00D512F8"/>
    <w:pPr>
      <w:tabs>
        <w:tab w:val="center" w:pos="4419"/>
        <w:tab w:val="right" w:pos="8838"/>
      </w:tabs>
      <w:spacing w:line="240" w:lineRule="auto"/>
    </w:pPr>
  </w:style>
  <w:style w:type="character" w:customStyle="1" w:styleId="PieddepageCar">
    <w:name w:val="Pied de page Car"/>
    <w:basedOn w:val="Policepardfaut"/>
    <w:link w:val="Pieddepage"/>
    <w:uiPriority w:val="99"/>
    <w:rsid w:val="00D512F8"/>
  </w:style>
  <w:style w:type="paragraph" w:styleId="Textedebulles">
    <w:name w:val="Balloon Text"/>
    <w:basedOn w:val="Normal"/>
    <w:link w:val="TextedebullesCar"/>
    <w:uiPriority w:val="99"/>
    <w:semiHidden/>
    <w:unhideWhenUsed/>
    <w:rsid w:val="007C6676"/>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C6676"/>
    <w:rPr>
      <w:rFonts w:ascii="Segoe UI" w:hAnsi="Segoe UI" w:cs="Segoe UI"/>
      <w:sz w:val="18"/>
      <w:szCs w:val="18"/>
    </w:rPr>
  </w:style>
  <w:style w:type="paragraph" w:styleId="Sous-titre">
    <w:name w:val="Subtitle"/>
    <w:basedOn w:val="Normal"/>
    <w:next w:val="Normal"/>
    <w:uiPriority w:val="11"/>
    <w:qFormat/>
    <w:pPr>
      <w:keepNext/>
      <w:keepLines/>
      <w:spacing w:after="320"/>
    </w:pPr>
    <w:rPr>
      <w:color w:val="666666"/>
      <w:sz w:val="30"/>
      <w:szCs w:val="30"/>
    </w:rPr>
  </w:style>
  <w:style w:type="paragraph" w:styleId="Paragraphedeliste">
    <w:name w:val="List Paragraph"/>
    <w:basedOn w:val="Normal"/>
    <w:uiPriority w:val="34"/>
    <w:qFormat/>
    <w:rsid w:val="003400D9"/>
    <w:pPr>
      <w:ind w:left="720"/>
      <w:contextualSpacing/>
    </w:pPr>
  </w:style>
  <w:style w:type="table" w:styleId="Grilledutableau">
    <w:name w:val="Table Grid"/>
    <w:basedOn w:val="TableauNormal"/>
    <w:uiPriority w:val="39"/>
    <w:rsid w:val="00C07CB2"/>
    <w:pPr>
      <w:spacing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261A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27901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3E84DD1BACBE3641B802C49D00950036" ma:contentTypeVersion="14" ma:contentTypeDescription="Crear nuevo documento." ma:contentTypeScope="" ma:versionID="46256a872ad1c6fde7733cbd8d249cd4">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578e759ab0382b72b2c1767811f821c5"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eXMXCMWk4Zk4qnkT5Kdt8S0JvQ==">CgMxLjAyDmgueXY1YzVlM20wcWxjMg5oLm1yMjAybXFjOWU3aTIOaC55M3VyYmhzaGZxNDE4AHIhMTdaQWpmdDBhZFljYW5JOG5QMVprcXFnWUhEUExMcFJm</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C6AD594-B51D-406F-9249-388E6B7384DC}">
  <ds:schemaRefs>
    <ds:schemaRef ds:uri="http://schemas.microsoft.com/sharepoint/v3/contenttype/forms"/>
  </ds:schemaRefs>
</ds:datastoreItem>
</file>

<file path=customXml/itemProps2.xml><?xml version="1.0" encoding="utf-8"?>
<ds:datastoreItem xmlns:ds="http://schemas.openxmlformats.org/officeDocument/2006/customXml" ds:itemID="{F2E76F44-9C16-44B3-BCED-9278C66673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3F40A12B-BAFD-42F0-9AF4-560270818E55}">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883</Words>
  <Characters>4862</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Arvin</dc:creator>
  <cp:lastModifiedBy>christel navarret</cp:lastModifiedBy>
  <cp:revision>8</cp:revision>
  <cp:lastPrinted>2026-04-15T23:13:00Z</cp:lastPrinted>
  <dcterms:created xsi:type="dcterms:W3CDTF">2026-07-10T06:56:00Z</dcterms:created>
  <dcterms:modified xsi:type="dcterms:W3CDTF">2026-10-09T10:41:00Z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ies>
</file>