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33837" w14:textId="05E24876" w:rsidR="00746080" w:rsidRPr="00033B23" w:rsidRDefault="00746080" w:rsidP="00746080">
      <w:pPr>
        <w:spacing w:after="0" w:line="240" w:lineRule="atLeast"/>
        <w:jc w:val="right"/>
        <w:rPr>
          <w:rFonts w:ascii="Cambria" w:hAnsi="Cambria" w:cs="Times New Roman"/>
          <w:bCs/>
          <w:sz w:val="20"/>
          <w:szCs w:val="20"/>
        </w:rPr>
      </w:pPr>
      <w:r>
        <w:rPr>
          <w:rFonts w:ascii="Cambria" w:hAnsi="Cambria"/>
          <w:b/>
          <w:sz w:val="20"/>
        </w:rPr>
        <w:t xml:space="preserve">Original: </w:t>
      </w:r>
      <w:r>
        <w:rPr>
          <w:rFonts w:ascii="Cambria" w:hAnsi="Cambria"/>
          <w:sz w:val="20"/>
        </w:rPr>
        <w:t>inglés</w:t>
      </w:r>
    </w:p>
    <w:p w14:paraId="2B4057B2" w14:textId="5255F42F" w:rsidR="00746080" w:rsidRPr="008C41DA" w:rsidRDefault="00746080" w:rsidP="00746080">
      <w:pPr>
        <w:spacing w:after="0" w:line="240" w:lineRule="atLeast"/>
        <w:jc w:val="right"/>
        <w:rPr>
          <w:rFonts w:ascii="Cambria" w:hAnsi="Cambria" w:cs="Times New Roman"/>
          <w:b/>
          <w:bCs/>
          <w:sz w:val="20"/>
          <w:szCs w:val="20"/>
        </w:rPr>
      </w:pPr>
    </w:p>
    <w:p w14:paraId="46858B29" w14:textId="77777777" w:rsidR="005D4BD1" w:rsidRPr="008C41DA" w:rsidRDefault="005D4BD1" w:rsidP="00746080">
      <w:pPr>
        <w:spacing w:after="0" w:line="240" w:lineRule="atLeast"/>
        <w:jc w:val="right"/>
        <w:rPr>
          <w:rFonts w:ascii="Cambria" w:hAnsi="Cambria" w:cs="Times New Roman"/>
          <w:b/>
          <w:bCs/>
          <w:sz w:val="20"/>
          <w:szCs w:val="20"/>
        </w:rPr>
      </w:pPr>
    </w:p>
    <w:p w14:paraId="5E71069A" w14:textId="1B9AE067" w:rsidR="00746080" w:rsidRPr="00086242" w:rsidRDefault="008C41DA" w:rsidP="00746080">
      <w:pPr>
        <w:autoSpaceDE w:val="0"/>
        <w:autoSpaceDN w:val="0"/>
        <w:adjustRightInd w:val="0"/>
        <w:spacing w:after="0" w:line="240" w:lineRule="atLeast"/>
        <w:jc w:val="center"/>
        <w:rPr>
          <w:rFonts w:ascii="Cambria" w:hAnsi="Cambria" w:cs="Times New Roman"/>
          <w:b/>
          <w:bCs/>
          <w:caps/>
          <w:sz w:val="20"/>
          <w:szCs w:val="20"/>
        </w:rPr>
      </w:pPr>
      <w:bookmarkStart w:id="0" w:name="_Hlk119173661"/>
      <w:r>
        <w:rPr>
          <w:rFonts w:ascii="Cambria" w:hAnsi="Cambria"/>
          <w:b/>
          <w:sz w:val="20"/>
        </w:rPr>
        <w:t>Cálculos revisados de la Secretaría sobre las capturas de rabil en los últimos diez años</w:t>
      </w:r>
    </w:p>
    <w:bookmarkEnd w:id="0"/>
    <w:p w14:paraId="311731F7" w14:textId="77777777" w:rsidR="00746080" w:rsidRPr="008C41DA" w:rsidRDefault="00746080" w:rsidP="00746080">
      <w:pPr>
        <w:autoSpaceDE w:val="0"/>
        <w:autoSpaceDN w:val="0"/>
        <w:adjustRightInd w:val="0"/>
        <w:spacing w:after="0" w:line="240" w:lineRule="atLeast"/>
        <w:jc w:val="center"/>
        <w:rPr>
          <w:rFonts w:ascii="Cambria" w:hAnsi="Cambria" w:cs="Times New Roman"/>
          <w:i/>
          <w:iCs/>
          <w:sz w:val="20"/>
          <w:szCs w:val="20"/>
        </w:rPr>
      </w:pPr>
    </w:p>
    <w:p w14:paraId="61E49969" w14:textId="450D0786" w:rsidR="00746080" w:rsidRPr="00DF36DE" w:rsidRDefault="00086242" w:rsidP="00746080">
      <w:pPr>
        <w:autoSpaceDE w:val="0"/>
        <w:autoSpaceDN w:val="0"/>
        <w:adjustRightInd w:val="0"/>
        <w:spacing w:after="0" w:line="240" w:lineRule="atLeast"/>
        <w:jc w:val="center"/>
        <w:rPr>
          <w:rFonts w:ascii="Cambria" w:hAnsi="Cambria" w:cs="Times New Roman"/>
          <w:sz w:val="20"/>
          <w:szCs w:val="20"/>
        </w:rPr>
      </w:pPr>
      <w:r>
        <w:rPr>
          <w:rFonts w:ascii="Cambria" w:hAnsi="Cambria"/>
          <w:sz w:val="20"/>
        </w:rPr>
        <w:t>(</w:t>
      </w:r>
      <w:r>
        <w:rPr>
          <w:rFonts w:ascii="Cambria" w:hAnsi="Cambria"/>
          <w:i/>
          <w:iCs/>
          <w:sz w:val="20"/>
        </w:rPr>
        <w:t>Secretaría</w:t>
      </w:r>
      <w:r>
        <w:rPr>
          <w:rFonts w:ascii="Cambria" w:hAnsi="Cambria"/>
          <w:sz w:val="20"/>
        </w:rPr>
        <w:t xml:space="preserve"> </w:t>
      </w:r>
      <w:r>
        <w:rPr>
          <w:rFonts w:ascii="Cambria" w:hAnsi="Cambria"/>
          <w:i/>
          <w:sz w:val="20"/>
        </w:rPr>
        <w:t>de ICCAT</w:t>
      </w:r>
      <w:r>
        <w:rPr>
          <w:rFonts w:ascii="Cambria" w:hAnsi="Cambria"/>
          <w:sz w:val="20"/>
        </w:rPr>
        <w:t>)</w:t>
      </w:r>
    </w:p>
    <w:p w14:paraId="19DE3254" w14:textId="77777777" w:rsidR="00746080" w:rsidRPr="008C41DA" w:rsidRDefault="00746080" w:rsidP="00746080">
      <w:pPr>
        <w:autoSpaceDE w:val="0"/>
        <w:autoSpaceDN w:val="0"/>
        <w:adjustRightInd w:val="0"/>
        <w:spacing w:after="0" w:line="240" w:lineRule="atLeast"/>
        <w:jc w:val="center"/>
        <w:rPr>
          <w:rFonts w:ascii="Cambria" w:hAnsi="Cambria" w:cs="Times New Roman"/>
          <w:i/>
          <w:iCs/>
          <w:sz w:val="20"/>
          <w:szCs w:val="20"/>
        </w:rPr>
      </w:pPr>
    </w:p>
    <w:p w14:paraId="0714378C" w14:textId="21E0F0A7" w:rsidR="00FE1F0E" w:rsidRPr="00DF36DE" w:rsidRDefault="00FE1F0E" w:rsidP="00086242">
      <w:pPr>
        <w:spacing w:after="0" w:line="240" w:lineRule="auto"/>
        <w:jc w:val="both"/>
        <w:rPr>
          <w:rFonts w:ascii="Cambria" w:hAnsi="Cambria"/>
          <w:sz w:val="20"/>
          <w:szCs w:val="20"/>
        </w:rPr>
      </w:pPr>
      <w:r>
        <w:rPr>
          <w:rFonts w:ascii="Cambria" w:hAnsi="Cambria"/>
          <w:sz w:val="20"/>
        </w:rPr>
        <w:t>Durante la segunda reunión intersesiones de la Subcomisión 1, celebrada en Bilbao (España) del 5 al 7 de mayo de 2026, y a petición del presidente de la Subcomisión 1, la Secretaría presentó el documento PA1_MAY_32A/i2026 («Cálculos de la Secretaría sobre las capturas de YFT en los últimos diez años»), en el que se presentaban escenarios basados en los enfoques de los cuatro mejores años, los cinco mejores años y los seis mejores años, así como un escenario fijo de los últimos años, utilizando datos de 2015 a 2024. Se solicitó a la Secretaría que elaborara una versión revisada del documento mencionado, teniendo en cuenta las capturas totales de los pequeños capturadores, tal y como se definen en las dos propuestas presentadas: una por Belice, Costa Rica, Curazao, El Salvador, Guatemala, Honduras, Nicaragua y Panamá (PA1_MAY_27/i2026), y la otra por la Unión Europea (PA1_MAY_29/i2026). Además, se pidió a la Secretaría que determinara los años concretos en los que estos pequeños capturadores activarían los umbrales de captura establecidos en ambos</w:t>
      </w:r>
      <w:r w:rsidR="00544FA8">
        <w:rPr>
          <w:rFonts w:ascii="Cambria" w:hAnsi="Cambria"/>
          <w:sz w:val="20"/>
        </w:rPr>
        <w:t> </w:t>
      </w:r>
      <w:r>
        <w:rPr>
          <w:rFonts w:ascii="Cambria" w:hAnsi="Cambria"/>
          <w:sz w:val="20"/>
        </w:rPr>
        <w:t>textos.</w:t>
      </w:r>
    </w:p>
    <w:p w14:paraId="0F6897DB" w14:textId="77777777" w:rsidR="00DF36DE" w:rsidRPr="008C41DA" w:rsidRDefault="00DF36DE" w:rsidP="00086242">
      <w:pPr>
        <w:spacing w:after="0" w:line="240" w:lineRule="auto"/>
        <w:jc w:val="both"/>
        <w:rPr>
          <w:rFonts w:ascii="Cambria" w:hAnsi="Cambria"/>
          <w:sz w:val="20"/>
          <w:szCs w:val="20"/>
        </w:rPr>
      </w:pPr>
    </w:p>
    <w:p w14:paraId="23ACC70E" w14:textId="3C1B9975" w:rsidR="00FE1F0E" w:rsidRPr="00DF36DE" w:rsidRDefault="00FE1F0E" w:rsidP="00DF36DE">
      <w:pPr>
        <w:spacing w:after="0" w:line="240" w:lineRule="auto"/>
        <w:jc w:val="both"/>
        <w:rPr>
          <w:rFonts w:ascii="Cambria" w:hAnsi="Cambria"/>
          <w:sz w:val="20"/>
          <w:szCs w:val="20"/>
        </w:rPr>
      </w:pPr>
      <w:r>
        <w:rPr>
          <w:rFonts w:ascii="Cambria" w:hAnsi="Cambria"/>
          <w:sz w:val="20"/>
        </w:rPr>
        <w:t xml:space="preserve">El documento revisado se adjunta como </w:t>
      </w:r>
      <w:r w:rsidRPr="00544FA8">
        <w:rPr>
          <w:rFonts w:ascii="Cambria" w:hAnsi="Cambria"/>
          <w:b/>
          <w:bCs/>
          <w:sz w:val="20"/>
        </w:rPr>
        <w:t>Anexo 1</w:t>
      </w:r>
      <w:r>
        <w:rPr>
          <w:rFonts w:ascii="Cambria" w:hAnsi="Cambria"/>
          <w:sz w:val="20"/>
        </w:rPr>
        <w:t xml:space="preserve"> del presente documento. La información se ha estructurado en las hojas de la siguiente manera:</w:t>
      </w:r>
    </w:p>
    <w:p w14:paraId="14FAF7EF" w14:textId="77777777" w:rsidR="00DF36DE" w:rsidRPr="008C41DA" w:rsidRDefault="00DF36DE" w:rsidP="00DF36DE">
      <w:pPr>
        <w:spacing w:after="0" w:line="240" w:lineRule="auto"/>
        <w:jc w:val="both"/>
        <w:rPr>
          <w:rFonts w:ascii="Cambria" w:hAnsi="Cambria"/>
          <w:sz w:val="20"/>
          <w:szCs w:val="20"/>
        </w:rPr>
      </w:pPr>
    </w:p>
    <w:p w14:paraId="7B063CF9" w14:textId="0FD8EC5B" w:rsidR="00DF36DE" w:rsidRPr="00375F7E" w:rsidRDefault="00DF36DE" w:rsidP="00375F7E">
      <w:pPr>
        <w:pStyle w:val="Prrafodelista"/>
        <w:numPr>
          <w:ilvl w:val="0"/>
          <w:numId w:val="7"/>
        </w:numPr>
        <w:spacing w:after="0" w:line="240" w:lineRule="auto"/>
        <w:jc w:val="both"/>
        <w:rPr>
          <w:rFonts w:ascii="Cambria" w:hAnsi="Cambria"/>
          <w:sz w:val="20"/>
          <w:szCs w:val="20"/>
        </w:rPr>
      </w:pPr>
      <w:r>
        <w:rPr>
          <w:rFonts w:ascii="Cambria" w:hAnsi="Cambria"/>
          <w:sz w:val="20"/>
        </w:rPr>
        <w:t xml:space="preserve">Hoja «GTM-EU </w:t>
      </w:r>
      <w:proofErr w:type="spellStart"/>
      <w:r>
        <w:rPr>
          <w:rFonts w:ascii="Cambria" w:hAnsi="Cambria"/>
          <w:sz w:val="20"/>
        </w:rPr>
        <w:t>Proposals</w:t>
      </w:r>
      <w:proofErr w:type="spellEnd"/>
      <w:r>
        <w:rPr>
          <w:rFonts w:ascii="Cambria" w:hAnsi="Cambria"/>
          <w:sz w:val="20"/>
        </w:rPr>
        <w:t xml:space="preserve">»: </w:t>
      </w:r>
      <w:r w:rsidR="00810FA3">
        <w:rPr>
          <w:rFonts w:ascii="Cambria" w:hAnsi="Cambria"/>
          <w:sz w:val="20"/>
        </w:rPr>
        <w:t>c</w:t>
      </w:r>
      <w:r>
        <w:rPr>
          <w:rFonts w:ascii="Cambria" w:hAnsi="Cambria"/>
          <w:sz w:val="20"/>
        </w:rPr>
        <w:t>ontiene las tablas de asignación y la definición de los umbrales de activación para cada propuesta.</w:t>
      </w:r>
    </w:p>
    <w:p w14:paraId="395E22A8" w14:textId="77777777" w:rsidR="00DF36DE" w:rsidRPr="008C41DA" w:rsidRDefault="00DF36DE" w:rsidP="00DF36DE">
      <w:pPr>
        <w:spacing w:after="0" w:line="240" w:lineRule="auto"/>
        <w:jc w:val="both"/>
        <w:rPr>
          <w:rFonts w:ascii="Cambria" w:hAnsi="Cambria"/>
          <w:sz w:val="20"/>
          <w:szCs w:val="20"/>
        </w:rPr>
      </w:pPr>
    </w:p>
    <w:p w14:paraId="6B6446CB" w14:textId="5CC439F4" w:rsidR="00DF36DE" w:rsidRPr="00375F7E" w:rsidRDefault="00DF36DE" w:rsidP="00375F7E">
      <w:pPr>
        <w:pStyle w:val="Prrafodelista"/>
        <w:numPr>
          <w:ilvl w:val="0"/>
          <w:numId w:val="7"/>
        </w:numPr>
        <w:spacing w:after="0" w:line="240" w:lineRule="auto"/>
        <w:jc w:val="both"/>
        <w:rPr>
          <w:rFonts w:ascii="Cambria" w:hAnsi="Cambria"/>
          <w:sz w:val="20"/>
          <w:szCs w:val="20"/>
        </w:rPr>
      </w:pPr>
      <w:r>
        <w:rPr>
          <w:rFonts w:ascii="Cambria" w:hAnsi="Cambria"/>
          <w:sz w:val="20"/>
        </w:rPr>
        <w:t>Hojas «Best (GTM)» y «</w:t>
      </w:r>
      <w:proofErr w:type="spellStart"/>
      <w:r>
        <w:rPr>
          <w:rFonts w:ascii="Cambria" w:hAnsi="Cambria"/>
          <w:sz w:val="20"/>
        </w:rPr>
        <w:t>Fixed</w:t>
      </w:r>
      <w:proofErr w:type="spellEnd"/>
      <w:r>
        <w:rPr>
          <w:rFonts w:ascii="Cambria" w:hAnsi="Cambria"/>
          <w:sz w:val="20"/>
        </w:rPr>
        <w:t xml:space="preserve"> (GTM)»: </w:t>
      </w:r>
      <w:r w:rsidR="00810FA3">
        <w:rPr>
          <w:rFonts w:ascii="Cambria" w:hAnsi="Cambria"/>
          <w:sz w:val="20"/>
        </w:rPr>
        <w:t>i</w:t>
      </w:r>
      <w:r>
        <w:rPr>
          <w:rFonts w:ascii="Cambria" w:hAnsi="Cambria"/>
          <w:sz w:val="20"/>
        </w:rPr>
        <w:t>ncluye los subtotales calculados para los pequeños capturadores por año y por el período especificado en la propuesta de Centroamérica y el Caribe. Los</w:t>
      </w:r>
      <w:r w:rsidR="00810FA3">
        <w:rPr>
          <w:rFonts w:ascii="Cambria" w:hAnsi="Cambria"/>
          <w:sz w:val="20"/>
        </w:rPr>
        <w:t> </w:t>
      </w:r>
      <w:r>
        <w:rPr>
          <w:rFonts w:ascii="Cambria" w:hAnsi="Cambria"/>
          <w:sz w:val="20"/>
        </w:rPr>
        <w:t>casos en los que la CPC iguala o supera el umbral de 3.500 t para un año concreto, o se sitúa dentro de sus valores medios, se han resaltado en negrita y en verde.</w:t>
      </w:r>
    </w:p>
    <w:p w14:paraId="00FCC9B1" w14:textId="77777777" w:rsidR="00DF36DE" w:rsidRPr="008C41DA" w:rsidRDefault="00DF36DE" w:rsidP="00DF36DE">
      <w:pPr>
        <w:spacing w:after="0" w:line="240" w:lineRule="auto"/>
        <w:jc w:val="both"/>
        <w:rPr>
          <w:rFonts w:ascii="Cambria" w:hAnsi="Cambria"/>
          <w:sz w:val="20"/>
          <w:szCs w:val="20"/>
        </w:rPr>
      </w:pPr>
    </w:p>
    <w:p w14:paraId="7CD24D29" w14:textId="0D284108" w:rsidR="00DF36DE" w:rsidRPr="00375F7E" w:rsidRDefault="00DF36DE" w:rsidP="00375F7E">
      <w:pPr>
        <w:pStyle w:val="Prrafodelista"/>
        <w:numPr>
          <w:ilvl w:val="0"/>
          <w:numId w:val="7"/>
        </w:numPr>
        <w:spacing w:after="0" w:line="240" w:lineRule="auto"/>
        <w:jc w:val="both"/>
        <w:rPr>
          <w:rFonts w:ascii="Cambria" w:hAnsi="Cambria"/>
          <w:sz w:val="20"/>
          <w:szCs w:val="20"/>
        </w:rPr>
      </w:pPr>
      <w:r>
        <w:rPr>
          <w:rFonts w:ascii="Cambria" w:hAnsi="Cambria"/>
          <w:sz w:val="20"/>
        </w:rPr>
        <w:t>Hojas «Best (EU)» y «</w:t>
      </w:r>
      <w:proofErr w:type="spellStart"/>
      <w:r>
        <w:rPr>
          <w:rFonts w:ascii="Cambria" w:hAnsi="Cambria"/>
          <w:sz w:val="20"/>
        </w:rPr>
        <w:t>Fixed</w:t>
      </w:r>
      <w:proofErr w:type="spellEnd"/>
      <w:r>
        <w:rPr>
          <w:rFonts w:ascii="Cambria" w:hAnsi="Cambria"/>
          <w:sz w:val="20"/>
        </w:rPr>
        <w:t xml:space="preserve"> (EU)»: </w:t>
      </w:r>
      <w:r w:rsidR="00810FA3">
        <w:rPr>
          <w:rFonts w:ascii="Cambria" w:hAnsi="Cambria"/>
          <w:sz w:val="20"/>
        </w:rPr>
        <w:t>p</w:t>
      </w:r>
      <w:r>
        <w:rPr>
          <w:rFonts w:ascii="Cambria" w:hAnsi="Cambria"/>
          <w:sz w:val="20"/>
        </w:rPr>
        <w:t>resenta el mismo modelo de cálculo adaptado a la propuesta de la</w:t>
      </w:r>
      <w:r w:rsidR="00810FA3">
        <w:rPr>
          <w:rFonts w:ascii="Cambria" w:hAnsi="Cambria"/>
          <w:sz w:val="20"/>
        </w:rPr>
        <w:t> </w:t>
      </w:r>
      <w:r>
        <w:rPr>
          <w:rFonts w:ascii="Cambria" w:hAnsi="Cambria"/>
          <w:sz w:val="20"/>
        </w:rPr>
        <w:t>UE. En este caso, los casos en los que se alcanza o se supera el umbral de activación de 1.575 t se han resaltado en negrita y azul.</w:t>
      </w:r>
    </w:p>
    <w:p w14:paraId="2AE71123" w14:textId="77777777" w:rsidR="00DF36DE" w:rsidRPr="008C41DA" w:rsidRDefault="00DF36DE" w:rsidP="00DF36DE">
      <w:pPr>
        <w:spacing w:after="0" w:line="240" w:lineRule="auto"/>
        <w:jc w:val="both"/>
        <w:rPr>
          <w:rFonts w:ascii="Cambria" w:hAnsi="Cambria"/>
          <w:sz w:val="20"/>
          <w:szCs w:val="20"/>
        </w:rPr>
      </w:pPr>
    </w:p>
    <w:p w14:paraId="38B7EADF" w14:textId="13E27334" w:rsidR="00DF36DE" w:rsidRPr="008C41DA" w:rsidRDefault="00DF36DE" w:rsidP="00DF36DE">
      <w:pPr>
        <w:spacing w:after="0" w:line="240" w:lineRule="auto"/>
        <w:jc w:val="both"/>
        <w:rPr>
          <w:rFonts w:ascii="Cambria" w:hAnsi="Cambria"/>
          <w:sz w:val="20"/>
          <w:szCs w:val="20"/>
        </w:rPr>
      </w:pPr>
    </w:p>
    <w:sectPr w:rsidR="00DF36DE" w:rsidRPr="008C41DA" w:rsidSect="00647AF6">
      <w:headerReference w:type="default" r:id="rId8"/>
      <w:footerReference w:type="default" r:id="rId9"/>
      <w:pgSz w:w="12240" w:h="15840"/>
      <w:pgMar w:top="1021" w:right="1440" w:bottom="113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24D7F" w14:textId="77777777" w:rsidR="007A73AC" w:rsidRDefault="007A73AC" w:rsidP="00033B23">
      <w:pPr>
        <w:spacing w:after="0" w:line="240" w:lineRule="auto"/>
      </w:pPr>
      <w:r>
        <w:separator/>
      </w:r>
    </w:p>
  </w:endnote>
  <w:endnote w:type="continuationSeparator" w:id="0">
    <w:p w14:paraId="61C9987E" w14:textId="77777777" w:rsidR="007A73AC" w:rsidRDefault="007A73AC" w:rsidP="00033B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BE929" w14:textId="39CD5BA7" w:rsidR="005D4BD1" w:rsidRPr="005D4BD1" w:rsidRDefault="005D4BD1" w:rsidP="005D4BD1">
    <w:pPr>
      <w:tabs>
        <w:tab w:val="center" w:pos="4535"/>
        <w:tab w:val="center" w:pos="4680"/>
        <w:tab w:val="left" w:pos="6150"/>
        <w:tab w:val="right" w:pos="9360"/>
      </w:tabs>
      <w:spacing w:after="0" w:line="240" w:lineRule="auto"/>
      <w:jc w:val="center"/>
      <w:rPr>
        <w:rFonts w:ascii="Cambria" w:eastAsia="Calibri" w:hAnsi="Cambria" w:cs="Calibri"/>
        <w:sz w:val="20"/>
      </w:rPr>
    </w:pPr>
    <w:r w:rsidRPr="003D4EC2">
      <w:rPr>
        <w:rFonts w:ascii="Cambria" w:eastAsia="Calibri" w:hAnsi="Cambria" w:cs="Calibri"/>
        <w:sz w:val="20"/>
      </w:rPr>
      <w:fldChar w:fldCharType="begin"/>
    </w:r>
    <w:r w:rsidRPr="003D4EC2">
      <w:rPr>
        <w:rFonts w:ascii="Cambria" w:eastAsia="Calibri" w:hAnsi="Cambria" w:cs="Calibri"/>
        <w:sz w:val="20"/>
      </w:rPr>
      <w:instrText xml:space="preserve"> PAGE </w:instrText>
    </w:r>
    <w:r w:rsidRPr="003D4EC2">
      <w:rPr>
        <w:rFonts w:ascii="Cambria" w:eastAsia="Calibri" w:hAnsi="Cambria" w:cs="Calibri"/>
        <w:sz w:val="20"/>
      </w:rPr>
      <w:fldChar w:fldCharType="separate"/>
    </w:r>
    <w:r>
      <w:rPr>
        <w:rFonts w:ascii="Cambria" w:eastAsia="Calibri" w:hAnsi="Cambria" w:cs="Calibri"/>
        <w:sz w:val="20"/>
      </w:rPr>
      <w:t>1</w:t>
    </w:r>
    <w:r w:rsidRPr="003D4EC2">
      <w:rPr>
        <w:rFonts w:ascii="Cambria" w:eastAsia="Calibri" w:hAnsi="Cambria" w:cs="Calibri"/>
        <w:sz w:val="20"/>
      </w:rPr>
      <w:fldChar w:fldCharType="end"/>
    </w:r>
    <w:r>
      <w:rPr>
        <w:rFonts w:ascii="Cambria" w:hAnsi="Cambria"/>
        <w:sz w:val="20"/>
      </w:rPr>
      <w:t xml:space="preserve"> / </w:t>
    </w:r>
    <w:r w:rsidRPr="003D4EC2">
      <w:rPr>
        <w:rFonts w:ascii="Cambria" w:eastAsia="Calibri" w:hAnsi="Cambria" w:cs="Calibri"/>
        <w:sz w:val="20"/>
      </w:rPr>
      <w:fldChar w:fldCharType="begin"/>
    </w:r>
    <w:r w:rsidRPr="003D4EC2">
      <w:rPr>
        <w:rFonts w:ascii="Cambria" w:eastAsia="Calibri" w:hAnsi="Cambria" w:cs="Calibri"/>
        <w:sz w:val="20"/>
      </w:rPr>
      <w:instrText xml:space="preserve"> NUMPAGES  </w:instrText>
    </w:r>
    <w:r w:rsidRPr="003D4EC2">
      <w:rPr>
        <w:rFonts w:ascii="Cambria" w:eastAsia="Calibri" w:hAnsi="Cambria" w:cs="Calibri"/>
        <w:sz w:val="20"/>
      </w:rPr>
      <w:fldChar w:fldCharType="separate"/>
    </w:r>
    <w:r>
      <w:rPr>
        <w:rFonts w:ascii="Cambria" w:eastAsia="Calibri" w:hAnsi="Cambria" w:cs="Calibri"/>
        <w:sz w:val="20"/>
      </w:rPr>
      <w:t>2</w:t>
    </w:r>
    <w:r w:rsidRPr="003D4EC2">
      <w:rPr>
        <w:rFonts w:ascii="Cambria" w:eastAsia="Calibri" w:hAnsi="Cambria" w:cs="Calibri"/>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88318" w14:textId="77777777" w:rsidR="007A73AC" w:rsidRDefault="007A73AC" w:rsidP="00033B23">
      <w:pPr>
        <w:spacing w:after="0" w:line="240" w:lineRule="auto"/>
      </w:pPr>
      <w:r>
        <w:separator/>
      </w:r>
    </w:p>
  </w:footnote>
  <w:footnote w:type="continuationSeparator" w:id="0">
    <w:p w14:paraId="36F71297" w14:textId="77777777" w:rsidR="007A73AC" w:rsidRDefault="007A73AC" w:rsidP="00033B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C87EB" w14:textId="67C4D9BE" w:rsidR="00033B23" w:rsidRPr="00033B23" w:rsidRDefault="00033B23" w:rsidP="00033B23">
    <w:pPr>
      <w:widowControl w:val="0"/>
      <w:tabs>
        <w:tab w:val="center" w:pos="4680"/>
        <w:tab w:val="left" w:pos="6520"/>
        <w:tab w:val="right" w:pos="9360"/>
        <w:tab w:val="right" w:pos="14240"/>
      </w:tabs>
      <w:spacing w:after="0" w:line="240" w:lineRule="auto"/>
      <w:jc w:val="right"/>
      <w:rPr>
        <w:rFonts w:ascii="Cambria" w:eastAsia="Calibri" w:hAnsi="Cambria" w:cs="Times New Roman"/>
        <w:b/>
        <w:bCs/>
        <w:sz w:val="20"/>
        <w:szCs w:val="20"/>
      </w:rPr>
    </w:pPr>
    <w:bookmarkStart w:id="1" w:name="_Hlk107908354"/>
    <w:bookmarkStart w:id="2" w:name="_Hlk107908355"/>
    <w:bookmarkStart w:id="3" w:name="_Hlk107908359"/>
    <w:bookmarkStart w:id="4" w:name="_Hlk107908360"/>
    <w:bookmarkStart w:id="5" w:name="_Hlk107908361"/>
    <w:bookmarkStart w:id="6" w:name="_Hlk107908362"/>
    <w:r>
      <w:rPr>
        <w:rFonts w:ascii="Cambria" w:hAnsi="Cambria"/>
        <w:b/>
        <w:sz w:val="20"/>
      </w:rPr>
      <w:t>PA1_504/2026</w:t>
    </w:r>
  </w:p>
  <w:p w14:paraId="78370D4C" w14:textId="0F9A227C" w:rsidR="00033B23" w:rsidRPr="00033B23" w:rsidRDefault="00033B23" w:rsidP="00033B23">
    <w:pPr>
      <w:widowControl w:val="0"/>
      <w:tabs>
        <w:tab w:val="left" w:pos="7320"/>
      </w:tabs>
      <w:spacing w:after="0" w:line="240" w:lineRule="exact"/>
      <w:jc w:val="right"/>
      <w:rPr>
        <w:rFonts w:ascii="Cambria" w:eastAsia="Calibri" w:hAnsi="Cambria" w:cs="Times New Roman"/>
        <w:b/>
        <w:bCs/>
        <w:sz w:val="16"/>
        <w:szCs w:val="16"/>
      </w:rPr>
    </w:pPr>
    <w:r w:rsidRPr="00033B23">
      <w:rPr>
        <w:rFonts w:ascii="Cambria" w:eastAsia="Calibri" w:hAnsi="Cambria" w:cs="Times New Roman"/>
        <w:b/>
        <w:sz w:val="16"/>
      </w:rPr>
      <w:fldChar w:fldCharType="begin"/>
    </w:r>
    <w:r w:rsidRPr="00033B23">
      <w:rPr>
        <w:rFonts w:ascii="Cambria" w:eastAsia="Calibri" w:hAnsi="Cambria" w:cs="Times New Roman"/>
        <w:b/>
        <w:sz w:val="16"/>
      </w:rPr>
      <w:instrText xml:space="preserve"> TIME \@ "dd/MM/yyyy H:mm" </w:instrText>
    </w:r>
    <w:r w:rsidRPr="00033B23">
      <w:rPr>
        <w:rFonts w:ascii="Cambria" w:eastAsia="Calibri" w:hAnsi="Cambria" w:cs="Times New Roman"/>
        <w:b/>
        <w:sz w:val="16"/>
      </w:rPr>
      <w:fldChar w:fldCharType="separate"/>
    </w:r>
    <w:r w:rsidR="008C41DA">
      <w:rPr>
        <w:rFonts w:ascii="Cambria" w:eastAsia="Calibri" w:hAnsi="Cambria" w:cs="Times New Roman"/>
        <w:b/>
        <w:noProof/>
        <w:sz w:val="16"/>
      </w:rPr>
      <w:t>05/10/2026 10:57</w:t>
    </w:r>
    <w:r w:rsidRPr="00033B23">
      <w:rPr>
        <w:rFonts w:ascii="Cambria" w:eastAsia="Calibri" w:hAnsi="Cambria" w:cs="Times New Roman"/>
        <w:b/>
        <w:bCs/>
        <w:sz w:val="16"/>
        <w:szCs w:val="16"/>
        <w:lang w:val="es-ES_tradnl"/>
      </w:rPr>
      <w:fldChar w:fldCharType="end"/>
    </w:r>
    <w:bookmarkEnd w:id="1"/>
    <w:bookmarkEnd w:id="2"/>
    <w:bookmarkEnd w:id="3"/>
    <w:bookmarkEnd w:id="4"/>
    <w:bookmarkEnd w:id="5"/>
    <w:bookmarkEnd w:id="6"/>
  </w:p>
  <w:p w14:paraId="2EC79B9D" w14:textId="11BE2921" w:rsidR="00033B23" w:rsidRDefault="00033B2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821D1"/>
    <w:multiLevelType w:val="hybridMultilevel"/>
    <w:tmpl w:val="3E6E7580"/>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F91F58"/>
    <w:multiLevelType w:val="hybridMultilevel"/>
    <w:tmpl w:val="5AE20E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AF7472A"/>
    <w:multiLevelType w:val="hybridMultilevel"/>
    <w:tmpl w:val="D402E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9371DE"/>
    <w:multiLevelType w:val="hybridMultilevel"/>
    <w:tmpl w:val="EAF4230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783951"/>
    <w:multiLevelType w:val="hybridMultilevel"/>
    <w:tmpl w:val="2542A8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65F3AE2"/>
    <w:multiLevelType w:val="hybridMultilevel"/>
    <w:tmpl w:val="3BDE2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9041879"/>
    <w:multiLevelType w:val="hybridMultilevel"/>
    <w:tmpl w:val="12A83C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871652190">
    <w:abstractNumId w:val="3"/>
  </w:num>
  <w:num w:numId="2" w16cid:durableId="1967344592">
    <w:abstractNumId w:val="0"/>
  </w:num>
  <w:num w:numId="3" w16cid:durableId="1105613849">
    <w:abstractNumId w:val="1"/>
  </w:num>
  <w:num w:numId="4" w16cid:durableId="558134239">
    <w:abstractNumId w:val="2"/>
  </w:num>
  <w:num w:numId="5" w16cid:durableId="335545576">
    <w:abstractNumId w:val="6"/>
  </w:num>
  <w:num w:numId="6" w16cid:durableId="825975749">
    <w:abstractNumId w:val="4"/>
  </w:num>
  <w:num w:numId="7" w16cid:durableId="1978569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080"/>
    <w:rsid w:val="00033B23"/>
    <w:rsid w:val="00062080"/>
    <w:rsid w:val="00086242"/>
    <w:rsid w:val="000C53D2"/>
    <w:rsid w:val="000D1E4A"/>
    <w:rsid w:val="001139F8"/>
    <w:rsid w:val="00124CC2"/>
    <w:rsid w:val="00140AA1"/>
    <w:rsid w:val="00156A34"/>
    <w:rsid w:val="00166BF5"/>
    <w:rsid w:val="001A06EC"/>
    <w:rsid w:val="001E2A88"/>
    <w:rsid w:val="00275DF7"/>
    <w:rsid w:val="002A1E8A"/>
    <w:rsid w:val="00305950"/>
    <w:rsid w:val="003703DD"/>
    <w:rsid w:val="00375F7E"/>
    <w:rsid w:val="003B2F3A"/>
    <w:rsid w:val="003C20C6"/>
    <w:rsid w:val="003D7854"/>
    <w:rsid w:val="004A6D10"/>
    <w:rsid w:val="004D5A8D"/>
    <w:rsid w:val="004F4748"/>
    <w:rsid w:val="004F7836"/>
    <w:rsid w:val="005005A6"/>
    <w:rsid w:val="00544FA8"/>
    <w:rsid w:val="00554468"/>
    <w:rsid w:val="005D4BD1"/>
    <w:rsid w:val="00636DC9"/>
    <w:rsid w:val="00647AF6"/>
    <w:rsid w:val="006677AB"/>
    <w:rsid w:val="00690694"/>
    <w:rsid w:val="006B74FF"/>
    <w:rsid w:val="00746080"/>
    <w:rsid w:val="00757FB4"/>
    <w:rsid w:val="00760AB3"/>
    <w:rsid w:val="007A73AC"/>
    <w:rsid w:val="007C4687"/>
    <w:rsid w:val="007E18A1"/>
    <w:rsid w:val="008048A7"/>
    <w:rsid w:val="00810FA3"/>
    <w:rsid w:val="00834001"/>
    <w:rsid w:val="008515F6"/>
    <w:rsid w:val="00851B72"/>
    <w:rsid w:val="00864BA2"/>
    <w:rsid w:val="008A608A"/>
    <w:rsid w:val="008C41DA"/>
    <w:rsid w:val="008E2186"/>
    <w:rsid w:val="00997B98"/>
    <w:rsid w:val="009B36CD"/>
    <w:rsid w:val="00A46EEC"/>
    <w:rsid w:val="00A81819"/>
    <w:rsid w:val="00AE2AFD"/>
    <w:rsid w:val="00B07839"/>
    <w:rsid w:val="00B335AD"/>
    <w:rsid w:val="00BC2E67"/>
    <w:rsid w:val="00BE0200"/>
    <w:rsid w:val="00C87618"/>
    <w:rsid w:val="00CB147B"/>
    <w:rsid w:val="00CC5095"/>
    <w:rsid w:val="00CC7385"/>
    <w:rsid w:val="00CE1067"/>
    <w:rsid w:val="00D4105A"/>
    <w:rsid w:val="00D605D3"/>
    <w:rsid w:val="00DF36DE"/>
    <w:rsid w:val="00E60D3A"/>
    <w:rsid w:val="00E742B2"/>
    <w:rsid w:val="00EE5AAA"/>
    <w:rsid w:val="00F44947"/>
    <w:rsid w:val="00F65870"/>
    <w:rsid w:val="00F67F10"/>
    <w:rsid w:val="00F8000D"/>
    <w:rsid w:val="00FB1E4B"/>
    <w:rsid w:val="00FC6D3C"/>
    <w:rsid w:val="00FE1F0E"/>
    <w:rsid w:val="00FE5935"/>
    <w:rsid w:val="00FF49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F7D2A1"/>
  <w15:chartTrackingRefBased/>
  <w15:docId w15:val="{A4BBCD6A-7AE4-43C4-969F-9B4376F7E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33B23"/>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033B23"/>
  </w:style>
  <w:style w:type="paragraph" w:styleId="Piedepgina">
    <w:name w:val="footer"/>
    <w:basedOn w:val="Normal"/>
    <w:link w:val="PiedepginaCar"/>
    <w:uiPriority w:val="99"/>
    <w:unhideWhenUsed/>
    <w:rsid w:val="00033B23"/>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033B23"/>
  </w:style>
  <w:style w:type="paragraph" w:styleId="Prrafodelista">
    <w:name w:val="List Paragraph"/>
    <w:basedOn w:val="Normal"/>
    <w:uiPriority w:val="34"/>
    <w:qFormat/>
    <w:rsid w:val="003703DD"/>
    <w:pPr>
      <w:ind w:left="720"/>
      <w:contextualSpacing/>
    </w:pPr>
  </w:style>
  <w:style w:type="paragraph" w:styleId="HTMLconformatoprevio">
    <w:name w:val="HTML Preformatted"/>
    <w:basedOn w:val="Normal"/>
    <w:link w:val="HTMLconformatoprevioCar"/>
    <w:uiPriority w:val="99"/>
    <w:semiHidden/>
    <w:unhideWhenUsed/>
    <w:rsid w:val="00A81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A81819"/>
    <w:rPr>
      <w:rFonts w:ascii="Courier New" w:eastAsia="Times New Roman" w:hAnsi="Courier New" w:cs="Courier New"/>
      <w:sz w:val="20"/>
      <w:szCs w:val="20"/>
    </w:rPr>
  </w:style>
  <w:style w:type="character" w:customStyle="1" w:styleId="y2iqfc">
    <w:name w:val="y2iqfc"/>
    <w:basedOn w:val="Fuentedeprrafopredeter"/>
    <w:rsid w:val="00A81819"/>
  </w:style>
  <w:style w:type="paragraph" w:styleId="Revisin">
    <w:name w:val="Revision"/>
    <w:hidden/>
    <w:uiPriority w:val="99"/>
    <w:semiHidden/>
    <w:rsid w:val="00166BF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466922">
      <w:bodyDiv w:val="1"/>
      <w:marLeft w:val="0"/>
      <w:marRight w:val="0"/>
      <w:marTop w:val="0"/>
      <w:marBottom w:val="0"/>
      <w:divBdr>
        <w:top w:val="none" w:sz="0" w:space="0" w:color="auto"/>
        <w:left w:val="none" w:sz="0" w:space="0" w:color="auto"/>
        <w:bottom w:val="none" w:sz="0" w:space="0" w:color="auto"/>
        <w:right w:val="none" w:sz="0" w:space="0" w:color="auto"/>
      </w:divBdr>
    </w:div>
    <w:div w:id="417946003">
      <w:bodyDiv w:val="1"/>
      <w:marLeft w:val="0"/>
      <w:marRight w:val="0"/>
      <w:marTop w:val="0"/>
      <w:marBottom w:val="0"/>
      <w:divBdr>
        <w:top w:val="none" w:sz="0" w:space="0" w:color="auto"/>
        <w:left w:val="none" w:sz="0" w:space="0" w:color="auto"/>
        <w:bottom w:val="none" w:sz="0" w:space="0" w:color="auto"/>
        <w:right w:val="none" w:sz="0" w:space="0" w:color="auto"/>
      </w:divBdr>
    </w:div>
    <w:div w:id="781462757">
      <w:bodyDiv w:val="1"/>
      <w:marLeft w:val="0"/>
      <w:marRight w:val="0"/>
      <w:marTop w:val="0"/>
      <w:marBottom w:val="0"/>
      <w:divBdr>
        <w:top w:val="none" w:sz="0" w:space="0" w:color="auto"/>
        <w:left w:val="none" w:sz="0" w:space="0" w:color="auto"/>
        <w:bottom w:val="none" w:sz="0" w:space="0" w:color="auto"/>
        <w:right w:val="none" w:sz="0" w:space="0" w:color="auto"/>
      </w:divBdr>
    </w:div>
    <w:div w:id="817646060">
      <w:bodyDiv w:val="1"/>
      <w:marLeft w:val="0"/>
      <w:marRight w:val="0"/>
      <w:marTop w:val="0"/>
      <w:marBottom w:val="0"/>
      <w:divBdr>
        <w:top w:val="none" w:sz="0" w:space="0" w:color="auto"/>
        <w:left w:val="none" w:sz="0" w:space="0" w:color="auto"/>
        <w:bottom w:val="none" w:sz="0" w:space="0" w:color="auto"/>
        <w:right w:val="none" w:sz="0" w:space="0" w:color="auto"/>
      </w:divBdr>
    </w:div>
    <w:div w:id="934751350">
      <w:bodyDiv w:val="1"/>
      <w:marLeft w:val="0"/>
      <w:marRight w:val="0"/>
      <w:marTop w:val="0"/>
      <w:marBottom w:val="0"/>
      <w:divBdr>
        <w:top w:val="none" w:sz="0" w:space="0" w:color="auto"/>
        <w:left w:val="none" w:sz="0" w:space="0" w:color="auto"/>
        <w:bottom w:val="none" w:sz="0" w:space="0" w:color="auto"/>
        <w:right w:val="none" w:sz="0" w:space="0" w:color="auto"/>
      </w:divBdr>
    </w:div>
    <w:div w:id="1718242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447F5D-C473-4A86-B353-978DFC521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402</TotalTime>
  <Pages>1</Pages>
  <Words>317</Words>
  <Characters>1744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Cheatle</dc:creator>
  <cp:keywords/>
  <dc:description/>
  <cp:lastModifiedBy>Mariu Arias</cp:lastModifiedBy>
  <cp:revision>13</cp:revision>
  <cp:lastPrinted>2022-11-20T19:01:00Z</cp:lastPrinted>
  <dcterms:created xsi:type="dcterms:W3CDTF">2023-09-20T08:33:00Z</dcterms:created>
  <dcterms:modified xsi:type="dcterms:W3CDTF">2026-10-05T08:59:00Z</dcterms:modified>
</cp:coreProperties>
</file>