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3837" w14:textId="3D58D1EC" w:rsidR="00746080" w:rsidRPr="00F62999" w:rsidRDefault="00746080" w:rsidP="00F62999">
      <w:pPr>
        <w:spacing w:after="0" w:line="240" w:lineRule="auto"/>
        <w:jc w:val="right"/>
        <w:rPr>
          <w:rFonts w:ascii="Cambria" w:hAnsi="Cambria" w:cs="Times New Roman"/>
          <w:b/>
          <w:bCs/>
          <w:sz w:val="20"/>
          <w:szCs w:val="20"/>
        </w:rPr>
      </w:pPr>
      <w:r>
        <w:rPr>
          <w:rFonts w:ascii="Cambria" w:hAnsi="Cambria"/>
          <w:b/>
          <w:bCs/>
          <w:sz w:val="20"/>
          <w:szCs w:val="20"/>
        </w:rPr>
        <w:t>Original : anglais</w:t>
      </w:r>
    </w:p>
    <w:p w14:paraId="46858B29" w14:textId="77777777" w:rsidR="005D4BD1" w:rsidRPr="00033B23" w:rsidRDefault="005D4BD1" w:rsidP="00F62999">
      <w:pPr>
        <w:spacing w:after="0" w:line="240" w:lineRule="auto"/>
        <w:jc w:val="right"/>
        <w:rPr>
          <w:rFonts w:ascii="Cambria" w:hAnsi="Cambria" w:cs="Times New Roman"/>
          <w:b/>
          <w:bCs/>
          <w:sz w:val="20"/>
          <w:szCs w:val="20"/>
          <w:lang w:val="en-GB"/>
        </w:rPr>
      </w:pPr>
    </w:p>
    <w:p w14:paraId="5E71069A" w14:textId="4B0752B1" w:rsidR="00746080" w:rsidRPr="00086242" w:rsidRDefault="00086242" w:rsidP="00F62999">
      <w:pPr>
        <w:autoSpaceDE w:val="0"/>
        <w:autoSpaceDN w:val="0"/>
        <w:adjustRightInd w:val="0"/>
        <w:spacing w:after="0" w:line="240" w:lineRule="auto"/>
        <w:jc w:val="center"/>
        <w:rPr>
          <w:rFonts w:ascii="Cambria" w:hAnsi="Cambria" w:cs="Times New Roman"/>
          <w:b/>
          <w:bCs/>
          <w:caps/>
          <w:sz w:val="20"/>
          <w:szCs w:val="20"/>
        </w:rPr>
      </w:pPr>
      <w:bookmarkStart w:id="0" w:name="_Hlk119173661"/>
      <w:r>
        <w:rPr>
          <w:rFonts w:ascii="Cambria" w:hAnsi="Cambria"/>
          <w:b/>
          <w:bCs/>
          <w:sz w:val="20"/>
          <w:szCs w:val="20"/>
        </w:rPr>
        <w:t>Calculs révisés du Secrétariat concernant les captures d'albacore pour les dix dernières années</w:t>
      </w:r>
    </w:p>
    <w:bookmarkEnd w:id="0"/>
    <w:p w14:paraId="311731F7" w14:textId="77777777" w:rsidR="00746080" w:rsidRPr="00033B23" w:rsidRDefault="00746080" w:rsidP="00F62999">
      <w:pPr>
        <w:autoSpaceDE w:val="0"/>
        <w:autoSpaceDN w:val="0"/>
        <w:adjustRightInd w:val="0"/>
        <w:spacing w:after="0" w:line="240" w:lineRule="auto"/>
        <w:jc w:val="center"/>
        <w:rPr>
          <w:rFonts w:ascii="Cambria" w:hAnsi="Cambria" w:cs="Times New Roman"/>
          <w:i/>
          <w:iCs/>
          <w:sz w:val="20"/>
          <w:szCs w:val="20"/>
          <w:lang w:val="en-GB"/>
        </w:rPr>
      </w:pPr>
    </w:p>
    <w:p w14:paraId="61E49969" w14:textId="450D0786" w:rsidR="00746080" w:rsidRPr="00DF36DE" w:rsidRDefault="00086242" w:rsidP="00F62999">
      <w:pPr>
        <w:autoSpaceDE w:val="0"/>
        <w:autoSpaceDN w:val="0"/>
        <w:adjustRightInd w:val="0"/>
        <w:spacing w:after="0" w:line="240" w:lineRule="auto"/>
        <w:jc w:val="center"/>
        <w:rPr>
          <w:rFonts w:ascii="Cambria" w:hAnsi="Cambria" w:cs="Times New Roman"/>
          <w:sz w:val="20"/>
          <w:szCs w:val="20"/>
        </w:rPr>
      </w:pPr>
      <w:r>
        <w:rPr>
          <w:rFonts w:ascii="Cambria" w:hAnsi="Cambria"/>
          <w:sz w:val="20"/>
          <w:szCs w:val="20"/>
        </w:rPr>
        <w:t>(</w:t>
      </w:r>
      <w:r>
        <w:rPr>
          <w:rFonts w:ascii="Cambria" w:hAnsi="Cambria"/>
          <w:i/>
          <w:sz w:val="20"/>
          <w:szCs w:val="20"/>
        </w:rPr>
        <w:t>Secrétariat de l’ICCAT</w:t>
      </w:r>
      <w:r>
        <w:rPr>
          <w:rFonts w:ascii="Cambria" w:hAnsi="Cambria"/>
          <w:sz w:val="20"/>
          <w:szCs w:val="20"/>
        </w:rPr>
        <w:t>)</w:t>
      </w:r>
    </w:p>
    <w:p w14:paraId="19DE3254" w14:textId="77777777" w:rsidR="00746080" w:rsidRPr="00033B23" w:rsidRDefault="00746080" w:rsidP="00F62999">
      <w:pPr>
        <w:autoSpaceDE w:val="0"/>
        <w:autoSpaceDN w:val="0"/>
        <w:adjustRightInd w:val="0"/>
        <w:spacing w:after="0" w:line="240" w:lineRule="auto"/>
        <w:jc w:val="center"/>
        <w:rPr>
          <w:rFonts w:ascii="Cambria" w:hAnsi="Cambria" w:cs="Times New Roman"/>
          <w:i/>
          <w:iCs/>
          <w:sz w:val="20"/>
          <w:szCs w:val="20"/>
          <w:lang w:val="en-GB"/>
        </w:rPr>
      </w:pPr>
    </w:p>
    <w:p w14:paraId="0714378C" w14:textId="79C1CA9C" w:rsidR="00FE1F0E" w:rsidRPr="00DF36DE" w:rsidRDefault="00FE1F0E" w:rsidP="00F62999">
      <w:pPr>
        <w:spacing w:after="0" w:line="240" w:lineRule="auto"/>
        <w:jc w:val="both"/>
        <w:rPr>
          <w:rFonts w:ascii="Cambria" w:hAnsi="Cambria"/>
          <w:sz w:val="20"/>
          <w:szCs w:val="20"/>
        </w:rPr>
      </w:pPr>
      <w:r>
        <w:rPr>
          <w:rFonts w:ascii="Cambria" w:hAnsi="Cambria"/>
          <w:sz w:val="20"/>
          <w:szCs w:val="20"/>
        </w:rPr>
        <w:t>Au cours de la deuxième réunion intersessions de la Sous-commission 1, tenue à Bilbao (Espagne) du 5 au 7 mai 2026, et à la demande du Président de la Sous-commission 1, le Secrétariat a présenté le document PA1_MAY_32A/i2026 («  Calculs du Secrétariat concernant les captures d'albacore pour les dix dernières années »), qui propose des scénarios fondés sur des approches des quatre meilleures années, des cinq meilleures années et des six meilleures années, ainsi qu’un scénario fixe basé sur les dernières années, à partir des données de 2015 à 2024. Il a été demandé au Secrétariat de préparer une version révisée du document susmentionné, tenant compte des captures totales des petits pêcheurs, comme défini dans les deux propositions soumises : l’une par le Belize, le Costa Rica, Curaçao, El Salvador, le Guatemala, le Honduras, le Nicaragua et le Panama (PA1_MAY_27/i2026), et l’autre par l’Union européenne (PA1_MAY_29/i2026). Il a, en outre, été demandé au Secrétariat d’identifier les années spécifiques au cours desquelles ces petits pêcheurs activeraient le</w:t>
      </w:r>
      <w:r w:rsidR="003667F7">
        <w:rPr>
          <w:rFonts w:ascii="Cambria" w:hAnsi="Cambria"/>
          <w:sz w:val="20"/>
          <w:szCs w:val="20"/>
        </w:rPr>
        <w:t xml:space="preserve">s mécanismes </w:t>
      </w:r>
      <w:r>
        <w:rPr>
          <w:rFonts w:ascii="Cambria" w:hAnsi="Cambria"/>
          <w:sz w:val="20"/>
          <w:szCs w:val="20"/>
        </w:rPr>
        <w:t xml:space="preserve">de </w:t>
      </w:r>
      <w:r w:rsidR="00052F02">
        <w:rPr>
          <w:rFonts w:ascii="Cambria" w:hAnsi="Cambria"/>
          <w:sz w:val="20"/>
          <w:szCs w:val="20"/>
        </w:rPr>
        <w:t xml:space="preserve">seuil de </w:t>
      </w:r>
      <w:r>
        <w:rPr>
          <w:rFonts w:ascii="Cambria" w:hAnsi="Cambria"/>
          <w:sz w:val="20"/>
          <w:szCs w:val="20"/>
        </w:rPr>
        <w:t>déclenchement des limites de capture décrit</w:t>
      </w:r>
      <w:r w:rsidR="003667F7">
        <w:rPr>
          <w:rFonts w:ascii="Cambria" w:hAnsi="Cambria"/>
          <w:sz w:val="20"/>
          <w:szCs w:val="20"/>
        </w:rPr>
        <w:t>s</w:t>
      </w:r>
      <w:r>
        <w:rPr>
          <w:rFonts w:ascii="Cambria" w:hAnsi="Cambria"/>
          <w:sz w:val="20"/>
          <w:szCs w:val="20"/>
        </w:rPr>
        <w:t xml:space="preserve"> dans les deux textes.</w:t>
      </w:r>
    </w:p>
    <w:p w14:paraId="0F6897DB" w14:textId="77777777" w:rsidR="00DF36DE" w:rsidRPr="00DF36DE" w:rsidRDefault="00DF36DE" w:rsidP="00F62999">
      <w:pPr>
        <w:spacing w:after="0" w:line="240" w:lineRule="auto"/>
        <w:jc w:val="both"/>
        <w:rPr>
          <w:rFonts w:ascii="Cambria" w:hAnsi="Cambria"/>
          <w:sz w:val="20"/>
          <w:szCs w:val="20"/>
          <w:lang w:val="en-CA"/>
        </w:rPr>
      </w:pPr>
    </w:p>
    <w:p w14:paraId="23ACC70E" w14:textId="3C1B9975" w:rsidR="00FE1F0E" w:rsidRPr="00DF36DE" w:rsidRDefault="00FE1F0E" w:rsidP="00F62999">
      <w:pPr>
        <w:spacing w:after="0" w:line="240" w:lineRule="auto"/>
        <w:jc w:val="both"/>
        <w:rPr>
          <w:rFonts w:ascii="Cambria" w:hAnsi="Cambria"/>
          <w:sz w:val="20"/>
          <w:szCs w:val="20"/>
        </w:rPr>
      </w:pPr>
      <w:r>
        <w:rPr>
          <w:rFonts w:ascii="Cambria" w:hAnsi="Cambria"/>
          <w:sz w:val="20"/>
          <w:szCs w:val="20"/>
        </w:rPr>
        <w:t>Le document révisé figure à l’</w:t>
      </w:r>
      <w:r>
        <w:rPr>
          <w:rFonts w:ascii="Cambria" w:hAnsi="Cambria"/>
          <w:b/>
          <w:bCs/>
          <w:sz w:val="20"/>
          <w:szCs w:val="20"/>
        </w:rPr>
        <w:t>annexe 1</w:t>
      </w:r>
      <w:r>
        <w:rPr>
          <w:rFonts w:ascii="Cambria" w:hAnsi="Cambria"/>
          <w:sz w:val="20"/>
          <w:szCs w:val="20"/>
        </w:rPr>
        <w:t xml:space="preserve"> du présent document. Les informations ont été articulées autour des feuilles suivantes :</w:t>
      </w:r>
    </w:p>
    <w:p w14:paraId="14FAF7EF" w14:textId="77777777" w:rsidR="00DF36DE" w:rsidRPr="00DF36DE" w:rsidRDefault="00DF36DE" w:rsidP="00F62999">
      <w:pPr>
        <w:spacing w:after="0" w:line="240" w:lineRule="auto"/>
        <w:jc w:val="both"/>
        <w:rPr>
          <w:rFonts w:ascii="Cambria" w:hAnsi="Cambria"/>
          <w:sz w:val="20"/>
          <w:szCs w:val="20"/>
          <w:lang w:val="en-GB"/>
        </w:rPr>
      </w:pPr>
    </w:p>
    <w:p w14:paraId="7B063CF9" w14:textId="36351ACD" w:rsidR="00DF36DE" w:rsidRPr="00375F7E" w:rsidRDefault="00DF36DE" w:rsidP="00F62999">
      <w:pPr>
        <w:pStyle w:val="ListParagraph"/>
        <w:numPr>
          <w:ilvl w:val="0"/>
          <w:numId w:val="7"/>
        </w:numPr>
        <w:spacing w:after="0" w:line="240" w:lineRule="auto"/>
        <w:ind w:left="851" w:hanging="425"/>
        <w:jc w:val="both"/>
        <w:rPr>
          <w:rFonts w:ascii="Cambria" w:hAnsi="Cambria"/>
          <w:sz w:val="20"/>
          <w:szCs w:val="20"/>
        </w:rPr>
      </w:pPr>
      <w:r>
        <w:rPr>
          <w:rFonts w:ascii="Cambria" w:hAnsi="Cambria"/>
          <w:sz w:val="20"/>
          <w:szCs w:val="20"/>
        </w:rPr>
        <w:t>Feuille « GTM-E</w:t>
      </w:r>
      <w:r w:rsidR="00B96AF6">
        <w:rPr>
          <w:rFonts w:ascii="Cambria" w:hAnsi="Cambria"/>
          <w:sz w:val="20"/>
          <w:szCs w:val="20"/>
        </w:rPr>
        <w:t>U Proposals</w:t>
      </w:r>
      <w:r>
        <w:rPr>
          <w:rFonts w:ascii="Cambria" w:hAnsi="Cambria"/>
          <w:sz w:val="20"/>
          <w:szCs w:val="20"/>
        </w:rPr>
        <w:t> » : Contient les tableaux d’allocation et la définition des seuils de déclenchement pour chaque proposition.</w:t>
      </w:r>
    </w:p>
    <w:p w14:paraId="395E22A8" w14:textId="77777777" w:rsidR="00DF36DE" w:rsidRPr="00DF36DE" w:rsidRDefault="00DF36DE" w:rsidP="00F62999">
      <w:pPr>
        <w:spacing w:after="0" w:line="240" w:lineRule="auto"/>
        <w:jc w:val="both"/>
        <w:rPr>
          <w:rFonts w:ascii="Cambria" w:hAnsi="Cambria"/>
          <w:sz w:val="20"/>
          <w:szCs w:val="20"/>
          <w:lang w:val="en-GB"/>
        </w:rPr>
      </w:pPr>
    </w:p>
    <w:p w14:paraId="6B6446CB" w14:textId="5DC46549" w:rsidR="00DF36DE" w:rsidRPr="00375F7E" w:rsidRDefault="00DF36DE" w:rsidP="00F62999">
      <w:pPr>
        <w:pStyle w:val="ListParagraph"/>
        <w:numPr>
          <w:ilvl w:val="0"/>
          <w:numId w:val="7"/>
        </w:numPr>
        <w:spacing w:after="0" w:line="240" w:lineRule="auto"/>
        <w:ind w:left="851" w:hanging="425"/>
        <w:jc w:val="both"/>
        <w:rPr>
          <w:rFonts w:ascii="Cambria" w:hAnsi="Cambria"/>
          <w:sz w:val="20"/>
          <w:szCs w:val="20"/>
        </w:rPr>
      </w:pPr>
      <w:r>
        <w:rPr>
          <w:rFonts w:ascii="Cambria" w:hAnsi="Cambria"/>
          <w:sz w:val="20"/>
          <w:szCs w:val="20"/>
        </w:rPr>
        <w:t>Feuilles « </w:t>
      </w:r>
      <w:r w:rsidR="008C3265">
        <w:rPr>
          <w:rFonts w:ascii="Cambria" w:hAnsi="Cambria"/>
          <w:sz w:val="20"/>
          <w:szCs w:val="20"/>
        </w:rPr>
        <w:t>Best</w:t>
      </w:r>
      <w:r w:rsidR="00656825">
        <w:rPr>
          <w:rFonts w:ascii="Cambria" w:hAnsi="Cambria"/>
          <w:sz w:val="20"/>
          <w:szCs w:val="20"/>
        </w:rPr>
        <w:t xml:space="preserve"> </w:t>
      </w:r>
      <w:r>
        <w:rPr>
          <w:rFonts w:ascii="Cambria" w:hAnsi="Cambria"/>
          <w:sz w:val="20"/>
          <w:szCs w:val="20"/>
        </w:rPr>
        <w:t>(GTM) » et « Fixe</w:t>
      </w:r>
      <w:r w:rsidR="008C3265">
        <w:rPr>
          <w:rFonts w:ascii="Cambria" w:hAnsi="Cambria"/>
          <w:sz w:val="20"/>
          <w:szCs w:val="20"/>
        </w:rPr>
        <w:t>d</w:t>
      </w:r>
      <w:r>
        <w:rPr>
          <w:rFonts w:ascii="Cambria" w:hAnsi="Cambria"/>
          <w:sz w:val="20"/>
          <w:szCs w:val="20"/>
        </w:rPr>
        <w:t xml:space="preserve"> (GTM) » : Contiennent les sous-totaux calculés pour les petits pêcheurs par année et période indiquée dans le cadre de la proposition d’Amérique centrale et des Caraïbes. </w:t>
      </w:r>
      <w:r w:rsidR="009E5F82" w:rsidRPr="009E5F82">
        <w:rPr>
          <w:rFonts w:ascii="Cambria" w:hAnsi="Cambria"/>
          <w:sz w:val="20"/>
          <w:szCs w:val="20"/>
        </w:rPr>
        <w:t>Les situations où une CPC atteint ou dépasse le seuil de déclenchement de 3.500 t pour une année spécifique, ou se situe dans ses valeurs moyennes, ont été surlignées en caractères verts en gras</w:t>
      </w:r>
      <w:r>
        <w:rPr>
          <w:rFonts w:ascii="Cambria" w:hAnsi="Cambria"/>
          <w:sz w:val="20"/>
          <w:szCs w:val="20"/>
        </w:rPr>
        <w:t>.</w:t>
      </w:r>
    </w:p>
    <w:p w14:paraId="00FCC9B1" w14:textId="77777777" w:rsidR="00DF36DE" w:rsidRPr="00DF36DE" w:rsidRDefault="00DF36DE" w:rsidP="00F62999">
      <w:pPr>
        <w:spacing w:after="0" w:line="240" w:lineRule="auto"/>
        <w:jc w:val="both"/>
        <w:rPr>
          <w:rFonts w:ascii="Cambria" w:hAnsi="Cambria"/>
          <w:sz w:val="20"/>
          <w:szCs w:val="20"/>
          <w:lang w:val="en-GB"/>
        </w:rPr>
      </w:pPr>
    </w:p>
    <w:p w14:paraId="38B7EADF" w14:textId="33189FE7" w:rsidR="00DF36DE" w:rsidRPr="00656825" w:rsidRDefault="00DF36DE" w:rsidP="0040767E">
      <w:pPr>
        <w:pStyle w:val="ListParagraph"/>
        <w:numPr>
          <w:ilvl w:val="0"/>
          <w:numId w:val="7"/>
        </w:numPr>
        <w:spacing w:after="0" w:line="240" w:lineRule="auto"/>
        <w:ind w:left="851" w:hanging="425"/>
        <w:jc w:val="both"/>
        <w:rPr>
          <w:rFonts w:ascii="Cambria" w:hAnsi="Cambria"/>
          <w:sz w:val="20"/>
          <w:szCs w:val="20"/>
          <w:lang w:val="en-GB"/>
        </w:rPr>
      </w:pPr>
      <w:r w:rsidRPr="00656825">
        <w:rPr>
          <w:rFonts w:ascii="Cambria" w:hAnsi="Cambria"/>
          <w:sz w:val="20"/>
          <w:szCs w:val="20"/>
        </w:rPr>
        <w:t>Feuilles « </w:t>
      </w:r>
      <w:r w:rsidR="008C3265">
        <w:rPr>
          <w:rFonts w:ascii="Cambria" w:hAnsi="Cambria"/>
          <w:sz w:val="20"/>
          <w:szCs w:val="20"/>
        </w:rPr>
        <w:t>Best</w:t>
      </w:r>
      <w:r w:rsidRPr="00656825">
        <w:rPr>
          <w:rFonts w:ascii="Cambria" w:hAnsi="Cambria"/>
          <w:sz w:val="20"/>
          <w:szCs w:val="20"/>
        </w:rPr>
        <w:t xml:space="preserve"> (E</w:t>
      </w:r>
      <w:r w:rsidR="008C3265">
        <w:rPr>
          <w:rFonts w:ascii="Cambria" w:hAnsi="Cambria"/>
          <w:sz w:val="20"/>
          <w:szCs w:val="20"/>
        </w:rPr>
        <w:t>U</w:t>
      </w:r>
      <w:r w:rsidRPr="00656825">
        <w:rPr>
          <w:rFonts w:ascii="Cambria" w:hAnsi="Cambria"/>
          <w:sz w:val="20"/>
          <w:szCs w:val="20"/>
        </w:rPr>
        <w:t>) » et « Fixe</w:t>
      </w:r>
      <w:r w:rsidR="008C3265">
        <w:rPr>
          <w:rFonts w:ascii="Cambria" w:hAnsi="Cambria"/>
          <w:sz w:val="20"/>
          <w:szCs w:val="20"/>
        </w:rPr>
        <w:t>d</w:t>
      </w:r>
      <w:r w:rsidRPr="00656825">
        <w:rPr>
          <w:rFonts w:ascii="Cambria" w:hAnsi="Cambria"/>
          <w:sz w:val="20"/>
          <w:szCs w:val="20"/>
        </w:rPr>
        <w:t xml:space="preserve"> (E</w:t>
      </w:r>
      <w:r w:rsidR="008C3265">
        <w:rPr>
          <w:rFonts w:ascii="Cambria" w:hAnsi="Cambria"/>
          <w:sz w:val="20"/>
          <w:szCs w:val="20"/>
        </w:rPr>
        <w:t>U</w:t>
      </w:r>
      <w:r w:rsidRPr="00656825">
        <w:rPr>
          <w:rFonts w:ascii="Cambria" w:hAnsi="Cambria"/>
          <w:sz w:val="20"/>
          <w:szCs w:val="20"/>
        </w:rPr>
        <w:t>) » : Présentent le même modèle de calcul adapté à la proposition de l’UE. Dans ce cas, les situations où le seuil de déclenchement de 1 575 t est atteint ou dépassé ont été surlignées en caractères bleus en gras.</w:t>
      </w:r>
    </w:p>
    <w:sectPr w:rsidR="00DF36DE" w:rsidRPr="00656825" w:rsidSect="00F62999">
      <w:headerReference w:type="default" r:id="rId8"/>
      <w:footerReference w:type="default" r:id="rId9"/>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28984" w14:textId="77777777" w:rsidR="00F14DFD" w:rsidRDefault="00F14DFD" w:rsidP="00033B23">
      <w:pPr>
        <w:spacing w:after="0" w:line="240" w:lineRule="auto"/>
      </w:pPr>
      <w:r>
        <w:separator/>
      </w:r>
    </w:p>
  </w:endnote>
  <w:endnote w:type="continuationSeparator" w:id="0">
    <w:p w14:paraId="751876DE" w14:textId="77777777" w:rsidR="00F14DFD" w:rsidRDefault="00F14DFD" w:rsidP="0003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E929" w14:textId="39CD5BA7" w:rsidR="005D4BD1" w:rsidRPr="005D4BD1" w:rsidRDefault="005D4BD1" w:rsidP="005D4BD1">
    <w:pPr>
      <w:tabs>
        <w:tab w:val="center" w:pos="4535"/>
        <w:tab w:val="center" w:pos="4680"/>
        <w:tab w:val="left" w:pos="6150"/>
        <w:tab w:val="right" w:pos="9360"/>
      </w:tabs>
      <w:spacing w:after="0" w:line="240" w:lineRule="auto"/>
      <w:jc w:val="center"/>
      <w:rPr>
        <w:rFonts w:ascii="Cambria" w:eastAsia="Calibri" w:hAnsi="Cambria" w:cs="Calibri"/>
        <w:sz w:val="20"/>
      </w:rPr>
    </w:pPr>
    <w:r w:rsidRPr="003D4EC2">
      <w:rPr>
        <w:rFonts w:ascii="Cambria" w:eastAsia="Calibri" w:hAnsi="Cambria" w:cs="Calibri"/>
        <w:sz w:val="20"/>
        <w:szCs w:val="20"/>
      </w:rPr>
      <w:fldChar w:fldCharType="begin"/>
    </w:r>
    <w:r w:rsidRPr="003D4EC2">
      <w:rPr>
        <w:rFonts w:ascii="Cambria" w:eastAsia="Calibri" w:hAnsi="Cambria" w:cs="Calibri"/>
        <w:sz w:val="20"/>
        <w:szCs w:val="20"/>
      </w:rPr>
      <w:instrText xml:space="preserve"> PAGE </w:instrText>
    </w:r>
    <w:r w:rsidRPr="003D4EC2">
      <w:rPr>
        <w:rFonts w:ascii="Cambria" w:eastAsia="Calibri" w:hAnsi="Cambria" w:cs="Calibri"/>
        <w:sz w:val="20"/>
        <w:szCs w:val="20"/>
      </w:rPr>
      <w:fldChar w:fldCharType="separate"/>
    </w:r>
    <w:r>
      <w:rPr>
        <w:rFonts w:ascii="Cambria" w:eastAsia="Calibri" w:hAnsi="Cambria" w:cs="Calibri"/>
        <w:sz w:val="20"/>
        <w:szCs w:val="20"/>
      </w:rPr>
      <w:t>1</w:t>
    </w:r>
    <w:r w:rsidRPr="003D4EC2">
      <w:rPr>
        <w:rFonts w:ascii="Cambria" w:eastAsia="Calibri" w:hAnsi="Cambria" w:cs="Calibri"/>
        <w:sz w:val="20"/>
        <w:szCs w:val="20"/>
      </w:rPr>
      <w:fldChar w:fldCharType="end"/>
    </w:r>
    <w:r>
      <w:rPr>
        <w:rFonts w:ascii="Cambria" w:hAnsi="Cambria"/>
        <w:sz w:val="20"/>
        <w:szCs w:val="20"/>
      </w:rPr>
      <w:t xml:space="preserve"> / </w:t>
    </w:r>
    <w:r w:rsidRPr="003D4EC2">
      <w:rPr>
        <w:rFonts w:ascii="Cambria" w:eastAsia="Calibri" w:hAnsi="Cambria" w:cs="Calibri"/>
        <w:sz w:val="20"/>
        <w:szCs w:val="20"/>
      </w:rPr>
      <w:fldChar w:fldCharType="begin"/>
    </w:r>
    <w:r w:rsidRPr="003D4EC2">
      <w:rPr>
        <w:rFonts w:ascii="Cambria" w:eastAsia="Calibri" w:hAnsi="Cambria" w:cs="Calibri"/>
        <w:sz w:val="20"/>
        <w:szCs w:val="20"/>
      </w:rPr>
      <w:instrText xml:space="preserve"> NUMPAGES  </w:instrText>
    </w:r>
    <w:r w:rsidRPr="003D4EC2">
      <w:rPr>
        <w:rFonts w:ascii="Cambria" w:eastAsia="Calibri" w:hAnsi="Cambria" w:cs="Calibri"/>
        <w:sz w:val="20"/>
        <w:szCs w:val="20"/>
      </w:rPr>
      <w:fldChar w:fldCharType="separate"/>
    </w:r>
    <w:r>
      <w:rPr>
        <w:rFonts w:ascii="Cambria" w:eastAsia="Calibri" w:hAnsi="Cambria" w:cs="Calibri"/>
        <w:sz w:val="20"/>
        <w:szCs w:val="20"/>
      </w:rPr>
      <w:t>2</w:t>
    </w:r>
    <w:r w:rsidRPr="003D4EC2">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BE88F" w14:textId="77777777" w:rsidR="00F14DFD" w:rsidRDefault="00F14DFD" w:rsidP="00033B23">
      <w:pPr>
        <w:spacing w:after="0" w:line="240" w:lineRule="auto"/>
      </w:pPr>
      <w:r>
        <w:separator/>
      </w:r>
    </w:p>
  </w:footnote>
  <w:footnote w:type="continuationSeparator" w:id="0">
    <w:p w14:paraId="24B894EC" w14:textId="77777777" w:rsidR="00F14DFD" w:rsidRDefault="00F14DFD" w:rsidP="0003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7EB" w14:textId="67C4D9BE" w:rsidR="00033B23" w:rsidRPr="00033B23" w:rsidRDefault="00033B23" w:rsidP="00033B23">
    <w:pPr>
      <w:widowControl w:val="0"/>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bCs/>
        <w:sz w:val="20"/>
        <w:szCs w:val="20"/>
      </w:rPr>
      <w:t>PA1_504/2026</w:t>
    </w:r>
  </w:p>
  <w:bookmarkEnd w:id="1"/>
  <w:bookmarkEnd w:id="2"/>
  <w:bookmarkEnd w:id="3"/>
  <w:bookmarkEnd w:id="4"/>
  <w:bookmarkEnd w:id="5"/>
  <w:bookmarkEnd w:id="6"/>
  <w:p w14:paraId="78370D4C" w14:textId="71D42EE2" w:rsidR="00033B23" w:rsidRPr="00033B23" w:rsidRDefault="007B043E" w:rsidP="00033B23">
    <w:pPr>
      <w:widowControl w:val="0"/>
      <w:tabs>
        <w:tab w:val="left" w:pos="7320"/>
      </w:tabs>
      <w:spacing w:after="0" w:line="240" w:lineRule="exact"/>
      <w:jc w:val="right"/>
      <w:rPr>
        <w:rFonts w:ascii="Cambria" w:eastAsia="Calibri" w:hAnsi="Cambria" w:cs="Times New Roman"/>
        <w:b/>
        <w:bCs/>
        <w:sz w:val="16"/>
        <w:szCs w:val="16"/>
      </w:rPr>
    </w:pPr>
    <w:r>
      <w:rPr>
        <w:rFonts w:ascii="Cambria" w:eastAsia="Calibri" w:hAnsi="Cambria" w:cs="Times New Roman"/>
        <w:b/>
        <w:bCs/>
        <w:sz w:val="16"/>
        <w:szCs w:val="16"/>
      </w:rPr>
      <w:fldChar w:fldCharType="begin"/>
    </w:r>
    <w:r>
      <w:rPr>
        <w:rFonts w:ascii="Cambria" w:eastAsia="Calibri" w:hAnsi="Cambria" w:cs="Times New Roman"/>
        <w:b/>
        <w:bCs/>
        <w:sz w:val="16"/>
        <w:szCs w:val="16"/>
      </w:rPr>
      <w:instrText xml:space="preserve"> TIME  \@ "dd/MM/yyyy HH:mm" </w:instrText>
    </w:r>
    <w:r>
      <w:rPr>
        <w:rFonts w:ascii="Cambria" w:eastAsia="Calibri" w:hAnsi="Cambria" w:cs="Times New Roman"/>
        <w:b/>
        <w:bCs/>
        <w:sz w:val="16"/>
        <w:szCs w:val="16"/>
      </w:rPr>
      <w:fldChar w:fldCharType="separate"/>
    </w:r>
    <w:r w:rsidR="00CA49FB">
      <w:rPr>
        <w:rFonts w:ascii="Cambria" w:eastAsia="Calibri" w:hAnsi="Cambria" w:cs="Times New Roman"/>
        <w:b/>
        <w:bCs/>
        <w:noProof/>
        <w:sz w:val="16"/>
        <w:szCs w:val="16"/>
      </w:rPr>
      <w:t>05/10/2026 12:19</w:t>
    </w:r>
    <w:r>
      <w:rPr>
        <w:rFonts w:ascii="Cambria" w:eastAsia="Calibri" w:hAnsi="Cambria" w:cs="Times New Roman"/>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1D1"/>
    <w:multiLevelType w:val="hybridMultilevel"/>
    <w:tmpl w:val="3E6E75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91F58"/>
    <w:multiLevelType w:val="hybridMultilevel"/>
    <w:tmpl w:val="5AE20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F7472A"/>
    <w:multiLevelType w:val="hybridMultilevel"/>
    <w:tmpl w:val="D402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371DE"/>
    <w:multiLevelType w:val="hybridMultilevel"/>
    <w:tmpl w:val="EAF4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783951"/>
    <w:multiLevelType w:val="hybridMultilevel"/>
    <w:tmpl w:val="2542A8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5F3AE2"/>
    <w:multiLevelType w:val="hybridMultilevel"/>
    <w:tmpl w:val="0C32260E"/>
    <w:lvl w:ilvl="0" w:tplc="6260673E">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041879"/>
    <w:multiLevelType w:val="hybridMultilevel"/>
    <w:tmpl w:val="12A83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1652190">
    <w:abstractNumId w:val="3"/>
  </w:num>
  <w:num w:numId="2" w16cid:durableId="1967344592">
    <w:abstractNumId w:val="0"/>
  </w:num>
  <w:num w:numId="3" w16cid:durableId="1105613849">
    <w:abstractNumId w:val="1"/>
  </w:num>
  <w:num w:numId="4" w16cid:durableId="558134239">
    <w:abstractNumId w:val="2"/>
  </w:num>
  <w:num w:numId="5" w16cid:durableId="335545576">
    <w:abstractNumId w:val="6"/>
  </w:num>
  <w:num w:numId="6" w16cid:durableId="825975749">
    <w:abstractNumId w:val="4"/>
  </w:num>
  <w:num w:numId="7" w16cid:durableId="197856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80"/>
    <w:rsid w:val="00033B23"/>
    <w:rsid w:val="00052F02"/>
    <w:rsid w:val="00062080"/>
    <w:rsid w:val="00086242"/>
    <w:rsid w:val="000C53D2"/>
    <w:rsid w:val="000D1E4A"/>
    <w:rsid w:val="000F072B"/>
    <w:rsid w:val="001139F8"/>
    <w:rsid w:val="00124CC2"/>
    <w:rsid w:val="00133204"/>
    <w:rsid w:val="00140AA1"/>
    <w:rsid w:val="00156A34"/>
    <w:rsid w:val="00166BF5"/>
    <w:rsid w:val="001A06EC"/>
    <w:rsid w:val="001E2A88"/>
    <w:rsid w:val="00247894"/>
    <w:rsid w:val="00275DF7"/>
    <w:rsid w:val="002A1E8A"/>
    <w:rsid w:val="003013C3"/>
    <w:rsid w:val="00305950"/>
    <w:rsid w:val="003667F7"/>
    <w:rsid w:val="003703DD"/>
    <w:rsid w:val="00375F7E"/>
    <w:rsid w:val="003B2F3A"/>
    <w:rsid w:val="003C20C6"/>
    <w:rsid w:val="003D7854"/>
    <w:rsid w:val="004A6D10"/>
    <w:rsid w:val="004D5A8D"/>
    <w:rsid w:val="004F0A76"/>
    <w:rsid w:val="004F4748"/>
    <w:rsid w:val="004F7836"/>
    <w:rsid w:val="005005A6"/>
    <w:rsid w:val="00521876"/>
    <w:rsid w:val="00554468"/>
    <w:rsid w:val="005D4BD1"/>
    <w:rsid w:val="00636DC9"/>
    <w:rsid w:val="00647AF6"/>
    <w:rsid w:val="00656825"/>
    <w:rsid w:val="006677AB"/>
    <w:rsid w:val="00690694"/>
    <w:rsid w:val="006B74FF"/>
    <w:rsid w:val="00734028"/>
    <w:rsid w:val="00746080"/>
    <w:rsid w:val="00757FB4"/>
    <w:rsid w:val="007B043E"/>
    <w:rsid w:val="007C4687"/>
    <w:rsid w:val="007E18A1"/>
    <w:rsid w:val="008048A7"/>
    <w:rsid w:val="00834001"/>
    <w:rsid w:val="008515F6"/>
    <w:rsid w:val="00851B72"/>
    <w:rsid w:val="00864BA2"/>
    <w:rsid w:val="00882D88"/>
    <w:rsid w:val="008A608A"/>
    <w:rsid w:val="008C3265"/>
    <w:rsid w:val="008E2186"/>
    <w:rsid w:val="00946789"/>
    <w:rsid w:val="00997B98"/>
    <w:rsid w:val="009B36CD"/>
    <w:rsid w:val="009E5F82"/>
    <w:rsid w:val="00A46EEC"/>
    <w:rsid w:val="00A81819"/>
    <w:rsid w:val="00AE2AFD"/>
    <w:rsid w:val="00B07839"/>
    <w:rsid w:val="00B335AD"/>
    <w:rsid w:val="00B96AF6"/>
    <w:rsid w:val="00BC2E67"/>
    <w:rsid w:val="00BE0200"/>
    <w:rsid w:val="00C03387"/>
    <w:rsid w:val="00C87618"/>
    <w:rsid w:val="00CA49FB"/>
    <w:rsid w:val="00CB147B"/>
    <w:rsid w:val="00CC5095"/>
    <w:rsid w:val="00CC7385"/>
    <w:rsid w:val="00CE1067"/>
    <w:rsid w:val="00D4105A"/>
    <w:rsid w:val="00D605D3"/>
    <w:rsid w:val="00DF36DE"/>
    <w:rsid w:val="00E60D3A"/>
    <w:rsid w:val="00E742B2"/>
    <w:rsid w:val="00EE5AAA"/>
    <w:rsid w:val="00F14DFD"/>
    <w:rsid w:val="00F44947"/>
    <w:rsid w:val="00F62999"/>
    <w:rsid w:val="00F65870"/>
    <w:rsid w:val="00F67F10"/>
    <w:rsid w:val="00F8000D"/>
    <w:rsid w:val="00F86BEC"/>
    <w:rsid w:val="00FB1E4B"/>
    <w:rsid w:val="00FC6D3C"/>
    <w:rsid w:val="00FE1F0E"/>
    <w:rsid w:val="00FE5935"/>
    <w:rsid w:val="00FF4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D2A1"/>
  <w15:chartTrackingRefBased/>
  <w15:docId w15:val="{A4BBCD6A-7AE4-43C4-969F-9B4376F7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B23"/>
  </w:style>
  <w:style w:type="paragraph" w:styleId="Footer">
    <w:name w:val="footer"/>
    <w:basedOn w:val="Normal"/>
    <w:link w:val="FooterChar"/>
    <w:uiPriority w:val="99"/>
    <w:unhideWhenUsed/>
    <w:rsid w:val="00033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B23"/>
  </w:style>
  <w:style w:type="paragraph" w:styleId="ListParagraph">
    <w:name w:val="List Paragraph"/>
    <w:basedOn w:val="Normal"/>
    <w:uiPriority w:val="34"/>
    <w:qFormat/>
    <w:rsid w:val="003703DD"/>
    <w:pPr>
      <w:ind w:left="720"/>
      <w:contextualSpacing/>
    </w:pPr>
  </w:style>
  <w:style w:type="paragraph" w:styleId="HTMLPreformatted">
    <w:name w:val="HTML Preformatted"/>
    <w:basedOn w:val="Normal"/>
    <w:link w:val="HTMLPreformattedChar"/>
    <w:uiPriority w:val="99"/>
    <w:semiHidden/>
    <w:unhideWhenUsed/>
    <w:rsid w:val="00A8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1819"/>
    <w:rPr>
      <w:rFonts w:ascii="Courier New" w:eastAsia="Times New Roman" w:hAnsi="Courier New" w:cs="Courier New"/>
      <w:sz w:val="20"/>
      <w:szCs w:val="20"/>
    </w:rPr>
  </w:style>
  <w:style w:type="character" w:customStyle="1" w:styleId="y2iqfc">
    <w:name w:val="y2iqfc"/>
    <w:basedOn w:val="DefaultParagraphFont"/>
    <w:rsid w:val="00A81819"/>
  </w:style>
  <w:style w:type="paragraph" w:styleId="Revision">
    <w:name w:val="Revision"/>
    <w:hidden/>
    <w:uiPriority w:val="99"/>
    <w:semiHidden/>
    <w:rsid w:val="00166B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6922">
      <w:bodyDiv w:val="1"/>
      <w:marLeft w:val="0"/>
      <w:marRight w:val="0"/>
      <w:marTop w:val="0"/>
      <w:marBottom w:val="0"/>
      <w:divBdr>
        <w:top w:val="none" w:sz="0" w:space="0" w:color="auto"/>
        <w:left w:val="none" w:sz="0" w:space="0" w:color="auto"/>
        <w:bottom w:val="none" w:sz="0" w:space="0" w:color="auto"/>
        <w:right w:val="none" w:sz="0" w:space="0" w:color="auto"/>
      </w:divBdr>
    </w:div>
    <w:div w:id="417946003">
      <w:bodyDiv w:val="1"/>
      <w:marLeft w:val="0"/>
      <w:marRight w:val="0"/>
      <w:marTop w:val="0"/>
      <w:marBottom w:val="0"/>
      <w:divBdr>
        <w:top w:val="none" w:sz="0" w:space="0" w:color="auto"/>
        <w:left w:val="none" w:sz="0" w:space="0" w:color="auto"/>
        <w:bottom w:val="none" w:sz="0" w:space="0" w:color="auto"/>
        <w:right w:val="none" w:sz="0" w:space="0" w:color="auto"/>
      </w:divBdr>
    </w:div>
    <w:div w:id="781462757">
      <w:bodyDiv w:val="1"/>
      <w:marLeft w:val="0"/>
      <w:marRight w:val="0"/>
      <w:marTop w:val="0"/>
      <w:marBottom w:val="0"/>
      <w:divBdr>
        <w:top w:val="none" w:sz="0" w:space="0" w:color="auto"/>
        <w:left w:val="none" w:sz="0" w:space="0" w:color="auto"/>
        <w:bottom w:val="none" w:sz="0" w:space="0" w:color="auto"/>
        <w:right w:val="none" w:sz="0" w:space="0" w:color="auto"/>
      </w:divBdr>
    </w:div>
    <w:div w:id="817646060">
      <w:bodyDiv w:val="1"/>
      <w:marLeft w:val="0"/>
      <w:marRight w:val="0"/>
      <w:marTop w:val="0"/>
      <w:marBottom w:val="0"/>
      <w:divBdr>
        <w:top w:val="none" w:sz="0" w:space="0" w:color="auto"/>
        <w:left w:val="none" w:sz="0" w:space="0" w:color="auto"/>
        <w:bottom w:val="none" w:sz="0" w:space="0" w:color="auto"/>
        <w:right w:val="none" w:sz="0" w:space="0" w:color="auto"/>
      </w:divBdr>
    </w:div>
    <w:div w:id="934751350">
      <w:bodyDiv w:val="1"/>
      <w:marLeft w:val="0"/>
      <w:marRight w:val="0"/>
      <w:marTop w:val="0"/>
      <w:marBottom w:val="0"/>
      <w:divBdr>
        <w:top w:val="none" w:sz="0" w:space="0" w:color="auto"/>
        <w:left w:val="none" w:sz="0" w:space="0" w:color="auto"/>
        <w:bottom w:val="none" w:sz="0" w:space="0" w:color="auto"/>
        <w:right w:val="none" w:sz="0" w:space="0" w:color="auto"/>
      </w:divBdr>
    </w:div>
    <w:div w:id="17182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47F5D-C473-4A86-B353-978DFC521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Dorothee Pinet</cp:lastModifiedBy>
  <cp:revision>27</cp:revision>
  <cp:lastPrinted>2022-11-20T19:01:00Z</cp:lastPrinted>
  <dcterms:created xsi:type="dcterms:W3CDTF">2023-09-20T08:33:00Z</dcterms:created>
  <dcterms:modified xsi:type="dcterms:W3CDTF">2026-10-05T10:19:00Z</dcterms:modified>
</cp:coreProperties>
</file>