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33837" w14:textId="3D58D1EC" w:rsidR="00746080" w:rsidRPr="00F62999" w:rsidRDefault="00746080" w:rsidP="00F62999">
      <w:pPr>
        <w:spacing w:after="0" w:line="240" w:lineRule="auto"/>
        <w:jc w:val="right"/>
        <w:rPr>
          <w:rFonts w:ascii="Cambria" w:hAnsi="Cambria" w:cs="Times New Roman"/>
          <w:b/>
          <w:bCs/>
          <w:sz w:val="20"/>
          <w:szCs w:val="20"/>
          <w:lang w:val="en-GB"/>
        </w:rPr>
      </w:pPr>
      <w:r w:rsidRPr="00F62999">
        <w:rPr>
          <w:rFonts w:ascii="Cambria" w:hAnsi="Cambria" w:cs="Times New Roman"/>
          <w:b/>
          <w:bCs/>
          <w:sz w:val="20"/>
          <w:szCs w:val="20"/>
          <w:lang w:val="en-GB"/>
        </w:rPr>
        <w:t>Original: English</w:t>
      </w:r>
    </w:p>
    <w:p w14:paraId="2B4057B2" w14:textId="5255F42F" w:rsidR="00746080" w:rsidRDefault="00746080" w:rsidP="00F62999">
      <w:pPr>
        <w:spacing w:after="0" w:line="240" w:lineRule="auto"/>
        <w:jc w:val="right"/>
        <w:rPr>
          <w:rFonts w:ascii="Cambria" w:hAnsi="Cambria" w:cs="Times New Roman"/>
          <w:b/>
          <w:bCs/>
          <w:sz w:val="20"/>
          <w:szCs w:val="20"/>
          <w:lang w:val="en-GB"/>
        </w:rPr>
      </w:pPr>
    </w:p>
    <w:p w14:paraId="46858B29" w14:textId="77777777" w:rsidR="005D4BD1" w:rsidRPr="00033B23" w:rsidRDefault="005D4BD1" w:rsidP="00F62999">
      <w:pPr>
        <w:spacing w:after="0" w:line="240" w:lineRule="auto"/>
        <w:jc w:val="right"/>
        <w:rPr>
          <w:rFonts w:ascii="Cambria" w:hAnsi="Cambria" w:cs="Times New Roman"/>
          <w:b/>
          <w:bCs/>
          <w:sz w:val="20"/>
          <w:szCs w:val="20"/>
          <w:lang w:val="en-GB"/>
        </w:rPr>
      </w:pPr>
    </w:p>
    <w:p w14:paraId="5E71069A" w14:textId="4B0752B1" w:rsidR="00746080" w:rsidRPr="00086242" w:rsidRDefault="00086242" w:rsidP="00F62999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caps/>
          <w:sz w:val="20"/>
          <w:szCs w:val="20"/>
          <w:lang w:val="en-GB"/>
        </w:rPr>
      </w:pPr>
      <w:bookmarkStart w:id="0" w:name="_Hlk119173661"/>
      <w:r>
        <w:rPr>
          <w:rFonts w:ascii="Cambria" w:hAnsi="Cambria" w:cs="Times New Roman"/>
          <w:b/>
          <w:bCs/>
          <w:caps/>
          <w:sz w:val="20"/>
          <w:szCs w:val="20"/>
          <w:lang w:val="en-GB"/>
        </w:rPr>
        <w:t>R</w:t>
      </w:r>
      <w:r w:rsidR="00F62999">
        <w:rPr>
          <w:rFonts w:ascii="Cambria" w:hAnsi="Cambria" w:cs="Times New Roman"/>
          <w:b/>
          <w:bCs/>
          <w:sz w:val="20"/>
          <w:szCs w:val="20"/>
          <w:lang w:val="en-GB"/>
        </w:rPr>
        <w:t>evised S</w:t>
      </w:r>
      <w:r w:rsidR="00F62999" w:rsidRPr="00086242">
        <w:rPr>
          <w:rFonts w:ascii="Cambria" w:hAnsi="Cambria" w:cs="Times New Roman"/>
          <w:b/>
          <w:bCs/>
          <w:sz w:val="20"/>
          <w:szCs w:val="20"/>
          <w:lang w:val="en-GB"/>
        </w:rPr>
        <w:t>ecretariat's calculations on YFT catches for the last ten years</w:t>
      </w:r>
    </w:p>
    <w:bookmarkEnd w:id="0"/>
    <w:p w14:paraId="311731F7" w14:textId="77777777" w:rsidR="00746080" w:rsidRPr="00033B23" w:rsidRDefault="00746080" w:rsidP="00F62999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i/>
          <w:iCs/>
          <w:sz w:val="20"/>
          <w:szCs w:val="20"/>
          <w:lang w:val="en-GB"/>
        </w:rPr>
      </w:pPr>
    </w:p>
    <w:p w14:paraId="61E49969" w14:textId="450D0786" w:rsidR="00746080" w:rsidRPr="00DF36DE" w:rsidRDefault="00086242" w:rsidP="00F62999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sz w:val="20"/>
          <w:szCs w:val="20"/>
          <w:lang w:val="en-GB"/>
        </w:rPr>
      </w:pPr>
      <w:r w:rsidRPr="00DF36DE">
        <w:rPr>
          <w:rFonts w:ascii="Cambria" w:hAnsi="Cambria" w:cs="Times New Roman"/>
          <w:sz w:val="20"/>
          <w:szCs w:val="20"/>
          <w:lang w:val="en-GB"/>
        </w:rPr>
        <w:t>(</w:t>
      </w:r>
      <w:r w:rsidR="00746080" w:rsidRPr="00033B23">
        <w:rPr>
          <w:rFonts w:ascii="Cambria" w:hAnsi="Cambria" w:cs="Times New Roman"/>
          <w:i/>
          <w:iCs/>
          <w:sz w:val="20"/>
          <w:szCs w:val="20"/>
          <w:lang w:val="en-GB"/>
        </w:rPr>
        <w:t>ICCAT Secretariat</w:t>
      </w:r>
      <w:r w:rsidRPr="00DF36DE">
        <w:rPr>
          <w:rFonts w:ascii="Cambria" w:hAnsi="Cambria" w:cs="Times New Roman"/>
          <w:sz w:val="20"/>
          <w:szCs w:val="20"/>
          <w:lang w:val="en-GB"/>
        </w:rPr>
        <w:t>)</w:t>
      </w:r>
    </w:p>
    <w:p w14:paraId="19DE3254" w14:textId="77777777" w:rsidR="00746080" w:rsidRPr="00033B23" w:rsidRDefault="00746080" w:rsidP="00F62999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i/>
          <w:iCs/>
          <w:sz w:val="20"/>
          <w:szCs w:val="20"/>
          <w:lang w:val="en-GB"/>
        </w:rPr>
      </w:pPr>
    </w:p>
    <w:p w14:paraId="0714378C" w14:textId="76C98A73" w:rsidR="00FE1F0E" w:rsidRPr="00DF36DE" w:rsidRDefault="00FE1F0E" w:rsidP="00F62999">
      <w:pPr>
        <w:spacing w:after="0" w:line="240" w:lineRule="auto"/>
        <w:jc w:val="both"/>
        <w:rPr>
          <w:rFonts w:ascii="Cambria" w:hAnsi="Cambria"/>
          <w:sz w:val="20"/>
          <w:szCs w:val="20"/>
          <w:lang w:val="en-CA"/>
        </w:rPr>
      </w:pPr>
      <w:r w:rsidRPr="00FE1F0E">
        <w:rPr>
          <w:rFonts w:ascii="Cambria" w:hAnsi="Cambria"/>
          <w:sz w:val="20"/>
          <w:szCs w:val="20"/>
        </w:rPr>
        <w:t>During the Second Intersessional Meeting of Panel 1, held in Bilbao (Spain) from 5 to 7 May 2026, and following a request from the Chair of Panel 1, the Secretariat presented document PA1_MAY_32A/i2026 (</w:t>
      </w:r>
      <w:r w:rsidRPr="00882D88">
        <w:rPr>
          <w:rFonts w:ascii="Cambria" w:hAnsi="Cambria"/>
          <w:sz w:val="20"/>
          <w:szCs w:val="20"/>
        </w:rPr>
        <w:t>“Secretariat’s calculations on YFT catches for the last ten years”</w:t>
      </w:r>
      <w:r w:rsidRPr="00FE1F0E">
        <w:rPr>
          <w:rFonts w:ascii="Cambria" w:hAnsi="Cambria"/>
          <w:sz w:val="20"/>
          <w:szCs w:val="20"/>
        </w:rPr>
        <w:t>), providing scenarios based on best-four-years, best-five-years, and best-six-years approaches, as well as a fixed recent-years scenario, using data from 2015 to 2024. The Secretariat was requested to prepare a revised version of the aforementioned document, taking into account the total catches of small harvesters as defined in the two proposals submitted: one by Belize, Costa Rica, Curaçao, El Salvador, Guatemala, Honduras, Nicaragua and Panama (PA1_MAY_27/i2026), and the other by the European Union (PA1_MAY_29/i2026). Furthermore, the Secretariat was asked to identify the specific years in which these small harvesters would activate the catch limit triggers outlined in both texts.</w:t>
      </w:r>
    </w:p>
    <w:p w14:paraId="0F6897DB" w14:textId="77777777" w:rsidR="00DF36DE" w:rsidRPr="00DF36DE" w:rsidRDefault="00DF36DE" w:rsidP="00F62999">
      <w:pPr>
        <w:spacing w:after="0" w:line="240" w:lineRule="auto"/>
        <w:jc w:val="both"/>
        <w:rPr>
          <w:rFonts w:ascii="Cambria" w:hAnsi="Cambria"/>
          <w:sz w:val="20"/>
          <w:szCs w:val="20"/>
          <w:lang w:val="en-CA"/>
        </w:rPr>
      </w:pPr>
    </w:p>
    <w:p w14:paraId="23ACC70E" w14:textId="3C1B9975" w:rsidR="00FE1F0E" w:rsidRPr="00DF36DE" w:rsidRDefault="00FE1F0E" w:rsidP="00F62999">
      <w:pPr>
        <w:spacing w:after="0" w:line="240" w:lineRule="auto"/>
        <w:jc w:val="both"/>
        <w:rPr>
          <w:rFonts w:ascii="Cambria" w:hAnsi="Cambria"/>
          <w:sz w:val="20"/>
          <w:szCs w:val="20"/>
          <w:lang w:val="en-GB"/>
        </w:rPr>
      </w:pPr>
      <w:r w:rsidRPr="00FE1F0E">
        <w:rPr>
          <w:rFonts w:ascii="Cambria" w:hAnsi="Cambria"/>
          <w:sz w:val="20"/>
          <w:szCs w:val="20"/>
        </w:rPr>
        <w:t xml:space="preserve">The revised document is provided as </w:t>
      </w:r>
      <w:r w:rsidRPr="00FE1F0E">
        <w:rPr>
          <w:rFonts w:ascii="Cambria" w:hAnsi="Cambria"/>
          <w:b/>
          <w:bCs/>
          <w:sz w:val="20"/>
          <w:szCs w:val="20"/>
        </w:rPr>
        <w:t>Annex 1</w:t>
      </w:r>
      <w:r w:rsidRPr="00FE1F0E">
        <w:rPr>
          <w:rFonts w:ascii="Cambria" w:hAnsi="Cambria"/>
          <w:sz w:val="20"/>
          <w:szCs w:val="20"/>
        </w:rPr>
        <w:t xml:space="preserve"> to this document. The information has been structured across the sheets as follows:</w:t>
      </w:r>
    </w:p>
    <w:p w14:paraId="14FAF7EF" w14:textId="77777777" w:rsidR="00DF36DE" w:rsidRPr="00DF36DE" w:rsidRDefault="00DF36DE" w:rsidP="00F62999">
      <w:pPr>
        <w:spacing w:after="0" w:line="240" w:lineRule="auto"/>
        <w:jc w:val="both"/>
        <w:rPr>
          <w:rFonts w:ascii="Cambria" w:hAnsi="Cambria"/>
          <w:sz w:val="20"/>
          <w:szCs w:val="20"/>
          <w:lang w:val="en-GB"/>
        </w:rPr>
      </w:pPr>
    </w:p>
    <w:p w14:paraId="7B063CF9" w14:textId="03EC7EFA" w:rsidR="00DF36DE" w:rsidRPr="00375F7E" w:rsidRDefault="00DF36DE" w:rsidP="00F62999">
      <w:pPr>
        <w:pStyle w:val="ListParagraph"/>
        <w:numPr>
          <w:ilvl w:val="0"/>
          <w:numId w:val="7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  <w:lang w:val="en-GB"/>
        </w:rPr>
      </w:pPr>
      <w:r w:rsidRPr="00375F7E">
        <w:rPr>
          <w:rFonts w:ascii="Cambria" w:hAnsi="Cambria"/>
          <w:sz w:val="20"/>
          <w:szCs w:val="20"/>
          <w:lang w:val="en-GB"/>
        </w:rPr>
        <w:t>Sheet "GTM-EU Proposals": Contains the allocation tables and the definition of the trigger thresholds for each proposal.</w:t>
      </w:r>
    </w:p>
    <w:p w14:paraId="395E22A8" w14:textId="77777777" w:rsidR="00DF36DE" w:rsidRPr="00DF36DE" w:rsidRDefault="00DF36DE" w:rsidP="00F62999">
      <w:pPr>
        <w:spacing w:after="0" w:line="240" w:lineRule="auto"/>
        <w:jc w:val="both"/>
        <w:rPr>
          <w:rFonts w:ascii="Cambria" w:hAnsi="Cambria"/>
          <w:sz w:val="20"/>
          <w:szCs w:val="20"/>
          <w:lang w:val="en-GB"/>
        </w:rPr>
      </w:pPr>
    </w:p>
    <w:p w14:paraId="6B6446CB" w14:textId="1103067B" w:rsidR="00DF36DE" w:rsidRPr="00375F7E" w:rsidRDefault="00DF36DE" w:rsidP="00F62999">
      <w:pPr>
        <w:pStyle w:val="ListParagraph"/>
        <w:numPr>
          <w:ilvl w:val="0"/>
          <w:numId w:val="7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  <w:lang w:val="en-GB"/>
        </w:rPr>
      </w:pPr>
      <w:r w:rsidRPr="00375F7E">
        <w:rPr>
          <w:rFonts w:ascii="Cambria" w:hAnsi="Cambria"/>
          <w:sz w:val="20"/>
          <w:szCs w:val="20"/>
          <w:lang w:val="en-GB"/>
        </w:rPr>
        <w:t xml:space="preserve">Sheets "Best (GTM)" and "Fixed (GTM)": Contain the calculated subtotals for small harvesters by year and specified period under the </w:t>
      </w:r>
      <w:r w:rsidR="00FE1F0E" w:rsidRPr="00375F7E">
        <w:rPr>
          <w:rFonts w:ascii="Cambria" w:hAnsi="Cambria"/>
          <w:sz w:val="20"/>
          <w:szCs w:val="20"/>
          <w:lang w:val="en-GB"/>
        </w:rPr>
        <w:t>Central American and Caribbean</w:t>
      </w:r>
      <w:r w:rsidRPr="00375F7E">
        <w:rPr>
          <w:rFonts w:ascii="Cambria" w:hAnsi="Cambria"/>
          <w:sz w:val="20"/>
          <w:szCs w:val="20"/>
          <w:lang w:val="en-GB"/>
        </w:rPr>
        <w:t xml:space="preserve"> proposal. Instances where a CPC equals or exceeds the </w:t>
      </w:r>
      <w:proofErr w:type="gramStart"/>
      <w:r w:rsidRPr="00375F7E">
        <w:rPr>
          <w:rFonts w:ascii="Cambria" w:hAnsi="Cambria"/>
          <w:sz w:val="20"/>
          <w:szCs w:val="20"/>
          <w:lang w:val="en-GB"/>
        </w:rPr>
        <w:t>3,500</w:t>
      </w:r>
      <w:r w:rsidR="00375F7E">
        <w:rPr>
          <w:rFonts w:ascii="Cambria" w:hAnsi="Cambria"/>
          <w:sz w:val="20"/>
          <w:szCs w:val="20"/>
          <w:lang w:val="en-GB"/>
        </w:rPr>
        <w:t xml:space="preserve"> </w:t>
      </w:r>
      <w:r w:rsidRPr="00375F7E">
        <w:rPr>
          <w:rFonts w:ascii="Cambria" w:hAnsi="Cambria"/>
          <w:sz w:val="20"/>
          <w:szCs w:val="20"/>
          <w:lang w:val="en-GB"/>
        </w:rPr>
        <w:t>t</w:t>
      </w:r>
      <w:proofErr w:type="gramEnd"/>
      <w:r w:rsidRPr="00375F7E">
        <w:rPr>
          <w:rFonts w:ascii="Cambria" w:hAnsi="Cambria"/>
          <w:sz w:val="20"/>
          <w:szCs w:val="20"/>
          <w:lang w:val="en-GB"/>
        </w:rPr>
        <w:t xml:space="preserve"> trigger for a specific year, or within its average values, have been highlighted in bold</w:t>
      </w:r>
      <w:r w:rsidR="00375F7E" w:rsidRPr="00375F7E">
        <w:rPr>
          <w:rFonts w:ascii="Cambria" w:hAnsi="Cambria"/>
          <w:sz w:val="20"/>
          <w:szCs w:val="20"/>
          <w:lang w:val="en-GB"/>
        </w:rPr>
        <w:t xml:space="preserve"> green</w:t>
      </w:r>
      <w:r w:rsidRPr="00375F7E">
        <w:rPr>
          <w:rFonts w:ascii="Cambria" w:hAnsi="Cambria"/>
          <w:sz w:val="20"/>
          <w:szCs w:val="20"/>
          <w:lang w:val="en-GB"/>
        </w:rPr>
        <w:t xml:space="preserve"> font.</w:t>
      </w:r>
    </w:p>
    <w:p w14:paraId="00FCC9B1" w14:textId="77777777" w:rsidR="00DF36DE" w:rsidRPr="00DF36DE" w:rsidRDefault="00DF36DE" w:rsidP="00F62999">
      <w:pPr>
        <w:spacing w:after="0" w:line="240" w:lineRule="auto"/>
        <w:jc w:val="both"/>
        <w:rPr>
          <w:rFonts w:ascii="Cambria" w:hAnsi="Cambria"/>
          <w:sz w:val="20"/>
          <w:szCs w:val="20"/>
          <w:lang w:val="en-GB"/>
        </w:rPr>
      </w:pPr>
    </w:p>
    <w:p w14:paraId="7CD24D29" w14:textId="3C1C6105" w:rsidR="00DF36DE" w:rsidRPr="00375F7E" w:rsidRDefault="00DF36DE" w:rsidP="00F62999">
      <w:pPr>
        <w:pStyle w:val="ListParagraph"/>
        <w:numPr>
          <w:ilvl w:val="0"/>
          <w:numId w:val="7"/>
        </w:numPr>
        <w:spacing w:after="0" w:line="240" w:lineRule="auto"/>
        <w:ind w:left="851" w:hanging="425"/>
        <w:jc w:val="both"/>
        <w:rPr>
          <w:rFonts w:ascii="Cambria" w:hAnsi="Cambria"/>
          <w:sz w:val="20"/>
          <w:szCs w:val="20"/>
          <w:lang w:val="en-GB"/>
        </w:rPr>
      </w:pPr>
      <w:r w:rsidRPr="00375F7E">
        <w:rPr>
          <w:rFonts w:ascii="Cambria" w:hAnsi="Cambria"/>
          <w:sz w:val="20"/>
          <w:szCs w:val="20"/>
          <w:lang w:val="en-GB"/>
        </w:rPr>
        <w:t xml:space="preserve">Sheets "Best (EU)" and "Fixed (EU)": Present the same calculation model tailored to the EU proposal. In this case, instances where the </w:t>
      </w:r>
      <w:proofErr w:type="gramStart"/>
      <w:r w:rsidRPr="00375F7E">
        <w:rPr>
          <w:rFonts w:ascii="Cambria" w:hAnsi="Cambria"/>
          <w:sz w:val="20"/>
          <w:szCs w:val="20"/>
          <w:lang w:val="en-GB"/>
        </w:rPr>
        <w:t>1,575</w:t>
      </w:r>
      <w:r w:rsidR="00375F7E">
        <w:rPr>
          <w:rFonts w:ascii="Cambria" w:hAnsi="Cambria"/>
          <w:sz w:val="20"/>
          <w:szCs w:val="20"/>
          <w:lang w:val="en-GB"/>
        </w:rPr>
        <w:t xml:space="preserve"> </w:t>
      </w:r>
      <w:r w:rsidRPr="00375F7E">
        <w:rPr>
          <w:rFonts w:ascii="Cambria" w:hAnsi="Cambria"/>
          <w:sz w:val="20"/>
          <w:szCs w:val="20"/>
          <w:lang w:val="en-GB"/>
        </w:rPr>
        <w:t>t</w:t>
      </w:r>
      <w:proofErr w:type="gramEnd"/>
      <w:r w:rsidRPr="00375F7E">
        <w:rPr>
          <w:rFonts w:ascii="Cambria" w:hAnsi="Cambria"/>
          <w:sz w:val="20"/>
          <w:szCs w:val="20"/>
          <w:lang w:val="en-GB"/>
        </w:rPr>
        <w:t xml:space="preserve"> trigger threshold is met or exceeded have been highlighted in bold </w:t>
      </w:r>
      <w:r w:rsidR="00375F7E">
        <w:rPr>
          <w:rFonts w:ascii="Cambria" w:hAnsi="Cambria"/>
          <w:sz w:val="20"/>
          <w:szCs w:val="20"/>
          <w:lang w:val="en-GB"/>
        </w:rPr>
        <w:t xml:space="preserve">blue </w:t>
      </w:r>
      <w:r w:rsidRPr="00375F7E">
        <w:rPr>
          <w:rFonts w:ascii="Cambria" w:hAnsi="Cambria"/>
          <w:sz w:val="20"/>
          <w:szCs w:val="20"/>
          <w:lang w:val="en-GB"/>
        </w:rPr>
        <w:t>font.</w:t>
      </w:r>
    </w:p>
    <w:p w14:paraId="2AE71123" w14:textId="77777777" w:rsidR="00DF36DE" w:rsidRPr="00DF36DE" w:rsidRDefault="00DF36DE" w:rsidP="00F62999">
      <w:pPr>
        <w:spacing w:after="0" w:line="240" w:lineRule="auto"/>
        <w:jc w:val="both"/>
        <w:rPr>
          <w:rFonts w:ascii="Cambria" w:hAnsi="Cambria"/>
          <w:sz w:val="20"/>
          <w:szCs w:val="20"/>
          <w:lang w:val="en-GB"/>
        </w:rPr>
      </w:pPr>
    </w:p>
    <w:p w14:paraId="38B7EADF" w14:textId="13E27334" w:rsidR="00DF36DE" w:rsidRPr="00DF36DE" w:rsidRDefault="00DF36DE" w:rsidP="00F62999">
      <w:pPr>
        <w:spacing w:after="0" w:line="240" w:lineRule="auto"/>
        <w:jc w:val="both"/>
        <w:rPr>
          <w:rFonts w:ascii="Cambria" w:hAnsi="Cambria"/>
          <w:sz w:val="20"/>
          <w:szCs w:val="20"/>
          <w:lang w:val="en-GB"/>
        </w:rPr>
      </w:pPr>
    </w:p>
    <w:sectPr w:rsidR="00DF36DE" w:rsidRPr="00DF36DE" w:rsidSect="00F62999">
      <w:headerReference w:type="default" r:id="rId8"/>
      <w:footerReference w:type="default" r:id="rId9"/>
      <w:pgSz w:w="11907" w:h="16840" w:code="9"/>
      <w:pgMar w:top="1418" w:right="1418" w:bottom="1418" w:left="1418" w:header="851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5AFA9" w14:textId="77777777" w:rsidR="000F072B" w:rsidRDefault="000F072B" w:rsidP="00033B23">
      <w:pPr>
        <w:spacing w:after="0" w:line="240" w:lineRule="auto"/>
      </w:pPr>
      <w:r>
        <w:separator/>
      </w:r>
    </w:p>
  </w:endnote>
  <w:endnote w:type="continuationSeparator" w:id="0">
    <w:p w14:paraId="6841ECB2" w14:textId="77777777" w:rsidR="000F072B" w:rsidRDefault="000F072B" w:rsidP="00033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BE929" w14:textId="39CD5BA7" w:rsidR="005D4BD1" w:rsidRPr="005D4BD1" w:rsidRDefault="005D4BD1" w:rsidP="005D4BD1">
    <w:pPr>
      <w:tabs>
        <w:tab w:val="center" w:pos="4535"/>
        <w:tab w:val="center" w:pos="4680"/>
        <w:tab w:val="left" w:pos="6150"/>
        <w:tab w:val="right" w:pos="9360"/>
      </w:tabs>
      <w:spacing w:after="0" w:line="240" w:lineRule="auto"/>
      <w:jc w:val="center"/>
      <w:rPr>
        <w:rFonts w:ascii="Cambria" w:eastAsia="Calibri" w:hAnsi="Cambria" w:cs="Calibri"/>
        <w:sz w:val="20"/>
      </w:rPr>
    </w:pPr>
    <w:r w:rsidRPr="003D4EC2">
      <w:rPr>
        <w:rFonts w:ascii="Cambria" w:eastAsia="Calibri" w:hAnsi="Cambria" w:cs="Calibri"/>
        <w:sz w:val="20"/>
        <w:szCs w:val="20"/>
      </w:rPr>
      <w:fldChar w:fldCharType="begin"/>
    </w:r>
    <w:r w:rsidRPr="003D4EC2">
      <w:rPr>
        <w:rFonts w:ascii="Cambria" w:eastAsia="Calibri" w:hAnsi="Cambria" w:cs="Calibri"/>
        <w:sz w:val="20"/>
        <w:szCs w:val="20"/>
      </w:rPr>
      <w:instrText xml:space="preserve"> PAGE </w:instrText>
    </w:r>
    <w:r w:rsidRPr="003D4EC2">
      <w:rPr>
        <w:rFonts w:ascii="Cambria" w:eastAsia="Calibri" w:hAnsi="Cambria" w:cs="Calibri"/>
        <w:sz w:val="20"/>
        <w:szCs w:val="20"/>
      </w:rPr>
      <w:fldChar w:fldCharType="separate"/>
    </w:r>
    <w:r>
      <w:rPr>
        <w:rFonts w:ascii="Cambria" w:eastAsia="Calibri" w:hAnsi="Cambria" w:cs="Calibri"/>
        <w:sz w:val="20"/>
        <w:szCs w:val="20"/>
      </w:rPr>
      <w:t>1</w:t>
    </w:r>
    <w:r w:rsidRPr="003D4EC2">
      <w:rPr>
        <w:rFonts w:ascii="Cambria" w:eastAsia="Calibri" w:hAnsi="Cambria" w:cs="Calibri"/>
        <w:sz w:val="20"/>
        <w:szCs w:val="20"/>
      </w:rPr>
      <w:fldChar w:fldCharType="end"/>
    </w:r>
    <w:r w:rsidRPr="003D4EC2">
      <w:rPr>
        <w:rFonts w:ascii="Cambria" w:eastAsia="Calibri" w:hAnsi="Cambria" w:cs="Calibri"/>
        <w:sz w:val="20"/>
        <w:szCs w:val="20"/>
      </w:rPr>
      <w:t xml:space="preserve"> / </w:t>
    </w:r>
    <w:r w:rsidRPr="003D4EC2">
      <w:rPr>
        <w:rFonts w:ascii="Cambria" w:eastAsia="Calibri" w:hAnsi="Cambria" w:cs="Calibri"/>
        <w:sz w:val="20"/>
        <w:szCs w:val="20"/>
      </w:rPr>
      <w:fldChar w:fldCharType="begin"/>
    </w:r>
    <w:r w:rsidRPr="003D4EC2">
      <w:rPr>
        <w:rFonts w:ascii="Cambria" w:eastAsia="Calibri" w:hAnsi="Cambria" w:cs="Calibri"/>
        <w:sz w:val="20"/>
        <w:szCs w:val="20"/>
      </w:rPr>
      <w:instrText xml:space="preserve"> NUMPAGES  </w:instrText>
    </w:r>
    <w:r w:rsidRPr="003D4EC2">
      <w:rPr>
        <w:rFonts w:ascii="Cambria" w:eastAsia="Calibri" w:hAnsi="Cambria" w:cs="Calibri"/>
        <w:sz w:val="20"/>
        <w:szCs w:val="20"/>
      </w:rPr>
      <w:fldChar w:fldCharType="separate"/>
    </w:r>
    <w:r>
      <w:rPr>
        <w:rFonts w:ascii="Cambria" w:eastAsia="Calibri" w:hAnsi="Cambria" w:cs="Calibri"/>
        <w:sz w:val="20"/>
        <w:szCs w:val="20"/>
      </w:rPr>
      <w:t>2</w:t>
    </w:r>
    <w:r w:rsidRPr="003D4EC2">
      <w:rPr>
        <w:rFonts w:ascii="Cambria" w:eastAsia="Calibri" w:hAnsi="Cambria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2A23E" w14:textId="77777777" w:rsidR="000F072B" w:rsidRDefault="000F072B" w:rsidP="00033B23">
      <w:pPr>
        <w:spacing w:after="0" w:line="240" w:lineRule="auto"/>
      </w:pPr>
      <w:r>
        <w:separator/>
      </w:r>
    </w:p>
  </w:footnote>
  <w:footnote w:type="continuationSeparator" w:id="0">
    <w:p w14:paraId="01D24EF6" w14:textId="77777777" w:rsidR="000F072B" w:rsidRDefault="000F072B" w:rsidP="00033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C87EB" w14:textId="67C4D9BE" w:rsidR="00033B23" w:rsidRPr="00033B23" w:rsidRDefault="00033B23" w:rsidP="00033B23">
    <w:pPr>
      <w:widowControl w:val="0"/>
      <w:tabs>
        <w:tab w:val="center" w:pos="4680"/>
        <w:tab w:val="left" w:pos="6520"/>
        <w:tab w:val="right" w:pos="9360"/>
        <w:tab w:val="right" w:pos="14240"/>
      </w:tabs>
      <w:spacing w:after="0" w:line="240" w:lineRule="auto"/>
      <w:jc w:val="right"/>
      <w:rPr>
        <w:rFonts w:ascii="Cambria" w:eastAsia="Calibri" w:hAnsi="Cambria" w:cs="Times New Roman"/>
        <w:b/>
        <w:bCs/>
        <w:sz w:val="20"/>
        <w:szCs w:val="20"/>
      </w:rPr>
    </w:pPr>
    <w:bookmarkStart w:id="1" w:name="_Hlk107908354"/>
    <w:bookmarkStart w:id="2" w:name="_Hlk107908355"/>
    <w:bookmarkStart w:id="3" w:name="_Hlk107908359"/>
    <w:bookmarkStart w:id="4" w:name="_Hlk107908360"/>
    <w:bookmarkStart w:id="5" w:name="_Hlk107908361"/>
    <w:bookmarkStart w:id="6" w:name="_Hlk107908362"/>
    <w:r>
      <w:rPr>
        <w:rFonts w:ascii="Cambria" w:eastAsia="Calibri" w:hAnsi="Cambria" w:cs="Times New Roman"/>
        <w:b/>
        <w:bCs/>
        <w:sz w:val="20"/>
        <w:szCs w:val="20"/>
      </w:rPr>
      <w:t>PA</w:t>
    </w:r>
    <w:r w:rsidR="00086242">
      <w:rPr>
        <w:rFonts w:ascii="Cambria" w:eastAsia="Calibri" w:hAnsi="Cambria" w:cs="Times New Roman"/>
        <w:b/>
        <w:bCs/>
        <w:sz w:val="20"/>
        <w:szCs w:val="20"/>
      </w:rPr>
      <w:t>1</w:t>
    </w:r>
    <w:r w:rsidRPr="00033B23">
      <w:rPr>
        <w:rFonts w:ascii="Cambria" w:eastAsia="Calibri" w:hAnsi="Cambria" w:cs="Times New Roman"/>
        <w:b/>
        <w:bCs/>
        <w:sz w:val="20"/>
        <w:szCs w:val="20"/>
      </w:rPr>
      <w:t>_</w:t>
    </w:r>
    <w:r w:rsidR="00086242">
      <w:rPr>
        <w:rFonts w:ascii="Cambria" w:eastAsia="Calibri" w:hAnsi="Cambria" w:cs="Times New Roman"/>
        <w:b/>
        <w:bCs/>
        <w:sz w:val="20"/>
        <w:szCs w:val="20"/>
      </w:rPr>
      <w:t>504</w:t>
    </w:r>
    <w:r w:rsidRPr="00033B23">
      <w:rPr>
        <w:rFonts w:ascii="Cambria" w:eastAsia="Calibri" w:hAnsi="Cambria" w:cs="Times New Roman"/>
        <w:b/>
        <w:bCs/>
        <w:sz w:val="20"/>
        <w:szCs w:val="20"/>
      </w:rPr>
      <w:t>/202</w:t>
    </w:r>
    <w:r w:rsidR="00086242">
      <w:rPr>
        <w:rFonts w:ascii="Cambria" w:eastAsia="Calibri" w:hAnsi="Cambria" w:cs="Times New Roman"/>
        <w:b/>
        <w:bCs/>
        <w:sz w:val="20"/>
        <w:szCs w:val="20"/>
      </w:rPr>
      <w:t>6</w:t>
    </w:r>
  </w:p>
  <w:p w14:paraId="78370D4C" w14:textId="26F7B01C" w:rsidR="00033B23" w:rsidRPr="00033B23" w:rsidRDefault="00033B23" w:rsidP="00033B23">
    <w:pPr>
      <w:widowControl w:val="0"/>
      <w:tabs>
        <w:tab w:val="left" w:pos="7320"/>
      </w:tabs>
      <w:spacing w:after="0" w:line="240" w:lineRule="exact"/>
      <w:jc w:val="right"/>
      <w:rPr>
        <w:rFonts w:ascii="Cambria" w:eastAsia="Calibri" w:hAnsi="Cambria" w:cs="Times New Roman"/>
        <w:b/>
        <w:bCs/>
        <w:sz w:val="16"/>
        <w:szCs w:val="16"/>
        <w:lang w:val="es-ES_tradnl"/>
      </w:rPr>
    </w:pPr>
    <w:r w:rsidRPr="00033B23">
      <w:rPr>
        <w:rFonts w:ascii="Cambria" w:eastAsia="Calibri" w:hAnsi="Cambria" w:cs="Times New Roman"/>
        <w:b/>
        <w:bCs/>
        <w:sz w:val="16"/>
        <w:szCs w:val="16"/>
        <w:lang w:val="es-ES_tradnl"/>
      </w:rPr>
      <w:fldChar w:fldCharType="begin"/>
    </w:r>
    <w:r w:rsidRPr="00033B23">
      <w:rPr>
        <w:rFonts w:ascii="Cambria" w:eastAsia="Calibri" w:hAnsi="Cambria" w:cs="Times New Roman"/>
        <w:b/>
        <w:bCs/>
        <w:sz w:val="16"/>
        <w:szCs w:val="16"/>
        <w:lang w:val="es-ES_tradnl"/>
      </w:rPr>
      <w:instrText xml:space="preserve"> TIME \@ "dd/MM/yyyy H:mm" </w:instrText>
    </w:r>
    <w:r w:rsidRPr="00033B23">
      <w:rPr>
        <w:rFonts w:ascii="Cambria" w:eastAsia="Calibri" w:hAnsi="Cambria" w:cs="Times New Roman"/>
        <w:b/>
        <w:bCs/>
        <w:sz w:val="16"/>
        <w:szCs w:val="16"/>
        <w:lang w:val="es-ES_tradnl"/>
      </w:rPr>
      <w:fldChar w:fldCharType="separate"/>
    </w:r>
    <w:r w:rsidR="00F62999">
      <w:rPr>
        <w:rFonts w:ascii="Cambria" w:eastAsia="Calibri" w:hAnsi="Cambria" w:cs="Times New Roman"/>
        <w:b/>
        <w:bCs/>
        <w:noProof/>
        <w:sz w:val="16"/>
        <w:szCs w:val="16"/>
        <w:lang w:val="es-ES_tradnl"/>
      </w:rPr>
      <w:t>02/10/2026 9:33</w:t>
    </w:r>
    <w:r w:rsidRPr="00033B23">
      <w:rPr>
        <w:rFonts w:ascii="Cambria" w:eastAsia="Calibri" w:hAnsi="Cambria" w:cs="Times New Roman"/>
        <w:b/>
        <w:bCs/>
        <w:sz w:val="16"/>
        <w:szCs w:val="16"/>
        <w:lang w:val="es-ES_tradnl"/>
      </w:rPr>
      <w:fldChar w:fldCharType="end"/>
    </w:r>
    <w:bookmarkEnd w:id="1"/>
    <w:bookmarkEnd w:id="2"/>
    <w:bookmarkEnd w:id="3"/>
    <w:bookmarkEnd w:id="4"/>
    <w:bookmarkEnd w:id="5"/>
    <w:bookmarkEnd w:id="6"/>
  </w:p>
  <w:p w14:paraId="2EC79B9D" w14:textId="11BE2921" w:rsidR="00033B23" w:rsidRDefault="00033B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21D1"/>
    <w:multiLevelType w:val="hybridMultilevel"/>
    <w:tmpl w:val="3E6E758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F91F58"/>
    <w:multiLevelType w:val="hybridMultilevel"/>
    <w:tmpl w:val="5AE20E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F7472A"/>
    <w:multiLevelType w:val="hybridMultilevel"/>
    <w:tmpl w:val="D402E9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371DE"/>
    <w:multiLevelType w:val="hybridMultilevel"/>
    <w:tmpl w:val="EAF423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83951"/>
    <w:multiLevelType w:val="hybridMultilevel"/>
    <w:tmpl w:val="2542A8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5F3AE2"/>
    <w:multiLevelType w:val="hybridMultilevel"/>
    <w:tmpl w:val="0C32260E"/>
    <w:lvl w:ilvl="0" w:tplc="6260673E">
      <w:start w:val="1"/>
      <w:numFmt w:val="bullet"/>
      <w:lvlText w:val="‑"/>
      <w:lvlJc w:val="left"/>
      <w:pPr>
        <w:ind w:left="720" w:hanging="360"/>
      </w:pPr>
      <w:rPr>
        <w:rFonts w:ascii="Cambria" w:hAnsi="Cambri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041879"/>
    <w:multiLevelType w:val="hybridMultilevel"/>
    <w:tmpl w:val="12A83C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1652190">
    <w:abstractNumId w:val="3"/>
  </w:num>
  <w:num w:numId="2" w16cid:durableId="1967344592">
    <w:abstractNumId w:val="0"/>
  </w:num>
  <w:num w:numId="3" w16cid:durableId="1105613849">
    <w:abstractNumId w:val="1"/>
  </w:num>
  <w:num w:numId="4" w16cid:durableId="558134239">
    <w:abstractNumId w:val="2"/>
  </w:num>
  <w:num w:numId="5" w16cid:durableId="335545576">
    <w:abstractNumId w:val="6"/>
  </w:num>
  <w:num w:numId="6" w16cid:durableId="825975749">
    <w:abstractNumId w:val="4"/>
  </w:num>
  <w:num w:numId="7" w16cid:durableId="1978569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080"/>
    <w:rsid w:val="00033B23"/>
    <w:rsid w:val="00062080"/>
    <w:rsid w:val="00086242"/>
    <w:rsid w:val="000C53D2"/>
    <w:rsid w:val="000D1E4A"/>
    <w:rsid w:val="000F072B"/>
    <w:rsid w:val="001139F8"/>
    <w:rsid w:val="00124CC2"/>
    <w:rsid w:val="00140AA1"/>
    <w:rsid w:val="00156A34"/>
    <w:rsid w:val="00166BF5"/>
    <w:rsid w:val="001A06EC"/>
    <w:rsid w:val="001E2A88"/>
    <w:rsid w:val="00275DF7"/>
    <w:rsid w:val="002A1E8A"/>
    <w:rsid w:val="00305950"/>
    <w:rsid w:val="003703DD"/>
    <w:rsid w:val="00375F7E"/>
    <w:rsid w:val="003B2F3A"/>
    <w:rsid w:val="003C20C6"/>
    <w:rsid w:val="003D7854"/>
    <w:rsid w:val="004A6D10"/>
    <w:rsid w:val="004D5A8D"/>
    <w:rsid w:val="004F4748"/>
    <w:rsid w:val="004F7836"/>
    <w:rsid w:val="005005A6"/>
    <w:rsid w:val="00554468"/>
    <w:rsid w:val="005D4BD1"/>
    <w:rsid w:val="00636DC9"/>
    <w:rsid w:val="00647AF6"/>
    <w:rsid w:val="006677AB"/>
    <w:rsid w:val="00690694"/>
    <w:rsid w:val="006B74FF"/>
    <w:rsid w:val="00746080"/>
    <w:rsid w:val="00757FB4"/>
    <w:rsid w:val="007C4687"/>
    <w:rsid w:val="007E18A1"/>
    <w:rsid w:val="008048A7"/>
    <w:rsid w:val="00834001"/>
    <w:rsid w:val="008515F6"/>
    <w:rsid w:val="00851B72"/>
    <w:rsid w:val="00864BA2"/>
    <w:rsid w:val="00882D88"/>
    <w:rsid w:val="008A608A"/>
    <w:rsid w:val="008E2186"/>
    <w:rsid w:val="00946789"/>
    <w:rsid w:val="00997B98"/>
    <w:rsid w:val="009B36CD"/>
    <w:rsid w:val="00A46EEC"/>
    <w:rsid w:val="00A81819"/>
    <w:rsid w:val="00AE2AFD"/>
    <w:rsid w:val="00B07839"/>
    <w:rsid w:val="00B335AD"/>
    <w:rsid w:val="00BC2E67"/>
    <w:rsid w:val="00BE0200"/>
    <w:rsid w:val="00C87618"/>
    <w:rsid w:val="00CB147B"/>
    <w:rsid w:val="00CC5095"/>
    <w:rsid w:val="00CC7385"/>
    <w:rsid w:val="00CE1067"/>
    <w:rsid w:val="00D4105A"/>
    <w:rsid w:val="00D605D3"/>
    <w:rsid w:val="00DF36DE"/>
    <w:rsid w:val="00E60D3A"/>
    <w:rsid w:val="00E742B2"/>
    <w:rsid w:val="00EE5AAA"/>
    <w:rsid w:val="00F44947"/>
    <w:rsid w:val="00F62999"/>
    <w:rsid w:val="00F65870"/>
    <w:rsid w:val="00F67F10"/>
    <w:rsid w:val="00F8000D"/>
    <w:rsid w:val="00FB1E4B"/>
    <w:rsid w:val="00FC6D3C"/>
    <w:rsid w:val="00FE1F0E"/>
    <w:rsid w:val="00FE5935"/>
    <w:rsid w:val="00FF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7D2A1"/>
  <w15:chartTrackingRefBased/>
  <w15:docId w15:val="{A4BBCD6A-7AE4-43C4-969F-9B4376F7E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3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B23"/>
  </w:style>
  <w:style w:type="paragraph" w:styleId="Footer">
    <w:name w:val="footer"/>
    <w:basedOn w:val="Normal"/>
    <w:link w:val="FooterChar"/>
    <w:uiPriority w:val="99"/>
    <w:unhideWhenUsed/>
    <w:rsid w:val="00033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B23"/>
  </w:style>
  <w:style w:type="paragraph" w:styleId="ListParagraph">
    <w:name w:val="List Paragraph"/>
    <w:basedOn w:val="Normal"/>
    <w:uiPriority w:val="34"/>
    <w:qFormat/>
    <w:rsid w:val="003703DD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18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181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A81819"/>
  </w:style>
  <w:style w:type="paragraph" w:styleId="Revision">
    <w:name w:val="Revision"/>
    <w:hidden/>
    <w:uiPriority w:val="99"/>
    <w:semiHidden/>
    <w:rsid w:val="00166B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47F5D-C473-4A86-B353-978DFC521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Cheatle</dc:creator>
  <cp:keywords/>
  <dc:description/>
  <cp:lastModifiedBy>Karen Donovan</cp:lastModifiedBy>
  <cp:revision>12</cp:revision>
  <cp:lastPrinted>2022-11-20T19:01:00Z</cp:lastPrinted>
  <dcterms:created xsi:type="dcterms:W3CDTF">2023-09-20T08:33:00Z</dcterms:created>
  <dcterms:modified xsi:type="dcterms:W3CDTF">2026-10-02T07:37:00Z</dcterms:modified>
</cp:coreProperties>
</file>